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2023年度建德市山塘建设管理第三方技术支撑服务采购项目</w:t>
      </w: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 xml:space="preserve">JD2023BF-010 </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采购人：建德市水利局</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采购代理机构：浙江中正工程项目管理有限公司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二〇二三年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二十七</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2023年度建德市山塘建设管理第三方技术支撑服务采购项目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lang w:eastAsia="zh-CN"/>
        </w:rPr>
        <w:t>点00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 xml:space="preserve">JD2023BF-010 </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400000</w:t>
      </w:r>
      <w:r>
        <w:rPr>
          <w:rFonts w:hint="eastAsia" w:ascii="仿宋" w:hAnsi="仿宋" w:eastAsia="仿宋" w:cs="仿宋"/>
          <w:color w:val="auto"/>
          <w:sz w:val="24"/>
          <w:highlight w:val="none"/>
        </w:rPr>
        <w:t>.00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400000</w:t>
      </w:r>
      <w:r>
        <w:rPr>
          <w:rFonts w:hint="eastAsia" w:ascii="仿宋" w:hAnsi="仿宋" w:eastAsia="仿宋" w:cs="仿宋"/>
          <w:color w:val="auto"/>
          <w:sz w:val="24"/>
          <w:highlight w:val="none"/>
        </w:rPr>
        <w:t xml:space="preserve">.00 </w:t>
      </w:r>
    </w:p>
    <w:p>
      <w:pPr>
        <w:pStyle w:val="18"/>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2023年度建德市山塘建设管理第三方技术支撑</w:t>
      </w:r>
      <w:r>
        <w:rPr>
          <w:rFonts w:hint="eastAsia" w:ascii="仿宋" w:hAnsi="仿宋" w:eastAsia="仿宋" w:cs="仿宋"/>
          <w:bCs/>
          <w:snapToGrid/>
          <w:color w:val="auto"/>
          <w:kern w:val="2"/>
          <w:sz w:val="24"/>
          <w:szCs w:val="24"/>
          <w:highlight w:val="none"/>
          <w:lang w:val="en-US" w:eastAsia="zh-CN"/>
        </w:rPr>
        <w:t>服务。</w:t>
      </w:r>
      <w:r>
        <w:rPr>
          <w:rFonts w:hint="eastAsia" w:ascii="仿宋" w:hAnsi="仿宋" w:eastAsia="仿宋" w:cs="仿宋"/>
          <w:bCs/>
          <w:snapToGrid/>
          <w:color w:val="auto"/>
          <w:kern w:val="2"/>
          <w:sz w:val="24"/>
          <w:szCs w:val="24"/>
          <w:highlight w:val="none"/>
        </w:rPr>
        <w:t>详见招标文件第三部分采购需求。</w:t>
      </w:r>
    </w:p>
    <w:p>
      <w:pPr>
        <w:pStyle w:val="130"/>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sz w:val="24"/>
          <w:szCs w:val="24"/>
          <w:highlight w:val="none"/>
          <w:lang w:val="en-US" w:eastAsia="zh-CN"/>
        </w:rPr>
        <w:t>合同签订后一年。</w:t>
      </w:r>
    </w:p>
    <w:p>
      <w:pPr>
        <w:pStyle w:val="18"/>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0"/>
          <w:highlight w:val="none"/>
          <w:lang w:eastAsia="zh-CN"/>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bidi="ar-SA"/>
        </w:rPr>
        <w:sym w:font="Wingdings" w:char="00A8"/>
      </w:r>
      <w:r>
        <w:rPr>
          <w:rFonts w:hint="eastAsia" w:ascii="仿宋" w:hAnsi="仿宋" w:eastAsia="仿宋" w:cs="仿宋"/>
          <w:snapToGrid w:val="0"/>
          <w:color w:val="auto"/>
          <w:kern w:val="28"/>
          <w:sz w:val="24"/>
          <w:szCs w:val="20"/>
          <w:highlight w:val="none"/>
        </w:rPr>
        <w:t>无；</w:t>
      </w:r>
    </w:p>
    <w:p>
      <w:pPr>
        <w:snapToGrid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bidi="ar-SA"/>
        </w:rPr>
        <w:t>þ</w:t>
      </w:r>
      <w:r>
        <w:rPr>
          <w:rFonts w:hint="eastAsia" w:ascii="仿宋" w:hAnsi="仿宋" w:eastAsia="仿宋" w:cs="仿宋"/>
          <w:snapToGrid w:val="0"/>
          <w:color w:val="auto"/>
          <w:kern w:val="28"/>
          <w:sz w:val="24"/>
          <w:szCs w:val="20"/>
          <w:highlight w:val="none"/>
        </w:rPr>
        <w:t>专门面向中小企业</w:t>
      </w:r>
    </w:p>
    <w:p>
      <w:pPr>
        <w:snapToGrid w:val="0"/>
        <w:spacing w:line="360" w:lineRule="auto"/>
        <w:ind w:firstLine="720" w:firstLineChars="3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bidi="ar-SA"/>
        </w:rPr>
        <w:sym w:font="Wingdings" w:char="00A8"/>
      </w:r>
      <w:r>
        <w:rPr>
          <w:rFonts w:hint="eastAsia" w:ascii="仿宋" w:hAnsi="仿宋" w:eastAsia="仿宋" w:cs="仿宋"/>
          <w:snapToGrid w:val="0"/>
          <w:color w:val="auto"/>
          <w:kern w:val="28"/>
          <w:sz w:val="24"/>
          <w:szCs w:val="20"/>
          <w:highlight w:val="none"/>
        </w:rPr>
        <w:t>货物全部由符合政策要求的中小企业制造，提供中小企业声明函；</w:t>
      </w:r>
    </w:p>
    <w:p>
      <w:pPr>
        <w:snapToGrid w:val="0"/>
        <w:spacing w:line="360" w:lineRule="auto"/>
        <w:ind w:firstLine="720" w:firstLineChars="3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☐货物全部由符合政策要求的小微企业制造，提供中小企业声明函；</w:t>
      </w:r>
    </w:p>
    <w:p>
      <w:pPr>
        <w:snapToGrid w:val="0"/>
        <w:spacing w:line="360" w:lineRule="auto"/>
        <w:ind w:firstLine="720" w:firstLineChars="3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bidi="ar-SA"/>
        </w:rPr>
        <w:sym w:font="Wingdings" w:char="00FE"/>
      </w:r>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napToGrid w:val="0"/>
        <w:spacing w:line="360" w:lineRule="auto"/>
        <w:ind w:firstLine="720" w:firstLineChars="3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bCs/>
          <w:snapToGrid w:val="0"/>
          <w:color w:val="auto"/>
          <w:kern w:val="28"/>
          <w:sz w:val="24"/>
          <w:szCs w:val="20"/>
          <w:highlight w:val="none"/>
        </w:rPr>
        <w:t>（残疾人福利性单位参加提供《残疾人福利性单位声明函》，视同中小企业；监狱企业提供省级以上监狱管理局、戒毒管理局(含新疆生产建设兵团)出具的属于监狱企业的证明文件，视同中小企业）</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none"/>
          <w:lang w:eastAsia="zh-CN"/>
        </w:rPr>
        <w:t>2023年</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22</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9</w:t>
      </w:r>
      <w:r>
        <w:rPr>
          <w:rFonts w:hint="eastAsia" w:ascii="仿宋" w:hAnsi="仿宋" w:eastAsia="仿宋" w:cs="仿宋"/>
          <w:color w:val="auto"/>
          <w:sz w:val="24"/>
          <w:highlight w:val="none"/>
          <w:u w:val="none"/>
          <w:lang w:eastAsia="zh-CN"/>
        </w:rPr>
        <w:t>点00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 w:val="0"/>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val="0"/>
          <w:bCs/>
          <w:color w:val="auto"/>
          <w:sz w:val="24"/>
          <w:highlight w:val="none"/>
          <w:lang w:eastAsia="zh-CN"/>
        </w:rPr>
        <w:t>2023年</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22</w:t>
      </w:r>
      <w:r>
        <w:rPr>
          <w:rFonts w:hint="eastAsia" w:ascii="仿宋" w:hAnsi="仿宋" w:eastAsia="仿宋" w:cs="仿宋"/>
          <w:b w:val="0"/>
          <w:bCs/>
          <w:color w:val="auto"/>
          <w:sz w:val="24"/>
          <w:highlight w:val="none"/>
          <w:lang w:eastAsia="zh-CN"/>
        </w:rPr>
        <w:t>日</w:t>
      </w:r>
      <w:r>
        <w:rPr>
          <w:rFonts w:hint="eastAsia" w:ascii="仿宋" w:hAnsi="仿宋" w:eastAsia="仿宋" w:cs="仿宋"/>
          <w:b w:val="0"/>
          <w:bCs/>
          <w:color w:val="auto"/>
          <w:sz w:val="24"/>
          <w:highlight w:val="none"/>
          <w:lang w:val="en-US" w:eastAsia="zh-CN"/>
        </w:rPr>
        <w:t>9</w:t>
      </w:r>
      <w:r>
        <w:rPr>
          <w:rFonts w:hint="eastAsia" w:ascii="仿宋" w:hAnsi="仿宋" w:eastAsia="仿宋" w:cs="仿宋"/>
          <w:b w:val="0"/>
          <w:bCs/>
          <w:color w:val="auto"/>
          <w:sz w:val="24"/>
          <w:highlight w:val="none"/>
          <w:lang w:eastAsia="zh-CN"/>
        </w:rPr>
        <w:t>点00</w:t>
      </w:r>
      <w:r>
        <w:rPr>
          <w:rFonts w:hint="eastAsia" w:ascii="仿宋" w:hAnsi="仿宋" w:eastAsia="仿宋" w:cs="仿宋"/>
          <w:b w:val="0"/>
          <w:bCs/>
          <w:color w:val="auto"/>
          <w:sz w:val="24"/>
          <w:highlight w:val="none"/>
        </w:rPr>
        <w:t>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建德市水利局</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yellow"/>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rPr>
        <w:t>建德市新安江街道严州大道1号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赵阳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17357190305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余晶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13588219101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浙江中正工程项目管理有限公司</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lang w:val="en-US" w:eastAsia="zh-CN"/>
        </w:rPr>
        <w:t>建德市新安江街道法院路9号4楼（农商银行楼上）</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szCs w:val="24"/>
          <w:highlight w:val="none"/>
        </w:rPr>
        <w:t>0571-</w:t>
      </w:r>
      <w:r>
        <w:rPr>
          <w:rFonts w:hint="eastAsia" w:ascii="仿宋" w:hAnsi="仿宋" w:eastAsia="仿宋" w:cs="仿宋"/>
          <w:color w:val="auto"/>
          <w:sz w:val="24"/>
          <w:szCs w:val="24"/>
          <w:highlight w:val="none"/>
          <w:lang w:val="en-US" w:eastAsia="zh-CN"/>
        </w:rPr>
        <w:t>64785830</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lang w:val="en-US" w:eastAsia="zh-CN"/>
        </w:rPr>
        <w:t>王红露</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lang w:val="en-US" w:eastAsia="zh-CN"/>
        </w:rPr>
        <w:t>15868116689</w:t>
      </w:r>
      <w:r>
        <w:rPr>
          <w:rFonts w:hint="eastAsia" w:ascii="仿宋" w:hAnsi="仿宋" w:eastAsia="仿宋" w:cs="仿宋"/>
          <w:color w:val="auto"/>
          <w:sz w:val="24"/>
          <w:highlight w:val="none"/>
          <w:lang w:val="en-US" w:eastAsia="zh-CN"/>
        </w:rPr>
        <w:t xml:space="preserve">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lang w:val="en-US" w:eastAsia="zh-CN"/>
        </w:rPr>
        <w:t>史华娟</w:t>
      </w:r>
      <w:r>
        <w:rPr>
          <w:rFonts w:hint="eastAsia" w:ascii="仿宋" w:hAnsi="仿宋" w:eastAsia="仿宋" w:cs="仿宋"/>
          <w:color w:val="auto"/>
          <w:sz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lang w:val="en-US" w:eastAsia="zh-CN"/>
        </w:rPr>
        <w:t>13221005100</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称：建德市采购办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址：建德市财政局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：邵菁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监督投诉电话：0571-64718168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w:t>
            </w:r>
            <w:r>
              <w:rPr>
                <w:rFonts w:hint="eastAsia" w:ascii="仿宋" w:hAnsi="仿宋" w:eastAsia="仿宋" w:cs="仿宋"/>
                <w:b/>
                <w:bCs/>
                <w:color w:val="auto"/>
                <w:sz w:val="24"/>
                <w:highlight w:val="none"/>
                <w:lang w:val="en-US" w:eastAsia="zh-CN"/>
              </w:rPr>
              <w:t>验收费用由成交供应商承担。</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 xml:space="preserve"> A同意将非主体、非关键性的</w:t>
            </w:r>
            <w:r>
              <w:rPr>
                <w:rFonts w:hint="eastAsia" w:ascii="仿宋" w:hAnsi="仿宋" w:eastAsia="仿宋" w:cs="仿宋"/>
                <w:color w:val="auto"/>
                <w:sz w:val="24"/>
                <w:highlight w:val="none"/>
                <w:u w:val="single"/>
                <w:lang w:val="en-US" w:eastAsia="zh-CN"/>
              </w:rPr>
              <w:t xml:space="preserve">  档案管理  </w:t>
            </w:r>
            <w:r>
              <w:rPr>
                <w:rFonts w:hint="eastAsia" w:ascii="仿宋" w:hAnsi="仿宋" w:eastAsia="仿宋" w:cs="仿宋"/>
                <w:color w:val="auto"/>
                <w:sz w:val="24"/>
                <w:highlight w:val="none"/>
                <w:u w:val="single"/>
              </w:rPr>
              <w:t>工</w:t>
            </w:r>
            <w:r>
              <w:rPr>
                <w:rFonts w:hint="eastAsia" w:ascii="仿宋" w:hAnsi="仿宋" w:eastAsia="仿宋" w:cs="仿宋"/>
                <w:color w:val="auto"/>
                <w:sz w:val="24"/>
                <w:highlight w:val="none"/>
              </w:rPr>
              <w:t>作分包。</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 xml:space="preserve"> B不同意分包。</w:t>
            </w:r>
          </w:p>
          <w:p>
            <w:pP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lang w:val="en-US" w:eastAsia="zh-CN" w:bidi="ar-SA"/>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highlight w:val="none"/>
              </w:rPr>
              <w:t>是否适宜中小企业情况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highlight w:val="none"/>
              </w:rPr>
              <w:t>根据《政府采购促进中小企业发展管理办法》财库（2020）46号文件的规定，本项目专门面向中小企业采购。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2023年度建德市山塘建设管理第三方技术支撑服务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技术服务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right w:val="single" w:color="000000" w:sz="8" w:space="0"/>
            </w:tcBorders>
            <w:vAlign w:val="center"/>
          </w:tcPr>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供应商中标后也可在“政采云”平台</w:t>
            </w:r>
            <w:r>
              <w:rPr>
                <w:rFonts w:hint="eastAsia" w:ascii="仿宋" w:hAnsi="仿宋" w:eastAsia="仿宋" w:cs="仿宋"/>
                <w:color w:val="auto"/>
                <w:kern w:val="0"/>
                <w:sz w:val="24"/>
                <w:highlight w:val="none"/>
                <w:lang w:eastAsia="zh-CN"/>
              </w:rPr>
              <w:t>（登陆</w:t>
            </w:r>
            <w:r>
              <w:rPr>
                <w:rFonts w:hint="eastAsia" w:ascii="仿宋" w:hAnsi="仿宋" w:eastAsia="仿宋" w:cs="仿宋"/>
                <w:color w:val="auto"/>
                <w:kern w:val="0"/>
                <w:sz w:val="24"/>
                <w:highlight w:val="none"/>
              </w:rPr>
              <w:t>https://jinrong.zcygov.cn/?utm=a0017.b1540.ct001.11.3a0260f064fd11eba8f1adac56aaf47c</w:t>
            </w:r>
            <w:r>
              <w:rPr>
                <w:rFonts w:hint="eastAsia" w:ascii="仿宋" w:hAnsi="仿宋" w:eastAsia="仿宋" w:cs="仿宋"/>
                <w:color w:val="auto"/>
                <w:kern w:val="0"/>
                <w:sz w:val="24"/>
                <w:highlight w:val="none"/>
                <w:lang w:eastAsia="zh-CN"/>
              </w:rPr>
              <w:t>办理业务）</w:t>
            </w:r>
            <w:r>
              <w:rPr>
                <w:rFonts w:hint="eastAsia" w:ascii="仿宋" w:hAnsi="仿宋" w:eastAsia="仿宋" w:cs="仿宋"/>
                <w:color w:val="auto"/>
                <w:kern w:val="0"/>
                <w:sz w:val="24"/>
                <w:highlight w:val="none"/>
              </w:rPr>
              <w:t>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lang w:val="en-US" w:eastAsia="zh-CN"/>
              </w:rPr>
              <w:t>建德市新安江街道法院路9号4楼（农商银行楼上）</w:t>
            </w:r>
            <w:r>
              <w:rPr>
                <w:rFonts w:hint="eastAsia" w:ascii="仿宋" w:hAnsi="仿宋" w:eastAsia="仿宋" w:cs="仿宋"/>
                <w:color w:val="auto"/>
                <w:kern w:val="28"/>
                <w:sz w:val="24"/>
                <w:szCs w:val="24"/>
                <w:highlight w:val="none"/>
              </w:rPr>
              <w:t>；</w:t>
            </w:r>
          </w:p>
          <w:p>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备份响应文件签收联系人：</w:t>
            </w:r>
            <w:r>
              <w:rPr>
                <w:rFonts w:hint="eastAsia" w:ascii="仿宋" w:hAnsi="仿宋" w:eastAsia="仿宋" w:cs="仿宋"/>
                <w:color w:val="auto"/>
                <w:kern w:val="28"/>
                <w:sz w:val="24"/>
                <w:szCs w:val="24"/>
                <w:highlight w:val="none"/>
                <w:u w:val="single"/>
                <w:lang w:val="en-US" w:eastAsia="zh-CN"/>
              </w:rPr>
              <w:t>王红露</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kern w:val="28"/>
                <w:sz w:val="24"/>
                <w:szCs w:val="24"/>
                <w:highlight w:val="none"/>
                <w:u w:val="single"/>
                <w:lang w:val="en-US" w:eastAsia="zh-CN"/>
              </w:rPr>
              <w:t>15868116689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违规责任</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snapToGrid w:val="0"/>
                <w:color w:val="auto"/>
                <w:kern w:val="28"/>
                <w:sz w:val="24"/>
                <w:szCs w:val="21"/>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供应商在政府采购活动中违反政府采购相关规定放弃中标（成交）资格的，采购组织机构有权要求其承担采购服务费和专家评审费等费用。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color w:val="auto"/>
                <w:kern w:val="0"/>
                <w:sz w:val="24"/>
                <w:szCs w:val="24"/>
                <w:highlight w:val="none"/>
              </w:rPr>
              <w:t>投标总</w:t>
            </w:r>
            <w:r>
              <w:rPr>
                <w:rFonts w:hint="eastAsia" w:ascii="仿宋" w:hAnsi="仿宋" w:eastAsia="仿宋" w:cs="仿宋"/>
                <w:b/>
                <w:bCs/>
                <w:color w:val="auto"/>
                <w:spacing w:val="-2"/>
                <w:sz w:val="24"/>
                <w:highlight w:val="none"/>
              </w:rPr>
              <w:t>报价应含采购服务费，采购服务费按照国家发展计划委员会计价格[2002]1980 号文《招标代理服务费管理暂行办法》及发改办价格[2003]857号文的收费标准（货物类）计取，为人民币</w:t>
            </w:r>
            <w:r>
              <w:rPr>
                <w:rFonts w:hint="eastAsia" w:ascii="仿宋" w:hAnsi="仿宋" w:eastAsia="仿宋" w:cs="仿宋"/>
                <w:b/>
                <w:bCs/>
                <w:color w:val="auto"/>
                <w:spacing w:val="-2"/>
                <w:sz w:val="24"/>
                <w:highlight w:val="none"/>
              </w:rPr>
              <w:fldChar w:fldCharType="begin"/>
            </w:r>
            <w:r>
              <w:rPr>
                <w:rFonts w:hint="eastAsia" w:ascii="仿宋" w:hAnsi="仿宋" w:eastAsia="仿宋" w:cs="仿宋"/>
                <w:b/>
                <w:bCs/>
                <w:color w:val="auto"/>
                <w:spacing w:val="-2"/>
                <w:sz w:val="24"/>
                <w:highlight w:val="none"/>
              </w:rPr>
              <w:instrText xml:space="preserve"> = 10500 \* CHINESENUM4 \* MERGEFORMAT </w:instrText>
            </w:r>
            <w:r>
              <w:rPr>
                <w:rFonts w:hint="eastAsia" w:ascii="仿宋" w:hAnsi="仿宋" w:eastAsia="仿宋" w:cs="仿宋"/>
                <w:b/>
                <w:bCs/>
                <w:color w:val="auto"/>
                <w:spacing w:val="-2"/>
                <w:sz w:val="24"/>
                <w:highlight w:val="none"/>
              </w:rPr>
              <w:fldChar w:fldCharType="separate"/>
            </w:r>
            <w:r>
              <w:rPr>
                <w:rFonts w:hint="eastAsia" w:ascii="仿宋" w:hAnsi="仿宋" w:eastAsia="仿宋" w:cs="仿宋"/>
                <w:b/>
                <w:bCs/>
                <w:color w:val="auto"/>
                <w:spacing w:val="-2"/>
                <w:sz w:val="24"/>
                <w:highlight w:val="none"/>
                <w:lang w:val="en-US" w:eastAsia="zh-CN"/>
              </w:rPr>
              <w:t>陆仟</w:t>
            </w:r>
            <w:r>
              <w:rPr>
                <w:rFonts w:hint="eastAsia" w:ascii="仿宋" w:hAnsi="仿宋" w:eastAsia="仿宋" w:cs="仿宋"/>
                <w:b/>
                <w:bCs/>
                <w:color w:val="auto"/>
                <w:spacing w:val="-2"/>
                <w:sz w:val="24"/>
                <w:highlight w:val="none"/>
                <w:lang w:eastAsia="zh-CN"/>
              </w:rPr>
              <w:t>元整</w:t>
            </w:r>
            <w:r>
              <w:rPr>
                <w:rFonts w:hint="eastAsia" w:ascii="仿宋" w:hAnsi="仿宋" w:eastAsia="仿宋" w:cs="仿宋"/>
                <w:b/>
                <w:bCs/>
                <w:color w:val="auto"/>
                <w:spacing w:val="-2"/>
                <w:sz w:val="24"/>
                <w:highlight w:val="none"/>
                <w:lang w:val="en-US" w:eastAsia="zh-CN"/>
              </w:rPr>
              <w:t>（￥</w:t>
            </w:r>
            <w:r>
              <w:rPr>
                <w:rFonts w:hint="eastAsia" w:ascii="仿宋" w:hAnsi="仿宋" w:eastAsia="仿宋" w:cs="仿宋"/>
                <w:b/>
                <w:bCs/>
                <w:color w:val="auto"/>
                <w:spacing w:val="-2"/>
                <w:sz w:val="24"/>
                <w:szCs w:val="22"/>
                <w:highlight w:val="none"/>
                <w:lang w:val="en-US" w:eastAsia="zh-CN"/>
              </w:rPr>
              <w:t>6000.00</w:t>
            </w:r>
            <w:r>
              <w:rPr>
                <w:rFonts w:hint="eastAsia" w:ascii="仿宋" w:hAnsi="仿宋" w:eastAsia="仿宋" w:cs="仿宋"/>
                <w:b/>
                <w:bCs/>
                <w:color w:val="auto"/>
                <w:spacing w:val="-2"/>
                <w:sz w:val="24"/>
                <w:highlight w:val="none"/>
                <w:lang w:val="en-US" w:eastAsia="zh-CN"/>
              </w:rPr>
              <w:t xml:space="preserve"> </w:t>
            </w:r>
            <w:r>
              <w:rPr>
                <w:rFonts w:hint="eastAsia" w:ascii="仿宋" w:hAnsi="仿宋" w:eastAsia="仿宋" w:cs="仿宋"/>
                <w:b/>
                <w:bCs/>
                <w:color w:val="auto"/>
                <w:spacing w:val="-2"/>
                <w:sz w:val="24"/>
                <w:highlight w:val="none"/>
              </w:rPr>
              <w:t>元）</w:t>
            </w:r>
            <w:r>
              <w:rPr>
                <w:rFonts w:hint="eastAsia" w:ascii="仿宋" w:hAnsi="仿宋" w:eastAsia="仿宋" w:cs="仿宋"/>
                <w:b/>
                <w:bCs/>
                <w:color w:val="auto"/>
                <w:spacing w:val="-2"/>
                <w:sz w:val="24"/>
                <w:highlight w:val="none"/>
              </w:rPr>
              <w:fldChar w:fldCharType="end"/>
            </w:r>
            <w:r>
              <w:rPr>
                <w:rFonts w:hint="eastAsia" w:ascii="仿宋" w:hAnsi="仿宋" w:eastAsia="仿宋" w:cs="仿宋"/>
                <w:b/>
                <w:bCs/>
                <w:color w:val="auto"/>
                <w:spacing w:val="-2"/>
                <w:sz w:val="24"/>
                <w:highlight w:val="none"/>
                <w:lang w:eastAsia="zh-CN"/>
              </w:rPr>
              <w:t>；</w:t>
            </w:r>
            <w:r>
              <w:rPr>
                <w:rFonts w:hint="eastAsia" w:ascii="仿宋" w:hAnsi="仿宋" w:eastAsia="仿宋" w:cs="仿宋"/>
                <w:b/>
                <w:bCs/>
                <w:color w:val="auto"/>
                <w:spacing w:val="-2"/>
                <w:sz w:val="24"/>
                <w:highlight w:val="none"/>
              </w:rPr>
              <w:t>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lang w:val="en-US" w:eastAsia="zh-CN"/>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bCs/>
                <w:color w:val="auto"/>
                <w:highlight w:val="none"/>
                <w:lang w:val="en-US" w:eastAsia="zh-CN"/>
              </w:rPr>
            </w:pPr>
            <w:sdt>
              <w:sdtPr>
                <w:rPr>
                  <w:rFonts w:hint="eastAsia" w:ascii="仿宋" w:hAnsi="仿宋" w:eastAsia="仿宋" w:cs="仿宋"/>
                  <w:color w:val="auto"/>
                  <w:kern w:val="0"/>
                  <w:sz w:val="24"/>
                  <w:highlight w:val="none"/>
                </w:rPr>
                <w:id w:val="-2129664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eastAsia="zh-CN"/>
              </w:rPr>
              <w:t>联合体投标的，联合体各方均需按招标文件第四部分评标标准要求提供资信证明文件，否则视为不符合相关要求。</w:t>
            </w: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w:t>
      </w:r>
      <w:r>
        <w:rPr>
          <w:rFonts w:hint="eastAsia" w:ascii="仿宋" w:hAnsi="仿宋" w:eastAsia="仿宋" w:cs="仿宋"/>
          <w:color w:val="auto"/>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color w:val="auto"/>
          <w:kern w:val="28"/>
          <w:sz w:val="24"/>
          <w:highlight w:val="none"/>
        </w:rPr>
        <w:t>供</w:t>
      </w:r>
      <w:r>
        <w:rPr>
          <w:rFonts w:hint="eastAsia" w:ascii="仿宋" w:hAnsi="仿宋" w:eastAsia="仿宋" w:cs="仿宋"/>
          <w:color w:val="auto"/>
          <w:kern w:val="0"/>
          <w:sz w:val="24"/>
          <w:highlight w:val="none"/>
        </w:rPr>
        <w:t>应商中标后也可在“政采云”平台</w:t>
      </w:r>
      <w:r>
        <w:rPr>
          <w:rFonts w:hint="eastAsia" w:ascii="仿宋" w:hAnsi="仿宋" w:eastAsia="仿宋" w:cs="仿宋"/>
          <w:color w:val="auto"/>
          <w:kern w:val="0"/>
          <w:sz w:val="24"/>
          <w:highlight w:val="none"/>
          <w:lang w:eastAsia="zh-CN"/>
        </w:rPr>
        <w:t>（登陆</w:t>
      </w:r>
      <w:r>
        <w:rPr>
          <w:rFonts w:hint="eastAsia" w:ascii="仿宋" w:hAnsi="仿宋" w:eastAsia="仿宋" w:cs="仿宋"/>
          <w:color w:val="auto"/>
          <w:kern w:val="0"/>
          <w:sz w:val="24"/>
          <w:highlight w:val="none"/>
        </w:rPr>
        <w:t>https://jinrong.zcygov.cn/?utm=a0017.b1540.ct001.11.3a0260f064fd11eba8f1adac56aaf47c</w:t>
      </w:r>
      <w:r>
        <w:rPr>
          <w:rFonts w:hint="eastAsia" w:ascii="仿宋" w:hAnsi="仿宋" w:eastAsia="仿宋" w:cs="仿宋"/>
          <w:color w:val="auto"/>
          <w:kern w:val="0"/>
          <w:sz w:val="24"/>
          <w:highlight w:val="none"/>
          <w:lang w:eastAsia="zh-CN"/>
        </w:rPr>
        <w:t>办理业务）</w:t>
      </w:r>
      <w:r>
        <w:rPr>
          <w:rFonts w:hint="eastAsia" w:ascii="仿宋" w:hAnsi="仿宋" w:eastAsia="仿宋" w:cs="仿宋"/>
          <w:color w:val="auto"/>
          <w:kern w:val="0"/>
          <w:sz w:val="24"/>
          <w:highlight w:val="none"/>
        </w:rPr>
        <w:t>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仿宋" w:hAnsi="仿宋" w:eastAsia="仿宋" w:cs="仿宋"/>
          <w:color w:val="auto"/>
          <w:highlight w:val="none"/>
          <w:lang w:eastAsia="zh-CN"/>
        </w:rPr>
        <w:t>建德市财政局关于转发“</w:t>
      </w:r>
      <w:r>
        <w:rPr>
          <w:rFonts w:hint="eastAsia" w:ascii="仿宋" w:hAnsi="仿宋" w:eastAsia="仿宋" w:cs="仿宋"/>
          <w:color w:val="auto"/>
          <w:highlight w:val="none"/>
        </w:rPr>
        <w:t>《杭州市财政局关于进一步加强政府采购信息公开优化营商环境的通知》（杭财采监〔2021〕17号）</w:t>
      </w:r>
      <w:r>
        <w:rPr>
          <w:rFonts w:hint="eastAsia" w:ascii="仿宋" w:hAnsi="仿宋" w:eastAsia="仿宋" w:cs="仿宋"/>
          <w:color w:val="auto"/>
          <w:highlight w:val="none"/>
          <w:lang w:eastAsia="zh-CN"/>
        </w:rPr>
        <w:t>”的通知（</w:t>
      </w:r>
      <w:r>
        <w:rPr>
          <w:rFonts w:hint="eastAsia" w:ascii="仿宋" w:hAnsi="仿宋" w:eastAsia="仿宋" w:cs="仿宋"/>
          <w:color w:val="auto"/>
          <w:szCs w:val="30"/>
          <w:highlight w:val="none"/>
          <w:lang w:val="en-US" w:eastAsia="zh-CN"/>
        </w:rPr>
        <w:t>建财采监〔2021〕68号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left="84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11.1.2中小企业声明函；</w:t>
      </w:r>
    </w:p>
    <w:p>
      <w:pPr>
        <w:snapToGrid w:val="0"/>
        <w:spacing w:line="360" w:lineRule="auto"/>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11.1.3联合协议</w:t>
      </w:r>
      <w:bookmarkStart w:id="13" w:name="_Hlk101257010"/>
      <w:r>
        <w:rPr>
          <w:rFonts w:hint="eastAsia" w:ascii="仿宋" w:hAnsi="仿宋" w:eastAsia="仿宋" w:cs="仿宋"/>
          <w:color w:val="auto"/>
          <w:sz w:val="24"/>
          <w:highlight w:val="none"/>
        </w:rPr>
        <w:t>（如果有)</w:t>
      </w:r>
      <w:bookmarkEnd w:id="13"/>
      <w:r>
        <w:rPr>
          <w:rFonts w:hint="eastAsia" w:ascii="仿宋" w:hAnsi="仿宋" w:eastAsia="仿宋" w:cs="仿宋"/>
          <w:color w:val="auto"/>
          <w:sz w:val="24"/>
          <w:highlight w:val="none"/>
        </w:rPr>
        <w:t>；</w:t>
      </w:r>
    </w:p>
    <w:p>
      <w:pPr>
        <w:pStyle w:val="6"/>
        <w:ind w:left="664" w:leftChars="316" w:firstLine="228" w:firstLineChars="95"/>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11.1.4分包意向协议（如果有)；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r>
        <w:rPr>
          <w:rFonts w:hint="eastAsia" w:ascii="仿宋" w:hAnsi="仿宋" w:eastAsia="仿宋" w:cs="仿宋"/>
          <w:color w:val="auto"/>
          <w:sz w:val="24"/>
          <w:highlight w:val="none"/>
          <w:lang w:eastAsia="zh-CN"/>
        </w:rPr>
        <w:t>（若有）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r>
        <w:rPr>
          <w:rFonts w:hint="eastAsia" w:ascii="仿宋" w:hAnsi="仿宋" w:eastAsia="仿宋" w:cs="仿宋"/>
          <w:color w:val="auto"/>
          <w:sz w:val="24"/>
          <w:highlight w:val="none"/>
          <w:lang w:eastAsia="zh-CN"/>
        </w:rPr>
        <w:t>（若有）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bookmarkStart w:id="574" w:name="_GoBack"/>
      <w:bookmarkEnd w:id="574"/>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7" w:firstLineChars="199"/>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19"/>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color w:val="auto"/>
          <w:sz w:val="32"/>
          <w:highlight w:val="none"/>
        </w:rPr>
      </w:pPr>
    </w:p>
    <w:p>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w:t>
      </w:r>
      <w:r>
        <w:rPr>
          <w:rFonts w:hint="eastAsia" w:ascii="仿宋" w:hAnsi="仿宋" w:eastAsia="仿宋" w:cs="仿宋"/>
          <w:color w:val="auto"/>
          <w:kern w:val="0"/>
          <w:szCs w:val="24"/>
          <w:highlight w:val="none"/>
          <w:lang w:eastAsia="zh-CN"/>
        </w:rPr>
        <w:t>重大税收违法失信主体</w:t>
      </w:r>
      <w:r>
        <w:rPr>
          <w:rFonts w:hint="eastAsia" w:ascii="仿宋" w:hAnsi="仿宋" w:eastAsia="仿宋" w:cs="仿宋"/>
          <w:color w:val="auto"/>
          <w:kern w:val="0"/>
          <w:szCs w:val="24"/>
          <w:highlight w:val="none"/>
        </w:rPr>
        <w:t>、政府采购严重违法失信行为记录名单的投标人将被拒绝参与政府采购活动。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w:t>
      </w:r>
      <w:r>
        <w:rPr>
          <w:rFonts w:hint="eastAsia" w:ascii="仿宋" w:hAnsi="仿宋" w:eastAsia="仿宋" w:cs="仿宋"/>
          <w:color w:val="auto"/>
          <w:sz w:val="24"/>
          <w:highlight w:val="none"/>
          <w:lang w:eastAsia="zh-CN"/>
        </w:rPr>
        <w:t>排出</w:t>
      </w:r>
      <w:r>
        <w:rPr>
          <w:rFonts w:hint="eastAsia" w:ascii="仿宋" w:hAnsi="仿宋" w:eastAsia="仿宋" w:cs="仿宋"/>
          <w:color w:val="auto"/>
          <w:sz w:val="24"/>
          <w:highlight w:val="none"/>
        </w:rPr>
        <w:t>得分高低推荐中标单位。</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1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kern w:val="2"/>
          <w:sz w:val="24"/>
          <w:szCs w:val="24"/>
          <w:highlight w:val="none"/>
          <w:lang w:val="en-US" w:eastAsia="zh-CN" w:bidi="ar-SA"/>
        </w:rPr>
        <w:t>本项目由采购人事先授权评标委员会确定预中标人。</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1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1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1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pStyle w:val="6"/>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2570" w:firstLineChars="800"/>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19"/>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8"/>
      <w:bookmarkEnd w:id="16"/>
      <w:bookmarkStart w:id="17" w:name="_Hlt74730295"/>
      <w:bookmarkEnd w:id="17"/>
      <w:bookmarkStart w:id="18" w:name="_Hlt75236290"/>
      <w:bookmarkEnd w:id="18"/>
      <w:bookmarkStart w:id="19" w:name="_Hlt68057669"/>
      <w:bookmarkEnd w:id="19"/>
      <w:bookmarkStart w:id="20" w:name="_Hlt74714665"/>
      <w:bookmarkEnd w:id="20"/>
      <w:bookmarkStart w:id="21" w:name="_Hlt68073093"/>
      <w:bookmarkEnd w:id="21"/>
      <w:bookmarkStart w:id="22" w:name="_Hlt74707468"/>
      <w:bookmarkEnd w:id="22"/>
      <w:bookmarkStart w:id="23" w:name="_Hlt75236101"/>
      <w:bookmarkEnd w:id="23"/>
      <w:bookmarkStart w:id="24" w:name="_Hlt68403820"/>
      <w:bookmarkEnd w:id="24"/>
      <w:bookmarkStart w:id="25" w:name="_Hlt68072990"/>
      <w:bookmarkEnd w:id="25"/>
      <w:bookmarkStart w:id="26" w:name="_Hlt74729768"/>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numPr>
          <w:ilvl w:val="0"/>
          <w:numId w:val="0"/>
        </w:numPr>
        <w:spacing w:line="360" w:lineRule="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一、采购预算</w:t>
      </w:r>
    </w:p>
    <w:tbl>
      <w:tblPr>
        <w:tblStyle w:val="6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205"/>
        <w:gridCol w:w="855"/>
        <w:gridCol w:w="870"/>
        <w:gridCol w:w="166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0"/>
            <w:vAlign w:val="center"/>
          </w:tcPr>
          <w:p>
            <w:pPr>
              <w:widowControl/>
              <w:tabs>
                <w:tab w:val="left" w:pos="360"/>
              </w:tabs>
              <w:jc w:val="center"/>
              <w:rPr>
                <w:rFonts w:hint="eastAsia" w:ascii="仿宋" w:hAnsi="仿宋" w:eastAsia="仿宋" w:cs="仿宋"/>
                <w:b/>
                <w:bCs/>
                <w:color w:val="auto"/>
                <w:sz w:val="24"/>
                <w:szCs w:val="15"/>
                <w:highlight w:val="none"/>
              </w:rPr>
            </w:pPr>
            <w:bookmarkStart w:id="28" w:name="_Toc41884706"/>
            <w:bookmarkStart w:id="29" w:name="_Toc98035089"/>
            <w:bookmarkStart w:id="30" w:name="_Toc42394517"/>
            <w:bookmarkStart w:id="31" w:name="_Toc101771372"/>
            <w:bookmarkStart w:id="32" w:name="_Toc50276204"/>
            <w:bookmarkStart w:id="33" w:name="_Toc41723936"/>
            <w:bookmarkStart w:id="34" w:name="_Toc46308687"/>
            <w:bookmarkStart w:id="35" w:name="_Toc50276165"/>
            <w:bookmarkStart w:id="36" w:name="_Toc42313172"/>
            <w:bookmarkStart w:id="37" w:name="_Toc98579011"/>
            <w:bookmarkStart w:id="38" w:name="_Toc46308531"/>
            <w:bookmarkStart w:id="39" w:name="_Toc101775125"/>
            <w:bookmarkStart w:id="40" w:name="_Toc134956139"/>
            <w:bookmarkStart w:id="41" w:name="_Toc42394673"/>
            <w:bookmarkStart w:id="42" w:name="_Toc98580293"/>
            <w:bookmarkStart w:id="43" w:name="_Toc98579610"/>
            <w:bookmarkStart w:id="44" w:name="_Toc98579069"/>
            <w:bookmarkStart w:id="45" w:name="_Toc101951263"/>
            <w:bookmarkStart w:id="46" w:name="_Toc101843125"/>
            <w:r>
              <w:rPr>
                <w:rFonts w:hint="eastAsia" w:ascii="仿宋" w:hAnsi="仿宋" w:eastAsia="仿宋" w:cs="仿宋"/>
                <w:b/>
                <w:bCs/>
                <w:color w:val="auto"/>
                <w:sz w:val="24"/>
                <w:szCs w:val="15"/>
                <w:highlight w:val="none"/>
              </w:rPr>
              <w:t>项目名称</w:t>
            </w:r>
          </w:p>
        </w:tc>
        <w:tc>
          <w:tcPr>
            <w:tcW w:w="2205" w:type="dxa"/>
            <w:noWrap w:val="0"/>
            <w:vAlign w:val="center"/>
          </w:tcPr>
          <w:p>
            <w:pPr>
              <w:widowControl/>
              <w:tabs>
                <w:tab w:val="left" w:pos="360"/>
              </w:tabs>
              <w:jc w:val="center"/>
              <w:rPr>
                <w:rFonts w:hint="eastAsia" w:ascii="仿宋" w:hAnsi="仿宋" w:eastAsia="仿宋" w:cs="仿宋"/>
                <w:b/>
                <w:bCs/>
                <w:color w:val="auto"/>
                <w:sz w:val="24"/>
                <w:szCs w:val="15"/>
                <w:highlight w:val="none"/>
              </w:rPr>
            </w:pPr>
            <w:r>
              <w:rPr>
                <w:rFonts w:hint="eastAsia" w:ascii="仿宋" w:hAnsi="仿宋" w:eastAsia="仿宋" w:cs="仿宋"/>
                <w:b/>
                <w:bCs/>
                <w:color w:val="auto"/>
                <w:sz w:val="24"/>
                <w:szCs w:val="15"/>
                <w:highlight w:val="none"/>
              </w:rPr>
              <w:t>主要服务技术要求</w:t>
            </w:r>
          </w:p>
        </w:tc>
        <w:tc>
          <w:tcPr>
            <w:tcW w:w="855" w:type="dxa"/>
            <w:noWrap w:val="0"/>
            <w:vAlign w:val="center"/>
          </w:tcPr>
          <w:p>
            <w:pPr>
              <w:widowControl/>
              <w:tabs>
                <w:tab w:val="left" w:pos="360"/>
              </w:tabs>
              <w:jc w:val="center"/>
              <w:rPr>
                <w:rFonts w:hint="eastAsia" w:ascii="仿宋" w:hAnsi="仿宋" w:eastAsia="仿宋" w:cs="仿宋"/>
                <w:b/>
                <w:bCs/>
                <w:color w:val="auto"/>
                <w:sz w:val="24"/>
                <w:szCs w:val="15"/>
                <w:highlight w:val="none"/>
              </w:rPr>
            </w:pPr>
            <w:r>
              <w:rPr>
                <w:rFonts w:hint="eastAsia" w:ascii="仿宋" w:hAnsi="仿宋" w:eastAsia="仿宋" w:cs="仿宋"/>
                <w:b/>
                <w:bCs/>
                <w:color w:val="auto"/>
                <w:sz w:val="24"/>
                <w:szCs w:val="15"/>
                <w:highlight w:val="none"/>
              </w:rPr>
              <w:t>单位</w:t>
            </w:r>
          </w:p>
        </w:tc>
        <w:tc>
          <w:tcPr>
            <w:tcW w:w="870" w:type="dxa"/>
            <w:noWrap w:val="0"/>
            <w:vAlign w:val="center"/>
          </w:tcPr>
          <w:p>
            <w:pPr>
              <w:widowControl/>
              <w:tabs>
                <w:tab w:val="left" w:pos="360"/>
              </w:tabs>
              <w:jc w:val="center"/>
              <w:rPr>
                <w:rFonts w:hint="eastAsia" w:ascii="仿宋" w:hAnsi="仿宋" w:eastAsia="仿宋" w:cs="仿宋"/>
                <w:b/>
                <w:bCs/>
                <w:color w:val="auto"/>
                <w:sz w:val="24"/>
                <w:szCs w:val="15"/>
                <w:highlight w:val="none"/>
                <w:lang w:eastAsia="zh-CN"/>
              </w:rPr>
            </w:pPr>
            <w:r>
              <w:rPr>
                <w:rFonts w:hint="eastAsia" w:ascii="仿宋" w:hAnsi="仿宋" w:eastAsia="仿宋" w:cs="仿宋"/>
                <w:b/>
                <w:bCs/>
                <w:color w:val="auto"/>
                <w:sz w:val="24"/>
                <w:szCs w:val="15"/>
                <w:highlight w:val="none"/>
              </w:rPr>
              <w:t>数量</w:t>
            </w:r>
          </w:p>
        </w:tc>
        <w:tc>
          <w:tcPr>
            <w:tcW w:w="1665" w:type="dxa"/>
            <w:noWrap w:val="0"/>
            <w:vAlign w:val="center"/>
          </w:tcPr>
          <w:p>
            <w:pPr>
              <w:spacing w:line="280" w:lineRule="exact"/>
              <w:jc w:val="center"/>
              <w:rPr>
                <w:rFonts w:hint="eastAsia" w:ascii="仿宋" w:hAnsi="仿宋" w:eastAsia="仿宋" w:cs="仿宋"/>
                <w:b/>
                <w:bCs/>
                <w:color w:val="auto"/>
                <w:sz w:val="24"/>
                <w:szCs w:val="15"/>
                <w:highlight w:val="none"/>
                <w:lang w:val="en-US" w:eastAsia="zh-CN"/>
              </w:rPr>
            </w:pPr>
            <w:r>
              <w:rPr>
                <w:rFonts w:hint="eastAsia" w:ascii="仿宋" w:hAnsi="仿宋" w:eastAsia="仿宋" w:cs="仿宋"/>
                <w:b/>
                <w:bCs/>
                <w:color w:val="auto"/>
                <w:sz w:val="24"/>
                <w:szCs w:val="15"/>
                <w:highlight w:val="none"/>
                <w:lang w:val="en-US" w:eastAsia="zh-CN"/>
              </w:rPr>
              <w:t>预算价（元）</w:t>
            </w:r>
          </w:p>
        </w:tc>
        <w:tc>
          <w:tcPr>
            <w:tcW w:w="781" w:type="dxa"/>
            <w:noWrap w:val="0"/>
            <w:vAlign w:val="center"/>
          </w:tcPr>
          <w:p>
            <w:pPr>
              <w:spacing w:line="280" w:lineRule="exact"/>
              <w:jc w:val="center"/>
              <w:rPr>
                <w:rFonts w:hint="eastAsia" w:ascii="仿宋" w:hAnsi="仿宋" w:eastAsia="仿宋" w:cs="仿宋"/>
                <w:b/>
                <w:bCs/>
                <w:color w:val="auto"/>
                <w:sz w:val="24"/>
                <w:szCs w:val="15"/>
                <w:highlight w:val="none"/>
                <w:lang w:val="en-US" w:eastAsia="zh-CN"/>
              </w:rPr>
            </w:pPr>
            <w:r>
              <w:rPr>
                <w:rFonts w:hint="eastAsia" w:ascii="仿宋" w:hAnsi="仿宋" w:eastAsia="仿宋" w:cs="仿宋"/>
                <w:b/>
                <w:bCs/>
                <w:color w:val="auto"/>
                <w:sz w:val="24"/>
                <w:szCs w:val="15"/>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0"/>
            <w:vAlign w:val="center"/>
          </w:tcPr>
          <w:p>
            <w:pPr>
              <w:widowControl/>
              <w:tabs>
                <w:tab w:val="left" w:pos="360"/>
              </w:tabs>
              <w:jc w:val="center"/>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2023年度建德市山塘建设管理第三方技术支撑服务采购项目</w:t>
            </w:r>
          </w:p>
        </w:tc>
        <w:tc>
          <w:tcPr>
            <w:tcW w:w="2205" w:type="dxa"/>
            <w:noWrap w:val="0"/>
            <w:vAlign w:val="center"/>
          </w:tcPr>
          <w:p>
            <w:pPr>
              <w:widowControl/>
              <w:tabs>
                <w:tab w:val="left" w:pos="360"/>
              </w:tabs>
              <w:jc w:val="center"/>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详见“二、采购需求”</w:t>
            </w:r>
          </w:p>
        </w:tc>
        <w:tc>
          <w:tcPr>
            <w:tcW w:w="855" w:type="dxa"/>
            <w:noWrap w:val="0"/>
            <w:vAlign w:val="center"/>
          </w:tcPr>
          <w:p>
            <w:pPr>
              <w:widowControl/>
              <w:tabs>
                <w:tab w:val="left" w:pos="360"/>
              </w:tabs>
              <w:jc w:val="center"/>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项</w:t>
            </w:r>
          </w:p>
        </w:tc>
        <w:tc>
          <w:tcPr>
            <w:tcW w:w="870" w:type="dxa"/>
            <w:noWrap w:val="0"/>
            <w:vAlign w:val="center"/>
          </w:tcPr>
          <w:p>
            <w:pPr>
              <w:widowControl/>
              <w:tabs>
                <w:tab w:val="left" w:pos="360"/>
              </w:tabs>
              <w:jc w:val="center"/>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1</w:t>
            </w:r>
          </w:p>
        </w:tc>
        <w:tc>
          <w:tcPr>
            <w:tcW w:w="1665" w:type="dxa"/>
            <w:noWrap w:val="0"/>
            <w:vAlign w:val="center"/>
          </w:tcPr>
          <w:p>
            <w:pPr>
              <w:widowControl/>
              <w:tabs>
                <w:tab w:val="left" w:pos="360"/>
              </w:tabs>
              <w:jc w:val="center"/>
              <w:rPr>
                <w:rFonts w:hint="default"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400000.00</w:t>
            </w:r>
          </w:p>
        </w:tc>
        <w:tc>
          <w:tcPr>
            <w:tcW w:w="781" w:type="dxa"/>
            <w:noWrap w:val="0"/>
            <w:vAlign w:val="center"/>
          </w:tcPr>
          <w:p>
            <w:pPr>
              <w:spacing w:line="320" w:lineRule="exact"/>
              <w:jc w:val="center"/>
              <w:rPr>
                <w:rFonts w:hint="eastAsia" w:ascii="仿宋" w:hAnsi="仿宋" w:eastAsia="仿宋" w:cs="仿宋"/>
                <w:color w:val="auto"/>
                <w:sz w:val="24"/>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28" w:type="dxa"/>
            <w:gridSpan w:val="4"/>
            <w:noWrap w:val="0"/>
            <w:vAlign w:val="center"/>
          </w:tcPr>
          <w:p>
            <w:pPr>
              <w:widowControl/>
              <w:tabs>
                <w:tab w:val="left" w:pos="360"/>
              </w:tabs>
              <w:jc w:val="center"/>
              <w:rPr>
                <w:rFonts w:hint="eastAsia" w:ascii="仿宋" w:hAnsi="仿宋" w:eastAsia="仿宋" w:cs="仿宋"/>
                <w:color w:val="auto"/>
                <w:sz w:val="24"/>
                <w:szCs w:val="15"/>
                <w:highlight w:val="yellow"/>
                <w:lang w:val="en-US" w:eastAsia="zh-CN"/>
              </w:rPr>
            </w:pPr>
            <w:r>
              <w:rPr>
                <w:rFonts w:hint="eastAsia" w:ascii="仿宋" w:hAnsi="仿宋" w:eastAsia="仿宋" w:cs="仿宋"/>
                <w:color w:val="auto"/>
                <w:sz w:val="24"/>
                <w:szCs w:val="15"/>
                <w:highlight w:val="none"/>
                <w:lang w:val="en-US" w:eastAsia="zh-CN"/>
              </w:rPr>
              <w:t>合  计：</w:t>
            </w:r>
            <w:r>
              <w:rPr>
                <w:rFonts w:hint="eastAsia" w:ascii="仿宋" w:hAnsi="仿宋" w:eastAsia="仿宋" w:cs="仿宋"/>
                <w:color w:val="auto"/>
                <w:sz w:val="24"/>
                <w:szCs w:val="15"/>
                <w:highlight w:val="none"/>
                <w:u w:val="single"/>
                <w:lang w:val="en-US" w:eastAsia="zh-CN"/>
              </w:rPr>
              <w:t>人民币肆拾万元整</w:t>
            </w:r>
          </w:p>
        </w:tc>
        <w:tc>
          <w:tcPr>
            <w:tcW w:w="2446" w:type="dxa"/>
            <w:gridSpan w:val="2"/>
            <w:noWrap w:val="0"/>
            <w:vAlign w:val="center"/>
          </w:tcPr>
          <w:p>
            <w:pPr>
              <w:spacing w:line="320" w:lineRule="exact"/>
              <w:jc w:val="center"/>
              <w:rPr>
                <w:rFonts w:hint="eastAsia" w:ascii="仿宋" w:hAnsi="仿宋" w:eastAsia="仿宋" w:cs="仿宋"/>
                <w:color w:val="auto"/>
                <w:sz w:val="24"/>
                <w:szCs w:val="15"/>
                <w:highlight w:val="yellow"/>
                <w:lang w:val="en-US" w:eastAsia="zh-CN"/>
              </w:rPr>
            </w:pPr>
            <w:r>
              <w:rPr>
                <w:rFonts w:hint="eastAsia" w:ascii="仿宋" w:hAnsi="仿宋" w:eastAsia="仿宋" w:cs="仿宋"/>
                <w:color w:val="auto"/>
                <w:sz w:val="24"/>
                <w:szCs w:val="15"/>
                <w:highlight w:val="none"/>
                <w:u w:val="single"/>
                <w:lang w:val="en-US" w:eastAsia="zh-CN"/>
              </w:rPr>
              <w:t>￥400000.00元</w:t>
            </w:r>
          </w:p>
        </w:tc>
      </w:tr>
    </w:tbl>
    <w:p>
      <w:pPr>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注：</w:t>
      </w:r>
      <w:r>
        <w:rPr>
          <w:rFonts w:hint="eastAsia" w:ascii="仿宋" w:hAnsi="仿宋" w:eastAsia="仿宋" w:cs="仿宋"/>
          <w:b w:val="0"/>
          <w:bCs w:val="0"/>
          <w:color w:val="auto"/>
          <w:sz w:val="24"/>
          <w:highlight w:val="none"/>
        </w:rPr>
        <w:t>以上金额包括整个服务期内所需的一切人工费、办公场地费用、管理费、工具、设备、保险、交通、利润、验收、税收（包含须由供应商承担的各项税费）、其他辅助工作等完成本项目的所有费用等</w:t>
      </w:r>
      <w:r>
        <w:rPr>
          <w:rFonts w:hint="eastAsia" w:ascii="仿宋" w:hAnsi="仿宋" w:eastAsia="仿宋" w:cs="仿宋"/>
          <w:b w:val="0"/>
          <w:bCs w:val="0"/>
          <w:color w:val="auto"/>
          <w:sz w:val="24"/>
          <w:highlight w:val="none"/>
          <w:lang w:eastAsia="zh-CN"/>
        </w:rPr>
        <w:t>。</w:t>
      </w:r>
    </w:p>
    <w:p>
      <w:pPr>
        <w:numPr>
          <w:ilvl w:val="0"/>
          <w:numId w:val="0"/>
        </w:numPr>
        <w:spacing w:line="360" w:lineRule="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二、 采购需求</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（一）项目背景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部《贯彻落实＜国务院办公厅关于切实加强水库除险加固和运行管护工作的通知＞工作方案》（水运管〔2021〕121号）、浙江省水利厅关于印发《加快推进病险水库山塘加固和海塘安澜千亿工程实施方案》的通知（浙水计〔2021〕21号）、杭州市林业水利局印发《关于进一步加快推进2021年度山塘重点工作的通知》（杭林水〔2021〕105号）、浙江省农水中心印发《关于进一步做好山塘安全管理工作的通知》（浙农水函〔2022〕3号）等文件要求，对2021年8月底前评定的病险高坝屋顶山塘，2023年底前完成综合整治或降等报废；对2022年5月底前评定的病险普通山塘，2025年底前完成综合整治或降等报废；重要山塘开展视频监控、水位自动监测、水雨情感知等设施建设。经2021年重要山塘（高坝屋顶饮用水）安全评定和2022年普通山塘安全评定，共67座山塘为病险山塘，其中病险重要山塘33座，病险普通山塘34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确保全市水利局管辖范围内所有山塘、池塘建设质量，强化建德市山塘、池塘工程管理力量，需聘请实力强、经验丰富的第三方单位协助开展项目管理工作。通过第三方单位为全市水利局管辖范围内所有山塘、池塘建设过程的质量、安全、进度管理工作提供技术支撑服务，加强在建水利工程进行全过程跟踪管理，推进水利工程质量更进一步提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（二）第三方技术支撑服务依据（包括但不限于以下内容）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《建设工程质量管理条例》（国务院令第279号）；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《建设工程安全生产管理条例》（国务院令第393号）；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《水利工程质量管理规定》（水利部令第7号）；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《水利工程建设安全生产管理规定》（水利部令第26号）；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《水利工程质量监督管理规定》（水利部水建﹝1997﹞339号）；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《水利水电建设工程验收规程》（SL223-2008）；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《水利水电工程施工质量检验与评定规程》(SL176-2007)；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《水利水电工程施工安全管理导则》(SL721-2015)；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《水利工程建设标准强制性条文（2020年版）》；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《水利工程运行管理</w:t>
      </w:r>
      <w:r>
        <w:rPr>
          <w:rFonts w:hint="default" w:ascii="仿宋" w:hAnsi="仿宋" w:eastAsia="仿宋" w:cs="仿宋"/>
          <w:color w:val="auto"/>
          <w:sz w:val="24"/>
          <w:highlight w:val="none"/>
          <w:lang w:val="en-US" w:eastAsia="zh-CN"/>
        </w:rPr>
        <w:t>监督检查办法（试行）等</w:t>
      </w: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个监督检查办法问题清单（</w:t>
      </w:r>
      <w:r>
        <w:rPr>
          <w:rFonts w:hint="eastAsia" w:ascii="仿宋" w:hAnsi="仿宋" w:eastAsia="仿宋" w:cs="仿宋"/>
          <w:color w:val="auto"/>
          <w:sz w:val="24"/>
          <w:highlight w:val="none"/>
          <w:lang w:val="en-US" w:eastAsia="zh-CN"/>
        </w:rPr>
        <w:t>2020</w:t>
      </w:r>
      <w:r>
        <w:rPr>
          <w:rFonts w:hint="default" w:ascii="仿宋" w:hAnsi="仿宋" w:eastAsia="仿宋" w:cs="仿宋"/>
          <w:color w:val="auto"/>
          <w:sz w:val="24"/>
          <w:highlight w:val="none"/>
          <w:lang w:val="en-US" w:eastAsia="zh-CN"/>
        </w:rPr>
        <w:t>年版）的通知</w:t>
      </w:r>
      <w:r>
        <w:rPr>
          <w:rFonts w:hint="eastAsia" w:ascii="仿宋" w:hAnsi="仿宋" w:eastAsia="仿宋" w:cs="仿宋"/>
          <w:color w:val="auto"/>
          <w:sz w:val="24"/>
          <w:highlight w:val="none"/>
          <w:lang w:val="en-US" w:eastAsia="zh-CN"/>
        </w:rPr>
        <w:t>》办监督[2020]124号；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经批准的设计文件；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建德市有关水利工程质量安全监督的有关规定和其他有关质量与安全的法律法规、技术规程、规范、质量标准。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（三）第三方技术支撑服务的流程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①承担山塘等水利工程建设方案和施工图纸审查；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②每月检查在建项目不少于1次，协助甲方做好施工质量、进度和安全等工作；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③每月初向甲方提交上月检查及整改情况的报告，服务期满后提交年度技术服务报告，纸质版和电子版各一份；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④做好在建项目的施工资料收集、整理、审查、归档等工作；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⑤原则上要求驻点办公每周不少于3天；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⑥协助做好交办的其他工作。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（四）第三方技术支撑服务的对象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以甲方指定水利工程为准，主要涉及山塘、池塘等100处水利工程。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（五）第三方技术支撑服务的内容</w:t>
      </w: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（1）对监理、设计、施工和有关产品制作等单位的资质进行复核。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（2）检查施工单位是否按图施工。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（3）检查施工单位施工内容是否符合相关施工规范。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（4）抽查施工资料完整及规范性。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（5）抽查原材料及中间产品的质量检验、试验与控制情况；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（6）抽查竣工资料收集、汇总、整理、审查情况。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（7）抽查监理、设计、施工单位执行安全生产法律法规、强制性条文、操作规程情况。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（8）抽查施工现场作业安全及安全防护情况。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（9）抽查监理、设计、施工安全生产检查与整改闭环情况。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（10）协助建德市水利局管辖范围内的山塘、池塘等水利工程验收工作。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（11）按业主要求完成相关技术服务工作。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 监督工作要求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1、纪律要求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（1）严禁工作时间内或可能影响工作的时间内饮酒；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（2）严禁以权谋私，收受被监督对象钱物；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（3）严禁监督巡查工作中以权谋私，吃拿卡要，损坏质监形象；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（4）严禁利用职权借故刁难，拖延或设置障碍；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（5）严禁向被监督对象推销产品或建立经济关系；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（6）严禁擅自行使处罚权；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（7）严禁知法犯法、违规、违章、违反程序办事；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（8）严禁监督缺位、越位、错位，或工作推诿扯皮、弄虚作假；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（9）严禁骄奢贪逸、工作态度冷硬，刁难、报复管理相对人。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（1）拟派项目负责人须具有水利相关专业的高级工程师职称；具有注册在投标人单位的水利部（或中国水利工程协会）颁发的水利工程建设监理工程师资格证书；住房和城乡建设部注册监理工程师证书；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（2）具备水利相关专业职称，能够按照甲方的要求积极主动、认真负责等开展相关工作；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（3）与本项目相关的人员、车辆、设备等安全由实施单位负责。</w:t>
      </w:r>
    </w:p>
    <w:p>
      <w:pPr>
        <w:numPr>
          <w:ilvl w:val="0"/>
          <w:numId w:val="0"/>
        </w:numPr>
        <w:spacing w:line="360" w:lineRule="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三、商务条款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必须符合招标文件(包括补充更正，如有)的服务要求，符合国家相关服务标准和招标文件规定标准。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按财务结算要求，通过银行划帐方式结算。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（三）服务期限</w:t>
      </w:r>
    </w:p>
    <w:p>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1、服务期限：</w:t>
      </w:r>
      <w:r>
        <w:rPr>
          <w:rFonts w:hint="eastAsia" w:ascii="仿宋" w:hAnsi="仿宋" w:eastAsia="仿宋" w:cs="仿宋"/>
          <w:bCs/>
          <w:color w:val="auto"/>
          <w:sz w:val="24"/>
          <w:szCs w:val="24"/>
          <w:highlight w:val="none"/>
          <w:lang w:val="en-US" w:eastAsia="zh-CN"/>
        </w:rPr>
        <w:t>合同签订后一年。</w:t>
      </w:r>
    </w:p>
    <w:p>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2、标准：符合我国国家有关技术规范要求和技术标准。</w:t>
      </w:r>
    </w:p>
    <w:p>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3、投标供应商免费提供涉及本项目工作的相关服务。</w:t>
      </w:r>
    </w:p>
    <w:p>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4、投标供应商应在投标文件中应提供实施计划。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（四）服务要求</w:t>
      </w:r>
    </w:p>
    <w:p>
      <w:pPr>
        <w:widowControl/>
        <w:autoSpaceDE w:val="0"/>
        <w:autoSpaceDN w:val="0"/>
        <w:spacing w:line="500" w:lineRule="exact"/>
        <w:ind w:left="-181" w:leftChars="-86" w:right="-178" w:rightChars="-85" w:firstLine="600" w:firstLineChars="2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1、供应商在履行合同义务期间，应遵守国家有关法律、法规、维护采购单位的合法权益。</w:t>
      </w:r>
    </w:p>
    <w:p>
      <w:pPr>
        <w:widowControl/>
        <w:autoSpaceDE w:val="0"/>
        <w:autoSpaceDN w:val="0"/>
        <w:spacing w:line="500" w:lineRule="exact"/>
        <w:ind w:right="-178" w:rightChars="-85" w:firstLine="120" w:firstLineChars="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2、供应商应组建能够满足本项目服务需要的项目组，按照工作范围和内容完成技术服务工作，并按约定向采购单位汇报工作进展。</w:t>
      </w:r>
    </w:p>
    <w:p>
      <w:pPr>
        <w:widowControl/>
        <w:autoSpaceDE w:val="0"/>
        <w:autoSpaceDN w:val="0"/>
        <w:spacing w:line="500" w:lineRule="exact"/>
        <w:ind w:right="-178"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3、供应商应自行承担项目实施过程中的安全责任，采购单位在任何情况下不承担任何责任。</w:t>
      </w:r>
    </w:p>
    <w:p>
      <w:pPr>
        <w:spacing w:line="420" w:lineRule="exact"/>
        <w:ind w:firstLine="412"/>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0"/>
          <w:sz w:val="24"/>
          <w:highlight w:val="none"/>
        </w:rPr>
        <w:t>在项目实施期内，中标</w:t>
      </w:r>
      <w:r>
        <w:rPr>
          <w:rFonts w:hint="eastAsia" w:ascii="仿宋" w:hAnsi="仿宋" w:eastAsia="仿宋" w:cs="仿宋"/>
          <w:color w:val="auto"/>
          <w:kern w:val="0"/>
          <w:sz w:val="24"/>
          <w:highlight w:val="none"/>
          <w:lang w:val="en-US" w:eastAsia="zh-CN"/>
        </w:rPr>
        <w:t>单位</w:t>
      </w:r>
      <w:r>
        <w:rPr>
          <w:rFonts w:hint="eastAsia" w:ascii="仿宋" w:hAnsi="仿宋" w:eastAsia="仿宋" w:cs="仿宋"/>
          <w:color w:val="auto"/>
          <w:kern w:val="0"/>
          <w:sz w:val="24"/>
          <w:highlight w:val="none"/>
        </w:rPr>
        <w:t>在接到采购方要求后应立即作出响应，投标人应承诺在1小时内响应并提出解决方案，3小时之内到现场进行处理，为此，投标人应提供相应承诺书。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1、采购单位根据招标文件、合同、投标文件等资料进行验收，符合国家相关法律法规要求，通过采购单位组织的评审通过为准。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2、验收费用由成交供应商承担。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（六）项目款的结算</w:t>
      </w:r>
    </w:p>
    <w:p>
      <w:pPr>
        <w:pStyle w:val="80"/>
        <w:keepNext w:val="0"/>
        <w:keepLines w:val="0"/>
        <w:pageBreakBefore w:val="0"/>
        <w:widowControl w:val="0"/>
        <w:kinsoku/>
        <w:wordWrap/>
        <w:overflowPunct/>
        <w:topLinePunct w:val="0"/>
        <w:autoSpaceDE/>
        <w:autoSpaceDN/>
        <w:bidi w:val="0"/>
        <w:snapToGrid/>
        <w:spacing w:before="120"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采购单位根据合同、磋商响应文件等资料进行验收。</w:t>
      </w:r>
    </w:p>
    <w:p>
      <w:pPr>
        <w:pStyle w:val="80"/>
        <w:keepNext w:val="0"/>
        <w:keepLines w:val="0"/>
        <w:pageBreakBefore w:val="0"/>
        <w:widowControl w:val="0"/>
        <w:numPr>
          <w:ilvl w:val="0"/>
          <w:numId w:val="0"/>
        </w:numPr>
        <w:kinsoku/>
        <w:wordWrap/>
        <w:overflowPunct/>
        <w:topLinePunct w:val="0"/>
        <w:autoSpaceDE/>
        <w:autoSpaceDN/>
        <w:bidi w:val="0"/>
        <w:snapToGrid/>
        <w:spacing w:before="120" w:line="420" w:lineRule="exact"/>
        <w:ind w:left="42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（1）签订合同生效及具备实施条件后7个工作日内，支付项目合同价的70%预付款;</w:t>
      </w:r>
    </w:p>
    <w:p>
      <w:pPr>
        <w:pStyle w:val="80"/>
        <w:keepNext w:val="0"/>
        <w:keepLines w:val="0"/>
        <w:pageBreakBefore w:val="0"/>
        <w:widowControl w:val="0"/>
        <w:kinsoku/>
        <w:wordWrap/>
        <w:overflowPunct/>
        <w:topLinePunct w:val="0"/>
        <w:autoSpaceDE/>
        <w:autoSpaceDN/>
        <w:bidi w:val="0"/>
        <w:snapToGrid/>
        <w:spacing w:before="120" w:line="42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2）当服务期届满并通过验收后采购人支付成交供应商剩余的30%项目款。结算时供应商将结款申请1份、发票原件及复印件1份、合同复印件1份和经采购人验收确认的《建德市政府采购验收反馈表》提交采购人，采购人应自收到发票后5个工作日内支付相应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（七）履约保证金</w:t>
      </w:r>
    </w:p>
    <w:p>
      <w:pPr>
        <w:pStyle w:val="80"/>
        <w:keepNext w:val="0"/>
        <w:keepLines w:val="0"/>
        <w:pageBreakBefore w:val="0"/>
        <w:widowControl w:val="0"/>
        <w:numPr>
          <w:ilvl w:val="0"/>
          <w:numId w:val="0"/>
        </w:numPr>
        <w:kinsoku/>
        <w:wordWrap/>
        <w:overflowPunct/>
        <w:topLinePunct w:val="0"/>
        <w:autoSpaceDE/>
        <w:autoSpaceDN/>
        <w:bidi w:val="0"/>
        <w:snapToGrid/>
        <w:spacing w:before="120" w:line="420" w:lineRule="exact"/>
        <w:ind w:left="420" w:lef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收取履约保证金为合同金额1%。需要收取保证金的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3"/>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7" w:name="_Toc184308062"/>
      <w:bookmarkEnd w:id="47"/>
      <w:bookmarkStart w:id="48" w:name="_Toc184312123"/>
      <w:bookmarkEnd w:id="48"/>
      <w:bookmarkStart w:id="49" w:name="_Toc184313300"/>
      <w:bookmarkEnd w:id="49"/>
      <w:bookmarkStart w:id="50" w:name="_Toc184314431"/>
      <w:bookmarkEnd w:id="50"/>
      <w:bookmarkStart w:id="51" w:name="_Toc184312139"/>
      <w:bookmarkEnd w:id="51"/>
      <w:bookmarkStart w:id="52" w:name="_Toc184310285"/>
      <w:bookmarkEnd w:id="52"/>
      <w:bookmarkStart w:id="53" w:name="_Toc184308047"/>
      <w:bookmarkEnd w:id="53"/>
      <w:bookmarkStart w:id="54" w:name="_Toc184312138"/>
      <w:bookmarkEnd w:id="54"/>
      <w:bookmarkStart w:id="55" w:name="_Toc184314421"/>
      <w:bookmarkEnd w:id="55"/>
      <w:bookmarkStart w:id="56" w:name="_Toc184312120"/>
      <w:bookmarkEnd w:id="56"/>
      <w:bookmarkStart w:id="57" w:name="_Toc184312103"/>
      <w:bookmarkEnd w:id="57"/>
      <w:bookmarkStart w:id="58" w:name="_Toc184312130"/>
      <w:bookmarkEnd w:id="58"/>
      <w:bookmarkStart w:id="59" w:name="_Toc184308095"/>
      <w:bookmarkEnd w:id="59"/>
      <w:bookmarkStart w:id="60" w:name="_Toc184314419"/>
      <w:bookmarkEnd w:id="60"/>
      <w:bookmarkStart w:id="61" w:name="_Toc184313253"/>
      <w:bookmarkEnd w:id="61"/>
      <w:bookmarkStart w:id="62" w:name="_Toc184310299"/>
      <w:bookmarkEnd w:id="62"/>
      <w:bookmarkStart w:id="63" w:name="_Toc184312084"/>
      <w:bookmarkEnd w:id="63"/>
      <w:bookmarkStart w:id="64" w:name="_Toc184313288"/>
      <w:bookmarkEnd w:id="64"/>
      <w:bookmarkStart w:id="65" w:name="_Toc184308091"/>
      <w:bookmarkEnd w:id="65"/>
      <w:bookmarkStart w:id="66" w:name="_Toc184308051"/>
      <w:bookmarkEnd w:id="66"/>
      <w:bookmarkStart w:id="67" w:name="_Toc184313302"/>
      <w:bookmarkEnd w:id="67"/>
      <w:bookmarkStart w:id="68" w:name="_Toc184312129"/>
      <w:bookmarkEnd w:id="68"/>
      <w:bookmarkStart w:id="69" w:name="_Toc184312116"/>
      <w:bookmarkEnd w:id="69"/>
      <w:bookmarkStart w:id="70" w:name="_Toc184314444"/>
      <w:bookmarkEnd w:id="70"/>
      <w:bookmarkStart w:id="71" w:name="_Toc184313264"/>
      <w:bookmarkEnd w:id="71"/>
      <w:bookmarkStart w:id="72" w:name="_Toc184308096"/>
      <w:bookmarkEnd w:id="72"/>
      <w:bookmarkStart w:id="73" w:name="_Toc184308065"/>
      <w:bookmarkEnd w:id="73"/>
      <w:bookmarkStart w:id="74" w:name="_Toc184312085"/>
      <w:bookmarkEnd w:id="74"/>
      <w:bookmarkStart w:id="75" w:name="_Toc184310340"/>
      <w:bookmarkEnd w:id="75"/>
      <w:bookmarkStart w:id="76" w:name="_Toc184313258"/>
      <w:bookmarkEnd w:id="76"/>
      <w:bookmarkStart w:id="77" w:name="_Toc184312109"/>
      <w:bookmarkEnd w:id="77"/>
      <w:bookmarkStart w:id="78" w:name="_Toc184310328"/>
      <w:bookmarkEnd w:id="78"/>
      <w:bookmarkStart w:id="79" w:name="_Toc184314414"/>
      <w:bookmarkEnd w:id="79"/>
      <w:bookmarkStart w:id="80" w:name="_Toc184314450"/>
      <w:bookmarkEnd w:id="80"/>
      <w:bookmarkStart w:id="81" w:name="_Toc184314462"/>
      <w:bookmarkEnd w:id="81"/>
      <w:bookmarkStart w:id="82" w:name="_Toc184314466"/>
      <w:bookmarkEnd w:id="82"/>
      <w:bookmarkStart w:id="83" w:name="_Toc184313241"/>
      <w:bookmarkEnd w:id="83"/>
      <w:bookmarkStart w:id="84" w:name="_Toc184314452"/>
      <w:bookmarkEnd w:id="84"/>
      <w:bookmarkStart w:id="85" w:name="_Toc184308046"/>
      <w:bookmarkEnd w:id="85"/>
      <w:bookmarkStart w:id="86" w:name="_Toc184312088"/>
      <w:bookmarkEnd w:id="86"/>
      <w:bookmarkStart w:id="87" w:name="_Toc184313281"/>
      <w:bookmarkEnd w:id="87"/>
      <w:bookmarkStart w:id="88" w:name="_Toc184310301"/>
      <w:bookmarkEnd w:id="88"/>
      <w:bookmarkStart w:id="89" w:name="_Toc184308092"/>
      <w:bookmarkEnd w:id="89"/>
      <w:bookmarkStart w:id="90" w:name="_Toc184310318"/>
      <w:bookmarkEnd w:id="90"/>
      <w:bookmarkStart w:id="91" w:name="_Toc184314442"/>
      <w:bookmarkEnd w:id="91"/>
      <w:bookmarkStart w:id="92" w:name="_Toc184313272"/>
      <w:bookmarkEnd w:id="92"/>
      <w:bookmarkStart w:id="93" w:name="_Toc184314482"/>
      <w:bookmarkEnd w:id="93"/>
      <w:bookmarkStart w:id="94" w:name="_Toc184314474"/>
      <w:bookmarkEnd w:id="94"/>
      <w:bookmarkStart w:id="95" w:name="_Toc184314445"/>
      <w:bookmarkEnd w:id="95"/>
      <w:bookmarkStart w:id="96" w:name="_Toc184314447"/>
      <w:bookmarkEnd w:id="96"/>
      <w:bookmarkStart w:id="97" w:name="_Toc184310274"/>
      <w:bookmarkEnd w:id="97"/>
      <w:bookmarkStart w:id="98" w:name="_Toc184308049"/>
      <w:bookmarkEnd w:id="98"/>
      <w:bookmarkStart w:id="99" w:name="_Toc184308040"/>
      <w:bookmarkEnd w:id="99"/>
      <w:bookmarkStart w:id="100" w:name="_Toc184308039"/>
      <w:bookmarkEnd w:id="100"/>
      <w:bookmarkStart w:id="101" w:name="_Toc184312070"/>
      <w:bookmarkEnd w:id="101"/>
      <w:bookmarkStart w:id="102" w:name="_Toc184312078"/>
      <w:bookmarkEnd w:id="102"/>
      <w:bookmarkStart w:id="103" w:name="_Toc184308036"/>
      <w:bookmarkEnd w:id="103"/>
      <w:bookmarkStart w:id="104" w:name="_Toc184308076"/>
      <w:bookmarkEnd w:id="104"/>
      <w:bookmarkStart w:id="105" w:name="_Toc184313242"/>
      <w:bookmarkEnd w:id="105"/>
      <w:bookmarkStart w:id="106" w:name="_Toc184312083"/>
      <w:bookmarkEnd w:id="106"/>
      <w:bookmarkStart w:id="107" w:name="_Toc184308075"/>
      <w:bookmarkEnd w:id="107"/>
      <w:bookmarkStart w:id="108" w:name="_Toc184314476"/>
      <w:bookmarkEnd w:id="108"/>
      <w:bookmarkStart w:id="109" w:name="_Toc184310280"/>
      <w:bookmarkEnd w:id="109"/>
      <w:bookmarkStart w:id="110" w:name="_Toc184314429"/>
      <w:bookmarkEnd w:id="110"/>
      <w:bookmarkStart w:id="111" w:name="_Toc184308069"/>
      <w:bookmarkEnd w:id="111"/>
      <w:bookmarkStart w:id="112" w:name="_Toc184314411"/>
      <w:bookmarkEnd w:id="112"/>
      <w:bookmarkStart w:id="113" w:name="_Toc184308077"/>
      <w:bookmarkEnd w:id="113"/>
      <w:bookmarkStart w:id="114" w:name="_Toc184312082"/>
      <w:bookmarkEnd w:id="114"/>
      <w:bookmarkStart w:id="115" w:name="_Toc184314480"/>
      <w:bookmarkEnd w:id="115"/>
      <w:bookmarkStart w:id="116" w:name="_Toc184310305"/>
      <w:bookmarkEnd w:id="116"/>
      <w:bookmarkStart w:id="117" w:name="_Toc184313286"/>
      <w:bookmarkEnd w:id="117"/>
      <w:bookmarkStart w:id="118" w:name="_Toc184314475"/>
      <w:bookmarkEnd w:id="118"/>
      <w:bookmarkStart w:id="119" w:name="_Toc184313259"/>
      <w:bookmarkEnd w:id="119"/>
      <w:bookmarkStart w:id="120" w:name="_Toc184314467"/>
      <w:bookmarkEnd w:id="120"/>
      <w:bookmarkStart w:id="121" w:name="_Toc184310286"/>
      <w:bookmarkEnd w:id="121"/>
      <w:bookmarkStart w:id="122" w:name="_Toc184312081"/>
      <w:bookmarkEnd w:id="122"/>
      <w:bookmarkStart w:id="123" w:name="_Toc184313244"/>
      <w:bookmarkEnd w:id="123"/>
      <w:bookmarkStart w:id="124" w:name="_Toc184312108"/>
      <w:bookmarkEnd w:id="124"/>
      <w:bookmarkStart w:id="125" w:name="_Toc184312126"/>
      <w:bookmarkEnd w:id="125"/>
      <w:bookmarkStart w:id="126" w:name="_Toc184312077"/>
      <w:bookmarkEnd w:id="126"/>
      <w:bookmarkStart w:id="127" w:name="_Toc184310316"/>
      <w:bookmarkEnd w:id="127"/>
      <w:bookmarkStart w:id="128" w:name="_Toc184314435"/>
      <w:bookmarkEnd w:id="128"/>
      <w:bookmarkStart w:id="129" w:name="_Toc184308086"/>
      <w:bookmarkEnd w:id="129"/>
      <w:bookmarkStart w:id="130" w:name="_Toc184313283"/>
      <w:bookmarkEnd w:id="130"/>
      <w:bookmarkStart w:id="131" w:name="_Toc184313255"/>
      <w:bookmarkEnd w:id="131"/>
      <w:bookmarkStart w:id="132" w:name="_Toc184313280"/>
      <w:bookmarkEnd w:id="132"/>
      <w:bookmarkStart w:id="133" w:name="_Toc184308037"/>
      <w:bookmarkEnd w:id="133"/>
      <w:bookmarkStart w:id="134" w:name="_Toc184314437"/>
      <w:bookmarkEnd w:id="134"/>
      <w:bookmarkStart w:id="135" w:name="_Toc184313251"/>
      <w:bookmarkEnd w:id="135"/>
      <w:bookmarkStart w:id="136" w:name="_Toc184314436"/>
      <w:bookmarkEnd w:id="136"/>
      <w:bookmarkStart w:id="137" w:name="_Toc184312093"/>
      <w:bookmarkEnd w:id="137"/>
      <w:bookmarkStart w:id="138" w:name="_Toc184314438"/>
      <w:bookmarkEnd w:id="138"/>
      <w:bookmarkStart w:id="139" w:name="_Toc184314440"/>
      <w:bookmarkEnd w:id="139"/>
      <w:bookmarkStart w:id="140" w:name="_Toc184310334"/>
      <w:bookmarkEnd w:id="140"/>
      <w:bookmarkStart w:id="141" w:name="_Toc184314427"/>
      <w:bookmarkEnd w:id="141"/>
      <w:bookmarkStart w:id="142" w:name="_Toc184312099"/>
      <w:bookmarkEnd w:id="142"/>
      <w:bookmarkStart w:id="143" w:name="_Toc184308108"/>
      <w:bookmarkEnd w:id="143"/>
      <w:bookmarkStart w:id="144" w:name="_Toc184312137"/>
      <w:bookmarkEnd w:id="144"/>
      <w:bookmarkStart w:id="145" w:name="_Toc184312122"/>
      <w:bookmarkEnd w:id="145"/>
      <w:bookmarkStart w:id="146" w:name="_Toc184310338"/>
      <w:bookmarkEnd w:id="146"/>
      <w:bookmarkStart w:id="147" w:name="_Toc184312118"/>
      <w:bookmarkEnd w:id="147"/>
      <w:bookmarkStart w:id="148" w:name="_Toc184310278"/>
      <w:bookmarkEnd w:id="148"/>
      <w:bookmarkStart w:id="149" w:name="_Toc184313305"/>
      <w:bookmarkEnd w:id="149"/>
      <w:bookmarkStart w:id="150" w:name="_Toc184308045"/>
      <w:bookmarkEnd w:id="150"/>
      <w:bookmarkStart w:id="151" w:name="_Toc184308094"/>
      <w:bookmarkEnd w:id="151"/>
      <w:bookmarkStart w:id="152" w:name="_Toc184310341"/>
      <w:bookmarkEnd w:id="152"/>
      <w:bookmarkStart w:id="153" w:name="_Toc184308063"/>
      <w:bookmarkEnd w:id="153"/>
      <w:bookmarkStart w:id="154" w:name="_Toc184314459"/>
      <w:bookmarkEnd w:id="154"/>
      <w:bookmarkStart w:id="155" w:name="_Toc184310295"/>
      <w:bookmarkEnd w:id="155"/>
      <w:bookmarkStart w:id="156" w:name="_Toc184310320"/>
      <w:bookmarkEnd w:id="156"/>
      <w:bookmarkStart w:id="157" w:name="_Toc184310327"/>
      <w:bookmarkEnd w:id="157"/>
      <w:bookmarkStart w:id="158" w:name="_Toc184310275"/>
      <w:bookmarkEnd w:id="158"/>
      <w:bookmarkStart w:id="159" w:name="_Toc184312095"/>
      <w:bookmarkEnd w:id="159"/>
      <w:bookmarkStart w:id="160" w:name="_Toc184314465"/>
      <w:bookmarkEnd w:id="160"/>
      <w:bookmarkStart w:id="161" w:name="_Toc184314464"/>
      <w:bookmarkEnd w:id="161"/>
      <w:bookmarkStart w:id="162" w:name="_Toc184313297"/>
      <w:bookmarkEnd w:id="162"/>
      <w:bookmarkStart w:id="163" w:name="_Toc184310339"/>
      <w:bookmarkEnd w:id="163"/>
      <w:bookmarkStart w:id="164" w:name="_Toc184308041"/>
      <w:bookmarkEnd w:id="164"/>
      <w:bookmarkStart w:id="165" w:name="_Toc184308104"/>
      <w:bookmarkEnd w:id="165"/>
      <w:bookmarkStart w:id="166" w:name="_Toc184313252"/>
      <w:bookmarkEnd w:id="166"/>
      <w:bookmarkStart w:id="167" w:name="_Toc184314454"/>
      <w:bookmarkEnd w:id="167"/>
      <w:bookmarkStart w:id="168" w:name="_Toc184313290"/>
      <w:bookmarkEnd w:id="168"/>
      <w:bookmarkStart w:id="169" w:name="_Toc184312132"/>
      <w:bookmarkEnd w:id="169"/>
      <w:bookmarkStart w:id="170" w:name="_Toc184313257"/>
      <w:bookmarkEnd w:id="170"/>
      <w:bookmarkStart w:id="171" w:name="_Toc184314453"/>
      <w:bookmarkEnd w:id="171"/>
      <w:bookmarkStart w:id="172" w:name="_Toc184310324"/>
      <w:bookmarkEnd w:id="172"/>
      <w:bookmarkStart w:id="173" w:name="_Toc184312097"/>
      <w:bookmarkEnd w:id="173"/>
      <w:bookmarkStart w:id="174" w:name="_Toc184314479"/>
      <w:bookmarkEnd w:id="174"/>
      <w:bookmarkStart w:id="175" w:name="_Toc184310342"/>
      <w:bookmarkEnd w:id="175"/>
      <w:bookmarkStart w:id="176" w:name="_Toc184312101"/>
      <w:bookmarkEnd w:id="176"/>
      <w:bookmarkStart w:id="177" w:name="_Toc184308054"/>
      <w:bookmarkEnd w:id="177"/>
      <w:bookmarkStart w:id="178" w:name="_Toc184312114"/>
      <w:bookmarkEnd w:id="178"/>
      <w:bookmarkStart w:id="179" w:name="_Toc184310335"/>
      <w:bookmarkEnd w:id="179"/>
      <w:bookmarkStart w:id="180" w:name="_Toc184308060"/>
      <w:bookmarkEnd w:id="180"/>
      <w:bookmarkStart w:id="181" w:name="_Toc184308107"/>
      <w:bookmarkEnd w:id="181"/>
      <w:bookmarkStart w:id="182" w:name="_Toc184312098"/>
      <w:bookmarkEnd w:id="182"/>
      <w:bookmarkStart w:id="183" w:name="_Toc184310337"/>
      <w:bookmarkEnd w:id="183"/>
      <w:bookmarkStart w:id="184" w:name="_Toc184310288"/>
      <w:bookmarkEnd w:id="184"/>
      <w:bookmarkStart w:id="185" w:name="_Toc184310326"/>
      <w:bookmarkEnd w:id="185"/>
      <w:bookmarkStart w:id="186" w:name="_Toc184313278"/>
      <w:bookmarkEnd w:id="186"/>
      <w:bookmarkStart w:id="187" w:name="_Toc184314449"/>
      <w:bookmarkEnd w:id="187"/>
      <w:bookmarkStart w:id="188" w:name="_Toc184312069"/>
      <w:bookmarkEnd w:id="188"/>
      <w:bookmarkStart w:id="189" w:name="_Toc184313267"/>
      <w:bookmarkEnd w:id="189"/>
      <w:bookmarkStart w:id="190" w:name="_Toc184313240"/>
      <w:bookmarkEnd w:id="190"/>
      <w:bookmarkStart w:id="191" w:name="_Toc184310300"/>
      <w:bookmarkEnd w:id="191"/>
      <w:bookmarkStart w:id="192" w:name="_Toc184314433"/>
      <w:bookmarkEnd w:id="192"/>
      <w:bookmarkStart w:id="193" w:name="_Toc184314417"/>
      <w:bookmarkEnd w:id="193"/>
      <w:bookmarkStart w:id="194" w:name="_Toc184308064"/>
      <w:bookmarkEnd w:id="194"/>
      <w:bookmarkStart w:id="195" w:name="_Toc184308056"/>
      <w:bookmarkEnd w:id="195"/>
      <w:bookmarkStart w:id="196" w:name="_Toc184310277"/>
      <w:bookmarkEnd w:id="196"/>
      <w:bookmarkStart w:id="197" w:name="_Toc184310276"/>
      <w:bookmarkEnd w:id="197"/>
      <w:bookmarkStart w:id="198" w:name="_Toc184308072"/>
      <w:bookmarkEnd w:id="198"/>
      <w:bookmarkStart w:id="199" w:name="_Toc184308078"/>
      <w:bookmarkEnd w:id="199"/>
      <w:bookmarkStart w:id="200" w:name="_Toc184310302"/>
      <w:bookmarkEnd w:id="200"/>
      <w:bookmarkStart w:id="201" w:name="_Toc184312100"/>
      <w:bookmarkEnd w:id="201"/>
      <w:bookmarkStart w:id="202" w:name="_Toc184308102"/>
      <w:bookmarkEnd w:id="202"/>
      <w:bookmarkStart w:id="203" w:name="_Toc184310282"/>
      <w:bookmarkEnd w:id="203"/>
      <w:bookmarkStart w:id="204" w:name="_Toc184310287"/>
      <w:bookmarkEnd w:id="204"/>
      <w:bookmarkStart w:id="205" w:name="_Toc184313263"/>
      <w:bookmarkEnd w:id="205"/>
      <w:bookmarkStart w:id="206" w:name="_Toc184314426"/>
      <w:bookmarkEnd w:id="206"/>
      <w:bookmarkStart w:id="207" w:name="_Toc184312134"/>
      <w:bookmarkEnd w:id="207"/>
      <w:bookmarkStart w:id="208" w:name="_Toc184313275"/>
      <w:bookmarkEnd w:id="208"/>
      <w:bookmarkStart w:id="209" w:name="_Toc184313285"/>
      <w:bookmarkEnd w:id="209"/>
      <w:bookmarkStart w:id="210" w:name="_Toc184312135"/>
      <w:bookmarkEnd w:id="210"/>
      <w:bookmarkStart w:id="211" w:name="_Toc184313307"/>
      <w:bookmarkEnd w:id="211"/>
      <w:bookmarkStart w:id="212" w:name="_Toc184314463"/>
      <w:bookmarkEnd w:id="212"/>
      <w:bookmarkStart w:id="213" w:name="_Toc184312127"/>
      <w:bookmarkEnd w:id="213"/>
      <w:bookmarkStart w:id="214" w:name="_Toc184310319"/>
      <w:bookmarkEnd w:id="214"/>
      <w:bookmarkStart w:id="215" w:name="_Toc184312131"/>
      <w:bookmarkEnd w:id="215"/>
      <w:bookmarkStart w:id="216" w:name="_Toc184314413"/>
      <w:bookmarkEnd w:id="216"/>
      <w:bookmarkStart w:id="217" w:name="_Toc184308052"/>
      <w:bookmarkEnd w:id="217"/>
      <w:bookmarkStart w:id="218" w:name="_Toc184308057"/>
      <w:bookmarkEnd w:id="218"/>
      <w:bookmarkStart w:id="219" w:name="_Toc184313262"/>
      <w:bookmarkEnd w:id="219"/>
      <w:bookmarkStart w:id="220" w:name="_Toc184314448"/>
      <w:bookmarkEnd w:id="220"/>
      <w:bookmarkStart w:id="221" w:name="_Toc184310344"/>
      <w:bookmarkEnd w:id="221"/>
      <w:bookmarkStart w:id="222" w:name="_Toc184308048"/>
      <w:bookmarkEnd w:id="222"/>
      <w:bookmarkStart w:id="223" w:name="_Toc184314410"/>
      <w:bookmarkEnd w:id="223"/>
      <w:bookmarkStart w:id="224" w:name="_Toc184310309"/>
      <w:bookmarkEnd w:id="224"/>
      <w:bookmarkStart w:id="225" w:name="_Toc184310343"/>
      <w:bookmarkEnd w:id="225"/>
      <w:bookmarkStart w:id="226" w:name="_Toc184314460"/>
      <w:bookmarkEnd w:id="226"/>
      <w:bookmarkStart w:id="227" w:name="_Toc184312067"/>
      <w:bookmarkEnd w:id="227"/>
      <w:bookmarkStart w:id="228" w:name="_Toc184314461"/>
      <w:bookmarkEnd w:id="228"/>
      <w:bookmarkStart w:id="229" w:name="_Toc184313287"/>
      <w:bookmarkEnd w:id="229"/>
      <w:bookmarkStart w:id="230" w:name="_Toc184310303"/>
      <w:bookmarkEnd w:id="230"/>
      <w:bookmarkStart w:id="231" w:name="_Toc184313291"/>
      <w:bookmarkEnd w:id="231"/>
      <w:bookmarkStart w:id="232" w:name="_Toc184310333"/>
      <w:bookmarkEnd w:id="232"/>
      <w:bookmarkStart w:id="233" w:name="_Toc184313268"/>
      <w:bookmarkEnd w:id="233"/>
      <w:bookmarkStart w:id="234" w:name="_Toc184308073"/>
      <w:bookmarkEnd w:id="234"/>
      <w:bookmarkStart w:id="235" w:name="_Toc184308105"/>
      <w:bookmarkEnd w:id="235"/>
      <w:bookmarkStart w:id="236" w:name="_Toc184312105"/>
      <w:bookmarkEnd w:id="236"/>
      <w:bookmarkStart w:id="237" w:name="_Toc184312121"/>
      <w:bookmarkEnd w:id="237"/>
      <w:bookmarkStart w:id="238" w:name="_Toc184308050"/>
      <w:bookmarkEnd w:id="238"/>
      <w:bookmarkStart w:id="239" w:name="_Toc184310307"/>
      <w:bookmarkEnd w:id="239"/>
      <w:bookmarkStart w:id="240" w:name="_Toc184313265"/>
      <w:bookmarkEnd w:id="240"/>
      <w:bookmarkStart w:id="241" w:name="_Toc184310289"/>
      <w:bookmarkEnd w:id="241"/>
      <w:bookmarkStart w:id="242" w:name="_Toc184313310"/>
      <w:bookmarkEnd w:id="242"/>
      <w:bookmarkStart w:id="243" w:name="_Toc184308043"/>
      <w:bookmarkEnd w:id="243"/>
      <w:bookmarkStart w:id="244" w:name="_Toc184310304"/>
      <w:bookmarkEnd w:id="244"/>
      <w:bookmarkStart w:id="245" w:name="_Toc184310315"/>
      <w:bookmarkEnd w:id="245"/>
      <w:bookmarkStart w:id="246" w:name="_Toc184308101"/>
      <w:bookmarkEnd w:id="246"/>
      <w:bookmarkStart w:id="247" w:name="_Toc184314443"/>
      <w:bookmarkEnd w:id="247"/>
      <w:bookmarkStart w:id="248" w:name="_Toc184313304"/>
      <w:bookmarkEnd w:id="248"/>
      <w:bookmarkStart w:id="249" w:name="_Toc184308083"/>
      <w:bookmarkEnd w:id="249"/>
      <w:bookmarkStart w:id="250" w:name="_Toc184314468"/>
      <w:bookmarkEnd w:id="250"/>
      <w:bookmarkStart w:id="251" w:name="_Toc184314481"/>
      <w:bookmarkEnd w:id="251"/>
      <w:bookmarkStart w:id="252" w:name="_Toc184310336"/>
      <w:bookmarkEnd w:id="252"/>
      <w:bookmarkStart w:id="253" w:name="_Toc184310273"/>
      <w:bookmarkEnd w:id="253"/>
      <w:bookmarkStart w:id="254" w:name="_Toc184313306"/>
      <w:bookmarkEnd w:id="254"/>
      <w:bookmarkStart w:id="255" w:name="_Toc184308059"/>
      <w:bookmarkEnd w:id="255"/>
      <w:bookmarkStart w:id="256" w:name="_Toc184313276"/>
      <w:bookmarkEnd w:id="256"/>
      <w:bookmarkStart w:id="257" w:name="_Toc184308055"/>
      <w:bookmarkEnd w:id="257"/>
      <w:bookmarkStart w:id="258" w:name="_Toc184313249"/>
      <w:bookmarkEnd w:id="258"/>
      <w:bookmarkStart w:id="259" w:name="_Toc184308090"/>
      <w:bookmarkEnd w:id="259"/>
      <w:bookmarkStart w:id="260" w:name="_Toc184312107"/>
      <w:bookmarkEnd w:id="260"/>
      <w:bookmarkStart w:id="261" w:name="_Toc184313239"/>
      <w:bookmarkEnd w:id="261"/>
      <w:bookmarkStart w:id="262" w:name="_Toc184312117"/>
      <w:bookmarkEnd w:id="262"/>
      <w:bookmarkStart w:id="263" w:name="_Toc184308038"/>
      <w:bookmarkEnd w:id="263"/>
      <w:bookmarkStart w:id="264" w:name="_Toc184314432"/>
      <w:bookmarkEnd w:id="264"/>
      <w:bookmarkStart w:id="265" w:name="_Toc184310281"/>
      <w:bookmarkEnd w:id="265"/>
      <w:bookmarkStart w:id="266" w:name="_Toc184314412"/>
      <w:bookmarkEnd w:id="266"/>
      <w:bookmarkStart w:id="267" w:name="_Toc184310323"/>
      <w:bookmarkEnd w:id="267"/>
      <w:bookmarkStart w:id="268" w:name="_Toc184308079"/>
      <w:bookmarkEnd w:id="268"/>
      <w:bookmarkStart w:id="269" w:name="_Toc184312104"/>
      <w:bookmarkEnd w:id="269"/>
      <w:bookmarkStart w:id="270" w:name="_Toc184310330"/>
      <w:bookmarkEnd w:id="270"/>
      <w:bookmarkStart w:id="271" w:name="_Toc184310310"/>
      <w:bookmarkEnd w:id="271"/>
      <w:bookmarkStart w:id="272" w:name="_Toc184313284"/>
      <w:bookmarkEnd w:id="272"/>
      <w:bookmarkStart w:id="273" w:name="_Toc184310272"/>
      <w:bookmarkEnd w:id="273"/>
      <w:bookmarkStart w:id="274" w:name="_Toc184310325"/>
      <w:bookmarkEnd w:id="274"/>
      <w:bookmarkStart w:id="275" w:name="_Toc184308066"/>
      <w:bookmarkEnd w:id="275"/>
      <w:bookmarkStart w:id="276" w:name="_Toc184313277"/>
      <w:bookmarkEnd w:id="276"/>
      <w:bookmarkStart w:id="277" w:name="_Toc184308044"/>
      <w:bookmarkEnd w:id="277"/>
      <w:bookmarkStart w:id="278" w:name="_Toc184312106"/>
      <w:bookmarkEnd w:id="278"/>
      <w:bookmarkStart w:id="279" w:name="_Toc184312092"/>
      <w:bookmarkEnd w:id="279"/>
      <w:bookmarkStart w:id="280" w:name="_Toc184314469"/>
      <w:bookmarkEnd w:id="280"/>
      <w:bookmarkStart w:id="281" w:name="_Toc184308071"/>
      <w:bookmarkEnd w:id="281"/>
      <w:bookmarkStart w:id="282" w:name="_Toc184312091"/>
      <w:bookmarkEnd w:id="282"/>
      <w:bookmarkStart w:id="283" w:name="_Toc184310332"/>
      <w:bookmarkEnd w:id="283"/>
      <w:bookmarkStart w:id="284" w:name="_Toc184314456"/>
      <w:bookmarkEnd w:id="284"/>
      <w:bookmarkStart w:id="285" w:name="_Toc184308042"/>
      <w:bookmarkEnd w:id="285"/>
      <w:bookmarkStart w:id="286" w:name="_Toc184312086"/>
      <w:bookmarkEnd w:id="286"/>
      <w:bookmarkStart w:id="287" w:name="_Toc184308068"/>
      <w:bookmarkEnd w:id="287"/>
      <w:bookmarkStart w:id="288" w:name="_Toc184312136"/>
      <w:bookmarkEnd w:id="288"/>
      <w:bookmarkStart w:id="289" w:name="_Toc184314418"/>
      <w:bookmarkEnd w:id="289"/>
      <w:bookmarkStart w:id="290" w:name="_Toc184308097"/>
      <w:bookmarkEnd w:id="290"/>
      <w:bookmarkStart w:id="291" w:name="_Toc184313260"/>
      <w:bookmarkEnd w:id="291"/>
      <w:bookmarkStart w:id="292" w:name="_Toc184313243"/>
      <w:bookmarkEnd w:id="292"/>
      <w:bookmarkStart w:id="293" w:name="_Toc184314430"/>
      <w:bookmarkEnd w:id="293"/>
      <w:bookmarkStart w:id="294" w:name="_Toc184310313"/>
      <w:bookmarkEnd w:id="294"/>
      <w:bookmarkStart w:id="295" w:name="_Toc184314470"/>
      <w:bookmarkEnd w:id="295"/>
      <w:bookmarkStart w:id="296" w:name="_Toc184312113"/>
      <w:bookmarkEnd w:id="296"/>
      <w:bookmarkStart w:id="297" w:name="_Toc184308100"/>
      <w:bookmarkEnd w:id="297"/>
      <w:bookmarkStart w:id="298" w:name="_Toc184308053"/>
      <w:bookmarkEnd w:id="298"/>
      <w:bookmarkStart w:id="299" w:name="_Toc184312102"/>
      <w:bookmarkEnd w:id="299"/>
      <w:bookmarkStart w:id="300" w:name="_Toc184313294"/>
      <w:bookmarkEnd w:id="300"/>
      <w:bookmarkStart w:id="301" w:name="_Toc184313295"/>
      <w:bookmarkEnd w:id="301"/>
      <w:bookmarkStart w:id="302" w:name="_Toc184312074"/>
      <w:bookmarkEnd w:id="302"/>
      <w:bookmarkStart w:id="303" w:name="_Toc184310329"/>
      <w:bookmarkEnd w:id="303"/>
      <w:bookmarkStart w:id="304" w:name="_Toc184308084"/>
      <w:bookmarkEnd w:id="304"/>
      <w:bookmarkStart w:id="305" w:name="_Toc184310296"/>
      <w:bookmarkEnd w:id="305"/>
      <w:bookmarkStart w:id="306" w:name="_Toc184312087"/>
      <w:bookmarkEnd w:id="306"/>
      <w:bookmarkStart w:id="307" w:name="_Toc184314415"/>
      <w:bookmarkEnd w:id="307"/>
      <w:bookmarkStart w:id="308" w:name="_Toc184313293"/>
      <w:bookmarkEnd w:id="308"/>
      <w:bookmarkStart w:id="309" w:name="_Toc184308099"/>
      <w:bookmarkEnd w:id="309"/>
      <w:bookmarkStart w:id="310" w:name="_Toc184312073"/>
      <w:bookmarkEnd w:id="310"/>
      <w:bookmarkStart w:id="311" w:name="_Toc184312075"/>
      <w:bookmarkEnd w:id="311"/>
      <w:bookmarkStart w:id="312" w:name="_Toc184314446"/>
      <w:bookmarkEnd w:id="312"/>
      <w:bookmarkStart w:id="313" w:name="_Toc184310291"/>
      <w:bookmarkEnd w:id="313"/>
      <w:bookmarkStart w:id="314" w:name="_Toc184314423"/>
      <w:bookmarkEnd w:id="314"/>
      <w:bookmarkStart w:id="315" w:name="_Toc184314422"/>
      <w:bookmarkEnd w:id="315"/>
      <w:bookmarkStart w:id="316" w:name="_Toc184308061"/>
      <w:bookmarkEnd w:id="316"/>
      <w:bookmarkStart w:id="317" w:name="_Toc184312089"/>
      <w:bookmarkEnd w:id="317"/>
      <w:bookmarkStart w:id="318" w:name="_Toc184314428"/>
      <w:bookmarkEnd w:id="318"/>
      <w:bookmarkStart w:id="319" w:name="_Toc184312133"/>
      <w:bookmarkEnd w:id="319"/>
      <w:bookmarkStart w:id="320" w:name="_Toc184314416"/>
      <w:bookmarkEnd w:id="320"/>
      <w:bookmarkStart w:id="321" w:name="_Toc184312080"/>
      <w:bookmarkEnd w:id="321"/>
      <w:bookmarkStart w:id="322" w:name="_Toc184314441"/>
      <w:bookmarkEnd w:id="322"/>
      <w:bookmarkStart w:id="323" w:name="_Toc184308058"/>
      <w:bookmarkEnd w:id="323"/>
      <w:bookmarkStart w:id="324" w:name="_Toc184313246"/>
      <w:bookmarkEnd w:id="324"/>
      <w:bookmarkStart w:id="325" w:name="_Toc184313248"/>
      <w:bookmarkEnd w:id="325"/>
      <w:bookmarkStart w:id="326" w:name="_Toc184310312"/>
      <w:bookmarkEnd w:id="326"/>
      <w:bookmarkStart w:id="327" w:name="_Toc184310322"/>
      <w:bookmarkEnd w:id="327"/>
      <w:bookmarkStart w:id="328" w:name="_Toc184310331"/>
      <w:bookmarkEnd w:id="328"/>
      <w:bookmarkStart w:id="329" w:name="_Toc184313309"/>
      <w:bookmarkEnd w:id="329"/>
      <w:bookmarkStart w:id="330" w:name="_Toc184313269"/>
      <w:bookmarkEnd w:id="330"/>
      <w:bookmarkStart w:id="331" w:name="_Toc184312090"/>
      <w:bookmarkEnd w:id="331"/>
      <w:bookmarkStart w:id="332" w:name="_Toc184314434"/>
      <w:bookmarkEnd w:id="332"/>
      <w:bookmarkStart w:id="333" w:name="_Toc184314472"/>
      <w:bookmarkEnd w:id="333"/>
      <w:bookmarkStart w:id="334" w:name="_Toc184308080"/>
      <w:bookmarkEnd w:id="334"/>
      <w:bookmarkStart w:id="335" w:name="_Toc184308081"/>
      <w:bookmarkEnd w:id="335"/>
      <w:bookmarkStart w:id="336" w:name="_Toc184313301"/>
      <w:bookmarkEnd w:id="336"/>
      <w:bookmarkStart w:id="337" w:name="_Toc184310293"/>
      <w:bookmarkEnd w:id="337"/>
      <w:bookmarkStart w:id="338" w:name="_Toc184313308"/>
      <w:bookmarkEnd w:id="338"/>
      <w:bookmarkStart w:id="339" w:name="_Toc184312128"/>
      <w:bookmarkEnd w:id="339"/>
      <w:bookmarkStart w:id="340" w:name="_Toc184312125"/>
      <w:bookmarkEnd w:id="340"/>
      <w:bookmarkStart w:id="341" w:name="_Toc184313292"/>
      <w:bookmarkEnd w:id="341"/>
      <w:bookmarkStart w:id="342" w:name="_Toc184310279"/>
      <w:bookmarkEnd w:id="342"/>
      <w:bookmarkStart w:id="343" w:name="_Toc184313238"/>
      <w:bookmarkEnd w:id="343"/>
      <w:bookmarkStart w:id="344" w:name="_Toc184313289"/>
      <w:bookmarkEnd w:id="344"/>
      <w:bookmarkStart w:id="345" w:name="_Toc184312072"/>
      <w:bookmarkEnd w:id="345"/>
      <w:bookmarkStart w:id="346" w:name="_Toc184310284"/>
      <w:bookmarkEnd w:id="346"/>
      <w:bookmarkStart w:id="347" w:name="_Toc184308074"/>
      <w:bookmarkEnd w:id="347"/>
      <w:bookmarkStart w:id="348" w:name="_Toc184313274"/>
      <w:bookmarkEnd w:id="348"/>
      <w:bookmarkStart w:id="349" w:name="_Toc184314457"/>
      <w:bookmarkEnd w:id="349"/>
      <w:bookmarkStart w:id="350" w:name="_Toc184312094"/>
      <w:bookmarkEnd w:id="350"/>
      <w:bookmarkStart w:id="351" w:name="_Toc184310298"/>
      <w:bookmarkEnd w:id="351"/>
      <w:bookmarkStart w:id="352" w:name="_Toc184310308"/>
      <w:bookmarkEnd w:id="352"/>
      <w:bookmarkStart w:id="353" w:name="_Toc184314424"/>
      <w:bookmarkEnd w:id="353"/>
      <w:bookmarkStart w:id="354" w:name="_Toc184313254"/>
      <w:bookmarkEnd w:id="354"/>
      <w:bookmarkStart w:id="355" w:name="_Toc184310311"/>
      <w:bookmarkEnd w:id="355"/>
      <w:bookmarkStart w:id="356" w:name="_Toc184310290"/>
      <w:bookmarkEnd w:id="356"/>
      <w:bookmarkStart w:id="357" w:name="_Toc184310283"/>
      <w:bookmarkEnd w:id="357"/>
      <w:bookmarkStart w:id="358" w:name="_Toc184313273"/>
      <w:bookmarkEnd w:id="358"/>
      <w:bookmarkStart w:id="359" w:name="_Toc184313271"/>
      <w:bookmarkEnd w:id="359"/>
      <w:bookmarkStart w:id="360" w:name="_Toc184314451"/>
      <w:bookmarkEnd w:id="360"/>
      <w:bookmarkStart w:id="361" w:name="_Toc184313279"/>
      <w:bookmarkEnd w:id="361"/>
      <w:bookmarkStart w:id="362" w:name="_Toc184308082"/>
      <w:bookmarkEnd w:id="362"/>
      <w:bookmarkStart w:id="363" w:name="_Toc184313298"/>
      <w:bookmarkEnd w:id="363"/>
      <w:bookmarkStart w:id="364" w:name="_Toc184313256"/>
      <w:bookmarkEnd w:id="364"/>
      <w:bookmarkStart w:id="365" w:name="_Toc184314420"/>
      <w:bookmarkEnd w:id="365"/>
      <w:bookmarkStart w:id="366" w:name="_Toc184313245"/>
      <w:bookmarkEnd w:id="366"/>
      <w:bookmarkStart w:id="367" w:name="_Toc184312110"/>
      <w:bookmarkEnd w:id="367"/>
      <w:bookmarkStart w:id="368" w:name="_Toc184308070"/>
      <w:bookmarkEnd w:id="368"/>
      <w:bookmarkStart w:id="369" w:name="_Toc184313261"/>
      <w:bookmarkEnd w:id="369"/>
      <w:bookmarkStart w:id="370" w:name="_Toc184313250"/>
      <w:bookmarkEnd w:id="370"/>
      <w:bookmarkStart w:id="371" w:name="_Toc184314478"/>
      <w:bookmarkEnd w:id="371"/>
      <w:bookmarkStart w:id="372" w:name="_Toc184312071"/>
      <w:bookmarkEnd w:id="372"/>
      <w:bookmarkStart w:id="373" w:name="_Toc184313282"/>
      <w:bookmarkEnd w:id="373"/>
      <w:bookmarkStart w:id="374" w:name="_Toc184312068"/>
      <w:bookmarkEnd w:id="374"/>
      <w:bookmarkStart w:id="375" w:name="_Toc184310314"/>
      <w:bookmarkEnd w:id="375"/>
      <w:bookmarkStart w:id="376" w:name="_Toc184313296"/>
      <w:bookmarkEnd w:id="376"/>
      <w:bookmarkStart w:id="377" w:name="_Toc184308093"/>
      <w:bookmarkEnd w:id="377"/>
      <w:bookmarkStart w:id="378" w:name="_Toc184314458"/>
      <w:bookmarkEnd w:id="378"/>
      <w:bookmarkStart w:id="379" w:name="_Toc184314473"/>
      <w:bookmarkEnd w:id="379"/>
      <w:bookmarkStart w:id="380" w:name="_Toc184310292"/>
      <w:bookmarkEnd w:id="380"/>
      <w:bookmarkStart w:id="381" w:name="_Toc184310317"/>
      <w:bookmarkEnd w:id="381"/>
      <w:bookmarkStart w:id="382" w:name="_Toc184310294"/>
      <w:bookmarkEnd w:id="382"/>
      <w:bookmarkStart w:id="383" w:name="_Toc184308087"/>
      <w:bookmarkEnd w:id="383"/>
      <w:bookmarkStart w:id="384" w:name="_Toc184314477"/>
      <w:bookmarkEnd w:id="384"/>
      <w:bookmarkStart w:id="385" w:name="_Toc184312112"/>
      <w:bookmarkEnd w:id="385"/>
      <w:bookmarkStart w:id="386" w:name="_Toc184312096"/>
      <w:bookmarkEnd w:id="386"/>
      <w:bookmarkStart w:id="387" w:name="_Toc184312119"/>
      <w:bookmarkEnd w:id="387"/>
      <w:bookmarkStart w:id="388" w:name="_Toc184312115"/>
      <w:bookmarkEnd w:id="388"/>
      <w:bookmarkStart w:id="389" w:name="_Toc184308085"/>
      <w:bookmarkEnd w:id="389"/>
      <w:bookmarkStart w:id="390" w:name="_Toc184313247"/>
      <w:bookmarkEnd w:id="390"/>
      <w:bookmarkStart w:id="391" w:name="_Toc184314439"/>
      <w:bookmarkEnd w:id="391"/>
      <w:bookmarkStart w:id="392" w:name="_Toc184308106"/>
      <w:bookmarkEnd w:id="392"/>
      <w:bookmarkStart w:id="393" w:name="_Toc184313299"/>
      <w:bookmarkEnd w:id="393"/>
      <w:bookmarkStart w:id="394" w:name="_Toc184308088"/>
      <w:bookmarkEnd w:id="394"/>
      <w:bookmarkStart w:id="395" w:name="_Toc184312124"/>
      <w:bookmarkEnd w:id="395"/>
      <w:bookmarkStart w:id="396" w:name="_Toc184310306"/>
      <w:bookmarkEnd w:id="396"/>
      <w:bookmarkStart w:id="397" w:name="_Toc184310321"/>
      <w:bookmarkEnd w:id="397"/>
      <w:bookmarkStart w:id="398" w:name="_Toc184308103"/>
      <w:bookmarkEnd w:id="398"/>
      <w:bookmarkStart w:id="399" w:name="_Toc184313303"/>
      <w:bookmarkEnd w:id="399"/>
      <w:bookmarkStart w:id="400" w:name="_Toc184313270"/>
      <w:bookmarkEnd w:id="400"/>
      <w:bookmarkStart w:id="401" w:name="_Toc184310297"/>
      <w:bookmarkEnd w:id="401"/>
      <w:bookmarkStart w:id="402" w:name="_Toc184308098"/>
      <w:bookmarkEnd w:id="402"/>
      <w:bookmarkStart w:id="403" w:name="_Toc184314425"/>
      <w:bookmarkEnd w:id="403"/>
      <w:bookmarkStart w:id="404" w:name="_Toc184313266"/>
      <w:bookmarkEnd w:id="404"/>
      <w:bookmarkStart w:id="405" w:name="_Toc184314471"/>
      <w:bookmarkEnd w:id="405"/>
      <w:bookmarkStart w:id="406" w:name="_Toc184308089"/>
      <w:bookmarkEnd w:id="406"/>
      <w:bookmarkStart w:id="407" w:name="_Toc184314455"/>
      <w:bookmarkEnd w:id="407"/>
      <w:bookmarkStart w:id="408" w:name="_Toc184312111"/>
      <w:bookmarkEnd w:id="408"/>
      <w:bookmarkStart w:id="409" w:name="_Toc184308067"/>
      <w:bookmarkEnd w:id="409"/>
      <w:bookmarkStart w:id="410" w:name="_Toc184312076"/>
      <w:bookmarkEnd w:id="410"/>
      <w:bookmarkStart w:id="411" w:name="_Toc184312079"/>
      <w:bookmarkEnd w:id="41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104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7039"/>
        <w:gridCol w:w="955"/>
        <w:gridCol w:w="16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11" w:hRule="atLeast"/>
          <w:jc w:val="center"/>
        </w:trPr>
        <w:tc>
          <w:tcPr>
            <w:tcW w:w="841" w:type="dxa"/>
            <w:noWrap w:val="0"/>
            <w:vAlign w:val="center"/>
          </w:tcPr>
          <w:p>
            <w:pPr>
              <w:spacing w:line="312"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7039" w:type="dxa"/>
            <w:noWrap w:val="0"/>
            <w:vAlign w:val="center"/>
          </w:tcPr>
          <w:p>
            <w:pPr>
              <w:tabs>
                <w:tab w:val="center" w:pos="3597"/>
                <w:tab w:val="left" w:pos="4994"/>
              </w:tabs>
              <w:spacing w:line="312"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c>
          <w:tcPr>
            <w:tcW w:w="955" w:type="dxa"/>
            <w:noWrap w:val="0"/>
            <w:vAlign w:val="center"/>
          </w:tcPr>
          <w:p>
            <w:pPr>
              <w:spacing w:line="312"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1643" w:type="dxa"/>
            <w:noWrap w:val="0"/>
            <w:vAlign w:val="center"/>
          </w:tcPr>
          <w:p>
            <w:pPr>
              <w:spacing w:line="312"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投标文件中评标标准相应的商务技术资料目录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89" w:hRule="atLeast"/>
          <w:jc w:val="center"/>
        </w:trPr>
        <w:tc>
          <w:tcPr>
            <w:tcW w:w="841" w:type="dxa"/>
            <w:tcBorders>
              <w:bottom w:val="single" w:color="auto" w:sz="4" w:space="0"/>
            </w:tcBorders>
            <w:noWrap w:val="0"/>
            <w:vAlign w:val="center"/>
          </w:tcPr>
          <w:p>
            <w:pPr>
              <w:spacing w:line="240" w:lineRule="auto"/>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039" w:type="dxa"/>
            <w:noWrap w:val="0"/>
            <w:vAlign w:val="center"/>
          </w:tcPr>
          <w:p>
            <w:pPr>
              <w:spacing w:line="300" w:lineRule="exact"/>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能够满足招标文件的实质性要求且投标价格最低的投标报价为评标基准价，其价格分为满分，其他投标人的价格分统一按照下列公式计算：报价得分=（评标基准价 / 投标报价）×</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%×100，结果四舍五入，保留两位小数。</w:t>
            </w:r>
          </w:p>
        </w:tc>
        <w:tc>
          <w:tcPr>
            <w:tcW w:w="955" w:type="dxa"/>
            <w:noWrap w:val="0"/>
            <w:vAlign w:val="center"/>
          </w:tcPr>
          <w:p>
            <w:pPr>
              <w:spacing w:line="300" w:lineRule="exact"/>
              <w:jc w:val="center"/>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15</w:t>
            </w:r>
          </w:p>
        </w:tc>
        <w:tc>
          <w:tcPr>
            <w:tcW w:w="1643" w:type="dxa"/>
            <w:noWrap w:val="0"/>
            <w:vAlign w:val="center"/>
          </w:tcPr>
          <w:p>
            <w:pPr>
              <w:spacing w:line="240" w:lineRule="auto"/>
              <w:jc w:val="center"/>
              <w:outlineLvl w:val="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41" w:type="dxa"/>
            <w:tcBorders>
              <w:top w:val="single" w:color="auto" w:sz="4" w:space="0"/>
              <w:bottom w:val="single" w:color="auto" w:sz="4" w:space="0"/>
            </w:tcBorders>
            <w:noWrap w:val="0"/>
            <w:vAlign w:val="center"/>
          </w:tcPr>
          <w:p>
            <w:pPr>
              <w:spacing w:line="240" w:lineRule="auto"/>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039" w:type="dxa"/>
            <w:noWrap w:val="0"/>
            <w:vAlign w:val="center"/>
          </w:tcPr>
          <w:p>
            <w:pPr>
              <w:spacing w:line="300"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根据质量技术服务</w:t>
            </w:r>
            <w:r>
              <w:rPr>
                <w:rFonts w:hint="eastAsia" w:ascii="仿宋" w:hAnsi="仿宋" w:eastAsia="仿宋" w:cs="仿宋"/>
                <w:color w:val="auto"/>
                <w:highlight w:val="none"/>
              </w:rPr>
              <w:t>方案能否满足采购需求判定评分，内容完整、措施有效、符合采购需求视为满足。（</w:t>
            </w:r>
            <w:r>
              <w:rPr>
                <w:rFonts w:hint="eastAsia" w:ascii="仿宋" w:hAnsi="仿宋" w:eastAsia="仿宋" w:cs="仿宋"/>
                <w:color w:val="auto"/>
                <w:highlight w:val="none"/>
                <w:lang w:val="en-US" w:eastAsia="zh-CN"/>
              </w:rPr>
              <w:t>满足</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分，每缺漏一项或者每一项不符合要求的，扣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分，扣完为止。）</w:t>
            </w:r>
          </w:p>
        </w:tc>
        <w:tc>
          <w:tcPr>
            <w:tcW w:w="955" w:type="dxa"/>
            <w:noWrap w:val="0"/>
            <w:vAlign w:val="center"/>
          </w:tcPr>
          <w:p>
            <w:pPr>
              <w:spacing w:line="300"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5</w:t>
            </w:r>
          </w:p>
        </w:tc>
        <w:tc>
          <w:tcPr>
            <w:tcW w:w="1643" w:type="dxa"/>
            <w:noWrap w:val="0"/>
            <w:vAlign w:val="center"/>
          </w:tcPr>
          <w:p>
            <w:pPr>
              <w:spacing w:line="240" w:lineRule="auto"/>
              <w:jc w:val="center"/>
              <w:outlineLvl w:val="0"/>
              <w:rPr>
                <w:rFonts w:hint="eastAsia" w:ascii="仿宋" w:hAnsi="仿宋" w:eastAsia="仿宋" w:cs="仿宋"/>
                <w:color w:val="auto"/>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41" w:type="dxa"/>
            <w:tcBorders>
              <w:top w:val="single" w:color="auto" w:sz="4" w:space="0"/>
              <w:bottom w:val="single" w:color="auto" w:sz="4" w:space="0"/>
            </w:tcBorders>
            <w:noWrap w:val="0"/>
            <w:vAlign w:val="center"/>
          </w:tcPr>
          <w:p>
            <w:pPr>
              <w:spacing w:line="24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7039" w:type="dxa"/>
            <w:noWrap w:val="0"/>
            <w:vAlign w:val="center"/>
          </w:tcPr>
          <w:p>
            <w:pPr>
              <w:spacing w:line="300"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根据安全技术服务方案</w:t>
            </w:r>
            <w:r>
              <w:rPr>
                <w:rFonts w:hint="eastAsia" w:ascii="仿宋" w:hAnsi="仿宋" w:eastAsia="仿宋" w:cs="仿宋"/>
                <w:color w:val="auto"/>
                <w:highlight w:val="none"/>
              </w:rPr>
              <w:t>能否满足采购需求判定评分，内容完整、措施有效、符合采购需求视为满足。（</w:t>
            </w:r>
            <w:r>
              <w:rPr>
                <w:rFonts w:hint="eastAsia" w:ascii="仿宋" w:hAnsi="仿宋" w:eastAsia="仿宋" w:cs="仿宋"/>
                <w:color w:val="auto"/>
                <w:highlight w:val="none"/>
                <w:lang w:val="en-US" w:eastAsia="zh-CN"/>
              </w:rPr>
              <w:t>满足</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分，每缺漏一项或者每一项不符合要求的，扣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分，扣完为止。）</w:t>
            </w:r>
          </w:p>
        </w:tc>
        <w:tc>
          <w:tcPr>
            <w:tcW w:w="955" w:type="dxa"/>
            <w:noWrap w:val="0"/>
            <w:vAlign w:val="center"/>
          </w:tcPr>
          <w:p>
            <w:pPr>
              <w:spacing w:line="300"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5</w:t>
            </w:r>
          </w:p>
        </w:tc>
        <w:tc>
          <w:tcPr>
            <w:tcW w:w="1643" w:type="dxa"/>
            <w:noWrap w:val="0"/>
            <w:vAlign w:val="center"/>
          </w:tcPr>
          <w:p>
            <w:pPr>
              <w:spacing w:line="240" w:lineRule="auto"/>
              <w:ind w:firstLine="315" w:firstLineChars="150"/>
              <w:outlineLvl w:val="0"/>
              <w:rPr>
                <w:rFonts w:hint="eastAsia" w:ascii="仿宋" w:hAnsi="仿宋" w:eastAsia="仿宋" w:cs="仿宋"/>
                <w:color w:val="auto"/>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41" w:type="dxa"/>
            <w:tcBorders>
              <w:top w:val="single" w:color="auto" w:sz="4" w:space="0"/>
              <w:bottom w:val="single" w:color="auto" w:sz="4" w:space="0"/>
            </w:tcBorders>
            <w:noWrap w:val="0"/>
            <w:vAlign w:val="center"/>
          </w:tcPr>
          <w:p>
            <w:pPr>
              <w:spacing w:line="24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7039" w:type="dxa"/>
            <w:noWrap w:val="0"/>
            <w:vAlign w:val="center"/>
          </w:tcPr>
          <w:p>
            <w:pPr>
              <w:spacing w:line="300"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根据图纸审查服务实施方案内容</w:t>
            </w:r>
            <w:r>
              <w:rPr>
                <w:rFonts w:hint="eastAsia" w:ascii="仿宋" w:hAnsi="仿宋" w:eastAsia="仿宋" w:cs="仿宋"/>
                <w:color w:val="auto"/>
                <w:highlight w:val="none"/>
              </w:rPr>
              <w:t>能否满足采购需求判定评分，有针对性的视为符合要求，（</w:t>
            </w:r>
            <w:r>
              <w:rPr>
                <w:rFonts w:hint="eastAsia" w:ascii="仿宋" w:hAnsi="仿宋" w:eastAsia="仿宋" w:cs="仿宋"/>
                <w:color w:val="auto"/>
                <w:highlight w:val="none"/>
                <w:lang w:val="en-US" w:eastAsia="zh-CN"/>
              </w:rPr>
              <w:t>符合</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分，每缺漏一项或者每一项不符合要求的，扣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分，扣完为止。）</w:t>
            </w:r>
          </w:p>
        </w:tc>
        <w:tc>
          <w:tcPr>
            <w:tcW w:w="955" w:type="dxa"/>
            <w:noWrap w:val="0"/>
            <w:vAlign w:val="center"/>
          </w:tcPr>
          <w:p>
            <w:pPr>
              <w:spacing w:line="300"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5</w:t>
            </w:r>
          </w:p>
        </w:tc>
        <w:tc>
          <w:tcPr>
            <w:tcW w:w="1643" w:type="dxa"/>
            <w:noWrap w:val="0"/>
            <w:vAlign w:val="center"/>
          </w:tcPr>
          <w:p>
            <w:pPr>
              <w:spacing w:line="240" w:lineRule="auto"/>
              <w:ind w:firstLine="315" w:firstLineChars="150"/>
              <w:outlineLvl w:val="0"/>
              <w:rPr>
                <w:rFonts w:hint="eastAsia" w:ascii="仿宋" w:hAnsi="仿宋" w:eastAsia="仿宋" w:cs="仿宋"/>
                <w:color w:val="auto"/>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41" w:type="dxa"/>
            <w:tcBorders>
              <w:top w:val="single" w:color="auto" w:sz="4" w:space="0"/>
              <w:bottom w:val="single" w:color="auto" w:sz="4" w:space="0"/>
            </w:tcBorders>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w:t>
            </w:r>
          </w:p>
        </w:tc>
        <w:tc>
          <w:tcPr>
            <w:tcW w:w="7039" w:type="dxa"/>
            <w:noWrap w:val="0"/>
            <w:vAlign w:val="center"/>
          </w:tcPr>
          <w:p>
            <w:pPr>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根据验收资料检查服务实施方案内容</w:t>
            </w:r>
            <w:r>
              <w:rPr>
                <w:rFonts w:hint="eastAsia" w:ascii="仿宋" w:hAnsi="仿宋" w:eastAsia="仿宋" w:cs="仿宋"/>
                <w:color w:val="auto"/>
                <w:highlight w:val="none"/>
              </w:rPr>
              <w:t>能否满足采购需求判定评分，有针对性的视为符合要求，（</w:t>
            </w:r>
            <w:r>
              <w:rPr>
                <w:rFonts w:hint="eastAsia" w:ascii="仿宋" w:hAnsi="仿宋" w:eastAsia="仿宋" w:cs="仿宋"/>
                <w:color w:val="auto"/>
                <w:highlight w:val="none"/>
                <w:lang w:val="en-US" w:eastAsia="zh-CN"/>
              </w:rPr>
              <w:t>符合</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分，每缺漏一项或者每一项不符合要求的，扣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分，扣完为止。）</w:t>
            </w:r>
          </w:p>
        </w:tc>
        <w:tc>
          <w:tcPr>
            <w:tcW w:w="955" w:type="dxa"/>
            <w:noWrap w:val="0"/>
            <w:vAlign w:val="center"/>
          </w:tcPr>
          <w:p>
            <w:pPr>
              <w:spacing w:line="3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643" w:type="dxa"/>
            <w:noWrap w:val="0"/>
            <w:vAlign w:val="center"/>
          </w:tcPr>
          <w:p>
            <w:pPr>
              <w:spacing w:line="240" w:lineRule="auto"/>
              <w:ind w:firstLine="315" w:firstLineChars="150"/>
              <w:outlineLvl w:val="0"/>
              <w:rPr>
                <w:rFonts w:hint="eastAsia" w:ascii="仿宋" w:hAnsi="仿宋" w:eastAsia="仿宋" w:cs="仿宋"/>
                <w:color w:val="auto"/>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841" w:type="dxa"/>
            <w:tcBorders>
              <w:top w:val="single" w:color="auto" w:sz="4" w:space="0"/>
              <w:bottom w:val="single" w:color="auto" w:sz="4" w:space="0"/>
            </w:tcBorders>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w:t>
            </w:r>
          </w:p>
        </w:tc>
        <w:tc>
          <w:tcPr>
            <w:tcW w:w="7039" w:type="dxa"/>
            <w:noWrap w:val="0"/>
            <w:vAlign w:val="center"/>
          </w:tcPr>
          <w:p>
            <w:pPr>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项目组织管理方案；方案编制内容的全面性、针对性以及符合采购需求情况等进行打分。方案全面，针对性强的得 5 分；方案基本可行，针对性较强的得3分；方案一般，基本满足采购需求的得1分；方案不完整、与项目不匹配的不得分。</w:t>
            </w:r>
          </w:p>
        </w:tc>
        <w:tc>
          <w:tcPr>
            <w:tcW w:w="955" w:type="dxa"/>
            <w:noWrap w:val="0"/>
            <w:vAlign w:val="center"/>
          </w:tcPr>
          <w:p>
            <w:pPr>
              <w:spacing w:line="300" w:lineRule="exact"/>
              <w:jc w:val="center"/>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5</w:t>
            </w:r>
          </w:p>
        </w:tc>
        <w:tc>
          <w:tcPr>
            <w:tcW w:w="1643" w:type="dxa"/>
            <w:noWrap w:val="0"/>
            <w:vAlign w:val="center"/>
          </w:tcPr>
          <w:p>
            <w:pPr>
              <w:spacing w:line="240" w:lineRule="auto"/>
              <w:jc w:val="center"/>
              <w:outlineLvl w:val="0"/>
              <w:rPr>
                <w:rFonts w:hint="eastAsia" w:ascii="仿宋" w:hAnsi="仿宋" w:eastAsia="仿宋" w:cs="仿宋_GB2312"/>
                <w:color w:val="auto"/>
                <w:sz w:val="24"/>
                <w:szCs w:val="2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841" w:type="dxa"/>
            <w:tcBorders>
              <w:top w:val="single" w:color="auto" w:sz="4" w:space="0"/>
              <w:bottom w:val="single" w:color="auto" w:sz="4" w:space="0"/>
            </w:tcBorders>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w:t>
            </w:r>
          </w:p>
        </w:tc>
        <w:tc>
          <w:tcPr>
            <w:tcW w:w="7039" w:type="dxa"/>
            <w:noWrap w:val="0"/>
            <w:vAlign w:val="center"/>
          </w:tcPr>
          <w:p>
            <w:pPr>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工作目标及预期成果：投标人提出针对本项目拟达到的工作目标及提供的预期成果满足本项目的特性和采购文件要求且针对性明细的得4分，工作目标及逾期成果基本满足采购需求的得2分，工作目标及逾期成果有提及得1分；内容严重缺失的不得分。</w:t>
            </w:r>
          </w:p>
        </w:tc>
        <w:tc>
          <w:tcPr>
            <w:tcW w:w="955" w:type="dxa"/>
            <w:noWrap w:val="0"/>
            <w:vAlign w:val="center"/>
          </w:tcPr>
          <w:p>
            <w:pPr>
              <w:spacing w:line="3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643" w:type="dxa"/>
            <w:noWrap w:val="0"/>
            <w:vAlign w:val="center"/>
          </w:tcPr>
          <w:p>
            <w:pPr>
              <w:spacing w:line="240" w:lineRule="auto"/>
              <w:jc w:val="center"/>
              <w:outlineLvl w:val="0"/>
              <w:rPr>
                <w:rFonts w:hint="eastAsia" w:ascii="仿宋" w:hAnsi="仿宋" w:eastAsia="仿宋" w:cs="仿宋_GB2312"/>
                <w:color w:val="auto"/>
                <w:sz w:val="24"/>
                <w:szCs w:val="2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41" w:type="dxa"/>
            <w:tcBorders>
              <w:top w:val="single" w:color="auto" w:sz="4" w:space="0"/>
            </w:tcBorders>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p>
        </w:tc>
        <w:tc>
          <w:tcPr>
            <w:tcW w:w="7039" w:type="dxa"/>
            <w:noWrap w:val="0"/>
            <w:vAlign w:val="center"/>
          </w:tcPr>
          <w:p>
            <w:pPr>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1.根据投标人对本项目管理制度是否健全（0-3分）；</w:t>
            </w:r>
          </w:p>
          <w:p>
            <w:pPr>
              <w:spacing w:line="300"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2.日常操作方法设置科学规范性（0-3分）。</w:t>
            </w:r>
          </w:p>
        </w:tc>
        <w:tc>
          <w:tcPr>
            <w:tcW w:w="955" w:type="dxa"/>
            <w:noWrap w:val="0"/>
            <w:vAlign w:val="center"/>
          </w:tcPr>
          <w:p>
            <w:pPr>
              <w:spacing w:line="300"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6</w:t>
            </w:r>
          </w:p>
        </w:tc>
        <w:tc>
          <w:tcPr>
            <w:tcW w:w="1643" w:type="dxa"/>
            <w:noWrap w:val="0"/>
            <w:vAlign w:val="center"/>
          </w:tcPr>
          <w:p>
            <w:pPr>
              <w:spacing w:line="240" w:lineRule="auto"/>
              <w:jc w:val="center"/>
              <w:rPr>
                <w:rFonts w:hint="eastAsia" w:ascii="仿宋" w:hAnsi="仿宋" w:eastAsia="仿宋" w:cs="仿宋"/>
                <w:color w:val="auto"/>
                <w:kern w:val="0"/>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w:t>
            </w:r>
          </w:p>
        </w:tc>
        <w:tc>
          <w:tcPr>
            <w:tcW w:w="7039" w:type="dxa"/>
            <w:noWrap w:val="0"/>
            <w:vAlign w:val="center"/>
          </w:tcPr>
          <w:p>
            <w:pPr>
              <w:spacing w:line="258" w:lineRule="exact"/>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color w:val="auto"/>
                <w:highlight w:val="none"/>
              </w:rPr>
              <w:t>根据投标人质量保证措施符合项目实际，合理，有针对性，视为符合要求，全部符合得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分，部分符合得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分，不符合不得分</w:t>
            </w:r>
            <w:r>
              <w:rPr>
                <w:rFonts w:hint="eastAsia" w:ascii="仿宋" w:hAnsi="仿宋" w:eastAsia="仿宋" w:cs="仿宋"/>
                <w:color w:val="auto"/>
                <w:highlight w:val="none"/>
                <w:lang w:eastAsia="zh-CN"/>
              </w:rPr>
              <w:t>。</w:t>
            </w:r>
          </w:p>
        </w:tc>
        <w:tc>
          <w:tcPr>
            <w:tcW w:w="955" w:type="dxa"/>
            <w:noWrap w:val="0"/>
            <w:vAlign w:val="center"/>
          </w:tcPr>
          <w:p>
            <w:pPr>
              <w:spacing w:line="238" w:lineRule="exact"/>
              <w:jc w:val="center"/>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color w:val="auto"/>
                <w:highlight w:val="none"/>
                <w:lang w:val="en-US" w:eastAsia="zh-CN"/>
              </w:rPr>
              <w:t>4</w:t>
            </w:r>
          </w:p>
        </w:tc>
        <w:tc>
          <w:tcPr>
            <w:tcW w:w="1643" w:type="dxa"/>
            <w:noWrap w:val="0"/>
            <w:vAlign w:val="center"/>
          </w:tcPr>
          <w:p>
            <w:pPr>
              <w:spacing w:line="240" w:lineRule="auto"/>
              <w:jc w:val="center"/>
              <w:rPr>
                <w:rFonts w:hint="eastAsia" w:ascii="仿宋" w:hAnsi="仿宋" w:eastAsia="仿宋" w:cs="仿宋_GB2312"/>
                <w:color w:val="auto"/>
                <w:sz w:val="24"/>
                <w:szCs w:val="2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7039" w:type="dxa"/>
            <w:noWrap w:val="0"/>
            <w:vAlign w:val="center"/>
          </w:tcPr>
          <w:p>
            <w:pPr>
              <w:spacing w:line="300" w:lineRule="exact"/>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color w:val="auto"/>
                <w:highlight w:val="none"/>
                <w:lang w:val="en-US" w:eastAsia="zh-CN"/>
              </w:rPr>
              <w:t>第三方技术支撑服务</w:t>
            </w:r>
            <w:r>
              <w:rPr>
                <w:rFonts w:hint="eastAsia" w:ascii="仿宋" w:hAnsi="仿宋" w:eastAsia="仿宋" w:cs="仿宋"/>
                <w:bCs/>
                <w:color w:val="auto"/>
                <w:kern w:val="2"/>
                <w:sz w:val="21"/>
                <w:szCs w:val="24"/>
                <w:highlight w:val="none"/>
                <w:lang w:val="en-US" w:eastAsia="zh-CN" w:bidi="ar-SA"/>
              </w:rPr>
              <w:t>主要工作内容，包括工程参建各方质量安全保证体系、参建单位和从业人员的质量行为、工程实体质量等阐述详细（4分）</w:t>
            </w:r>
          </w:p>
        </w:tc>
        <w:tc>
          <w:tcPr>
            <w:tcW w:w="955" w:type="dxa"/>
            <w:noWrap w:val="0"/>
            <w:vAlign w:val="center"/>
          </w:tcPr>
          <w:p>
            <w:pPr>
              <w:spacing w:line="238" w:lineRule="exact"/>
              <w:jc w:val="center"/>
              <w:rPr>
                <w:rFonts w:hint="default" w:ascii="仿宋" w:hAnsi="仿宋" w:eastAsia="仿宋" w:cs="仿宋"/>
                <w:bCs/>
                <w:color w:val="auto"/>
                <w:kern w:val="2"/>
                <w:sz w:val="21"/>
                <w:szCs w:val="24"/>
                <w:highlight w:val="none"/>
                <w:lang w:val="en-US" w:eastAsia="zh-CN" w:bidi="ar-SA"/>
              </w:rPr>
            </w:pPr>
            <w:r>
              <w:rPr>
                <w:rFonts w:hint="eastAsia" w:ascii="仿宋" w:hAnsi="仿宋" w:eastAsia="仿宋" w:cs="仿宋"/>
                <w:bCs/>
                <w:color w:val="auto"/>
                <w:kern w:val="2"/>
                <w:sz w:val="21"/>
                <w:szCs w:val="24"/>
                <w:highlight w:val="none"/>
                <w:lang w:val="en-US" w:eastAsia="zh-CN" w:bidi="ar-SA"/>
              </w:rPr>
              <w:t>4</w:t>
            </w:r>
          </w:p>
        </w:tc>
        <w:tc>
          <w:tcPr>
            <w:tcW w:w="1643"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11</w:t>
            </w:r>
          </w:p>
        </w:tc>
        <w:tc>
          <w:tcPr>
            <w:tcW w:w="7039" w:type="dxa"/>
            <w:noWrap w:val="0"/>
            <w:vAlign w:val="center"/>
          </w:tcPr>
          <w:p>
            <w:pPr>
              <w:spacing w:line="300"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第三方技术支撑服务</w:t>
            </w:r>
            <w:r>
              <w:rPr>
                <w:rFonts w:hint="eastAsia" w:ascii="仿宋" w:hAnsi="仿宋" w:eastAsia="仿宋" w:cs="仿宋"/>
                <w:color w:val="auto"/>
                <w:highlight w:val="none"/>
              </w:rPr>
              <w:t>工作成果符合要求，服务报告及检查台账内容详细完整、相关数据准确。（3分）</w:t>
            </w:r>
          </w:p>
        </w:tc>
        <w:tc>
          <w:tcPr>
            <w:tcW w:w="955" w:type="dxa"/>
            <w:noWrap w:val="0"/>
            <w:vAlign w:val="center"/>
          </w:tcPr>
          <w:p>
            <w:pPr>
              <w:spacing w:line="238"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3</w:t>
            </w:r>
          </w:p>
        </w:tc>
        <w:tc>
          <w:tcPr>
            <w:tcW w:w="1643" w:type="dxa"/>
            <w:noWrap w:val="0"/>
            <w:vAlign w:val="center"/>
          </w:tcPr>
          <w:p>
            <w:pPr>
              <w:spacing w:line="288" w:lineRule="auto"/>
              <w:jc w:val="center"/>
              <w:rPr>
                <w:rFonts w:hint="default" w:ascii="仿宋" w:hAnsi="仿宋" w:eastAsia="仿宋" w:cs="仿宋"/>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7039" w:type="dxa"/>
            <w:noWrap w:val="0"/>
            <w:vAlign w:val="center"/>
          </w:tcPr>
          <w:p>
            <w:pPr>
              <w:spacing w:line="300"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根据投标单位是否建立内部岗位责任制度符合项目实际，合理，有针对性，视为符合要求，全部符合得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分，部分符合得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分，不符合不得分</w:t>
            </w:r>
            <w:r>
              <w:rPr>
                <w:rFonts w:hint="eastAsia" w:ascii="仿宋" w:hAnsi="仿宋" w:eastAsia="仿宋" w:cs="仿宋"/>
                <w:color w:val="auto"/>
                <w:highlight w:val="none"/>
                <w:lang w:eastAsia="zh-CN"/>
              </w:rPr>
              <w:t>。</w:t>
            </w:r>
          </w:p>
        </w:tc>
        <w:tc>
          <w:tcPr>
            <w:tcW w:w="955" w:type="dxa"/>
            <w:noWrap w:val="0"/>
            <w:vAlign w:val="center"/>
          </w:tcPr>
          <w:p>
            <w:pPr>
              <w:spacing w:line="300"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3</w:t>
            </w:r>
          </w:p>
        </w:tc>
        <w:tc>
          <w:tcPr>
            <w:tcW w:w="1643" w:type="dxa"/>
            <w:noWrap w:val="0"/>
            <w:vAlign w:val="center"/>
          </w:tcPr>
          <w:p>
            <w:pPr>
              <w:spacing w:line="288" w:lineRule="auto"/>
              <w:jc w:val="center"/>
              <w:rPr>
                <w:rFonts w:hint="eastAsia" w:ascii="仿宋" w:hAnsi="仿宋" w:eastAsia="仿宋" w:cs="仿宋"/>
                <w:color w:val="auto"/>
                <w:kern w:val="0"/>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13</w:t>
            </w:r>
          </w:p>
        </w:tc>
        <w:tc>
          <w:tcPr>
            <w:tcW w:w="7039" w:type="dxa"/>
            <w:noWrap w:val="0"/>
            <w:vAlign w:val="center"/>
          </w:tcPr>
          <w:p>
            <w:pPr>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人员管理制度符合项目实际，合理，有针对性，视为符合要求，全部符合得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分，部分符合得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分，不符合不得分</w:t>
            </w:r>
            <w:r>
              <w:rPr>
                <w:rFonts w:hint="eastAsia" w:ascii="仿宋" w:hAnsi="仿宋" w:eastAsia="仿宋" w:cs="仿宋"/>
                <w:color w:val="auto"/>
                <w:highlight w:val="none"/>
                <w:lang w:eastAsia="zh-CN"/>
              </w:rPr>
              <w:t>。</w:t>
            </w:r>
          </w:p>
        </w:tc>
        <w:tc>
          <w:tcPr>
            <w:tcW w:w="955" w:type="dxa"/>
            <w:noWrap w:val="0"/>
            <w:vAlign w:val="center"/>
          </w:tcPr>
          <w:p>
            <w:pPr>
              <w:spacing w:line="3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643" w:type="dxa"/>
            <w:noWrap w:val="0"/>
            <w:vAlign w:val="center"/>
          </w:tcPr>
          <w:p>
            <w:pPr>
              <w:spacing w:line="288" w:lineRule="auto"/>
              <w:jc w:val="center"/>
              <w:rPr>
                <w:rFonts w:hint="eastAsia" w:ascii="仿宋" w:hAnsi="仿宋" w:eastAsia="仿宋" w:cs="仿宋"/>
                <w:color w:val="auto"/>
                <w:kern w:val="0"/>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14</w:t>
            </w:r>
          </w:p>
        </w:tc>
        <w:tc>
          <w:tcPr>
            <w:tcW w:w="7039" w:type="dxa"/>
            <w:noWrap w:val="0"/>
            <w:vAlign w:val="center"/>
          </w:tcPr>
          <w:p>
            <w:pPr>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作业人员具体配置计划</w:t>
            </w:r>
            <w:r>
              <w:rPr>
                <w:rFonts w:hint="eastAsia" w:ascii="仿宋" w:hAnsi="仿宋" w:eastAsia="仿宋" w:cs="仿宋"/>
                <w:color w:val="auto"/>
                <w:highlight w:val="none"/>
              </w:rPr>
              <w:t>制度符合项目实际，合理，有针对性，视为符合要求，全部符合得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分，部分符合得</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分，不符合不得分</w:t>
            </w:r>
            <w:r>
              <w:rPr>
                <w:rFonts w:hint="eastAsia" w:ascii="仿宋" w:hAnsi="仿宋" w:eastAsia="仿宋" w:cs="仿宋"/>
                <w:color w:val="auto"/>
                <w:highlight w:val="none"/>
                <w:lang w:eastAsia="zh-CN"/>
              </w:rPr>
              <w:t>。</w:t>
            </w:r>
          </w:p>
        </w:tc>
        <w:tc>
          <w:tcPr>
            <w:tcW w:w="955" w:type="dxa"/>
            <w:noWrap w:val="0"/>
            <w:vAlign w:val="center"/>
          </w:tcPr>
          <w:p>
            <w:pPr>
              <w:spacing w:line="3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643" w:type="dxa"/>
            <w:noWrap w:val="0"/>
            <w:vAlign w:val="center"/>
          </w:tcPr>
          <w:p>
            <w:pPr>
              <w:spacing w:line="288" w:lineRule="auto"/>
              <w:jc w:val="center"/>
              <w:rPr>
                <w:rFonts w:hint="eastAsia" w:ascii="仿宋" w:hAnsi="仿宋" w:eastAsia="仿宋" w:cs="仿宋"/>
                <w:color w:val="auto"/>
                <w:kern w:val="0"/>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w:t>
            </w:r>
          </w:p>
        </w:tc>
        <w:tc>
          <w:tcPr>
            <w:tcW w:w="7039" w:type="dxa"/>
            <w:noWrap w:val="0"/>
            <w:vAlign w:val="center"/>
          </w:tcPr>
          <w:p>
            <w:pPr>
              <w:spacing w:line="259"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派驻本项目人员安全管理、廉政管理、考勤管理等各项内控制度齐全完整。（4分）</w:t>
            </w:r>
          </w:p>
        </w:tc>
        <w:tc>
          <w:tcPr>
            <w:tcW w:w="955" w:type="dxa"/>
            <w:noWrap w:val="0"/>
            <w:vAlign w:val="center"/>
          </w:tcPr>
          <w:p>
            <w:pPr>
              <w:spacing w:line="255"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643" w:type="dxa"/>
            <w:noWrap w:val="0"/>
            <w:vAlign w:val="center"/>
          </w:tcPr>
          <w:p>
            <w:pPr>
              <w:spacing w:line="360" w:lineRule="auto"/>
              <w:jc w:val="center"/>
              <w:outlineLvl w:val="0"/>
              <w:rPr>
                <w:rFonts w:hint="default" w:ascii="仿宋" w:hAnsi="仿宋" w:eastAsia="仿宋" w:cs="仿宋_GB2312"/>
                <w:color w:val="auto"/>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16</w:t>
            </w:r>
          </w:p>
        </w:tc>
        <w:tc>
          <w:tcPr>
            <w:tcW w:w="7039" w:type="dxa"/>
            <w:noWrap w:val="0"/>
            <w:vAlign w:val="center"/>
          </w:tcPr>
          <w:p>
            <w:pPr>
              <w:tabs>
                <w:tab w:val="left" w:pos="738"/>
              </w:tabs>
              <w:spacing w:line="259"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规范审核质量资料并编写检查报告，列席有关验收会议，规范档案整理工作等。（3分）</w:t>
            </w:r>
          </w:p>
        </w:tc>
        <w:tc>
          <w:tcPr>
            <w:tcW w:w="955" w:type="dxa"/>
            <w:noWrap w:val="0"/>
            <w:vAlign w:val="center"/>
          </w:tcPr>
          <w:p>
            <w:pPr>
              <w:spacing w:line="255"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643" w:type="dxa"/>
            <w:noWrap w:val="0"/>
            <w:vAlign w:val="center"/>
          </w:tcPr>
          <w:p>
            <w:pPr>
              <w:spacing w:line="360" w:lineRule="auto"/>
              <w:jc w:val="center"/>
              <w:outlineLvl w:val="0"/>
              <w:rPr>
                <w:rFonts w:hint="default" w:ascii="仿宋" w:hAnsi="仿宋" w:eastAsia="仿宋" w:cs="仿宋_GB2312"/>
                <w:color w:val="auto"/>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17</w:t>
            </w:r>
          </w:p>
        </w:tc>
        <w:tc>
          <w:tcPr>
            <w:tcW w:w="7039" w:type="dxa"/>
            <w:noWrap w:val="0"/>
            <w:vAlign w:val="center"/>
          </w:tcPr>
          <w:p>
            <w:pPr>
              <w:spacing w:line="259"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根据投标单位针对本项目的实施进度计划的科学、合理性进行打分。</w:t>
            </w:r>
            <w:r>
              <w:rPr>
                <w:rFonts w:hint="eastAsia" w:ascii="仿宋" w:hAnsi="仿宋" w:eastAsia="仿宋" w:cs="仿宋"/>
                <w:color w:val="auto"/>
                <w:highlight w:val="none"/>
              </w:rPr>
              <w:t>符合项目实际，合理，有针对性，视为符合要求，全部符合得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分，部分符合得</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分，不符合不得分</w:t>
            </w:r>
            <w:r>
              <w:rPr>
                <w:rFonts w:hint="eastAsia" w:ascii="仿宋" w:hAnsi="仿宋" w:eastAsia="仿宋" w:cs="仿宋"/>
                <w:color w:val="auto"/>
                <w:highlight w:val="none"/>
                <w:lang w:eastAsia="zh-CN"/>
              </w:rPr>
              <w:t>。</w:t>
            </w:r>
          </w:p>
        </w:tc>
        <w:tc>
          <w:tcPr>
            <w:tcW w:w="955" w:type="dxa"/>
            <w:noWrap w:val="0"/>
            <w:vAlign w:val="center"/>
          </w:tcPr>
          <w:p>
            <w:pPr>
              <w:spacing w:line="255"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3</w:t>
            </w:r>
          </w:p>
        </w:tc>
        <w:tc>
          <w:tcPr>
            <w:tcW w:w="1643" w:type="dxa"/>
            <w:noWrap w:val="0"/>
            <w:vAlign w:val="center"/>
          </w:tcPr>
          <w:p>
            <w:pPr>
              <w:spacing w:line="360" w:lineRule="auto"/>
              <w:jc w:val="center"/>
              <w:outlineLvl w:val="0"/>
              <w:rPr>
                <w:rFonts w:hint="default" w:ascii="仿宋" w:hAnsi="仿宋" w:eastAsia="仿宋" w:cs="仿宋_GB2312"/>
                <w:color w:val="auto"/>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18</w:t>
            </w:r>
          </w:p>
        </w:tc>
        <w:tc>
          <w:tcPr>
            <w:tcW w:w="7039" w:type="dxa"/>
            <w:noWrap w:val="0"/>
            <w:vAlign w:val="center"/>
          </w:tcPr>
          <w:p>
            <w:pPr>
              <w:spacing w:line="259" w:lineRule="exact"/>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0"/>
                <w:szCs w:val="21"/>
                <w:highlight w:val="none"/>
              </w:rPr>
              <w:t>投标人针对本项目提供的合理化建议，每提供一条有效应对措施得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分，最高得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w:t>
            </w:r>
          </w:p>
        </w:tc>
        <w:tc>
          <w:tcPr>
            <w:tcW w:w="955" w:type="dxa"/>
            <w:noWrap w:val="0"/>
            <w:vAlign w:val="center"/>
          </w:tcPr>
          <w:p>
            <w:pPr>
              <w:spacing w:line="255" w:lineRule="exact"/>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3</w:t>
            </w:r>
          </w:p>
        </w:tc>
        <w:tc>
          <w:tcPr>
            <w:tcW w:w="1643" w:type="dxa"/>
            <w:noWrap w:val="0"/>
            <w:vAlign w:val="center"/>
          </w:tcPr>
          <w:p>
            <w:pPr>
              <w:spacing w:line="360" w:lineRule="auto"/>
              <w:jc w:val="center"/>
              <w:outlineLvl w:val="0"/>
              <w:rPr>
                <w:rFonts w:hint="default" w:ascii="仿宋" w:hAnsi="仿宋" w:eastAsia="仿宋" w:cs="仿宋_GB2312"/>
                <w:color w:val="auto"/>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19</w:t>
            </w:r>
          </w:p>
        </w:tc>
        <w:tc>
          <w:tcPr>
            <w:tcW w:w="7039" w:type="dxa"/>
            <w:noWrap w:val="0"/>
            <w:vAlign w:val="center"/>
          </w:tcPr>
          <w:p>
            <w:pPr>
              <w:spacing w:line="200" w:lineRule="atLeast"/>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bCs/>
                <w:color w:val="auto"/>
                <w:kern w:val="2"/>
                <w:sz w:val="21"/>
                <w:szCs w:val="24"/>
                <w:highlight w:val="none"/>
                <w:lang w:val="en-US" w:eastAsia="zh-CN" w:bidi="ar-SA"/>
              </w:rPr>
              <w:t>售后服务：投标人提出的售后服务方案内容全面性有针对性得3分，方案基本可行得2分，方案一般，基本满足要求得1分。内容严重缺失的不得分</w:t>
            </w:r>
          </w:p>
        </w:tc>
        <w:tc>
          <w:tcPr>
            <w:tcW w:w="955" w:type="dxa"/>
            <w:noWrap w:val="0"/>
            <w:vAlign w:val="center"/>
          </w:tcPr>
          <w:p>
            <w:pPr>
              <w:widowControl/>
              <w:spacing w:line="200" w:lineRule="atLeast"/>
              <w:jc w:val="center"/>
              <w:rPr>
                <w:rFonts w:hint="default" w:ascii="仿宋" w:hAnsi="仿宋" w:eastAsia="仿宋" w:cs="仿宋"/>
                <w:bCs/>
                <w:color w:val="auto"/>
                <w:kern w:val="2"/>
                <w:sz w:val="21"/>
                <w:szCs w:val="24"/>
                <w:highlight w:val="none"/>
                <w:lang w:val="en-US" w:eastAsia="zh-CN" w:bidi="ar-SA"/>
              </w:rPr>
            </w:pPr>
            <w:r>
              <w:rPr>
                <w:rFonts w:hint="eastAsia" w:ascii="仿宋" w:hAnsi="仿宋" w:eastAsia="仿宋" w:cs="仿宋"/>
                <w:bCs/>
                <w:color w:val="auto"/>
                <w:kern w:val="2"/>
                <w:sz w:val="21"/>
                <w:szCs w:val="24"/>
                <w:highlight w:val="none"/>
                <w:lang w:val="en-US" w:eastAsia="zh-CN" w:bidi="ar-SA"/>
              </w:rPr>
              <w:t>3</w:t>
            </w:r>
          </w:p>
        </w:tc>
        <w:tc>
          <w:tcPr>
            <w:tcW w:w="1643" w:type="dxa"/>
            <w:noWrap w:val="0"/>
            <w:vAlign w:val="center"/>
          </w:tcPr>
          <w:p>
            <w:pPr>
              <w:spacing w:line="360" w:lineRule="auto"/>
              <w:ind w:firstLine="480" w:firstLineChars="200"/>
              <w:jc w:val="both"/>
              <w:outlineLvl w:val="0"/>
              <w:rPr>
                <w:rFonts w:hint="default" w:ascii="仿宋" w:hAnsi="仿宋" w:eastAsia="仿宋" w:cs="仿宋_GB2312"/>
                <w:color w:val="auto"/>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w:t>
            </w:r>
          </w:p>
        </w:tc>
        <w:tc>
          <w:tcPr>
            <w:tcW w:w="7039" w:type="dxa"/>
            <w:noWrap w:val="0"/>
            <w:vAlign w:val="center"/>
          </w:tcPr>
          <w:p>
            <w:pPr>
              <w:spacing w:line="200" w:lineRule="atLeast"/>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bCs/>
                <w:color w:val="auto"/>
                <w:kern w:val="2"/>
                <w:sz w:val="21"/>
                <w:szCs w:val="24"/>
                <w:highlight w:val="none"/>
                <w:lang w:val="en-US" w:eastAsia="zh-CN" w:bidi="ar-SA"/>
              </w:rPr>
              <w:t>根据投标人针对本项目的服务承诺、响应措施、服务能力等进行评分。每一项内容得1分，本项最高得3分，不提供不得分。</w:t>
            </w:r>
          </w:p>
        </w:tc>
        <w:tc>
          <w:tcPr>
            <w:tcW w:w="955" w:type="dxa"/>
            <w:noWrap w:val="0"/>
            <w:vAlign w:val="center"/>
          </w:tcPr>
          <w:p>
            <w:pPr>
              <w:widowControl/>
              <w:spacing w:line="200" w:lineRule="atLeast"/>
              <w:jc w:val="center"/>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bCs/>
                <w:color w:val="auto"/>
                <w:highlight w:val="none"/>
                <w:lang w:val="en-US" w:eastAsia="zh-CN"/>
              </w:rPr>
              <w:t>3</w:t>
            </w:r>
          </w:p>
        </w:tc>
        <w:tc>
          <w:tcPr>
            <w:tcW w:w="1643" w:type="dxa"/>
            <w:noWrap w:val="0"/>
            <w:vAlign w:val="center"/>
          </w:tcPr>
          <w:p>
            <w:pPr>
              <w:spacing w:line="240" w:lineRule="auto"/>
              <w:jc w:val="center"/>
              <w:rPr>
                <w:rFonts w:hint="eastAsia" w:ascii="仿宋" w:hAnsi="仿宋" w:eastAsia="仿宋" w:cs="仿宋"/>
                <w:color w:val="auto"/>
                <w:szCs w:val="2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41" w:type="dxa"/>
            <w:noWrap w:val="0"/>
            <w:vAlign w:val="center"/>
          </w:tcPr>
          <w:p>
            <w:pPr>
              <w:spacing w:line="24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21</w:t>
            </w:r>
          </w:p>
        </w:tc>
        <w:tc>
          <w:tcPr>
            <w:tcW w:w="7039" w:type="dxa"/>
            <w:noWrap w:val="0"/>
            <w:vAlign w:val="center"/>
          </w:tcPr>
          <w:p>
            <w:pPr>
              <w:spacing w:line="200" w:lineRule="atLeast"/>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投标供应商具有质量管理体系认证证书、环境管理体系认证证书、职业健康安全管理体系认证证书的。每提供1个得1分，最高得3分。（需提供有效证书复印件并加盖公章）</w:t>
            </w:r>
          </w:p>
        </w:tc>
        <w:tc>
          <w:tcPr>
            <w:tcW w:w="955" w:type="dxa"/>
            <w:noWrap w:val="0"/>
            <w:vAlign w:val="center"/>
          </w:tcPr>
          <w:p>
            <w:pPr>
              <w:widowControl/>
              <w:spacing w:line="200" w:lineRule="atLeast"/>
              <w:jc w:val="center"/>
              <w:rPr>
                <w:rFonts w:hint="default" w:ascii="仿宋" w:hAnsi="仿宋" w:eastAsia="仿宋" w:cs="仿宋"/>
                <w:bCs/>
                <w:color w:val="auto"/>
                <w:kern w:val="2"/>
                <w:sz w:val="21"/>
                <w:szCs w:val="24"/>
                <w:highlight w:val="none"/>
                <w:lang w:val="en-US" w:eastAsia="zh-CN" w:bidi="ar-SA"/>
              </w:rPr>
            </w:pPr>
            <w:r>
              <w:rPr>
                <w:rFonts w:hint="eastAsia" w:ascii="仿宋" w:hAnsi="仿宋" w:eastAsia="仿宋" w:cs="仿宋"/>
                <w:bCs/>
                <w:color w:val="auto"/>
                <w:highlight w:val="none"/>
                <w:lang w:val="en-US" w:eastAsia="zh-CN"/>
              </w:rPr>
              <w:t>3</w:t>
            </w:r>
          </w:p>
        </w:tc>
        <w:tc>
          <w:tcPr>
            <w:tcW w:w="1643" w:type="dxa"/>
            <w:noWrap w:val="0"/>
            <w:vAlign w:val="center"/>
          </w:tcPr>
          <w:p>
            <w:pPr>
              <w:spacing w:line="240" w:lineRule="auto"/>
              <w:jc w:val="center"/>
              <w:rPr>
                <w:rFonts w:hint="default" w:ascii="仿宋" w:hAnsi="仿宋" w:eastAsia="仿宋" w:cs="仿宋"/>
                <w:color w:val="auto"/>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41" w:type="dxa"/>
            <w:noWrap w:val="0"/>
            <w:vAlign w:val="center"/>
          </w:tcPr>
          <w:p>
            <w:pPr>
              <w:spacing w:line="24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22</w:t>
            </w:r>
          </w:p>
        </w:tc>
        <w:tc>
          <w:tcPr>
            <w:tcW w:w="7039" w:type="dxa"/>
            <w:noWrap w:val="0"/>
            <w:vAlign w:val="center"/>
          </w:tcPr>
          <w:p>
            <w:pPr>
              <w:widowControl/>
              <w:spacing w:line="200" w:lineRule="atLeas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highlight w:val="none"/>
              </w:rPr>
              <w:t>自20</w:t>
            </w:r>
            <w:r>
              <w:rPr>
                <w:rFonts w:hint="eastAsia" w:ascii="仿宋" w:hAnsi="仿宋" w:eastAsia="仿宋" w:cs="仿宋"/>
                <w:bCs/>
                <w:color w:val="auto"/>
                <w:highlight w:val="none"/>
                <w:lang w:val="en-US" w:eastAsia="zh-CN"/>
              </w:rPr>
              <w:t>20</w:t>
            </w:r>
            <w:r>
              <w:rPr>
                <w:rFonts w:hint="eastAsia" w:ascii="仿宋" w:hAnsi="仿宋" w:eastAsia="仿宋" w:cs="仿宋"/>
                <w:bCs/>
                <w:color w:val="auto"/>
                <w:highlight w:val="none"/>
              </w:rPr>
              <w:t>年1月1日至今，投标单位</w:t>
            </w:r>
            <w:r>
              <w:rPr>
                <w:rFonts w:hint="eastAsia" w:ascii="仿宋" w:hAnsi="仿宋" w:eastAsia="仿宋" w:cs="仿宋"/>
                <w:bCs/>
                <w:color w:val="auto"/>
                <w:highlight w:val="none"/>
                <w:lang w:val="en-US" w:eastAsia="zh-CN"/>
              </w:rPr>
              <w:t>独立承接过水利工程质量安全监督第三方服务</w:t>
            </w:r>
            <w:r>
              <w:rPr>
                <w:rFonts w:hint="eastAsia" w:ascii="仿宋" w:hAnsi="仿宋" w:eastAsia="仿宋" w:cs="仿宋"/>
                <w:bCs/>
                <w:color w:val="auto"/>
                <w:highlight w:val="none"/>
              </w:rPr>
              <w:t>每提供一个得</w:t>
            </w:r>
            <w:r>
              <w:rPr>
                <w:rFonts w:hint="eastAsia" w:ascii="仿宋" w:hAnsi="仿宋" w:eastAsia="仿宋" w:cs="仿宋"/>
                <w:bCs/>
                <w:color w:val="auto"/>
                <w:highlight w:val="none"/>
                <w:lang w:val="en-US" w:eastAsia="zh-CN"/>
              </w:rPr>
              <w:t>0.5</w:t>
            </w:r>
            <w:r>
              <w:rPr>
                <w:rFonts w:hint="eastAsia" w:ascii="仿宋" w:hAnsi="仿宋" w:eastAsia="仿宋" w:cs="仿宋"/>
                <w:bCs/>
                <w:color w:val="auto"/>
                <w:highlight w:val="none"/>
              </w:rPr>
              <w:t>分，最高得</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分。（须提供相关合同复印件并加盖公章。)</w:t>
            </w:r>
          </w:p>
        </w:tc>
        <w:tc>
          <w:tcPr>
            <w:tcW w:w="955" w:type="dxa"/>
            <w:noWrap w:val="0"/>
            <w:vAlign w:val="center"/>
          </w:tcPr>
          <w:p>
            <w:pPr>
              <w:widowControl/>
              <w:spacing w:line="200" w:lineRule="atLeas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highlight w:val="none"/>
                <w:lang w:val="en-US" w:eastAsia="zh-CN"/>
              </w:rPr>
              <w:t>1</w:t>
            </w:r>
          </w:p>
        </w:tc>
        <w:tc>
          <w:tcPr>
            <w:tcW w:w="1643" w:type="dxa"/>
            <w:noWrap w:val="0"/>
            <w:vAlign w:val="center"/>
          </w:tcPr>
          <w:p>
            <w:pPr>
              <w:spacing w:line="240" w:lineRule="auto"/>
              <w:jc w:val="center"/>
              <w:rPr>
                <w:rFonts w:hint="eastAsia" w:ascii="仿宋" w:hAnsi="仿宋" w:eastAsia="仿宋" w:cs="仿宋"/>
                <w:color w:val="auto"/>
                <w:szCs w:val="2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1" w:type="dxa"/>
            <w:noWrap w:val="0"/>
            <w:vAlign w:val="center"/>
          </w:tcPr>
          <w:p>
            <w:pPr>
              <w:spacing w:line="24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23</w:t>
            </w:r>
          </w:p>
        </w:tc>
        <w:tc>
          <w:tcPr>
            <w:tcW w:w="7039" w:type="dxa"/>
            <w:noWrap w:val="0"/>
            <w:vAlign w:val="center"/>
          </w:tcPr>
          <w:p>
            <w:pPr>
              <w:widowControl/>
              <w:jc w:val="lef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投标供应商</w:t>
            </w:r>
            <w:r>
              <w:rPr>
                <w:rFonts w:hint="eastAsia" w:ascii="仿宋" w:hAnsi="仿宋" w:eastAsia="仿宋" w:cs="仿宋"/>
                <w:color w:val="auto"/>
                <w:highlight w:val="none"/>
                <w:lang w:val="en-US" w:eastAsia="zh-CN"/>
              </w:rPr>
              <w:t>承诺或现有</w:t>
            </w:r>
            <w:r>
              <w:rPr>
                <w:rFonts w:hint="eastAsia" w:ascii="仿宋" w:hAnsi="仿宋" w:eastAsia="仿宋" w:cs="仿宋"/>
                <w:color w:val="auto"/>
                <w:highlight w:val="none"/>
              </w:rPr>
              <w:t>建德地区范围提供服务</w:t>
            </w:r>
            <w:r>
              <w:rPr>
                <w:rFonts w:hint="eastAsia" w:ascii="仿宋" w:hAnsi="仿宋" w:eastAsia="仿宋" w:cs="仿宋"/>
                <w:color w:val="auto"/>
                <w:highlight w:val="none"/>
                <w:lang w:val="en-US" w:eastAsia="zh-CN"/>
              </w:rPr>
              <w:t>网点</w:t>
            </w:r>
            <w:r>
              <w:rPr>
                <w:rFonts w:hint="eastAsia" w:ascii="仿宋" w:hAnsi="仿宋" w:eastAsia="仿宋" w:cs="仿宋"/>
                <w:color w:val="auto"/>
                <w:highlight w:val="none"/>
              </w:rPr>
              <w:t>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分；杭州地区</w:t>
            </w:r>
            <w:r>
              <w:rPr>
                <w:rFonts w:hint="eastAsia" w:ascii="仿宋" w:hAnsi="仿宋" w:eastAsia="仿宋" w:cs="仿宋"/>
                <w:color w:val="auto"/>
                <w:highlight w:val="none"/>
                <w:lang w:val="en-US" w:eastAsia="zh-CN"/>
              </w:rPr>
              <w:t>范围内</w:t>
            </w:r>
            <w:r>
              <w:rPr>
                <w:rFonts w:hint="eastAsia" w:ascii="仿宋" w:hAnsi="仿宋" w:eastAsia="仿宋" w:cs="仿宋"/>
                <w:color w:val="auto"/>
                <w:highlight w:val="none"/>
              </w:rPr>
              <w:t>的得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其他地区不得分</w:t>
            </w:r>
            <w:r>
              <w:rPr>
                <w:rFonts w:hint="eastAsia" w:ascii="仿宋" w:hAnsi="仿宋" w:eastAsia="仿宋" w:cs="仿宋"/>
                <w:color w:val="auto"/>
                <w:highlight w:val="none"/>
              </w:rPr>
              <w:t>。（须提供相关证明材料</w:t>
            </w:r>
            <w:r>
              <w:rPr>
                <w:rFonts w:hint="eastAsia" w:ascii="仿宋" w:hAnsi="仿宋" w:eastAsia="仿宋" w:cs="仿宋"/>
                <w:color w:val="auto"/>
                <w:highlight w:val="none"/>
                <w:lang w:val="en-US" w:eastAsia="zh-CN"/>
              </w:rPr>
              <w:t>或承诺函</w:t>
            </w:r>
            <w:r>
              <w:rPr>
                <w:rFonts w:hint="eastAsia" w:ascii="仿宋" w:hAnsi="仿宋" w:eastAsia="仿宋" w:cs="仿宋"/>
                <w:color w:val="auto"/>
                <w:highlight w:val="none"/>
              </w:rPr>
              <w:t>复印件并加盖公章）</w:t>
            </w:r>
          </w:p>
        </w:tc>
        <w:tc>
          <w:tcPr>
            <w:tcW w:w="955" w:type="dxa"/>
            <w:noWrap w:val="0"/>
            <w:vAlign w:val="center"/>
          </w:tcPr>
          <w:p>
            <w:pPr>
              <w:widowControl/>
              <w:spacing w:line="200" w:lineRule="atLeas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highlight w:val="none"/>
                <w:lang w:val="en-US" w:eastAsia="zh-CN"/>
              </w:rPr>
              <w:t>2</w:t>
            </w:r>
          </w:p>
        </w:tc>
        <w:tc>
          <w:tcPr>
            <w:tcW w:w="1643" w:type="dxa"/>
            <w:noWrap w:val="0"/>
            <w:vAlign w:val="center"/>
          </w:tcPr>
          <w:p>
            <w:pPr>
              <w:spacing w:line="240" w:lineRule="auto"/>
              <w:jc w:val="center"/>
              <w:rPr>
                <w:rFonts w:hint="eastAsia" w:ascii="仿宋" w:hAnsi="仿宋" w:eastAsia="仿宋" w:cs="仿宋"/>
                <w:color w:val="auto"/>
                <w:szCs w:val="2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1" w:type="dxa"/>
            <w:noWrap w:val="0"/>
            <w:vAlign w:val="center"/>
          </w:tcPr>
          <w:p>
            <w:pPr>
              <w:spacing w:line="24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24</w:t>
            </w:r>
          </w:p>
        </w:tc>
        <w:tc>
          <w:tcPr>
            <w:tcW w:w="7039" w:type="dxa"/>
            <w:noWrap w:val="0"/>
            <w:vAlign w:val="center"/>
          </w:tcPr>
          <w:p>
            <w:pPr>
              <w:widowControl/>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负责人具有水利相关专业的高级工程师职称的得1分，具有注册在投标人单位的水利部（或中国水利工程协会）颁发的水利工程建设监理工程师资格证书的得2分，具有住房和城乡建设部注册监理工程师证书的得2分，此项最高得5分。</w:t>
            </w:r>
          </w:p>
        </w:tc>
        <w:tc>
          <w:tcPr>
            <w:tcW w:w="955" w:type="dxa"/>
            <w:noWrap w:val="0"/>
            <w:vAlign w:val="center"/>
          </w:tcPr>
          <w:p>
            <w:pPr>
              <w:widowControl/>
              <w:spacing w:line="200" w:lineRule="atLeast"/>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5</w:t>
            </w:r>
          </w:p>
        </w:tc>
        <w:tc>
          <w:tcPr>
            <w:tcW w:w="1643" w:type="dxa"/>
            <w:noWrap w:val="0"/>
            <w:vAlign w:val="center"/>
          </w:tcPr>
          <w:p>
            <w:pPr>
              <w:spacing w:line="240" w:lineRule="auto"/>
              <w:jc w:val="center"/>
              <w:rPr>
                <w:rFonts w:hint="eastAsia" w:ascii="仿宋" w:hAnsi="仿宋" w:eastAsia="仿宋" w:cs="仿宋"/>
                <w:color w:val="auto"/>
                <w:szCs w:val="20"/>
                <w:highlight w:val="none"/>
                <w:lang w:eastAsia="zh-CN"/>
              </w:rPr>
            </w:pPr>
          </w:p>
        </w:tc>
      </w:tr>
    </w:tbl>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b w:val="0"/>
          <w:bCs/>
          <w:color w:val="auto"/>
          <w:kern w:val="0"/>
          <w:sz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19"/>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9"/>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9"/>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9"/>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9"/>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9"/>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412" w:name="第五部分"/>
      <w:bookmarkStart w:id="413"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pStyle w:val="79"/>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79"/>
        <w:rPr>
          <w:rFonts w:hint="eastAsia" w:ascii="仿宋" w:hAnsi="仿宋" w:eastAsia="仿宋" w:cs="仿宋"/>
          <w:b/>
          <w:color w:val="auto"/>
          <w:sz w:val="36"/>
          <w:szCs w:val="36"/>
          <w:highlight w:val="none"/>
        </w:rPr>
      </w:pPr>
    </w:p>
    <w:p>
      <w:pPr>
        <w:pStyle w:val="79"/>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79"/>
        <w:rPr>
          <w:rFonts w:hint="eastAsia"/>
          <w:color w:val="auto"/>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以最终合同为准）</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pPr>
        <w:pStyle w:val="699"/>
        <w:rPr>
          <w:rFonts w:hint="eastAsia" w:ascii="仿宋" w:hAnsi="仿宋" w:eastAsia="仿宋" w:cs="仿宋"/>
          <w:color w:val="auto"/>
          <w:szCs w:val="24"/>
          <w:highlight w:val="none"/>
        </w:rPr>
      </w:pPr>
    </w:p>
    <w:p>
      <w:pPr>
        <w:pStyle w:val="699"/>
        <w:jc w:val="center"/>
        <w:rPr>
          <w:rFonts w:hint="eastAsia" w:ascii="仿宋" w:hAnsi="仿宋" w:eastAsia="仿宋" w:cs="仿宋"/>
          <w:color w:val="auto"/>
          <w:szCs w:val="24"/>
          <w:highlight w:val="none"/>
        </w:rPr>
      </w:pPr>
    </w:p>
    <w:p>
      <w:pPr>
        <w:pStyle w:val="19"/>
        <w:rPr>
          <w:rFonts w:hint="eastAsia" w:ascii="仿宋" w:hAnsi="仿宋" w:eastAsia="仿宋" w:cs="仿宋"/>
          <w:color w:val="auto"/>
          <w:szCs w:val="24"/>
          <w:highlight w:val="none"/>
        </w:rPr>
      </w:pPr>
    </w:p>
    <w:p>
      <w:pPr>
        <w:pStyle w:val="18"/>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699"/>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2023年度建德市山塘建设管理第三方技术支撑服务采购项目</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p>
    <w:p>
      <w:pPr>
        <w:spacing w:before="120" w:line="22" w:lineRule="atLeas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建德市水利局</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2023</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建德市水利局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建德市水利局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414" w:name="_Toc3029"/>
      <w:bookmarkStart w:id="415" w:name="_Toc2232"/>
      <w:bookmarkStart w:id="416" w:name="_Toc24059"/>
      <w:r>
        <w:rPr>
          <w:rFonts w:hint="eastAsia" w:ascii="仿宋" w:hAnsi="仿宋" w:eastAsia="仿宋" w:cs="仿宋"/>
          <w:b/>
          <w:color w:val="auto"/>
          <w:sz w:val="24"/>
          <w:highlight w:val="none"/>
        </w:rPr>
        <w:t>1.1 合同组成部分</w:t>
      </w:r>
      <w:bookmarkEnd w:id="414"/>
      <w:bookmarkEnd w:id="415"/>
      <w:bookmarkEnd w:id="41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仿宋" w:hAnsi="仿宋" w:eastAsia="仿宋" w:cs="仿宋"/>
          <w:b/>
          <w:color w:val="auto"/>
          <w:sz w:val="24"/>
          <w:highlight w:val="none"/>
          <w:lang w:eastAsia="zh-CN"/>
        </w:rPr>
      </w:pPr>
      <w:bookmarkStart w:id="417" w:name="_Toc21295"/>
      <w:bookmarkStart w:id="418" w:name="_Toc24300"/>
      <w:bookmarkStart w:id="419" w:name="_Toc27126"/>
      <w:bookmarkStart w:id="420" w:name="_Toc22618"/>
      <w:bookmarkStart w:id="421" w:name="_Toc1814"/>
      <w:bookmarkStart w:id="422" w:name="_Toc10340"/>
      <w:r>
        <w:rPr>
          <w:rFonts w:hint="eastAsia" w:ascii="仿宋" w:hAnsi="仿宋" w:eastAsia="仿宋" w:cs="仿宋"/>
          <w:b/>
          <w:color w:val="auto"/>
          <w:sz w:val="24"/>
          <w:highlight w:val="none"/>
        </w:rPr>
        <w:t xml:space="preserve">1.2 </w:t>
      </w:r>
      <w:bookmarkEnd w:id="417"/>
      <w:bookmarkEnd w:id="418"/>
      <w:bookmarkEnd w:id="419"/>
      <w:r>
        <w:rPr>
          <w:rFonts w:hint="eastAsia" w:ascii="仿宋" w:hAnsi="仿宋" w:eastAsia="仿宋" w:cs="仿宋"/>
          <w:b/>
          <w:color w:val="auto"/>
          <w:sz w:val="24"/>
          <w:highlight w:val="none"/>
          <w:lang w:eastAsia="zh-CN"/>
        </w:rPr>
        <w:t>服务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1.2.1 </w:t>
      </w:r>
      <w:r>
        <w:rPr>
          <w:rFonts w:hint="eastAsia" w:ascii="仿宋" w:hAnsi="仿宋" w:eastAsia="仿宋" w:cs="仿宋"/>
          <w:b w:val="0"/>
          <w:bCs/>
          <w:color w:val="auto"/>
          <w:sz w:val="24"/>
          <w:highlight w:val="none"/>
          <w:lang w:eastAsia="zh-CN"/>
        </w:rPr>
        <w:t>服务</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2023年度建德市山塘建设管理第三方技术支撑服务采购项目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1.2.2 </w:t>
      </w:r>
      <w:r>
        <w:rPr>
          <w:rFonts w:hint="eastAsia" w:ascii="仿宋" w:hAnsi="仿宋" w:eastAsia="仿宋" w:cs="仿宋"/>
          <w:b w:val="0"/>
          <w:bCs/>
          <w:color w:val="auto"/>
          <w:sz w:val="24"/>
          <w:highlight w:val="none"/>
          <w:lang w:eastAsia="zh-CN"/>
        </w:rPr>
        <w:t>服务</w:t>
      </w:r>
      <w:r>
        <w:rPr>
          <w:rFonts w:hint="eastAsia" w:ascii="仿宋" w:hAnsi="仿宋" w:eastAsia="仿宋" w:cs="仿宋"/>
          <w:color w:val="auto"/>
          <w:sz w:val="24"/>
          <w:highlight w:val="none"/>
          <w:lang w:eastAsia="zh-CN"/>
        </w:rPr>
        <w:t>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2023年度建德市山塘建设管理第三方技术支撑服务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1.2.3 </w:t>
      </w:r>
      <w:r>
        <w:rPr>
          <w:rFonts w:hint="eastAsia" w:ascii="仿宋" w:hAnsi="仿宋" w:eastAsia="仿宋" w:cs="仿宋"/>
          <w:b w:val="0"/>
          <w:bCs/>
          <w:color w:val="auto"/>
          <w:sz w:val="24"/>
          <w:highlight w:val="none"/>
          <w:lang w:eastAsia="zh-CN"/>
        </w:rPr>
        <w:t>服务</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u w:val="single"/>
        </w:rPr>
        <w:t>根据采购文件确定的技术指标或者服务要求确定验收指标和标准。未进行相应约定的，应当符合国家强制性规定、政策要求、安全标准、行业或企业有关标准等。</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仿宋" w:hAnsi="仿宋" w:eastAsia="仿宋" w:cs="仿宋"/>
          <w:b/>
          <w:color w:val="auto"/>
          <w:sz w:val="24"/>
          <w:highlight w:val="none"/>
        </w:rPr>
      </w:pPr>
      <w:bookmarkStart w:id="423" w:name="_Toc21631"/>
      <w:bookmarkStart w:id="424" w:name="_Toc21551"/>
      <w:bookmarkStart w:id="425" w:name="_Toc23292"/>
      <w:r>
        <w:rPr>
          <w:rFonts w:hint="eastAsia" w:ascii="仿宋" w:hAnsi="仿宋" w:eastAsia="仿宋" w:cs="仿宋"/>
          <w:b/>
          <w:color w:val="auto"/>
          <w:sz w:val="24"/>
          <w:highlight w:val="none"/>
        </w:rPr>
        <w:t>1.3 价款</w:t>
      </w:r>
      <w:bookmarkEnd w:id="423"/>
      <w:bookmarkEnd w:id="424"/>
      <w:bookmarkEnd w:id="425"/>
    </w:p>
    <w:tbl>
      <w:tblPr>
        <w:tblStyle w:val="62"/>
        <w:tblW w:w="9537" w:type="dxa"/>
        <w:jc w:val="center"/>
        <w:tblLayout w:type="fixed"/>
        <w:tblCellMar>
          <w:top w:w="0" w:type="dxa"/>
          <w:left w:w="108" w:type="dxa"/>
          <w:bottom w:w="0" w:type="dxa"/>
          <w:right w:w="108" w:type="dxa"/>
        </w:tblCellMar>
      </w:tblPr>
      <w:tblGrid>
        <w:gridCol w:w="896"/>
        <w:gridCol w:w="2485"/>
        <w:gridCol w:w="2910"/>
        <w:gridCol w:w="2156"/>
        <w:gridCol w:w="1090"/>
      </w:tblGrid>
      <w:tr>
        <w:tblPrEx>
          <w:tblCellMar>
            <w:top w:w="0" w:type="dxa"/>
            <w:left w:w="108" w:type="dxa"/>
            <w:bottom w:w="0" w:type="dxa"/>
            <w:right w:w="108" w:type="dxa"/>
          </w:tblCellMar>
        </w:tblPrEx>
        <w:trPr>
          <w:trHeight w:val="25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spacing w:line="56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85" w:type="dxa"/>
            <w:tcBorders>
              <w:top w:val="single" w:color="auto" w:sz="4" w:space="0"/>
              <w:left w:val="nil"/>
              <w:bottom w:val="single" w:color="auto" w:sz="4" w:space="0"/>
              <w:right w:val="single" w:color="auto" w:sz="4" w:space="0"/>
            </w:tcBorders>
            <w:vAlign w:val="center"/>
          </w:tcPr>
          <w:p>
            <w:pPr>
              <w:spacing w:line="560" w:lineRule="exact"/>
              <w:ind w:firstLine="723" w:firstLineChars="3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服务内容</w:t>
            </w:r>
          </w:p>
        </w:tc>
        <w:tc>
          <w:tcPr>
            <w:tcW w:w="2910" w:type="dxa"/>
            <w:tcBorders>
              <w:top w:val="single" w:color="auto" w:sz="4" w:space="0"/>
              <w:left w:val="nil"/>
              <w:bottom w:val="single" w:color="auto" w:sz="4" w:space="0"/>
              <w:right w:val="single" w:color="auto" w:sz="4" w:space="0"/>
            </w:tcBorders>
            <w:vAlign w:val="center"/>
          </w:tcPr>
          <w:p>
            <w:pPr>
              <w:spacing w:line="560" w:lineRule="exact"/>
              <w:ind w:firstLine="964" w:firstLineChars="4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156" w:type="dxa"/>
            <w:tcBorders>
              <w:top w:val="single" w:color="auto" w:sz="4" w:space="0"/>
              <w:left w:val="nil"/>
              <w:bottom w:val="single" w:color="auto" w:sz="4" w:space="0"/>
              <w:right w:val="single" w:color="auto" w:sz="4" w:space="0"/>
            </w:tcBorders>
            <w:vAlign w:val="center"/>
          </w:tcPr>
          <w:p>
            <w:pPr>
              <w:spacing w:line="560" w:lineRule="exact"/>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中标价</w:t>
            </w:r>
          </w:p>
        </w:tc>
        <w:tc>
          <w:tcPr>
            <w:tcW w:w="1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41" w:firstLineChars="1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CellMar>
            <w:top w:w="0" w:type="dxa"/>
            <w:left w:w="108" w:type="dxa"/>
            <w:bottom w:w="0" w:type="dxa"/>
            <w:right w:w="108" w:type="dxa"/>
          </w:tblCellMar>
        </w:tblPrEx>
        <w:trPr>
          <w:trHeight w:val="25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2485" w:type="dxa"/>
            <w:tcBorders>
              <w:top w:val="single" w:color="auto" w:sz="4" w:space="0"/>
              <w:left w:val="nil"/>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2910" w:type="dxa"/>
            <w:tcBorders>
              <w:top w:val="single" w:color="auto" w:sz="4" w:space="0"/>
              <w:left w:val="nil"/>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2156" w:type="dxa"/>
            <w:tcBorders>
              <w:top w:val="single" w:color="auto" w:sz="4" w:space="0"/>
              <w:left w:val="nil"/>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r>
      <w:tr>
        <w:tblPrEx>
          <w:tblCellMar>
            <w:top w:w="0" w:type="dxa"/>
            <w:left w:w="108" w:type="dxa"/>
            <w:bottom w:w="0" w:type="dxa"/>
            <w:right w:w="108" w:type="dxa"/>
          </w:tblCellMar>
        </w:tblPrEx>
        <w:trPr>
          <w:trHeight w:val="25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2485" w:type="dxa"/>
            <w:tcBorders>
              <w:top w:val="single" w:color="auto" w:sz="4" w:space="0"/>
              <w:left w:val="nil"/>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2910" w:type="dxa"/>
            <w:tcBorders>
              <w:top w:val="single" w:color="auto" w:sz="4" w:space="0"/>
              <w:left w:val="nil"/>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2156" w:type="dxa"/>
            <w:tcBorders>
              <w:top w:val="single" w:color="auto" w:sz="4" w:space="0"/>
              <w:left w:val="nil"/>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p>
        </w:tc>
      </w:tr>
      <w:tr>
        <w:tblPrEx>
          <w:tblCellMar>
            <w:top w:w="0" w:type="dxa"/>
            <w:left w:w="108" w:type="dxa"/>
            <w:bottom w:w="0" w:type="dxa"/>
            <w:right w:w="108" w:type="dxa"/>
          </w:tblCellMar>
        </w:tblPrEx>
        <w:trPr>
          <w:trHeight w:val="261" w:hRule="atLeast"/>
          <w:jc w:val="center"/>
        </w:trPr>
        <w:tc>
          <w:tcPr>
            <w:tcW w:w="9537"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大写：                                                               </w:t>
            </w:r>
          </w:p>
        </w:tc>
      </w:tr>
    </w:tbl>
    <w:p>
      <w:pPr>
        <w:spacing w:line="560" w:lineRule="exact"/>
        <w:ind w:firstLine="482" w:firstLineChars="200"/>
        <w:outlineLvl w:val="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val="0"/>
          <w:bCs w:val="0"/>
          <w:color w:val="auto"/>
          <w:sz w:val="24"/>
          <w:highlight w:val="none"/>
        </w:rPr>
        <w:t>以上金额包括整个服务期内所需的一切人工费、办公场地费用、管理费、工具、设备、保险、交通、利润、验收、税收（包含须由供应商承担的各项税费）、其他辅助工作等完成本项目的所有费用等</w:t>
      </w:r>
      <w:r>
        <w:rPr>
          <w:rFonts w:hint="eastAsia" w:ascii="仿宋" w:hAnsi="仿宋" w:eastAsia="仿宋" w:cs="仿宋"/>
          <w:b w:val="0"/>
          <w:bCs w:val="0"/>
          <w:color w:val="auto"/>
          <w:sz w:val="24"/>
          <w:highlight w:val="none"/>
          <w:lang w:eastAsia="zh-CN"/>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付款</w:t>
      </w:r>
      <w:bookmarkEnd w:id="420"/>
      <w:bookmarkEnd w:id="421"/>
      <w:bookmarkEnd w:id="422"/>
      <w:r>
        <w:rPr>
          <w:rFonts w:hint="eastAsia" w:ascii="仿宋" w:hAnsi="仿宋" w:eastAsia="仿宋" w:cs="仿宋"/>
          <w:b/>
          <w:color w:val="auto"/>
          <w:sz w:val="24"/>
          <w:highlight w:val="none"/>
        </w:rPr>
        <w:t>方式、时间和条件</w:t>
      </w:r>
    </w:p>
    <w:p>
      <w:pPr>
        <w:pStyle w:val="957"/>
        <w:keepNext w:val="0"/>
        <w:keepLines w:val="0"/>
        <w:pageBreakBefore w:val="0"/>
        <w:kinsoku/>
        <w:wordWrap/>
        <w:overflowPunct/>
        <w:topLinePunct w:val="0"/>
        <w:bidi w:val="0"/>
        <w:snapToGrid/>
        <w:spacing w:before="0" w:beforeAutospacing="0" w:after="0" w:afterAutospacing="0" w:line="440" w:lineRule="exact"/>
        <w:ind w:firstLine="480"/>
        <w:textAlignment w:val="auto"/>
        <w:rPr>
          <w:rFonts w:hint="eastAsia" w:ascii="仿宋" w:hAnsi="仿宋" w:eastAsia="仿宋" w:cs="仿宋"/>
          <w:color w:val="auto"/>
          <w:highlight w:val="none"/>
        </w:rPr>
      </w:pPr>
      <w:bookmarkStart w:id="426" w:name="_Toc2846"/>
      <w:bookmarkStart w:id="427" w:name="_Toc19304"/>
      <w:bookmarkStart w:id="428" w:name="_Toc32071"/>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w:t>
      </w:r>
      <w:r>
        <w:rPr>
          <w:rFonts w:hint="eastAsia" w:ascii="仿宋" w:hAnsi="仿宋" w:eastAsia="仿宋" w:cs="仿宋"/>
          <w:color w:val="auto"/>
          <w:highlight w:val="none"/>
        </w:rPr>
        <w:t>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1.4.2甲方在政府采购合同中约定预付款，对于中小企业合同预付款比例原则上不低于合同金额的</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%，不高于合同金额的70%；项目分年安排预算的，每年预付款比例不低于合同金额的</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％，不高于年度计划支付资金额的70%。采购项目实施以人工投入为主的，可适当降低预付款比例，但不低于20%。乙方可登录政采云前台大厅选择金融服务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kinsoku/>
        <w:wordWrap/>
        <w:overflowPunct/>
        <w:topLinePunct w:val="0"/>
        <w:bidi w:val="0"/>
        <w:snapToGrid/>
        <w:spacing w:line="440" w:lineRule="exact"/>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bookmarkEnd w:id="426"/>
    <w:bookmarkEnd w:id="427"/>
    <w:bookmarkEnd w:id="428"/>
    <w:p>
      <w:pPr>
        <w:keepNext w:val="0"/>
        <w:keepLines w:val="0"/>
        <w:pageBreakBefore w:val="0"/>
        <w:kinsoku/>
        <w:wordWrap/>
        <w:overflowPunct/>
        <w:topLinePunct w:val="0"/>
        <w:bidi w:val="0"/>
        <w:snapToGrid/>
        <w:spacing w:line="440" w:lineRule="exact"/>
        <w:ind w:firstLine="482" w:firstLineChars="200"/>
        <w:textAlignment w:val="auto"/>
        <w:outlineLvl w:val="0"/>
        <w:rPr>
          <w:rFonts w:hint="eastAsia" w:ascii="仿宋" w:hAnsi="仿宋" w:eastAsia="仿宋" w:cs="仿宋"/>
          <w:b/>
          <w:color w:val="auto"/>
          <w:sz w:val="24"/>
          <w:highlight w:val="none"/>
          <w:lang w:eastAsia="zh-CN"/>
        </w:rPr>
      </w:pPr>
      <w:bookmarkStart w:id="429" w:name="_Toc331685783"/>
      <w:r>
        <w:rPr>
          <w:rFonts w:hint="eastAsia" w:ascii="仿宋" w:hAnsi="仿宋" w:eastAsia="仿宋" w:cs="仿宋"/>
          <w:b/>
          <w:color w:val="auto"/>
          <w:sz w:val="24"/>
          <w:highlight w:val="none"/>
        </w:rPr>
        <w:t xml:space="preserve">1.5 </w:t>
      </w:r>
      <w:r>
        <w:rPr>
          <w:rFonts w:hint="eastAsia" w:ascii="仿宋" w:hAnsi="仿宋" w:eastAsia="仿宋" w:cs="仿宋"/>
          <w:b/>
          <w:color w:val="auto"/>
          <w:sz w:val="24"/>
          <w:highlight w:val="none"/>
          <w:lang w:eastAsia="zh-CN"/>
        </w:rPr>
        <w:t>服务</w:t>
      </w:r>
      <w:r>
        <w:rPr>
          <w:rFonts w:hint="eastAsia" w:ascii="仿宋" w:hAnsi="仿宋" w:eastAsia="仿宋" w:cs="仿宋"/>
          <w:b/>
          <w:color w:val="auto"/>
          <w:sz w:val="24"/>
          <w:highlight w:val="none"/>
        </w:rPr>
        <w:t>期限、地点和</w:t>
      </w:r>
      <w:r>
        <w:rPr>
          <w:rFonts w:hint="eastAsia" w:ascii="仿宋" w:hAnsi="仿宋" w:eastAsia="仿宋" w:cs="仿宋"/>
          <w:b/>
          <w:color w:val="auto"/>
          <w:sz w:val="24"/>
          <w:highlight w:val="none"/>
          <w:lang w:eastAsia="zh-CN"/>
        </w:rPr>
        <w:t>内容</w:t>
      </w:r>
    </w:p>
    <w:p>
      <w:pPr>
        <w:keepNext w:val="0"/>
        <w:keepLines w:val="0"/>
        <w:pageBreakBefore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1.5.1服务期限：详见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1.5.2服务地点：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 服务内容：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spacing w:line="440" w:lineRule="exact"/>
        <w:ind w:firstLine="482" w:firstLineChars="200"/>
        <w:textAlignment w:val="auto"/>
        <w:outlineLvl w:val="0"/>
        <w:rPr>
          <w:rFonts w:hint="eastAsia" w:ascii="仿宋" w:hAnsi="仿宋" w:eastAsia="仿宋" w:cs="仿宋"/>
          <w:b/>
          <w:color w:val="auto"/>
          <w:sz w:val="24"/>
          <w:highlight w:val="none"/>
        </w:rPr>
      </w:pPr>
      <w:bookmarkStart w:id="430" w:name="_Toc21423"/>
      <w:bookmarkStart w:id="431" w:name="_Toc19554"/>
      <w:bookmarkStart w:id="432" w:name="_Toc27250"/>
      <w:r>
        <w:rPr>
          <w:rFonts w:hint="eastAsia" w:ascii="仿宋" w:hAnsi="仿宋" w:eastAsia="仿宋" w:cs="仿宋"/>
          <w:b/>
          <w:color w:val="auto"/>
          <w:sz w:val="24"/>
          <w:highlight w:val="none"/>
        </w:rPr>
        <w:t>1.6 违约责任</w:t>
      </w:r>
      <w:bookmarkEnd w:id="430"/>
      <w:bookmarkEnd w:id="431"/>
      <w:bookmarkEnd w:id="432"/>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w:t>
      </w:r>
      <w:r>
        <w:rPr>
          <w:rFonts w:hint="eastAsia" w:ascii="仿宋" w:hAnsi="仿宋" w:eastAsia="仿宋" w:cs="仿宋"/>
          <w:color w:val="auto"/>
          <w:sz w:val="24"/>
          <w:highlight w:val="none"/>
          <w:lang w:eastAsia="zh-CN"/>
        </w:rPr>
        <w:t>内容完成服务</w:t>
      </w:r>
      <w:r>
        <w:rPr>
          <w:rFonts w:hint="eastAsia" w:ascii="仿宋" w:hAnsi="仿宋" w:eastAsia="仿宋" w:cs="仿宋"/>
          <w:color w:val="auto"/>
          <w:sz w:val="24"/>
          <w:highlight w:val="none"/>
        </w:rPr>
        <w:t>，那么甲方可要求乙方支付违约金，违约金按每迟延</w:t>
      </w:r>
      <w:r>
        <w:rPr>
          <w:rFonts w:hint="eastAsia" w:ascii="仿宋" w:hAnsi="仿宋" w:eastAsia="仿宋" w:cs="仿宋"/>
          <w:color w:val="auto"/>
          <w:sz w:val="24"/>
          <w:highlight w:val="none"/>
          <w:lang w:eastAsia="zh-CN"/>
        </w:rPr>
        <w:t>完成服务</w:t>
      </w:r>
      <w:r>
        <w:rPr>
          <w:rFonts w:hint="eastAsia" w:ascii="仿宋" w:hAnsi="仿宋" w:eastAsia="仿宋" w:cs="仿宋"/>
          <w:color w:val="auto"/>
          <w:sz w:val="24"/>
          <w:highlight w:val="none"/>
        </w:rPr>
        <w:t>一日的应交付而未</w:t>
      </w:r>
      <w:r>
        <w:rPr>
          <w:rFonts w:hint="eastAsia" w:ascii="仿宋" w:hAnsi="仿宋" w:eastAsia="仿宋" w:cs="仿宋"/>
          <w:color w:val="auto"/>
          <w:sz w:val="24"/>
          <w:highlight w:val="none"/>
          <w:lang w:eastAsia="zh-CN"/>
        </w:rPr>
        <w:t>完成服务</w:t>
      </w:r>
      <w:r>
        <w:rPr>
          <w:rFonts w:hint="eastAsia" w:ascii="仿宋" w:hAnsi="仿宋" w:eastAsia="仿宋" w:cs="仿宋"/>
          <w:color w:val="auto"/>
          <w:sz w:val="24"/>
          <w:highlight w:val="none"/>
        </w:rPr>
        <w:t>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w:t>
      </w:r>
      <w:r>
        <w:rPr>
          <w:rFonts w:hint="eastAsia" w:ascii="仿宋" w:hAnsi="仿宋" w:eastAsia="仿宋" w:cs="仿宋"/>
          <w:color w:val="auto"/>
          <w:sz w:val="24"/>
          <w:highlight w:val="none"/>
          <w:lang w:eastAsia="zh-CN"/>
        </w:rPr>
        <w:t>完成服务</w:t>
      </w:r>
      <w:r>
        <w:rPr>
          <w:rFonts w:hint="eastAsia" w:ascii="仿宋" w:hAnsi="仿宋" w:eastAsia="仿宋" w:cs="仿宋"/>
          <w:color w:val="auto"/>
          <w:sz w:val="24"/>
          <w:highlight w:val="none"/>
        </w:rPr>
        <w:t>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440" w:lineRule="exact"/>
        <w:ind w:left="-420" w:leftChars="-200" w:right="-420" w:rightChars="-20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keepNext w:val="0"/>
        <w:keepLines w:val="0"/>
        <w:pageBreakBefore w:val="0"/>
        <w:kinsoku/>
        <w:wordWrap/>
        <w:overflowPunct/>
        <w:topLinePunct w:val="0"/>
        <w:bidi w:val="0"/>
        <w:snapToGrid/>
        <w:spacing w:line="440" w:lineRule="exact"/>
        <w:ind w:firstLine="482" w:firstLineChars="200"/>
        <w:textAlignment w:val="auto"/>
        <w:outlineLvl w:val="0"/>
        <w:rPr>
          <w:rFonts w:hint="eastAsia" w:ascii="仿宋" w:hAnsi="仿宋" w:eastAsia="仿宋" w:cs="仿宋"/>
          <w:b/>
          <w:color w:val="auto"/>
          <w:sz w:val="24"/>
          <w:highlight w:val="none"/>
        </w:rPr>
      </w:pPr>
      <w:bookmarkStart w:id="433" w:name="_Toc16021"/>
      <w:bookmarkStart w:id="434" w:name="_Toc15583"/>
      <w:bookmarkStart w:id="435" w:name="_Toc28375"/>
      <w:r>
        <w:rPr>
          <w:rFonts w:hint="eastAsia" w:ascii="仿宋" w:hAnsi="仿宋" w:eastAsia="仿宋" w:cs="仿宋"/>
          <w:b/>
          <w:color w:val="auto"/>
          <w:sz w:val="24"/>
          <w:highlight w:val="none"/>
        </w:rPr>
        <w:t>1.7 合同争议的解决</w:t>
      </w:r>
      <w:bookmarkEnd w:id="433"/>
      <w:bookmarkEnd w:id="434"/>
      <w:bookmarkEnd w:id="435"/>
    </w:p>
    <w:p>
      <w:pPr>
        <w:keepNext w:val="0"/>
        <w:keepLines w:val="0"/>
        <w:pageBreakBefore w:val="0"/>
        <w:kinsoku/>
        <w:wordWrap/>
        <w:overflowPunct/>
        <w:topLinePunct w:val="0"/>
        <w:bidi w:val="0"/>
        <w:snapToGrid/>
        <w:spacing w:line="440" w:lineRule="exact"/>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keepNext w:val="0"/>
        <w:keepLines w:val="0"/>
        <w:pageBreakBefore w:val="0"/>
        <w:kinsoku/>
        <w:wordWrap/>
        <w:overflowPunct/>
        <w:topLinePunct w:val="0"/>
        <w:bidi w:val="0"/>
        <w:snapToGrid/>
        <w:spacing w:line="440" w:lineRule="exact"/>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keepNext w:val="0"/>
        <w:keepLines w:val="0"/>
        <w:pageBreakBefore w:val="0"/>
        <w:kinsoku/>
        <w:wordWrap/>
        <w:overflowPunct/>
        <w:topLinePunct w:val="0"/>
        <w:bidi w:val="0"/>
        <w:snapToGrid/>
        <w:spacing w:line="440" w:lineRule="exact"/>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keepNext w:val="0"/>
        <w:keepLines w:val="0"/>
        <w:pageBreakBefore w:val="0"/>
        <w:kinsoku/>
        <w:wordWrap/>
        <w:overflowPunct/>
        <w:topLinePunct w:val="0"/>
        <w:bidi w:val="0"/>
        <w:snapToGrid/>
        <w:spacing w:line="440" w:lineRule="exact"/>
        <w:ind w:firstLine="482" w:firstLineChars="200"/>
        <w:textAlignment w:val="auto"/>
        <w:outlineLvl w:val="0"/>
        <w:rPr>
          <w:rFonts w:hint="eastAsia" w:ascii="仿宋" w:hAnsi="仿宋" w:eastAsia="仿宋" w:cs="仿宋"/>
          <w:b/>
          <w:color w:val="auto"/>
          <w:sz w:val="24"/>
          <w:highlight w:val="none"/>
        </w:rPr>
      </w:pPr>
      <w:bookmarkStart w:id="436" w:name="_Toc11173"/>
      <w:bookmarkStart w:id="437" w:name="_Toc15322"/>
      <w:bookmarkStart w:id="438" w:name="_Toc7245"/>
      <w:r>
        <w:rPr>
          <w:rFonts w:hint="eastAsia" w:ascii="仿宋" w:hAnsi="仿宋" w:eastAsia="仿宋" w:cs="仿宋"/>
          <w:b/>
          <w:color w:val="auto"/>
          <w:sz w:val="24"/>
          <w:highlight w:val="none"/>
        </w:rPr>
        <w:t>1.8 合同生效</w:t>
      </w:r>
      <w:bookmarkEnd w:id="436"/>
      <w:bookmarkEnd w:id="437"/>
      <w:bookmarkEnd w:id="438"/>
    </w:p>
    <w:p>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44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widowControl/>
        <w:spacing w:line="560" w:lineRule="exact"/>
        <w:jc w:val="left"/>
        <w:rPr>
          <w:rFonts w:hint="eastAsia" w:ascii="仿宋" w:hAnsi="仿宋" w:eastAsia="仿宋" w:cs="仿宋"/>
          <w:b/>
          <w:color w:val="auto"/>
          <w:sz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482"/>
        <w:jc w:val="center"/>
        <w:rPr>
          <w:rFonts w:hint="eastAsia" w:ascii="仿宋" w:hAnsi="仿宋" w:eastAsia="仿宋" w:cs="仿宋"/>
          <w:b/>
          <w:color w:val="auto"/>
          <w:szCs w:val="24"/>
          <w:highlight w:val="none"/>
        </w:rPr>
      </w:pPr>
    </w:p>
    <w:p>
      <w:pPr>
        <w:pStyle w:val="699"/>
        <w:spacing w:line="560" w:lineRule="exact"/>
        <w:ind w:firstLine="2409" w:firstLineChars="1000"/>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29"/>
    </w:p>
    <w:p>
      <w:pPr>
        <w:spacing w:line="360" w:lineRule="auto"/>
        <w:ind w:firstLine="482" w:firstLineChars="200"/>
        <w:outlineLvl w:val="0"/>
        <w:rPr>
          <w:rFonts w:hint="eastAsia" w:ascii="仿宋" w:hAnsi="仿宋" w:eastAsia="仿宋" w:cs="仿宋"/>
          <w:b/>
          <w:color w:val="auto"/>
          <w:sz w:val="24"/>
          <w:highlight w:val="none"/>
        </w:rPr>
      </w:pPr>
      <w:bookmarkStart w:id="439" w:name="_Ref467379101"/>
      <w:bookmarkStart w:id="440" w:name="_Ref467379195"/>
      <w:bookmarkStart w:id="441" w:name="_Toc16917"/>
      <w:bookmarkStart w:id="442" w:name="_Ref467379214"/>
      <w:bookmarkStart w:id="443" w:name="_Ref467379225"/>
      <w:bookmarkStart w:id="444" w:name="_Ref467379094"/>
      <w:bookmarkStart w:id="445" w:name="_Ref467378463"/>
      <w:bookmarkStart w:id="446" w:name="_Ref467379205"/>
      <w:bookmarkStart w:id="447" w:name="_Toc259093669"/>
      <w:bookmarkStart w:id="448" w:name="_Ref467379109"/>
      <w:bookmarkStart w:id="449" w:name="_Toc279701240"/>
      <w:bookmarkStart w:id="450" w:name="_Ref467378499"/>
      <w:bookmarkStart w:id="451" w:name="_Toc28763"/>
      <w:bookmarkStart w:id="452" w:name="_Ref467378404"/>
      <w:bookmarkStart w:id="453" w:name="_Toc19614"/>
      <w:bookmarkStart w:id="454" w:name="_Toc487900349"/>
      <w:r>
        <w:rPr>
          <w:rFonts w:hint="eastAsia" w:ascii="仿宋" w:hAnsi="仿宋" w:eastAsia="仿宋" w:cs="仿宋"/>
          <w:b/>
          <w:color w:val="auto"/>
          <w:sz w:val="24"/>
          <w:highlight w:val="none"/>
        </w:rPr>
        <w:t>2.1 定义</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根据合同约定应向采购人交付的一切各种形态和种类的</w:t>
      </w:r>
      <w:r>
        <w:rPr>
          <w:rFonts w:hint="eastAsia" w:ascii="仿宋" w:hAnsi="仿宋" w:eastAsia="仿宋" w:cs="仿宋"/>
          <w:color w:val="auto"/>
          <w:sz w:val="24"/>
          <w:highlight w:val="none"/>
          <w:lang w:eastAsia="zh-CN"/>
        </w:rPr>
        <w:t>服务和成果</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eastAsia="zh-CN"/>
        </w:rPr>
        <w:t>咨询服务、</w:t>
      </w:r>
      <w:r>
        <w:rPr>
          <w:rFonts w:hint="eastAsia" w:ascii="仿宋" w:hAnsi="仿宋" w:eastAsia="仿宋" w:cs="仿宋"/>
          <w:color w:val="auto"/>
          <w:sz w:val="24"/>
          <w:highlight w:val="none"/>
        </w:rPr>
        <w:t>评审服务</w:t>
      </w:r>
      <w:r>
        <w:rPr>
          <w:rFonts w:hint="eastAsia" w:ascii="仿宋" w:hAnsi="仿宋" w:eastAsia="仿宋" w:cs="仿宋"/>
          <w:color w:val="auto"/>
          <w:sz w:val="24"/>
          <w:highlight w:val="none"/>
          <w:lang w:eastAsia="zh-CN"/>
        </w:rPr>
        <w:t>、设计成果、</w:t>
      </w:r>
      <w:r>
        <w:rPr>
          <w:rFonts w:hint="eastAsia" w:ascii="仿宋" w:hAnsi="仿宋" w:eastAsia="仿宋" w:cs="仿宋"/>
          <w:color w:val="auto"/>
          <w:sz w:val="24"/>
          <w:highlight w:val="none"/>
        </w:rPr>
        <w:t>施工过程中的质量、进度的控制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合同、文档的管理等相关资料。</w:t>
      </w:r>
    </w:p>
    <w:p>
      <w:pPr>
        <w:spacing w:line="360" w:lineRule="auto"/>
        <w:ind w:firstLine="480" w:firstLineChars="200"/>
        <w:rPr>
          <w:rFonts w:hint="eastAsia" w:ascii="仿宋" w:hAnsi="仿宋" w:eastAsia="仿宋" w:cs="仿宋"/>
          <w:color w:val="auto"/>
          <w:sz w:val="24"/>
          <w:highlight w:val="none"/>
        </w:rPr>
      </w:pPr>
      <w:bookmarkStart w:id="455" w:name="_Ref467378840"/>
      <w:r>
        <w:rPr>
          <w:rFonts w:hint="eastAsia" w:ascii="仿宋" w:hAnsi="仿宋" w:eastAsia="仿宋" w:cs="仿宋"/>
          <w:color w:val="auto"/>
          <w:sz w:val="24"/>
          <w:highlight w:val="none"/>
        </w:rPr>
        <w:t>2.1.4 “甲方”系指与中标供应商签署合同的采购人</w:t>
      </w:r>
      <w:bookmarkEnd w:id="455"/>
      <w:r>
        <w:rPr>
          <w:rFonts w:hint="eastAsia" w:ascii="仿宋" w:hAnsi="仿宋" w:eastAsia="仿宋" w:cs="仿宋"/>
          <w:color w:val="auto"/>
          <w:sz w:val="24"/>
          <w:highlight w:val="none"/>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highlight w:val="none"/>
        </w:rPr>
      </w:pPr>
      <w:bookmarkStart w:id="456" w:name="_Ref467379400"/>
      <w:r>
        <w:rPr>
          <w:rFonts w:hint="eastAsia" w:ascii="仿宋" w:hAnsi="仿宋" w:eastAsia="仿宋" w:cs="仿宋"/>
          <w:color w:val="auto"/>
          <w:sz w:val="24"/>
          <w:highlight w:val="none"/>
        </w:rPr>
        <w:t>2.1.5 “乙方”系指根据合同约定交付货物的中标供应商</w:t>
      </w:r>
      <w:bookmarkEnd w:id="45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sz w:val="24"/>
          <w:highlight w:val="none"/>
        </w:rPr>
      </w:pPr>
      <w:bookmarkStart w:id="457" w:name="_Ref467379436"/>
      <w:r>
        <w:rPr>
          <w:rFonts w:hint="eastAsia" w:ascii="仿宋" w:hAnsi="仿宋" w:eastAsia="仿宋" w:cs="仿宋"/>
          <w:color w:val="auto"/>
          <w:sz w:val="24"/>
          <w:highlight w:val="none"/>
        </w:rPr>
        <w:t xml:space="preserve">2.1.6 </w:t>
      </w:r>
      <w:bookmarkEnd w:id="457"/>
      <w:r>
        <w:rPr>
          <w:rFonts w:hint="eastAsia" w:ascii="仿宋" w:hAnsi="仿宋" w:eastAsia="仿宋" w:cs="仿宋"/>
          <w:color w:val="auto"/>
          <w:sz w:val="24"/>
          <w:highlight w:val="none"/>
        </w:rPr>
        <w:t>“现场”系指将要进行服务的工程地点。</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458" w:name="_Toc27635"/>
      <w:bookmarkStart w:id="459" w:name="_Toc279701241"/>
      <w:bookmarkStart w:id="460" w:name="_Toc259093670"/>
      <w:bookmarkStart w:id="461" w:name="_Toc13336"/>
      <w:bookmarkStart w:id="462" w:name="_Toc32504"/>
      <w:bookmarkStart w:id="463" w:name="_Toc487900350"/>
      <w:r>
        <w:rPr>
          <w:rFonts w:hint="eastAsia" w:ascii="仿宋" w:hAnsi="仿宋" w:eastAsia="仿宋" w:cs="仿宋"/>
          <w:b/>
          <w:color w:val="auto"/>
          <w:sz w:val="24"/>
          <w:highlight w:val="none"/>
        </w:rPr>
        <w:t>2.2 技术规范</w:t>
      </w:r>
      <w:bookmarkEnd w:id="458"/>
      <w:bookmarkEnd w:id="459"/>
      <w:bookmarkEnd w:id="460"/>
      <w:bookmarkEnd w:id="461"/>
      <w:bookmarkEnd w:id="462"/>
      <w:bookmarkEnd w:id="463"/>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464" w:name="_Toc27853"/>
      <w:bookmarkStart w:id="465" w:name="_Toc9829"/>
      <w:bookmarkStart w:id="466" w:name="_Toc259093671"/>
      <w:bookmarkStart w:id="467" w:name="_Toc487900351"/>
      <w:bookmarkStart w:id="468" w:name="_Toc31634"/>
      <w:bookmarkStart w:id="469" w:name="_Toc279701242"/>
      <w:r>
        <w:rPr>
          <w:rFonts w:hint="eastAsia" w:ascii="仿宋" w:hAnsi="仿宋" w:eastAsia="仿宋" w:cs="仿宋"/>
          <w:b/>
          <w:color w:val="auto"/>
          <w:sz w:val="24"/>
          <w:highlight w:val="none"/>
        </w:rPr>
        <w:t>2.3 知识产权</w:t>
      </w:r>
      <w:bookmarkEnd w:id="464"/>
      <w:bookmarkEnd w:id="465"/>
      <w:bookmarkEnd w:id="466"/>
      <w:bookmarkEnd w:id="467"/>
      <w:bookmarkEnd w:id="468"/>
      <w:bookmarkEnd w:id="469"/>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w:t>
      </w:r>
      <w:r>
        <w:rPr>
          <w:rFonts w:hint="eastAsia" w:ascii="仿宋" w:hAnsi="仿宋" w:eastAsia="仿宋" w:cs="仿宋"/>
          <w:color w:val="auto"/>
          <w:sz w:val="24"/>
          <w:highlight w:val="none"/>
          <w:lang w:eastAsia="zh-CN"/>
        </w:rPr>
        <w:t>机软件等货物</w:t>
      </w:r>
      <w:r>
        <w:rPr>
          <w:rFonts w:hint="eastAsia" w:ascii="仿宋" w:hAnsi="仿宋" w:eastAsia="仿宋" w:cs="仿宋"/>
          <w:color w:val="auto"/>
          <w:sz w:val="24"/>
          <w:highlight w:val="none"/>
        </w:rPr>
        <w:t>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470" w:name="_Ref467379536"/>
      <w:bookmarkStart w:id="471" w:name="_Ref467379527"/>
      <w:bookmarkStart w:id="472" w:name="_Toc279701245"/>
      <w:bookmarkStart w:id="473" w:name="_Ref467378591"/>
      <w:bookmarkStart w:id="474" w:name="_Ref467379542"/>
      <w:bookmarkStart w:id="475" w:name="_Ref467378541"/>
      <w:bookmarkStart w:id="476" w:name="_Toc259093674"/>
      <w:bookmarkStart w:id="477" w:name="_Toc487900354"/>
      <w:bookmarkStart w:id="478" w:name="_Toc30272"/>
      <w:bookmarkStart w:id="479" w:name="_Toc26182"/>
      <w:bookmarkStart w:id="480" w:name="_Toc19074"/>
      <w:r>
        <w:rPr>
          <w:rFonts w:hint="eastAsia" w:ascii="仿宋" w:hAnsi="仿宋" w:eastAsia="仿宋" w:cs="仿宋"/>
          <w:b/>
          <w:color w:val="auto"/>
          <w:sz w:val="24"/>
          <w:highlight w:val="none"/>
        </w:rPr>
        <w:t>2.</w:t>
      </w:r>
      <w:bookmarkEnd w:id="470"/>
      <w:bookmarkEnd w:id="471"/>
      <w:bookmarkEnd w:id="472"/>
      <w:bookmarkEnd w:id="473"/>
      <w:bookmarkEnd w:id="474"/>
      <w:bookmarkEnd w:id="475"/>
      <w:bookmarkEnd w:id="476"/>
      <w:bookmarkEnd w:id="477"/>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履约检查和问题反馈</w:t>
      </w:r>
      <w:bookmarkEnd w:id="478"/>
      <w:bookmarkEnd w:id="479"/>
      <w:bookmarkEnd w:id="480"/>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bookmarkStart w:id="481" w:name="_Ref467379657"/>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bookmarkEnd w:id="481"/>
      <w:bookmarkStart w:id="482" w:name="_Toc186431854"/>
      <w:bookmarkStart w:id="483" w:name="_Ref467379793"/>
      <w:bookmarkStart w:id="484" w:name="_Toc259093676"/>
      <w:bookmarkStart w:id="485" w:name="_Toc279701247"/>
      <w:bookmarkStart w:id="486" w:name="_Ref467379807"/>
      <w:bookmarkStart w:id="487" w:name="_Toc487900357"/>
      <w:r>
        <w:rPr>
          <w:rFonts w:hint="eastAsia" w:ascii="仿宋" w:hAnsi="仿宋" w:eastAsia="仿宋" w:cs="仿宋"/>
          <w:color w:val="auto"/>
          <w:sz w:val="24"/>
          <w:highlight w:val="none"/>
        </w:rPr>
        <w:t>甲方有权在其认为必要时，对乙方是否能够按照合同约定</w:t>
      </w:r>
      <w:r>
        <w:rPr>
          <w:rFonts w:hint="eastAsia" w:ascii="仿宋" w:hAnsi="仿宋" w:eastAsia="仿宋" w:cs="仿宋"/>
          <w:color w:val="auto"/>
          <w:sz w:val="24"/>
          <w:highlight w:val="none"/>
          <w:lang w:eastAsia="zh-CN"/>
        </w:rPr>
        <w:t>完成服务</w:t>
      </w:r>
      <w:r>
        <w:rPr>
          <w:rFonts w:hint="eastAsia" w:ascii="仿宋" w:hAnsi="仿宋" w:eastAsia="仿宋" w:cs="仿宋"/>
          <w:color w:val="auto"/>
          <w:sz w:val="24"/>
          <w:highlight w:val="none"/>
        </w:rPr>
        <w:t>进行履约检查，以确保乙方所交付的</w:t>
      </w:r>
      <w:r>
        <w:rPr>
          <w:rFonts w:hint="eastAsia" w:ascii="仿宋" w:hAnsi="仿宋" w:eastAsia="仿宋" w:cs="仿宋"/>
          <w:color w:val="auto"/>
          <w:sz w:val="24"/>
          <w:highlight w:val="none"/>
          <w:lang w:eastAsia="zh-CN"/>
        </w:rPr>
        <w:t>成果</w:t>
      </w:r>
      <w:r>
        <w:rPr>
          <w:rFonts w:hint="eastAsia" w:ascii="仿宋" w:hAnsi="仿宋" w:eastAsia="仿宋" w:cs="仿宋"/>
          <w:color w:val="auto"/>
          <w:sz w:val="24"/>
          <w:highlight w:val="none"/>
        </w:rPr>
        <w:t>能够依约满足甲方之项目需求，但不得因履约检查妨碍乙方的正常工作，乙方应予积极配合；</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 合同履行期间，甲方有权将履行过程中出现的问题反馈给乙方，双方当事人应以书面形式约定需要完善和改进的内容</w:t>
      </w:r>
      <w:bookmarkEnd w:id="482"/>
      <w:bookmarkStart w:id="488" w:name="_Toc186431855"/>
      <w:r>
        <w:rPr>
          <w:rFonts w:hint="eastAsia" w:ascii="仿宋" w:hAnsi="仿宋" w:eastAsia="仿宋" w:cs="仿宋"/>
          <w:color w:val="auto"/>
          <w:sz w:val="24"/>
          <w:highlight w:val="none"/>
        </w:rPr>
        <w:t>。</w:t>
      </w:r>
    </w:p>
    <w:bookmarkEnd w:id="483"/>
    <w:bookmarkEnd w:id="484"/>
    <w:bookmarkEnd w:id="485"/>
    <w:bookmarkEnd w:id="486"/>
    <w:bookmarkEnd w:id="487"/>
    <w:bookmarkEnd w:id="488"/>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489" w:name="_Toc259093677"/>
      <w:bookmarkStart w:id="490" w:name="_Toc279701248"/>
      <w:bookmarkStart w:id="491" w:name="_Ref467379852"/>
      <w:bookmarkStart w:id="492" w:name="_Toc487900358"/>
      <w:bookmarkStart w:id="493" w:name="_Ref467379923"/>
      <w:bookmarkStart w:id="494" w:name="_Ref467379863"/>
      <w:bookmarkStart w:id="495" w:name="_Toc16110"/>
      <w:bookmarkStart w:id="496" w:name="_Toc774"/>
      <w:bookmarkStart w:id="497" w:name="_Toc3225"/>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技术资料</w:t>
      </w:r>
      <w:bookmarkEnd w:id="489"/>
      <w:bookmarkEnd w:id="490"/>
      <w:bookmarkEnd w:id="491"/>
      <w:bookmarkEnd w:id="492"/>
      <w:bookmarkEnd w:id="493"/>
      <w:bookmarkEnd w:id="494"/>
      <w:r>
        <w:rPr>
          <w:rFonts w:hint="eastAsia" w:ascii="仿宋" w:hAnsi="仿宋" w:eastAsia="仿宋" w:cs="仿宋"/>
          <w:b/>
          <w:color w:val="auto"/>
          <w:sz w:val="24"/>
          <w:highlight w:val="none"/>
        </w:rPr>
        <w:t>和保密义务</w:t>
      </w:r>
      <w:bookmarkEnd w:id="495"/>
      <w:bookmarkEnd w:id="496"/>
      <w:bookmarkEnd w:id="497"/>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乙方有权依据合同约定和项目需要，向甲方了解有关情况，调阅有关资料等，甲方应予积极配合；</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乙方有义务妥善保管和保护由甲方提供的前款信息和资料等；</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498" w:name="_Toc7860"/>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质量保证</w:t>
      </w:r>
      <w:bookmarkEnd w:id="498"/>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乙方应建立和完善履行合同的内部质量保证体系，并提供相关内部规章制度给甲方，以便甲方进行监督检查；</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乙方应保证履行合同的人员数量和素质、软件和硬件设备的配置、场地、环境和设施等满足全面履行合同的要求，并应接受甲方的监督检查。</w:t>
      </w:r>
      <w:bookmarkStart w:id="499" w:name="_Toc487900362"/>
      <w:bookmarkStart w:id="500" w:name="_Toc279701252"/>
      <w:bookmarkStart w:id="501" w:name="_Toc259093681"/>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lang w:eastAsia="zh-CN"/>
        </w:rPr>
      </w:pPr>
      <w:bookmarkStart w:id="502" w:name="_Toc14055"/>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延迟</w:t>
      </w:r>
      <w:bookmarkEnd w:id="499"/>
      <w:bookmarkEnd w:id="500"/>
      <w:bookmarkEnd w:id="501"/>
      <w:bookmarkEnd w:id="502"/>
      <w:r>
        <w:rPr>
          <w:rFonts w:hint="eastAsia" w:ascii="仿宋" w:hAnsi="仿宋" w:eastAsia="仿宋" w:cs="仿宋"/>
          <w:b/>
          <w:color w:val="auto"/>
          <w:sz w:val="24"/>
          <w:highlight w:val="none"/>
          <w:lang w:eastAsia="zh-CN"/>
        </w:rPr>
        <w:t>服务</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w:t>
      </w:r>
      <w:r>
        <w:rPr>
          <w:rFonts w:hint="eastAsia" w:ascii="仿宋" w:hAnsi="仿宋" w:eastAsia="仿宋" w:cs="仿宋"/>
          <w:color w:val="auto"/>
          <w:sz w:val="24"/>
          <w:highlight w:val="none"/>
          <w:lang w:eastAsia="zh-CN"/>
        </w:rPr>
        <w:t>完成服务</w:t>
      </w:r>
      <w:r>
        <w:rPr>
          <w:rFonts w:hint="eastAsia" w:ascii="仿宋" w:hAnsi="仿宋" w:eastAsia="仿宋" w:cs="仿宋"/>
          <w:color w:val="auto"/>
          <w:sz w:val="24"/>
          <w:highlight w:val="none"/>
        </w:rPr>
        <w:t>的情况，应及时以书面形式将不能按时</w:t>
      </w:r>
      <w:r>
        <w:rPr>
          <w:rFonts w:hint="eastAsia" w:ascii="仿宋" w:hAnsi="仿宋" w:eastAsia="仿宋" w:cs="仿宋"/>
          <w:color w:val="auto"/>
          <w:sz w:val="24"/>
          <w:highlight w:val="none"/>
          <w:lang w:eastAsia="zh-CN"/>
        </w:rPr>
        <w:t>完成服务</w:t>
      </w:r>
      <w:r>
        <w:rPr>
          <w:rFonts w:hint="eastAsia" w:ascii="仿宋" w:hAnsi="仿宋" w:eastAsia="仿宋" w:cs="仿宋"/>
          <w:color w:val="auto"/>
          <w:sz w:val="24"/>
          <w:highlight w:val="none"/>
        </w:rPr>
        <w:t>的理由、预期延误时间通知甲方；甲方收到乙方通知后，认为其理由正当的，可以书面形式酌情同意乙方可以延长交货的具体时间。</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03" w:name="_Toc7502"/>
      <w:bookmarkStart w:id="504" w:name="_Toc279701254"/>
      <w:bookmarkStart w:id="505" w:name="_Toc487900364"/>
      <w:bookmarkStart w:id="506" w:name="_Toc259093683"/>
      <w:bookmarkStart w:id="507" w:name="_Ref467378121"/>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合同变更</w:t>
      </w:r>
      <w:bookmarkEnd w:id="503"/>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8" w:name="_Toc279701259"/>
      <w:bookmarkStart w:id="509" w:name="_Toc259093688"/>
      <w:bookmarkStart w:id="510" w:name="_Toc487900369"/>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11" w:name="_Toc22955"/>
      <w:bookmarkStart w:id="512" w:name="_Toc15237"/>
      <w:bookmarkStart w:id="513" w:name="_Toc10366"/>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合同转让</w:t>
      </w:r>
      <w:bookmarkEnd w:id="508"/>
      <w:bookmarkEnd w:id="509"/>
      <w:bookmarkEnd w:id="510"/>
      <w:r>
        <w:rPr>
          <w:rFonts w:hint="eastAsia" w:ascii="仿宋" w:hAnsi="仿宋" w:eastAsia="仿宋" w:cs="仿宋"/>
          <w:b/>
          <w:color w:val="auto"/>
          <w:sz w:val="24"/>
          <w:highlight w:val="none"/>
        </w:rPr>
        <w:t>和分包</w:t>
      </w:r>
      <w:bookmarkEnd w:id="511"/>
      <w:bookmarkEnd w:id="512"/>
      <w:bookmarkEnd w:id="513"/>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.2乙方采取分包方式履行合同的，甲方可直接向分包供应商支付款项。</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14" w:name="_Toc14066"/>
      <w:bookmarkStart w:id="515" w:name="_Toc13566"/>
      <w:bookmarkStart w:id="516" w:name="_Toc16508"/>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不可抗力</w:t>
      </w:r>
      <w:bookmarkEnd w:id="514"/>
      <w:bookmarkEnd w:id="515"/>
      <w:bookmarkEnd w:id="516"/>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2.10</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2.10</w:t>
      </w:r>
      <w:r>
        <w:rPr>
          <w:rFonts w:hint="eastAsia" w:ascii="仿宋" w:hAnsi="仿宋" w:eastAsia="仿宋" w:cs="仿宋"/>
          <w:color w:val="auto"/>
          <w:sz w:val="24"/>
          <w:highlight w:val="none"/>
        </w:rPr>
        <w:t>.2 因不可抗力致使不能实现合同目的的，当事人可以解除合同；</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2.10</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2.10</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17" w:name="_Toc487900365"/>
      <w:bookmarkStart w:id="518" w:name="_Toc279701255"/>
      <w:bookmarkStart w:id="519" w:name="_Toc259093684"/>
      <w:bookmarkStart w:id="520" w:name="_Toc6969"/>
      <w:bookmarkStart w:id="521" w:name="_Toc689"/>
      <w:bookmarkStart w:id="522" w:name="_Toc30676"/>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rPr>
        <w:t xml:space="preserve"> 税费</w:t>
      </w:r>
      <w:bookmarkEnd w:id="517"/>
      <w:bookmarkEnd w:id="518"/>
      <w:bookmarkEnd w:id="519"/>
      <w:bookmarkEnd w:id="520"/>
      <w:bookmarkEnd w:id="521"/>
      <w:bookmarkEnd w:id="522"/>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23" w:name="_Toc8298"/>
      <w:bookmarkStart w:id="524" w:name="_Toc7102"/>
      <w:bookmarkStart w:id="525" w:name="_Toc16959"/>
      <w:bookmarkStart w:id="526" w:name="_Toc279701258"/>
      <w:bookmarkStart w:id="527" w:name="_Toc259093687"/>
      <w:bookmarkStart w:id="528" w:name="_Toc487900368"/>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rPr>
        <w:t>乙方破产</w:t>
      </w:r>
      <w:bookmarkEnd w:id="523"/>
      <w:bookmarkEnd w:id="524"/>
      <w:bookmarkEnd w:id="525"/>
      <w:bookmarkEnd w:id="526"/>
      <w:bookmarkEnd w:id="527"/>
      <w:bookmarkEnd w:id="528"/>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29" w:name="_Toc29333"/>
      <w:bookmarkStart w:id="530" w:name="_Toc15387"/>
      <w:bookmarkStart w:id="531" w:name="_Toc6134"/>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13</w:t>
      </w:r>
      <w:r>
        <w:rPr>
          <w:rFonts w:hint="eastAsia" w:ascii="仿宋" w:hAnsi="仿宋" w:eastAsia="仿宋" w:cs="仿宋"/>
          <w:b/>
          <w:color w:val="auto"/>
          <w:sz w:val="24"/>
          <w:highlight w:val="none"/>
        </w:rPr>
        <w:t xml:space="preserve"> 合同中止、终止</w:t>
      </w:r>
      <w:bookmarkEnd w:id="529"/>
      <w:bookmarkEnd w:id="530"/>
      <w:bookmarkEnd w:id="531"/>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2.13</w:t>
      </w:r>
      <w:r>
        <w:rPr>
          <w:rFonts w:hint="eastAsia" w:ascii="仿宋" w:hAnsi="仿宋" w:eastAsia="仿宋" w:cs="仿宋"/>
          <w:color w:val="auto"/>
          <w:sz w:val="24"/>
          <w:highlight w:val="none"/>
        </w:rPr>
        <w:t>.1 双方当事人不得擅自中止或者终止合同；</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2.13</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32" w:name="_Toc14563"/>
      <w:bookmarkStart w:id="533" w:name="_Toc6596"/>
      <w:bookmarkStart w:id="534" w:name="_Toc112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检验和验收</w:t>
      </w:r>
      <w:bookmarkEnd w:id="532"/>
      <w:bookmarkEnd w:id="533"/>
      <w:bookmarkEnd w:id="534"/>
    </w:p>
    <w:bookmarkEnd w:id="504"/>
    <w:bookmarkEnd w:id="505"/>
    <w:bookmarkEnd w:id="506"/>
    <w:bookmarkEnd w:id="507"/>
    <w:p>
      <w:pPr>
        <w:keepNext w:val="0"/>
        <w:keepLines w:val="0"/>
        <w:pageBreakBefore w:val="0"/>
        <w:tabs>
          <w:tab w:val="left" w:pos="360"/>
          <w:tab w:val="left" w:pos="540"/>
          <w:tab w:val="left" w:pos="1080"/>
        </w:tabs>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highlight w:val="none"/>
        </w:rPr>
      </w:pPr>
      <w:bookmarkStart w:id="535" w:name="_Toc279701261"/>
      <w:bookmarkStart w:id="536" w:name="_Toc259093690"/>
      <w:bookmarkStart w:id="537" w:name="_Toc487900371"/>
      <w:bookmarkStart w:id="538" w:name="_Toc19604"/>
      <w:bookmarkStart w:id="539" w:name="_Toc25182"/>
      <w:bookmarkStart w:id="540" w:name="_Toc11284"/>
      <w:r>
        <w:rPr>
          <w:rFonts w:hint="eastAsia" w:ascii="仿宋" w:hAnsi="仿宋" w:eastAsia="仿宋" w:cs="仿宋"/>
          <w:color w:val="auto"/>
          <w:sz w:val="24"/>
          <w:highlight w:val="none"/>
        </w:rPr>
        <w:t>2.14.1项目完工交付前，乙方应对服务的质量进行详细、全面的检验，并向甲方出具证明符合合同约定的文件；服务结束时，乙方在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kinsoku/>
        <w:wordWrap/>
        <w:overflowPunct/>
        <w:topLinePunct w:val="0"/>
        <w:bidi w:val="0"/>
        <w:spacing w:line="440" w:lineRule="exact"/>
        <w:ind w:firstLine="480" w:firstLineChars="200"/>
        <w:textAlignment w:val="auto"/>
        <w:outlineLvl w:val="0"/>
        <w:rPr>
          <w:rFonts w:hint="eastAsia" w:ascii="仿宋" w:hAnsi="仿宋" w:eastAsia="仿宋" w:cs="仿宋"/>
          <w:i/>
          <w:color w:val="auto"/>
          <w:sz w:val="24"/>
          <w:highlight w:val="none"/>
        </w:rPr>
      </w:pPr>
      <w:r>
        <w:rPr>
          <w:rFonts w:hint="eastAsia" w:ascii="仿宋" w:hAnsi="仿宋" w:eastAsia="仿宋" w:cs="仿宋"/>
          <w:color w:val="auto"/>
          <w:sz w:val="24"/>
          <w:highlight w:val="none"/>
        </w:rPr>
        <w:t>2.14.3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2.15</w:t>
      </w:r>
      <w:r>
        <w:rPr>
          <w:rFonts w:hint="eastAsia" w:ascii="仿宋" w:hAnsi="仿宋" w:eastAsia="仿宋" w:cs="仿宋"/>
          <w:b/>
          <w:color w:val="auto"/>
          <w:sz w:val="24"/>
          <w:highlight w:val="none"/>
        </w:rPr>
        <w:t xml:space="preserve"> 通知</w:t>
      </w:r>
      <w:bookmarkEnd w:id="535"/>
      <w:bookmarkEnd w:id="536"/>
      <w:bookmarkEnd w:id="537"/>
      <w:r>
        <w:rPr>
          <w:rFonts w:hint="eastAsia" w:ascii="仿宋" w:hAnsi="仿宋" w:eastAsia="仿宋" w:cs="仿宋"/>
          <w:b/>
          <w:color w:val="auto"/>
          <w:sz w:val="24"/>
          <w:highlight w:val="none"/>
        </w:rPr>
        <w:t>和送达</w:t>
      </w:r>
      <w:bookmarkEnd w:id="538"/>
      <w:bookmarkEnd w:id="539"/>
      <w:bookmarkEnd w:id="540"/>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bookmarkStart w:id="541" w:name="_Toc3135"/>
      <w:bookmarkStart w:id="542" w:name="_Toc6698"/>
      <w:bookmarkStart w:id="543" w:name="_Toc259093691"/>
      <w:bookmarkStart w:id="544" w:name="_Toc487900372"/>
      <w:bookmarkStart w:id="545" w:name="_Toc279701262"/>
      <w:r>
        <w:rPr>
          <w:rFonts w:hint="eastAsia" w:ascii="仿宋" w:hAnsi="仿宋" w:eastAsia="仿宋" w:cs="仿宋"/>
          <w:color w:val="auto"/>
          <w:sz w:val="24"/>
          <w:highlight w:val="none"/>
          <w:lang w:eastAsia="zh-CN"/>
        </w:rPr>
        <w:t>2.15</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41"/>
      <w:bookmarkEnd w:id="542"/>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bookmarkStart w:id="546" w:name="_Toc23294"/>
      <w:bookmarkStart w:id="547" w:name="_Toc23128"/>
      <w:r>
        <w:rPr>
          <w:rFonts w:hint="eastAsia" w:ascii="仿宋" w:hAnsi="仿宋" w:eastAsia="仿宋" w:cs="仿宋"/>
          <w:color w:val="auto"/>
          <w:sz w:val="24"/>
          <w:highlight w:val="none"/>
          <w:lang w:eastAsia="zh-CN"/>
        </w:rPr>
        <w:t>2.15</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6"/>
      <w:bookmarkEnd w:id="547"/>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48" w:name="_Toc30599"/>
      <w:bookmarkStart w:id="549" w:name="_Toc18540"/>
      <w:bookmarkStart w:id="550" w:name="_Toc4355"/>
      <w:r>
        <w:rPr>
          <w:rFonts w:hint="eastAsia" w:ascii="仿宋" w:hAnsi="仿宋" w:eastAsia="仿宋" w:cs="仿宋"/>
          <w:b/>
          <w:color w:val="auto"/>
          <w:sz w:val="24"/>
          <w:highlight w:val="none"/>
          <w:lang w:eastAsia="zh-CN"/>
        </w:rPr>
        <w:t>2.16</w:t>
      </w:r>
      <w:r>
        <w:rPr>
          <w:rFonts w:hint="eastAsia" w:ascii="仿宋" w:hAnsi="仿宋" w:eastAsia="仿宋" w:cs="仿宋"/>
          <w:b/>
          <w:color w:val="auto"/>
          <w:sz w:val="24"/>
          <w:highlight w:val="none"/>
        </w:rPr>
        <w:t xml:space="preserve"> 计量单位</w:t>
      </w:r>
      <w:bookmarkEnd w:id="543"/>
      <w:bookmarkEnd w:id="544"/>
      <w:bookmarkEnd w:id="545"/>
      <w:bookmarkEnd w:id="548"/>
      <w:bookmarkEnd w:id="549"/>
      <w:bookmarkEnd w:id="550"/>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51" w:name="_Toc279701263"/>
      <w:bookmarkStart w:id="552" w:name="_Toc12773"/>
      <w:bookmarkStart w:id="553" w:name="_Toc487900373"/>
      <w:bookmarkStart w:id="554" w:name="_Toc18567"/>
      <w:bookmarkStart w:id="555" w:name="_Toc10330"/>
      <w:bookmarkStart w:id="556" w:name="_Toc259093692"/>
      <w:r>
        <w:rPr>
          <w:rFonts w:hint="eastAsia" w:ascii="仿宋" w:hAnsi="仿宋" w:eastAsia="仿宋" w:cs="仿宋"/>
          <w:b/>
          <w:color w:val="auto"/>
          <w:sz w:val="24"/>
          <w:highlight w:val="none"/>
          <w:lang w:eastAsia="zh-CN"/>
        </w:rPr>
        <w:t>2.17</w:t>
      </w:r>
      <w:r>
        <w:rPr>
          <w:rFonts w:hint="eastAsia" w:ascii="仿宋" w:hAnsi="仿宋" w:eastAsia="仿宋" w:cs="仿宋"/>
          <w:b/>
          <w:color w:val="auto"/>
          <w:sz w:val="24"/>
          <w:highlight w:val="none"/>
        </w:rPr>
        <w:t xml:space="preserve"> 合同使用的文字和适用的法律</w:t>
      </w:r>
      <w:bookmarkEnd w:id="551"/>
      <w:bookmarkEnd w:id="552"/>
      <w:bookmarkEnd w:id="553"/>
      <w:bookmarkEnd w:id="554"/>
      <w:bookmarkEnd w:id="555"/>
      <w:bookmarkEnd w:id="556"/>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2.17</w:t>
      </w:r>
      <w:r>
        <w:rPr>
          <w:rFonts w:hint="eastAsia" w:ascii="仿宋" w:hAnsi="仿宋" w:eastAsia="仿宋" w:cs="仿宋"/>
          <w:color w:val="auto"/>
          <w:sz w:val="24"/>
          <w:highlight w:val="none"/>
        </w:rPr>
        <w:t>.1 合同使用汉语书就、变更和解释；</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2.17</w:t>
      </w:r>
      <w:r>
        <w:rPr>
          <w:rFonts w:hint="eastAsia" w:ascii="仿宋" w:hAnsi="仿宋" w:eastAsia="仿宋" w:cs="仿宋"/>
          <w:color w:val="auto"/>
          <w:sz w:val="24"/>
          <w:highlight w:val="none"/>
        </w:rPr>
        <w:t>.2 合同适用中华人民共和国法律。</w:t>
      </w:r>
    </w:p>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57" w:name="_Toc12004"/>
      <w:bookmarkStart w:id="558" w:name="_Toc259093693"/>
      <w:bookmarkStart w:id="559" w:name="_Toc279701264"/>
      <w:bookmarkStart w:id="560" w:name="_Toc16673"/>
      <w:bookmarkStart w:id="561" w:name="_Toc3148"/>
      <w:bookmarkStart w:id="562" w:name="_Toc487900374"/>
      <w:r>
        <w:rPr>
          <w:rFonts w:hint="eastAsia" w:ascii="仿宋" w:hAnsi="仿宋" w:eastAsia="仿宋" w:cs="仿宋"/>
          <w:b/>
          <w:color w:val="auto"/>
          <w:sz w:val="24"/>
          <w:highlight w:val="none"/>
          <w:lang w:eastAsia="zh-CN"/>
        </w:rPr>
        <w:t>2.18</w:t>
      </w:r>
      <w:r>
        <w:rPr>
          <w:rFonts w:hint="eastAsia" w:ascii="仿宋" w:hAnsi="仿宋" w:eastAsia="仿宋" w:cs="仿宋"/>
          <w:b/>
          <w:color w:val="auto"/>
          <w:sz w:val="24"/>
          <w:highlight w:val="none"/>
        </w:rPr>
        <w:t xml:space="preserve"> 履约保证金</w:t>
      </w:r>
      <w:bookmarkEnd w:id="557"/>
      <w:bookmarkEnd w:id="558"/>
      <w:bookmarkEnd w:id="559"/>
      <w:bookmarkEnd w:id="560"/>
      <w:bookmarkEnd w:id="561"/>
    </w:p>
    <w:p>
      <w:pPr>
        <w:pStyle w:val="957"/>
        <w:keepNext w:val="0"/>
        <w:keepLines w:val="0"/>
        <w:pageBreakBefore w:val="0"/>
        <w:kinsoku/>
        <w:wordWrap/>
        <w:overflowPunct/>
        <w:topLinePunct w:val="0"/>
        <w:bidi w:val="0"/>
        <w:spacing w:before="0" w:beforeAutospacing="0" w:after="0" w:afterAutospacing="0" w:line="440" w:lineRule="exact"/>
        <w:ind w:firstLine="42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2.18</w:t>
      </w:r>
      <w:r>
        <w:rPr>
          <w:rFonts w:hint="eastAsia" w:ascii="仿宋" w:hAnsi="仿宋" w:eastAsia="仿宋" w:cs="仿宋"/>
          <w:color w:val="auto"/>
          <w:highlight w:val="none"/>
        </w:rPr>
        <w:t>.1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w:t>
      </w:r>
      <w:r>
        <w:rPr>
          <w:rFonts w:hint="eastAsia" w:ascii="仿宋" w:hAnsi="仿宋" w:eastAsia="仿宋" w:cs="仿宋"/>
          <w:color w:val="auto"/>
          <w:highlight w:val="none"/>
          <w:lang w:eastAsia="zh-CN"/>
        </w:rPr>
        <w:t>1%</w:t>
      </w:r>
      <w:r>
        <w:rPr>
          <w:rFonts w:hint="eastAsia" w:ascii="仿宋" w:hAnsi="仿宋" w:eastAsia="仿宋" w:cs="仿宋"/>
          <w:color w:val="auto"/>
          <w:highlight w:val="none"/>
        </w:rPr>
        <w:t>的履约保证金；鼓励和支持乙方以银行、保险公司出具的保函形式提供履约保证。</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2.18</w:t>
      </w:r>
      <w:r>
        <w:rPr>
          <w:rFonts w:hint="eastAsia" w:ascii="仿宋" w:hAnsi="仿宋" w:eastAsia="仿宋" w:cs="仿宋"/>
          <w:color w:val="auto"/>
          <w:sz w:val="24"/>
          <w:highlight w:val="none"/>
        </w:rPr>
        <w:t>.2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2.18</w:t>
      </w:r>
      <w:r>
        <w:rPr>
          <w:rFonts w:hint="eastAsia" w:ascii="仿宋" w:hAnsi="仿宋" w:eastAsia="仿宋" w:cs="仿宋"/>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2.18</w:t>
      </w:r>
      <w:r>
        <w:rPr>
          <w:rFonts w:hint="eastAsia" w:ascii="仿宋" w:hAnsi="仿宋" w:eastAsia="仿宋" w:cs="仿宋"/>
          <w:color w:val="auto"/>
          <w:sz w:val="24"/>
          <w:highlight w:val="none"/>
        </w:rPr>
        <w:t>.4 本项目收取履约保证金为合同金额</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2.18</w:t>
      </w:r>
      <w:r>
        <w:rPr>
          <w:rFonts w:hint="eastAsia" w:ascii="仿宋" w:hAnsi="仿宋" w:eastAsia="仿宋" w:cs="仿宋"/>
          <w:color w:val="auto"/>
          <w:sz w:val="24"/>
          <w:highlight w:val="none"/>
        </w:rPr>
        <w:t>.5甲方在乙方履行完合同约定义务事项后及时退还，延迟退还的，应当按照合同约定和法律规定承担相应的赔偿责任。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2.19</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bookmarkEnd w:id="562"/>
    <w:p>
      <w:pPr>
        <w:keepNext w:val="0"/>
        <w:keepLines w:val="0"/>
        <w:pageBreakBefore w:val="0"/>
        <w:kinsoku/>
        <w:wordWrap/>
        <w:overflowPunct/>
        <w:topLinePunct w:val="0"/>
        <w:bidi w:val="0"/>
        <w:spacing w:line="440" w:lineRule="exact"/>
        <w:ind w:firstLine="482" w:firstLineChars="200"/>
        <w:textAlignment w:val="auto"/>
        <w:outlineLvl w:val="0"/>
        <w:rPr>
          <w:rFonts w:hint="eastAsia" w:ascii="仿宋" w:hAnsi="仿宋" w:eastAsia="仿宋" w:cs="仿宋"/>
          <w:b/>
          <w:color w:val="auto"/>
          <w:sz w:val="24"/>
          <w:highlight w:val="none"/>
        </w:rPr>
      </w:pPr>
      <w:bookmarkStart w:id="563" w:name="_Toc6885"/>
      <w:bookmarkStart w:id="564" w:name="_Toc14001"/>
      <w:bookmarkStart w:id="565" w:name="_Toc19890"/>
      <w:r>
        <w:rPr>
          <w:rFonts w:hint="eastAsia" w:ascii="仿宋" w:hAnsi="仿宋" w:eastAsia="仿宋" w:cs="仿宋"/>
          <w:b/>
          <w:color w:val="auto"/>
          <w:sz w:val="24"/>
          <w:highlight w:val="none"/>
          <w:lang w:eastAsia="zh-CN"/>
        </w:rPr>
        <w:t>2.20</w:t>
      </w:r>
      <w:r>
        <w:rPr>
          <w:rFonts w:hint="eastAsia" w:ascii="仿宋" w:hAnsi="仿宋" w:eastAsia="仿宋" w:cs="仿宋"/>
          <w:b/>
          <w:color w:val="auto"/>
          <w:sz w:val="24"/>
          <w:highlight w:val="none"/>
        </w:rPr>
        <w:t>合同份数</w:t>
      </w:r>
      <w:bookmarkEnd w:id="563"/>
      <w:bookmarkEnd w:id="564"/>
      <w:bookmarkEnd w:id="565"/>
    </w:p>
    <w:p>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699"/>
        <w:spacing w:line="560" w:lineRule="exact"/>
        <w:jc w:val="both"/>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66" w:name="_Toc331685784"/>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b/>
          <w:color w:val="auto"/>
          <w:szCs w:val="24"/>
          <w:highlight w:val="none"/>
        </w:rPr>
        <w:t xml:space="preserve"> </w:t>
      </w:r>
      <w:bookmarkEnd w:id="566"/>
      <w:r>
        <w:rPr>
          <w:rFonts w:hint="eastAsia" w:ascii="仿宋" w:hAnsi="仿宋" w:eastAsia="仿宋" w:cs="仿宋"/>
          <w:b/>
          <w:color w:val="auto"/>
          <w:szCs w:val="24"/>
          <w:highlight w:val="none"/>
          <w:lang w:val="en-US" w:eastAsia="zh-CN"/>
        </w:rPr>
        <w:t xml:space="preserve">  </w:t>
      </w:r>
      <w:r>
        <w:rPr>
          <w:rFonts w:hint="eastAsia" w:ascii="仿宋" w:hAnsi="仿宋" w:eastAsia="仿宋" w:cs="仿宋"/>
          <w:b/>
          <w:color w:val="auto"/>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7" w:type="dxa"/>
            <w:noWrap w:val="0"/>
            <w:vAlign w:val="center"/>
          </w:tcPr>
          <w:p>
            <w:pPr>
              <w:widowControl/>
              <w:autoSpaceDE w:val="0"/>
              <w:autoSpaceDN w:val="0"/>
              <w:spacing w:line="48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甲方</w:t>
            </w:r>
            <w:r>
              <w:rPr>
                <w:rFonts w:hint="eastAsia" w:ascii="仿宋" w:hAnsi="仿宋" w:eastAsia="仿宋" w:cs="仿宋"/>
                <w:b w:val="0"/>
                <w:bCs w:val="0"/>
                <w:color w:val="auto"/>
                <w:sz w:val="24"/>
                <w:highlight w:val="none"/>
              </w:rPr>
              <w:t>根据合同、投标文件等资料进行验收。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（1）签订合同生效及具备实施条件后7个工作日内，甲方支付项目合同价的70%预付款;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当服务期届满并通过验收后甲方支付成交供应商剩余的30%项目款。结算时乙方将结款申请1份、发票原件及复印件1份、合同复印件1份和经甲方验收确认的《建德市政府采购验收反馈表》提交甲方，甲方应自收到发票后5个工作日内支付相应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277" w:type="dxa"/>
            <w:noWrap w:val="0"/>
            <w:vAlign w:val="center"/>
          </w:tcPr>
          <w:p>
            <w:pPr>
              <w:widowControl/>
              <w:autoSpaceDE w:val="0"/>
              <w:autoSpaceDN w:val="0"/>
              <w:spacing w:line="480" w:lineRule="exact"/>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期限：</w:t>
            </w:r>
            <w:r>
              <w:rPr>
                <w:rFonts w:hint="eastAsia" w:ascii="仿宋" w:hAnsi="仿宋" w:eastAsia="仿宋" w:cs="仿宋"/>
                <w:b/>
                <w:bCs/>
                <w:color w:val="auto"/>
                <w:sz w:val="24"/>
                <w:highlight w:val="none"/>
              </w:rPr>
              <w:t>202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日前完成本项目所有工作内容。如在规定的时间内由于乙方的原因不能完成的，乙方应承担由此给甲方造成的损失。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7" w:type="dxa"/>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服务地点：</w:t>
            </w:r>
            <w:r>
              <w:rPr>
                <w:rFonts w:hint="eastAsia" w:ascii="仿宋" w:hAnsi="仿宋" w:eastAsia="仿宋" w:cs="仿宋"/>
                <w:b/>
                <w:bCs/>
                <w:color w:val="auto"/>
                <w:sz w:val="24"/>
                <w:highlight w:val="none"/>
              </w:rPr>
              <w:t>由甲方指定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277" w:type="dxa"/>
            <w:noWrap w:val="0"/>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服务内容</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7" w:type="dxa"/>
            <w:noWrap w:val="0"/>
            <w:vAlign w:val="center"/>
          </w:tcPr>
          <w:p>
            <w:pPr>
              <w:widowControl/>
              <w:autoSpaceDE w:val="0"/>
              <w:autoSpaceDN w:val="0"/>
              <w:spacing w:line="48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违约责任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乙方按合同要求</w:t>
            </w:r>
            <w:r>
              <w:rPr>
                <w:rFonts w:hint="eastAsia" w:ascii="仿宋" w:hAnsi="仿宋" w:eastAsia="仿宋" w:cs="仿宋"/>
                <w:color w:val="auto"/>
                <w:sz w:val="24"/>
                <w:szCs w:val="24"/>
                <w:highlight w:val="none"/>
                <w:lang w:eastAsia="zh-CN"/>
              </w:rPr>
              <w:t>完成服务后</w:t>
            </w:r>
            <w:r>
              <w:rPr>
                <w:rFonts w:hint="eastAsia" w:ascii="仿宋" w:hAnsi="仿宋" w:eastAsia="仿宋" w:cs="仿宋"/>
                <w:color w:val="auto"/>
                <w:sz w:val="24"/>
                <w:szCs w:val="24"/>
                <w:highlight w:val="none"/>
              </w:rPr>
              <w:t>，经验收合格后，甲方超出付款期支付货款的，每逾一天，甲方应向乙方支付合同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7" w:type="dxa"/>
            <w:noWrap w:val="0"/>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1.7.2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7" w:type="dxa"/>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7"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lang w:eastAsia="zh-CN"/>
              </w:rPr>
              <w:t>建德市人民法院</w:t>
            </w:r>
            <w:r>
              <w:rPr>
                <w:rFonts w:hint="eastAsia" w:ascii="仿宋" w:hAnsi="仿宋" w:eastAsia="仿宋" w:cs="仿宋"/>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7" w:type="dxa"/>
            <w:noWrap w:val="0"/>
            <w:vAlign w:val="center"/>
          </w:tcPr>
          <w:p>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具有知识产权的计算</w:t>
            </w:r>
            <w:r>
              <w:rPr>
                <w:rFonts w:hint="eastAsia" w:ascii="仿宋" w:hAnsi="仿宋" w:eastAsia="仿宋" w:cs="仿宋"/>
                <w:color w:val="auto"/>
                <w:sz w:val="24"/>
                <w:highlight w:val="none"/>
                <w:lang w:eastAsia="zh-CN"/>
              </w:rPr>
              <w:t>机软件等货物</w:t>
            </w:r>
            <w:r>
              <w:rPr>
                <w:rFonts w:hint="eastAsia" w:ascii="仿宋" w:hAnsi="仿宋" w:eastAsia="仿宋" w:cs="仿宋"/>
                <w:color w:val="auto"/>
                <w:sz w:val="24"/>
                <w:highlight w:val="none"/>
              </w:rPr>
              <w:t>的知识产权归属</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2.10</w:t>
            </w:r>
            <w:r>
              <w:rPr>
                <w:rFonts w:hint="eastAsia" w:ascii="仿宋" w:hAnsi="仿宋" w:eastAsia="仿宋" w:cs="仿宋"/>
                <w:color w:val="auto"/>
                <w:sz w:val="24"/>
                <w:highlight w:val="none"/>
              </w:rPr>
              <w:t>.3</w:t>
            </w:r>
          </w:p>
        </w:tc>
        <w:tc>
          <w:tcPr>
            <w:tcW w:w="8277"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b/>
                <w:i/>
                <w:color w:val="auto"/>
                <w:sz w:val="24"/>
                <w:highlight w:val="none"/>
                <w:u w:val="single"/>
                <w:lang w:val="en-US" w:eastAsia="zh-CN"/>
              </w:rPr>
              <w:t>30日</w:t>
            </w:r>
            <w:r>
              <w:rPr>
                <w:rFonts w:hint="eastAsia" w:ascii="仿宋" w:hAnsi="仿宋" w:eastAsia="仿宋"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2.10</w:t>
            </w:r>
            <w:r>
              <w:rPr>
                <w:rFonts w:hint="eastAsia" w:ascii="仿宋" w:hAnsi="仿宋" w:eastAsia="仿宋" w:cs="仿宋"/>
                <w:color w:val="auto"/>
                <w:sz w:val="24"/>
                <w:highlight w:val="none"/>
              </w:rPr>
              <w:t>.4</w:t>
            </w:r>
          </w:p>
        </w:tc>
        <w:tc>
          <w:tcPr>
            <w:tcW w:w="8277"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b/>
                <w:i/>
                <w:color w:val="auto"/>
                <w:sz w:val="24"/>
                <w:highlight w:val="none"/>
                <w:u w:val="single"/>
                <w:lang w:val="en-US" w:eastAsia="zh-CN"/>
              </w:rPr>
              <w:t>7日</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lang w:val="en-US" w:eastAsia="zh-CN"/>
              </w:rPr>
              <w:t>14日</w:t>
            </w:r>
            <w:r>
              <w:rPr>
                <w:rFonts w:hint="eastAsia" w:ascii="仿宋" w:hAnsi="仿宋" w:eastAsia="仿宋" w:cs="仿宋"/>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2.14</w:t>
            </w:r>
            <w:r>
              <w:rPr>
                <w:rFonts w:hint="eastAsia" w:ascii="仿宋" w:hAnsi="仿宋" w:eastAsia="仿宋" w:cs="仿宋"/>
                <w:color w:val="auto"/>
                <w:sz w:val="24"/>
                <w:highlight w:val="none"/>
              </w:rPr>
              <w:t>.1</w:t>
            </w:r>
          </w:p>
        </w:tc>
        <w:tc>
          <w:tcPr>
            <w:tcW w:w="8277"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服务结束时，乙方在</w:t>
            </w:r>
            <w:r>
              <w:rPr>
                <w:rFonts w:hint="eastAsia" w:ascii="仿宋" w:hAnsi="仿宋" w:eastAsia="仿宋" w:cs="仿宋"/>
                <w:b/>
                <w:i/>
                <w:color w:val="auto"/>
                <w:sz w:val="24"/>
                <w:highlight w:val="none"/>
                <w:u w:val="single"/>
                <w:lang w:val="en-US" w:eastAsia="zh-CN"/>
              </w:rPr>
              <w:t>3日内</w:t>
            </w:r>
            <w:r>
              <w:rPr>
                <w:rFonts w:hint="eastAsia" w:ascii="仿宋" w:hAnsi="仿宋" w:eastAsia="仿宋" w:cs="仿宋"/>
                <w:color w:val="auto"/>
                <w:sz w:val="24"/>
                <w:highlight w:val="none"/>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2.14</w:t>
            </w:r>
            <w:r>
              <w:rPr>
                <w:rFonts w:hint="eastAsia" w:ascii="仿宋" w:hAnsi="仿宋" w:eastAsia="仿宋" w:cs="仿宋"/>
                <w:color w:val="auto"/>
                <w:sz w:val="24"/>
                <w:highlight w:val="none"/>
              </w:rPr>
              <w:t>.3</w:t>
            </w:r>
          </w:p>
        </w:tc>
        <w:tc>
          <w:tcPr>
            <w:tcW w:w="8277" w:type="dxa"/>
            <w:noWrap w:val="0"/>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通过</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验收</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2.18</w:t>
            </w:r>
            <w:r>
              <w:rPr>
                <w:rFonts w:hint="eastAsia" w:ascii="仿宋" w:hAnsi="仿宋" w:eastAsia="仿宋" w:cs="仿宋"/>
                <w:color w:val="auto"/>
                <w:sz w:val="24"/>
                <w:highlight w:val="none"/>
              </w:rPr>
              <w:t>.1</w:t>
            </w:r>
          </w:p>
        </w:tc>
        <w:tc>
          <w:tcPr>
            <w:tcW w:w="8277" w:type="dxa"/>
            <w:noWrap w:val="0"/>
            <w:vAlign w:val="top"/>
          </w:tcPr>
          <w:p>
            <w:pPr>
              <w:spacing w:line="360" w:lineRule="auto"/>
              <w:rPr>
                <w:rFonts w:hint="eastAsia" w:ascii="仿宋" w:hAnsi="仿宋" w:eastAsia="仿宋" w:cs="仿宋"/>
                <w:color w:val="auto"/>
                <w:sz w:val="24"/>
                <w:highlight w:val="none"/>
                <w:lang w:eastAsia="zh-CN"/>
              </w:rPr>
            </w:pPr>
            <w:r>
              <w:rPr>
                <w:rStyle w:val="354"/>
                <w:rFonts w:hint="eastAsia" w:ascii="仿宋" w:hAnsi="仿宋" w:eastAsia="仿宋" w:cs="仿宋"/>
                <w:b w:val="0"/>
                <w:color w:val="auto"/>
                <w:highlight w:val="none"/>
              </w:rPr>
              <w:t>履约保证金</w:t>
            </w:r>
            <w:r>
              <w:rPr>
                <w:rStyle w:val="354"/>
                <w:rFonts w:hint="eastAsia" w:ascii="仿宋" w:hAnsi="仿宋" w:eastAsia="仿宋" w:cs="仿宋"/>
                <w:b w:val="0"/>
                <w:color w:val="auto"/>
                <w:highlight w:val="none"/>
                <w:lang w:eastAsia="zh-CN"/>
              </w:rPr>
              <w:t>：</w:t>
            </w:r>
            <w:r>
              <w:rPr>
                <w:rFonts w:hint="eastAsia" w:ascii="仿宋" w:hAnsi="仿宋" w:eastAsia="仿宋" w:cs="仿宋"/>
                <w:color w:val="auto"/>
                <w:sz w:val="24"/>
                <w:szCs w:val="24"/>
                <w:highlight w:val="none"/>
              </w:rPr>
              <w:t>本项目收取履约保证金为合同金额1%。需要收取保证金的供应商在正式合同签订生效之日起7个工作日内，缴纳保证金至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2.18</w:t>
            </w:r>
            <w:r>
              <w:rPr>
                <w:rFonts w:hint="eastAsia" w:ascii="仿宋" w:hAnsi="仿宋" w:eastAsia="仿宋" w:cs="仿宋"/>
                <w:color w:val="auto"/>
                <w:sz w:val="24"/>
                <w:highlight w:val="none"/>
              </w:rPr>
              <w:t xml:space="preserve">.2 </w:t>
            </w:r>
          </w:p>
        </w:tc>
        <w:tc>
          <w:tcPr>
            <w:tcW w:w="8277"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履约保证金在</w:t>
            </w:r>
            <w:r>
              <w:rPr>
                <w:rFonts w:hint="eastAsia" w:ascii="仿宋" w:hAnsi="仿宋" w:eastAsia="仿宋" w:cs="仿宋"/>
                <w:b/>
                <w:bCs/>
                <w:color w:val="auto"/>
                <w:sz w:val="24"/>
                <w:szCs w:val="24"/>
                <w:highlight w:val="none"/>
                <w:u w:val="single"/>
                <w:lang w:eastAsia="zh-CN"/>
              </w:rPr>
              <w:t>履约</w:t>
            </w:r>
            <w:r>
              <w:rPr>
                <w:rFonts w:hint="eastAsia" w:ascii="仿宋" w:hAnsi="仿宋" w:eastAsia="仿宋" w:cs="仿宋"/>
                <w:color w:val="auto"/>
                <w:sz w:val="24"/>
                <w:highlight w:val="none"/>
              </w:rPr>
              <w:t>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lang w:val="en-US" w:eastAsia="zh-CN"/>
              </w:rPr>
              <w:t>100%</w:t>
            </w:r>
            <w:r>
              <w:rPr>
                <w:rFonts w:hint="eastAsia" w:ascii="仿宋" w:hAnsi="仿宋" w:eastAsia="仿宋" w:cs="仿宋"/>
                <w:color w:val="auto"/>
                <w:sz w:val="24"/>
                <w:highlight w:val="none"/>
              </w:rPr>
              <w:t>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2.20</w:t>
            </w:r>
            <w:r>
              <w:rPr>
                <w:rFonts w:hint="eastAsia" w:ascii="仿宋" w:hAnsi="仿宋" w:eastAsia="仿宋" w:cs="仿宋"/>
                <w:color w:val="auto"/>
                <w:sz w:val="24"/>
                <w:highlight w:val="none"/>
              </w:rPr>
              <w:t xml:space="preserve"> </w:t>
            </w:r>
          </w:p>
        </w:tc>
        <w:tc>
          <w:tcPr>
            <w:tcW w:w="8277" w:type="dxa"/>
            <w:noWrap w:val="0"/>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合同份数</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本合同壹式</w:t>
            </w:r>
            <w:r>
              <w:rPr>
                <w:rFonts w:hint="eastAsia" w:ascii="仿宋" w:hAnsi="仿宋" w:eastAsia="仿宋" w:cs="仿宋"/>
                <w:color w:val="auto"/>
                <w:kern w:val="0"/>
                <w:sz w:val="24"/>
                <w:highlight w:val="none"/>
                <w:lang w:eastAsia="zh-CN"/>
              </w:rPr>
              <w:t>柒</w:t>
            </w:r>
            <w:r>
              <w:rPr>
                <w:rFonts w:hint="eastAsia" w:ascii="仿宋" w:hAnsi="仿宋" w:eastAsia="仿宋" w:cs="仿宋"/>
                <w:color w:val="auto"/>
                <w:kern w:val="0"/>
                <w:sz w:val="24"/>
                <w:highlight w:val="none"/>
              </w:rPr>
              <w:t>份，甲、乙双方各执</w:t>
            </w:r>
            <w:r>
              <w:rPr>
                <w:rFonts w:hint="eastAsia" w:ascii="仿宋" w:hAnsi="仿宋" w:eastAsia="仿宋" w:cs="仿宋"/>
                <w:color w:val="auto"/>
                <w:kern w:val="0"/>
                <w:sz w:val="24"/>
                <w:highlight w:val="none"/>
                <w:lang w:eastAsia="zh-CN"/>
              </w:rPr>
              <w:t>叁</w:t>
            </w:r>
            <w:r>
              <w:rPr>
                <w:rFonts w:hint="eastAsia" w:ascii="仿宋" w:hAnsi="仿宋" w:eastAsia="仿宋" w:cs="仿宋"/>
                <w:color w:val="auto"/>
                <w:kern w:val="0"/>
                <w:sz w:val="24"/>
                <w:highlight w:val="none"/>
              </w:rPr>
              <w:t>份，见证单位壹份。</w:t>
            </w: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2"/>
      <w:r>
        <w:rPr>
          <w:rFonts w:hint="eastAsia" w:ascii="仿宋" w:hAnsi="仿宋" w:eastAsia="仿宋" w:cs="仿宋"/>
          <w:b/>
          <w:color w:val="auto"/>
          <w:sz w:val="36"/>
          <w:szCs w:val="20"/>
          <w:highlight w:val="none"/>
        </w:rPr>
        <w:t xml:space="preserve"> </w:t>
      </w:r>
      <w:bookmarkEnd w:id="41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建德市水利局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浙江中正工程项目管理有限公司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 xml:space="preserve">JD2023BF-010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lang w:eastAsia="zh-CN"/>
        </w:rPr>
        <w:t>若以</w:t>
      </w:r>
      <w:r>
        <w:rPr>
          <w:rFonts w:hint="eastAsia" w:ascii="仿宋" w:hAnsi="仿宋" w:eastAsia="仿宋" w:cs="仿宋"/>
          <w:color w:val="auto"/>
          <w:sz w:val="24"/>
          <w:highlight w:val="none"/>
        </w:rPr>
        <w:t>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项目【招标编号：     】</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lang w:eastAsia="zh-CN"/>
        </w:rPr>
        <w:t>若以</w:t>
      </w:r>
      <w:r>
        <w:rPr>
          <w:rFonts w:hint="eastAsia" w:ascii="仿宋" w:hAnsi="仿宋" w:eastAsia="仿宋" w:cs="仿宋"/>
          <w:color w:val="auto"/>
          <w:sz w:val="24"/>
          <w:highlight w:val="none"/>
        </w:rPr>
        <w:t>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项目【招标编号：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6"/>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both"/>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建德市水利局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浙江中正工程项目管理有限公司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 xml:space="preserve">JD2023BF-010 </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i/>
          <w:iCs/>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建德市水利局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浙江中正工程项目管理有限公司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 xml:space="preserve">JD2023BF-010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pPr>
        <w:pStyle w:val="3"/>
        <w:rPr>
          <w:rFonts w:hint="eastAsia" w:ascii="仿宋" w:hAnsi="仿宋" w:eastAsia="仿宋" w:cs="仿宋"/>
          <w:b/>
          <w:color w:val="auto"/>
          <w:kern w:val="0"/>
          <w:sz w:val="32"/>
          <w:szCs w:val="32"/>
          <w:highlight w:val="none"/>
        </w:rPr>
      </w:pPr>
    </w:p>
    <w:p>
      <w:pPr>
        <w:pStyle w:val="4"/>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4"/>
        <w:ind w:left="0" w:leftChars="0" w:firstLine="0" w:firstLineChars="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6"/>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建德市水利局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浙江中正工程项目管理有限公司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建德市水利局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浙江中正工程项目管理有限公司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 xml:space="preserve">JD2023BF-010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2"/>
        <w:tblpPr w:leftFromText="180" w:rightFromText="180" w:vertAnchor="text" w:horzAnchor="page" w:tblpXSpec="center" w:tblpY="4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331"/>
        <w:gridCol w:w="2475"/>
        <w:gridCol w:w="786"/>
        <w:gridCol w:w="1236"/>
        <w:gridCol w:w="1574"/>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33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项目名称</w:t>
            </w:r>
          </w:p>
        </w:tc>
        <w:tc>
          <w:tcPr>
            <w:tcW w:w="24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具体服务</w:t>
            </w:r>
          </w:p>
        </w:tc>
        <w:tc>
          <w:tcPr>
            <w:tcW w:w="7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23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5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24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33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rPr>
            </w:pPr>
          </w:p>
        </w:tc>
        <w:tc>
          <w:tcPr>
            <w:tcW w:w="24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rPr>
            </w:pPr>
          </w:p>
        </w:tc>
        <w:tc>
          <w:tcPr>
            <w:tcW w:w="78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rPr>
            </w:pPr>
          </w:p>
        </w:tc>
        <w:tc>
          <w:tcPr>
            <w:tcW w:w="123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rPr>
            </w:pPr>
          </w:p>
        </w:tc>
        <w:tc>
          <w:tcPr>
            <w:tcW w:w="15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rPr>
            </w:pPr>
          </w:p>
        </w:tc>
        <w:tc>
          <w:tcPr>
            <w:tcW w:w="24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8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607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48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607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auto"/>
          <w:sz w:val="21"/>
          <w:szCs w:val="21"/>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一、适用对象</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凡已在浙江政府采购网上注册入库，并取得建德市政府采购合同的中小企业供应商（以下简称“供应商”），均可申请政府采购信用融资。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auto"/>
          <w:sz w:val="21"/>
          <w:szCs w:val="21"/>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二、政府采购信用融资操作流程：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96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（一）线上融资模式（政采云）：</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96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操作路劲：登录政采云平台—金融服务中心—融资贷款。</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1.供应商根据合作银行提供的方案，自行选择金融产品，并办理开户等手续；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2.采购合同签订后，供应商在“政采云”平台向合作银行发出融资申请。</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3.审批通过后，办理放贷手续。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（二）线下融资模式：</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1.供应商根据合作银行提供的方案，自行选择金融产品，向合作银行提出信用资格预审，并办理开户等手续；</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2.采购合同签订后，供应商向合作银行发出融资申请；</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3.合作银行受理申请后，供应商提供审批材料。合作银行应对申请信用融资的供应商及备案的政府采购合同信息进行核对和审查；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　　4.审批通过后，合作银行应按照合作备忘录中约定的审批放款期限和优惠利率及时予以放款。</w:t>
      </w:r>
    </w:p>
    <w:p>
      <w:pPr>
        <w:pStyle w:val="6"/>
        <w:keepNext w:val="0"/>
        <w:keepLines w:val="0"/>
        <w:pageBreakBefore w:val="0"/>
        <w:widowControl/>
        <w:suppressLineNumbers w:val="0"/>
        <w:kinsoku/>
        <w:wordWrap/>
        <w:overflowPunct/>
        <w:topLinePunct w:val="0"/>
        <w:autoSpaceDE/>
        <w:autoSpaceDN/>
        <w:bidi w:val="0"/>
        <w:snapToGrid/>
        <w:spacing w:line="440" w:lineRule="exact"/>
        <w:ind w:left="664" w:leftChars="316" w:firstLine="468" w:firstLineChars="195"/>
        <w:jc w:val="left"/>
        <w:textAlignment w:val="auto"/>
        <w:rPr>
          <w:rFonts w:hint="eastAsia" w:ascii="仿宋" w:hAnsi="仿宋" w:eastAsia="仿宋" w:cs="仿宋"/>
          <w:b/>
          <w:bCs/>
          <w:color w:val="auto"/>
          <w:sz w:val="32"/>
          <w:szCs w:val="32"/>
          <w:highlight w:val="none"/>
        </w:rPr>
      </w:pPr>
      <w:r>
        <w:rPr>
          <w:rFonts w:hint="eastAsia" w:ascii="仿宋" w:hAnsi="仿宋" w:eastAsia="仿宋" w:cs="仿宋"/>
          <w:b w:val="0"/>
          <w:bCs w:val="0"/>
          <w:i w:val="0"/>
          <w:iCs w:val="0"/>
          <w:caps w:val="0"/>
          <w:color w:val="auto"/>
          <w:spacing w:val="0"/>
          <w:sz w:val="24"/>
          <w:szCs w:val="24"/>
          <w:highlight w:val="none"/>
        </w:rPr>
        <w:t>（三）杭州e融平台申请融资</w:t>
      </w:r>
    </w:p>
    <w:p>
      <w:pPr>
        <w:pStyle w:val="6"/>
        <w:keepNext w:val="0"/>
        <w:keepLines w:val="0"/>
        <w:pageBreakBefore w:val="0"/>
        <w:widowControl/>
        <w:suppressLineNumbers w:val="0"/>
        <w:kinsoku/>
        <w:wordWrap/>
        <w:overflowPunct/>
        <w:topLinePunct w:val="0"/>
        <w:autoSpaceDE/>
        <w:autoSpaceDN/>
        <w:bidi w:val="0"/>
        <w:snapToGrid/>
        <w:spacing w:line="440" w:lineRule="exact"/>
        <w:ind w:left="664" w:leftChars="316" w:firstLine="468" w:firstLineChars="195"/>
        <w:jc w:val="left"/>
        <w:textAlignment w:val="auto"/>
        <w:rPr>
          <w:rFonts w:hint="eastAsia" w:ascii="仿宋" w:hAnsi="仿宋" w:eastAsia="仿宋" w:cs="仿宋"/>
          <w:b/>
          <w:bCs/>
          <w:color w:val="auto"/>
          <w:sz w:val="32"/>
          <w:szCs w:val="32"/>
          <w:highlight w:val="none"/>
        </w:rPr>
      </w:pPr>
      <w:r>
        <w:rPr>
          <w:rFonts w:hint="eastAsia" w:ascii="仿宋" w:hAnsi="仿宋" w:eastAsia="仿宋" w:cs="仿宋"/>
          <w:b w:val="0"/>
          <w:bCs w:val="0"/>
          <w:i w:val="0"/>
          <w:iCs w:val="0"/>
          <w:caps w:val="0"/>
          <w:color w:val="auto"/>
          <w:spacing w:val="0"/>
          <w:sz w:val="24"/>
          <w:szCs w:val="24"/>
          <w:highlight w:val="none"/>
        </w:rPr>
        <w:t>供应商通过杭州e融平台政采贷专区，自行选择金融产品，按规定手续办理贷款流程。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2"/>
        <w:jc w:val="both"/>
        <w:textAlignment w:val="auto"/>
        <w:rPr>
          <w:rFonts w:hint="eastAsia" w:ascii="仿宋" w:hAnsi="仿宋" w:eastAsia="仿宋" w:cs="仿宋"/>
          <w:color w:val="auto"/>
          <w:sz w:val="21"/>
          <w:szCs w:val="21"/>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三、注意事项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firstLine="48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kern w:val="0"/>
          <w:sz w:val="24"/>
          <w:szCs w:val="24"/>
          <w:highlight w:val="none"/>
          <w:lang w:val="en-US" w:eastAsia="zh-CN" w:bidi="ar"/>
        </w:rPr>
        <w:t>1、对拟用于信用融资的政府采购合同，供应商在签订合同时应当在合同中注明融资银行名称及账号，作为在该银行的唯一收款账号。</w:t>
      </w:r>
    </w:p>
    <w:p>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2、供应商弄虚作假或以伪造政府采购合同等方式违规获取政府采购信用融资，或不及时还款，或出现其他违反规定情形的，按融资合同约定承担违约责任；涉嫌犯罪的，移送司法机关处理。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67" w:name="_Toc465665161"/>
      <w:r>
        <w:rPr>
          <w:rFonts w:hint="eastAsia" w:ascii="仿宋" w:hAnsi="仿宋" w:eastAsia="仿宋" w:cs="仿宋"/>
          <w:color w:val="auto"/>
          <w:highlight w:val="none"/>
        </w:rPr>
        <w:t>附件</w:t>
      </w:r>
      <w:bookmarkEnd w:id="567"/>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68" w:name="OLE_LINK14"/>
      <w:bookmarkStart w:id="569" w:name="OLE_LINK13"/>
      <w:r>
        <w:rPr>
          <w:rFonts w:hint="eastAsia" w:ascii="仿宋" w:hAnsi="仿宋" w:eastAsia="仿宋" w:cs="仿宋"/>
          <w:b/>
          <w:color w:val="auto"/>
          <w:spacing w:val="6"/>
          <w:sz w:val="32"/>
          <w:szCs w:val="32"/>
          <w:highlight w:val="none"/>
        </w:rPr>
        <w:t>残疾人福利性单位声明函</w:t>
      </w:r>
    </w:p>
    <w:bookmarkEnd w:id="568"/>
    <w:bookmarkEnd w:id="569"/>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建德市水利局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浙江中正工程项目管理有限公司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2023年度建德市山塘建设管理第三方技术支撑服务采购</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 xml:space="preserve">JD2023BF-010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2023年度建德市山塘建设管理第三方技术支撑服务采购项目</w:t>
      </w:r>
      <w:r>
        <w:rPr>
          <w:rFonts w:hint="eastAsia" w:ascii="仿宋" w:hAnsi="仿宋" w:eastAsia="仿宋" w:cs="仿宋"/>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rPr>
          <w:rFonts w:hint="eastAsia" w:ascii="仿宋" w:hAnsi="仿宋" w:eastAsia="仿宋" w:cs="仿宋"/>
          <w:color w:val="auto"/>
          <w:highlight w:val="none"/>
          <w:lang w:val="en-US"/>
        </w:rPr>
      </w:pPr>
    </w:p>
    <w:p>
      <w:pPr>
        <w:pStyle w:val="6"/>
        <w:rPr>
          <w:rFonts w:hint="eastAsia" w:ascii="仿宋" w:hAnsi="仿宋" w:eastAsia="仿宋" w:cs="仿宋"/>
          <w:color w:val="auto"/>
          <w:highlight w:val="none"/>
          <w:lang w:val="en-US"/>
        </w:rPr>
      </w:pPr>
    </w:p>
    <w:p>
      <w:pPr>
        <w:rPr>
          <w:rFonts w:hint="eastAsia" w:ascii="仿宋" w:hAnsi="仿宋" w:eastAsia="仿宋" w:cs="仿宋"/>
          <w:color w:val="auto"/>
          <w:highlight w:val="none"/>
          <w:lang w:val="en-US"/>
        </w:rPr>
      </w:pPr>
    </w:p>
    <w:p>
      <w:pPr>
        <w:pStyle w:val="6"/>
        <w:jc w:val="center"/>
        <w:rPr>
          <w:rFonts w:hint="eastAsia" w:ascii="仿宋" w:hAnsi="仿宋" w:eastAsia="仿宋" w:cs="仿宋"/>
          <w:color w:val="auto"/>
          <w:highlight w:val="none"/>
          <w:lang w:val="en-US" w:eastAsia="zh-CN"/>
        </w:rPr>
      </w:pPr>
      <w:r>
        <w:rPr>
          <w:rFonts w:hint="eastAsia" w:ascii="仿宋" w:hAnsi="仿宋" w:eastAsia="仿宋" w:cs="仿宋"/>
          <w:b/>
          <w:bCs w:val="0"/>
          <w:color w:val="auto"/>
          <w:spacing w:val="6"/>
          <w:kern w:val="2"/>
          <w:sz w:val="32"/>
          <w:szCs w:val="32"/>
          <w:highlight w:val="none"/>
          <w:lang w:val="en-US" w:eastAsia="zh-CN" w:bidi="ar-SA"/>
        </w:rPr>
        <w:t>附件6：</w:t>
      </w:r>
      <w:r>
        <w:rPr>
          <w:rFonts w:hint="eastAsia" w:ascii="仿宋" w:hAnsi="仿宋" w:eastAsia="仿宋" w:cs="仿宋"/>
          <w:b/>
          <w:bCs/>
          <w:color w:val="auto"/>
          <w:sz w:val="40"/>
          <w:szCs w:val="48"/>
          <w:highlight w:val="none"/>
        </w:rPr>
        <w:t>现场踏勘确认书</w:t>
      </w:r>
    </w:p>
    <w:p>
      <w:pPr>
        <w:spacing w:line="360" w:lineRule="auto"/>
        <w:ind w:right="420"/>
        <w:rPr>
          <w:rFonts w:hint="eastAsia" w:ascii="仿宋" w:hAnsi="仿宋" w:eastAsia="仿宋" w:cs="仿宋"/>
          <w:color w:val="auto"/>
          <w:highlight w:val="none"/>
        </w:rPr>
      </w:pPr>
    </w:p>
    <w:p>
      <w:pPr>
        <w:jc w:val="center"/>
        <w:rPr>
          <w:rFonts w:hint="eastAsia" w:ascii="仿宋" w:hAnsi="仿宋" w:eastAsia="仿宋" w:cs="仿宋"/>
          <w:color w:val="auto"/>
          <w:sz w:val="32"/>
          <w:szCs w:val="40"/>
          <w:highlight w:val="none"/>
        </w:rPr>
      </w:pPr>
    </w:p>
    <w:p>
      <w:pPr>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lang w:eastAsia="zh-CN"/>
        </w:rPr>
        <w:t>建德市水利局</w:t>
      </w:r>
      <w:r>
        <w:rPr>
          <w:rFonts w:hint="eastAsia" w:ascii="仿宋" w:hAnsi="仿宋" w:eastAsia="仿宋" w:cs="仿宋"/>
          <w:color w:val="auto"/>
          <w:sz w:val="28"/>
          <w:szCs w:val="36"/>
          <w:highlight w:val="none"/>
        </w:rPr>
        <w:t>：</w:t>
      </w:r>
    </w:p>
    <w:p>
      <w:pPr>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 xml:space="preserve">   根据招标文件要求，我方已对</w:t>
      </w:r>
      <w:r>
        <w:rPr>
          <w:rFonts w:hint="eastAsia" w:ascii="仿宋" w:hAnsi="仿宋" w:eastAsia="仿宋" w:cs="仿宋"/>
          <w:color w:val="auto"/>
          <w:sz w:val="28"/>
          <w:szCs w:val="36"/>
          <w:highlight w:val="none"/>
          <w:u w:val="single"/>
          <w:lang w:eastAsia="zh-CN"/>
        </w:rPr>
        <w:t>2023年度建德市山塘建设管理第三方技术支撑服务采购项目</w:t>
      </w:r>
      <w:r>
        <w:rPr>
          <w:rFonts w:hint="eastAsia" w:ascii="仿宋" w:hAnsi="仿宋" w:eastAsia="仿宋" w:cs="仿宋"/>
          <w:color w:val="auto"/>
          <w:sz w:val="28"/>
          <w:szCs w:val="36"/>
          <w:highlight w:val="none"/>
        </w:rPr>
        <w:t>项目现场进行实地踏勘，并获得投标所需要相关数据和资料：</w:t>
      </w:r>
    </w:p>
    <w:p>
      <w:pPr>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经现场踏勘，我方对该项目场地现状已充分了解。</w:t>
      </w:r>
    </w:p>
    <w:p>
      <w:pPr>
        <w:spacing w:line="360" w:lineRule="auto"/>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若我方中标，不会对场地现状提出异议，不以场地存在瑕疵为由拒绝签署项目合同书或履行所约定的各项义务。</w:t>
      </w:r>
    </w:p>
    <w:p>
      <w:pPr>
        <w:rPr>
          <w:rFonts w:hint="eastAsia" w:ascii="仿宋" w:hAnsi="仿宋" w:eastAsia="仿宋" w:cs="仿宋"/>
          <w:color w:val="auto"/>
          <w:sz w:val="28"/>
          <w:szCs w:val="36"/>
          <w:highlight w:val="none"/>
        </w:rPr>
      </w:pPr>
    </w:p>
    <w:p>
      <w:pPr>
        <w:jc w:val="right"/>
        <w:rPr>
          <w:rFonts w:hint="eastAsia"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采购单位：</w:t>
      </w:r>
      <w:r>
        <w:rPr>
          <w:rFonts w:hint="eastAsia" w:ascii="仿宋" w:hAnsi="仿宋" w:eastAsia="仿宋" w:cs="仿宋"/>
          <w:color w:val="auto"/>
          <w:sz w:val="28"/>
          <w:szCs w:val="36"/>
          <w:highlight w:val="none"/>
          <w:u w:val="single"/>
        </w:rPr>
        <w:t xml:space="preserve">                     （签字或盖章）</w:t>
      </w:r>
    </w:p>
    <w:p>
      <w:pPr>
        <w:jc w:val="center"/>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 xml:space="preserve">                            </w:t>
      </w:r>
    </w:p>
    <w:p>
      <w:pPr>
        <w:jc w:val="righ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投标单位名称：</w:t>
      </w:r>
      <w:r>
        <w:rPr>
          <w:rFonts w:hint="eastAsia" w:ascii="仿宋" w:hAnsi="仿宋" w:eastAsia="仿宋" w:cs="仿宋"/>
          <w:color w:val="auto"/>
          <w:sz w:val="28"/>
          <w:szCs w:val="36"/>
          <w:highlight w:val="none"/>
          <w:u w:val="single"/>
        </w:rPr>
        <w:t xml:space="preserve">                       （盖章）</w:t>
      </w:r>
    </w:p>
    <w:p>
      <w:pPr>
        <w:jc w:val="right"/>
        <w:rPr>
          <w:rFonts w:hint="eastAsia" w:ascii="仿宋" w:hAnsi="仿宋" w:eastAsia="仿宋" w:cs="仿宋"/>
          <w:color w:val="auto"/>
          <w:sz w:val="28"/>
          <w:szCs w:val="36"/>
          <w:highlight w:val="none"/>
        </w:rPr>
      </w:pPr>
    </w:p>
    <w:p>
      <w:pPr>
        <w:spacing w:line="360" w:lineRule="auto"/>
        <w:jc w:val="right"/>
        <w:rPr>
          <w:rFonts w:hint="eastAsia" w:ascii="仿宋" w:hAnsi="仿宋" w:eastAsia="仿宋" w:cs="仿宋"/>
          <w:color w:val="auto"/>
          <w:sz w:val="28"/>
          <w:szCs w:val="36"/>
          <w:highlight w:val="none"/>
          <w:u w:val="single"/>
        </w:rPr>
      </w:pPr>
      <w:r>
        <w:rPr>
          <w:rFonts w:hint="eastAsia" w:ascii="仿宋" w:hAnsi="仿宋" w:eastAsia="仿宋" w:cs="仿宋"/>
          <w:color w:val="auto"/>
          <w:sz w:val="28"/>
          <w:szCs w:val="36"/>
          <w:highlight w:val="none"/>
        </w:rPr>
        <w:t>投标单位授权代表：</w:t>
      </w:r>
      <w:r>
        <w:rPr>
          <w:rFonts w:hint="eastAsia" w:ascii="仿宋" w:hAnsi="仿宋" w:eastAsia="仿宋" w:cs="仿宋"/>
          <w:color w:val="auto"/>
          <w:sz w:val="28"/>
          <w:szCs w:val="36"/>
          <w:highlight w:val="none"/>
          <w:u w:val="single"/>
        </w:rPr>
        <w:t xml:space="preserve">          （签字）</w:t>
      </w:r>
    </w:p>
    <w:p>
      <w:pPr>
        <w:spacing w:line="360" w:lineRule="auto"/>
        <w:jc w:val="righ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踏勘日期：202</w:t>
      </w:r>
      <w:r>
        <w:rPr>
          <w:rFonts w:hint="eastAsia" w:ascii="仿宋" w:hAnsi="仿宋" w:eastAsia="仿宋" w:cs="仿宋"/>
          <w:color w:val="auto"/>
          <w:sz w:val="28"/>
          <w:szCs w:val="36"/>
          <w:highlight w:val="none"/>
          <w:lang w:val="en-US" w:eastAsia="zh-CN"/>
        </w:rPr>
        <w:t>3</w:t>
      </w:r>
      <w:r>
        <w:rPr>
          <w:rFonts w:hint="eastAsia" w:ascii="仿宋" w:hAnsi="仿宋" w:eastAsia="仿宋" w:cs="仿宋"/>
          <w:color w:val="auto"/>
          <w:sz w:val="28"/>
          <w:szCs w:val="36"/>
          <w:highlight w:val="none"/>
        </w:rPr>
        <w:t>年  月  日</w:t>
      </w:r>
    </w:p>
    <w:p>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70" w:name="_Toc164085800"/>
    <w:bookmarkStart w:id="571" w:name="_Toc131845147"/>
    <w:bookmarkStart w:id="572" w:name="_Toc36110187"/>
    <w:bookmarkStart w:id="573" w:name="_Toc91899912"/>
    <w:r>
      <w:rPr>
        <w:rFonts w:hint="eastAsia" w:ascii="仿宋_GB2312" w:eastAsia="仿宋_GB2312"/>
        <w:kern w:val="0"/>
        <w:szCs w:val="21"/>
      </w:rPr>
      <w:t xml:space="preserve"> 页</w:t>
    </w:r>
    <w:bookmarkEnd w:id="570"/>
    <w:bookmarkEnd w:id="571"/>
    <w:bookmarkEnd w:id="572"/>
    <w:bookmarkEnd w:id="57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ODc2ZTAzM2MxMWNlYjlmN2Y4YzNlMTI1YmEzO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5D4D"/>
    <w:rsid w:val="01774B16"/>
    <w:rsid w:val="019B5F3A"/>
    <w:rsid w:val="019F7441"/>
    <w:rsid w:val="01B37585"/>
    <w:rsid w:val="01D55165"/>
    <w:rsid w:val="01DF6BF8"/>
    <w:rsid w:val="01EC2C57"/>
    <w:rsid w:val="023F2A53"/>
    <w:rsid w:val="026B2E25"/>
    <w:rsid w:val="02824D4D"/>
    <w:rsid w:val="02DC4B10"/>
    <w:rsid w:val="02DD76CE"/>
    <w:rsid w:val="02F36323"/>
    <w:rsid w:val="02F5619C"/>
    <w:rsid w:val="0326446A"/>
    <w:rsid w:val="032D5555"/>
    <w:rsid w:val="03372BDE"/>
    <w:rsid w:val="03604B36"/>
    <w:rsid w:val="036634D2"/>
    <w:rsid w:val="03DD35E4"/>
    <w:rsid w:val="04076900"/>
    <w:rsid w:val="041A5A3B"/>
    <w:rsid w:val="042311BA"/>
    <w:rsid w:val="042431B3"/>
    <w:rsid w:val="04277401"/>
    <w:rsid w:val="042B157A"/>
    <w:rsid w:val="043C790E"/>
    <w:rsid w:val="048A1464"/>
    <w:rsid w:val="048F763B"/>
    <w:rsid w:val="049F330E"/>
    <w:rsid w:val="04AA775C"/>
    <w:rsid w:val="04AF1889"/>
    <w:rsid w:val="04F66F48"/>
    <w:rsid w:val="05251E14"/>
    <w:rsid w:val="053A1F4D"/>
    <w:rsid w:val="05412745"/>
    <w:rsid w:val="05A16594"/>
    <w:rsid w:val="05A7762D"/>
    <w:rsid w:val="060E5941"/>
    <w:rsid w:val="06110FAF"/>
    <w:rsid w:val="06422A77"/>
    <w:rsid w:val="06493CA7"/>
    <w:rsid w:val="065A6178"/>
    <w:rsid w:val="066F1CF3"/>
    <w:rsid w:val="06930BB8"/>
    <w:rsid w:val="07245D42"/>
    <w:rsid w:val="07264C62"/>
    <w:rsid w:val="075F245C"/>
    <w:rsid w:val="07740BAF"/>
    <w:rsid w:val="0779354C"/>
    <w:rsid w:val="07885862"/>
    <w:rsid w:val="07F910B5"/>
    <w:rsid w:val="08061376"/>
    <w:rsid w:val="082A4072"/>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8D06F3"/>
    <w:rsid w:val="09A92330"/>
    <w:rsid w:val="09B06B87"/>
    <w:rsid w:val="09C13146"/>
    <w:rsid w:val="09E04166"/>
    <w:rsid w:val="0A03294C"/>
    <w:rsid w:val="0A073F5D"/>
    <w:rsid w:val="0A0A04EC"/>
    <w:rsid w:val="0A1C0718"/>
    <w:rsid w:val="0A36539C"/>
    <w:rsid w:val="0A3E7710"/>
    <w:rsid w:val="0A5B7E63"/>
    <w:rsid w:val="0A7F7F97"/>
    <w:rsid w:val="0AA374A5"/>
    <w:rsid w:val="0AAB7649"/>
    <w:rsid w:val="0ABC5606"/>
    <w:rsid w:val="0AF65D7F"/>
    <w:rsid w:val="0B1F52D6"/>
    <w:rsid w:val="0B30404E"/>
    <w:rsid w:val="0B3A5C6C"/>
    <w:rsid w:val="0B3F5347"/>
    <w:rsid w:val="0B4C6C14"/>
    <w:rsid w:val="0B631A88"/>
    <w:rsid w:val="0B6640CB"/>
    <w:rsid w:val="0B683D45"/>
    <w:rsid w:val="0B7F3F11"/>
    <w:rsid w:val="0B867103"/>
    <w:rsid w:val="0B884417"/>
    <w:rsid w:val="0B8914DC"/>
    <w:rsid w:val="0BA2099C"/>
    <w:rsid w:val="0BD31C1D"/>
    <w:rsid w:val="0BE80ADC"/>
    <w:rsid w:val="0BF6188C"/>
    <w:rsid w:val="0BF73C91"/>
    <w:rsid w:val="0C0701CD"/>
    <w:rsid w:val="0C170175"/>
    <w:rsid w:val="0C571A41"/>
    <w:rsid w:val="0C5C1171"/>
    <w:rsid w:val="0C5E1CBC"/>
    <w:rsid w:val="0C615B50"/>
    <w:rsid w:val="0C8445DA"/>
    <w:rsid w:val="0C87121B"/>
    <w:rsid w:val="0CC007F7"/>
    <w:rsid w:val="0CFE707A"/>
    <w:rsid w:val="0D063BDA"/>
    <w:rsid w:val="0D08375F"/>
    <w:rsid w:val="0D184CFB"/>
    <w:rsid w:val="0D4A7419"/>
    <w:rsid w:val="0D707718"/>
    <w:rsid w:val="0D827401"/>
    <w:rsid w:val="0D84094E"/>
    <w:rsid w:val="0D8A00E9"/>
    <w:rsid w:val="0D8D589E"/>
    <w:rsid w:val="0DA01C73"/>
    <w:rsid w:val="0DA81260"/>
    <w:rsid w:val="0DCE7256"/>
    <w:rsid w:val="0DD63300"/>
    <w:rsid w:val="0DF50604"/>
    <w:rsid w:val="0DF702FE"/>
    <w:rsid w:val="0E060E51"/>
    <w:rsid w:val="0E5604B2"/>
    <w:rsid w:val="0E6D5D79"/>
    <w:rsid w:val="0E850E49"/>
    <w:rsid w:val="0E8F43C2"/>
    <w:rsid w:val="0E9D0089"/>
    <w:rsid w:val="0EB803EE"/>
    <w:rsid w:val="0EF55077"/>
    <w:rsid w:val="0EF94D4B"/>
    <w:rsid w:val="0F4958DC"/>
    <w:rsid w:val="0F515DF7"/>
    <w:rsid w:val="0F596BA8"/>
    <w:rsid w:val="0F6248D2"/>
    <w:rsid w:val="0F693536"/>
    <w:rsid w:val="0F7B0511"/>
    <w:rsid w:val="0F7B76D9"/>
    <w:rsid w:val="0F816ACD"/>
    <w:rsid w:val="0F9832DB"/>
    <w:rsid w:val="0FBF3FD2"/>
    <w:rsid w:val="0FBF7FF3"/>
    <w:rsid w:val="10646583"/>
    <w:rsid w:val="1079768A"/>
    <w:rsid w:val="107D4B15"/>
    <w:rsid w:val="108A3C80"/>
    <w:rsid w:val="10C26171"/>
    <w:rsid w:val="10F33360"/>
    <w:rsid w:val="10FC16EA"/>
    <w:rsid w:val="110E10F1"/>
    <w:rsid w:val="110F1D40"/>
    <w:rsid w:val="11266F33"/>
    <w:rsid w:val="118253BD"/>
    <w:rsid w:val="118963A1"/>
    <w:rsid w:val="11A96BF0"/>
    <w:rsid w:val="11C6522A"/>
    <w:rsid w:val="11E104CC"/>
    <w:rsid w:val="11E20309"/>
    <w:rsid w:val="12255233"/>
    <w:rsid w:val="12530213"/>
    <w:rsid w:val="126948FE"/>
    <w:rsid w:val="127723A9"/>
    <w:rsid w:val="12862074"/>
    <w:rsid w:val="12883966"/>
    <w:rsid w:val="129E45B4"/>
    <w:rsid w:val="12D81596"/>
    <w:rsid w:val="13072A44"/>
    <w:rsid w:val="132C67E2"/>
    <w:rsid w:val="135F4BE2"/>
    <w:rsid w:val="137D0DEC"/>
    <w:rsid w:val="138866F9"/>
    <w:rsid w:val="139B1A0A"/>
    <w:rsid w:val="139D25C7"/>
    <w:rsid w:val="13BF3CE4"/>
    <w:rsid w:val="13C72F70"/>
    <w:rsid w:val="141008D8"/>
    <w:rsid w:val="14125FE6"/>
    <w:rsid w:val="146D271E"/>
    <w:rsid w:val="14982588"/>
    <w:rsid w:val="149A5AD9"/>
    <w:rsid w:val="14A7619D"/>
    <w:rsid w:val="14B720DC"/>
    <w:rsid w:val="150536C3"/>
    <w:rsid w:val="150C1963"/>
    <w:rsid w:val="151447A0"/>
    <w:rsid w:val="154A6454"/>
    <w:rsid w:val="156669A8"/>
    <w:rsid w:val="15762120"/>
    <w:rsid w:val="15EC04AB"/>
    <w:rsid w:val="16A8729C"/>
    <w:rsid w:val="16B33777"/>
    <w:rsid w:val="16BC70A7"/>
    <w:rsid w:val="16C6339E"/>
    <w:rsid w:val="17042E02"/>
    <w:rsid w:val="170A15C8"/>
    <w:rsid w:val="172F2D79"/>
    <w:rsid w:val="17557BEF"/>
    <w:rsid w:val="17884761"/>
    <w:rsid w:val="17BB1EE3"/>
    <w:rsid w:val="17D349C1"/>
    <w:rsid w:val="181B7331"/>
    <w:rsid w:val="1830729E"/>
    <w:rsid w:val="183177A5"/>
    <w:rsid w:val="18464BB2"/>
    <w:rsid w:val="1863338A"/>
    <w:rsid w:val="1870062C"/>
    <w:rsid w:val="18817102"/>
    <w:rsid w:val="18830A15"/>
    <w:rsid w:val="18852B28"/>
    <w:rsid w:val="188B5321"/>
    <w:rsid w:val="18A055D9"/>
    <w:rsid w:val="18FC2175"/>
    <w:rsid w:val="193B777F"/>
    <w:rsid w:val="1980756A"/>
    <w:rsid w:val="19932372"/>
    <w:rsid w:val="19941B6F"/>
    <w:rsid w:val="19A20DD5"/>
    <w:rsid w:val="19AE03F1"/>
    <w:rsid w:val="19D2505F"/>
    <w:rsid w:val="1A071A03"/>
    <w:rsid w:val="1A1E4D29"/>
    <w:rsid w:val="1A1F16AE"/>
    <w:rsid w:val="1A3B5C77"/>
    <w:rsid w:val="1A984BAD"/>
    <w:rsid w:val="1AA81C70"/>
    <w:rsid w:val="1AB8220E"/>
    <w:rsid w:val="1ADE4866"/>
    <w:rsid w:val="1AE4166C"/>
    <w:rsid w:val="1AF06CFB"/>
    <w:rsid w:val="1AF11B8D"/>
    <w:rsid w:val="1B11359C"/>
    <w:rsid w:val="1B2163CC"/>
    <w:rsid w:val="1B2A271F"/>
    <w:rsid w:val="1B530544"/>
    <w:rsid w:val="1B713184"/>
    <w:rsid w:val="1B8942FC"/>
    <w:rsid w:val="1B944F25"/>
    <w:rsid w:val="1BA209CF"/>
    <w:rsid w:val="1BB4777D"/>
    <w:rsid w:val="1BD75AB8"/>
    <w:rsid w:val="1C0459C2"/>
    <w:rsid w:val="1C1B3B4A"/>
    <w:rsid w:val="1C88086E"/>
    <w:rsid w:val="1CE95744"/>
    <w:rsid w:val="1D036806"/>
    <w:rsid w:val="1D266CE1"/>
    <w:rsid w:val="1D3963AF"/>
    <w:rsid w:val="1D6A673C"/>
    <w:rsid w:val="1D9247AE"/>
    <w:rsid w:val="1DB567EC"/>
    <w:rsid w:val="1DF51A98"/>
    <w:rsid w:val="1E3649B9"/>
    <w:rsid w:val="1E3D060F"/>
    <w:rsid w:val="1E3F7D2E"/>
    <w:rsid w:val="1E4134E4"/>
    <w:rsid w:val="1E5062B3"/>
    <w:rsid w:val="1E523514"/>
    <w:rsid w:val="1E714A66"/>
    <w:rsid w:val="1E802593"/>
    <w:rsid w:val="1E82212B"/>
    <w:rsid w:val="1EA703CC"/>
    <w:rsid w:val="1EB7330C"/>
    <w:rsid w:val="1F0A0FF3"/>
    <w:rsid w:val="1F5771FF"/>
    <w:rsid w:val="1FDC13C5"/>
    <w:rsid w:val="1FE868A9"/>
    <w:rsid w:val="1FED11B5"/>
    <w:rsid w:val="20034907"/>
    <w:rsid w:val="20173E4B"/>
    <w:rsid w:val="204E48BC"/>
    <w:rsid w:val="208921B3"/>
    <w:rsid w:val="20973DEB"/>
    <w:rsid w:val="20A83220"/>
    <w:rsid w:val="20A86FEA"/>
    <w:rsid w:val="20B26522"/>
    <w:rsid w:val="20B44310"/>
    <w:rsid w:val="20FB751F"/>
    <w:rsid w:val="211116EB"/>
    <w:rsid w:val="214C3C4D"/>
    <w:rsid w:val="216133FC"/>
    <w:rsid w:val="21D56769"/>
    <w:rsid w:val="21E52EF3"/>
    <w:rsid w:val="21FB5D7B"/>
    <w:rsid w:val="220129F6"/>
    <w:rsid w:val="220B1C3D"/>
    <w:rsid w:val="221D1D20"/>
    <w:rsid w:val="222039B6"/>
    <w:rsid w:val="22273512"/>
    <w:rsid w:val="22334A87"/>
    <w:rsid w:val="22441979"/>
    <w:rsid w:val="22BE6801"/>
    <w:rsid w:val="2318468D"/>
    <w:rsid w:val="233500BF"/>
    <w:rsid w:val="23377FF7"/>
    <w:rsid w:val="236B425F"/>
    <w:rsid w:val="23836192"/>
    <w:rsid w:val="23901F29"/>
    <w:rsid w:val="239C0061"/>
    <w:rsid w:val="23B908A4"/>
    <w:rsid w:val="23E95BEF"/>
    <w:rsid w:val="23FD0064"/>
    <w:rsid w:val="24055C62"/>
    <w:rsid w:val="245375B0"/>
    <w:rsid w:val="24642C0A"/>
    <w:rsid w:val="24B22173"/>
    <w:rsid w:val="24B95AD9"/>
    <w:rsid w:val="24BE24DA"/>
    <w:rsid w:val="24CF5825"/>
    <w:rsid w:val="24D663E6"/>
    <w:rsid w:val="24D77F2B"/>
    <w:rsid w:val="25580E21"/>
    <w:rsid w:val="258B00E2"/>
    <w:rsid w:val="25A917A6"/>
    <w:rsid w:val="25BE27CC"/>
    <w:rsid w:val="25D8140D"/>
    <w:rsid w:val="25F74A5C"/>
    <w:rsid w:val="2628662C"/>
    <w:rsid w:val="262B46D7"/>
    <w:rsid w:val="262D45DE"/>
    <w:rsid w:val="269E759F"/>
    <w:rsid w:val="26A53EF9"/>
    <w:rsid w:val="26A94201"/>
    <w:rsid w:val="26AC274F"/>
    <w:rsid w:val="26BE72FA"/>
    <w:rsid w:val="27044A29"/>
    <w:rsid w:val="271D34C8"/>
    <w:rsid w:val="27277595"/>
    <w:rsid w:val="276142BF"/>
    <w:rsid w:val="27783712"/>
    <w:rsid w:val="27895B59"/>
    <w:rsid w:val="27907362"/>
    <w:rsid w:val="27934C2A"/>
    <w:rsid w:val="27B150B0"/>
    <w:rsid w:val="27C167AA"/>
    <w:rsid w:val="27F54F9D"/>
    <w:rsid w:val="28333E1D"/>
    <w:rsid w:val="28454BD6"/>
    <w:rsid w:val="28455253"/>
    <w:rsid w:val="284F6542"/>
    <w:rsid w:val="28551971"/>
    <w:rsid w:val="285550BC"/>
    <w:rsid w:val="285B1C53"/>
    <w:rsid w:val="289F7086"/>
    <w:rsid w:val="28C32028"/>
    <w:rsid w:val="28CC490F"/>
    <w:rsid w:val="28DE40AA"/>
    <w:rsid w:val="2909455A"/>
    <w:rsid w:val="2916066A"/>
    <w:rsid w:val="291D4965"/>
    <w:rsid w:val="29345E77"/>
    <w:rsid w:val="294C65AD"/>
    <w:rsid w:val="29806583"/>
    <w:rsid w:val="298B3C4C"/>
    <w:rsid w:val="29F26D24"/>
    <w:rsid w:val="2A15033F"/>
    <w:rsid w:val="2A1662C1"/>
    <w:rsid w:val="2A1C7367"/>
    <w:rsid w:val="2A2815FA"/>
    <w:rsid w:val="2A2F61FA"/>
    <w:rsid w:val="2A4915D0"/>
    <w:rsid w:val="2A6D6092"/>
    <w:rsid w:val="2A7D76B4"/>
    <w:rsid w:val="2B022605"/>
    <w:rsid w:val="2B3A2DCA"/>
    <w:rsid w:val="2B437463"/>
    <w:rsid w:val="2B7807EE"/>
    <w:rsid w:val="2BB83EBB"/>
    <w:rsid w:val="2BBF00EC"/>
    <w:rsid w:val="2BC37CFD"/>
    <w:rsid w:val="2BD5237F"/>
    <w:rsid w:val="2BE536CE"/>
    <w:rsid w:val="2BE758D9"/>
    <w:rsid w:val="2C09049E"/>
    <w:rsid w:val="2C0A653C"/>
    <w:rsid w:val="2C0F02F4"/>
    <w:rsid w:val="2C191F85"/>
    <w:rsid w:val="2C1F78D9"/>
    <w:rsid w:val="2C58133E"/>
    <w:rsid w:val="2C6C7DEF"/>
    <w:rsid w:val="2C805DD9"/>
    <w:rsid w:val="2CE82D6F"/>
    <w:rsid w:val="2D343236"/>
    <w:rsid w:val="2D7E57B9"/>
    <w:rsid w:val="2DD15014"/>
    <w:rsid w:val="2DDA4F77"/>
    <w:rsid w:val="2DF72DE4"/>
    <w:rsid w:val="2E0220AF"/>
    <w:rsid w:val="2E150147"/>
    <w:rsid w:val="2E4B082A"/>
    <w:rsid w:val="2E5D4E86"/>
    <w:rsid w:val="2E5D790B"/>
    <w:rsid w:val="2E823422"/>
    <w:rsid w:val="2E9372BE"/>
    <w:rsid w:val="2E9A3C18"/>
    <w:rsid w:val="2EBB0FEE"/>
    <w:rsid w:val="2EC63002"/>
    <w:rsid w:val="2F0A6B38"/>
    <w:rsid w:val="2F946CCB"/>
    <w:rsid w:val="2FD25781"/>
    <w:rsid w:val="2FFD7934"/>
    <w:rsid w:val="30191A45"/>
    <w:rsid w:val="3025488D"/>
    <w:rsid w:val="30733ACD"/>
    <w:rsid w:val="308C3862"/>
    <w:rsid w:val="309379D8"/>
    <w:rsid w:val="30965875"/>
    <w:rsid w:val="30A270F7"/>
    <w:rsid w:val="30DF1478"/>
    <w:rsid w:val="30EC586F"/>
    <w:rsid w:val="3105779E"/>
    <w:rsid w:val="31112756"/>
    <w:rsid w:val="3114202C"/>
    <w:rsid w:val="317A723D"/>
    <w:rsid w:val="319C6071"/>
    <w:rsid w:val="31AC537E"/>
    <w:rsid w:val="31B45EC9"/>
    <w:rsid w:val="31E3679B"/>
    <w:rsid w:val="31E732FD"/>
    <w:rsid w:val="32517576"/>
    <w:rsid w:val="32BE5C2C"/>
    <w:rsid w:val="32FB6478"/>
    <w:rsid w:val="33221F13"/>
    <w:rsid w:val="33263B3F"/>
    <w:rsid w:val="336963EB"/>
    <w:rsid w:val="33816EEB"/>
    <w:rsid w:val="33EB55CD"/>
    <w:rsid w:val="33EC4C02"/>
    <w:rsid w:val="34055610"/>
    <w:rsid w:val="340D2360"/>
    <w:rsid w:val="3410665D"/>
    <w:rsid w:val="34211214"/>
    <w:rsid w:val="342E63AB"/>
    <w:rsid w:val="34790D04"/>
    <w:rsid w:val="34950E68"/>
    <w:rsid w:val="34986E94"/>
    <w:rsid w:val="34AF62C9"/>
    <w:rsid w:val="34BF00AD"/>
    <w:rsid w:val="34CB4388"/>
    <w:rsid w:val="34FA6E12"/>
    <w:rsid w:val="35530223"/>
    <w:rsid w:val="358D5588"/>
    <w:rsid w:val="35AA52D2"/>
    <w:rsid w:val="36140CC0"/>
    <w:rsid w:val="363A3B40"/>
    <w:rsid w:val="365302AE"/>
    <w:rsid w:val="36607A0A"/>
    <w:rsid w:val="366E227C"/>
    <w:rsid w:val="366F2E0D"/>
    <w:rsid w:val="367B6A5C"/>
    <w:rsid w:val="36A74ADA"/>
    <w:rsid w:val="36AD60D5"/>
    <w:rsid w:val="36B224F9"/>
    <w:rsid w:val="36BF3346"/>
    <w:rsid w:val="36D861C9"/>
    <w:rsid w:val="36EC0CC9"/>
    <w:rsid w:val="373F410B"/>
    <w:rsid w:val="37DF0409"/>
    <w:rsid w:val="37EE7094"/>
    <w:rsid w:val="38296C89"/>
    <w:rsid w:val="383002EB"/>
    <w:rsid w:val="38586797"/>
    <w:rsid w:val="386817BB"/>
    <w:rsid w:val="38BC0149"/>
    <w:rsid w:val="38D87D1C"/>
    <w:rsid w:val="39504729"/>
    <w:rsid w:val="395D6E46"/>
    <w:rsid w:val="39636459"/>
    <w:rsid w:val="39647F89"/>
    <w:rsid w:val="396B7F6C"/>
    <w:rsid w:val="398048E2"/>
    <w:rsid w:val="39B417A9"/>
    <w:rsid w:val="39FC5695"/>
    <w:rsid w:val="3A006D8E"/>
    <w:rsid w:val="3A3651E5"/>
    <w:rsid w:val="3A656FF9"/>
    <w:rsid w:val="3A744481"/>
    <w:rsid w:val="3A8C7BEF"/>
    <w:rsid w:val="3A906246"/>
    <w:rsid w:val="3B2349B7"/>
    <w:rsid w:val="3B385475"/>
    <w:rsid w:val="3B410F13"/>
    <w:rsid w:val="3B616CFF"/>
    <w:rsid w:val="3B6259F6"/>
    <w:rsid w:val="3B976654"/>
    <w:rsid w:val="3BB96BCA"/>
    <w:rsid w:val="3BC01EFC"/>
    <w:rsid w:val="3BC3395C"/>
    <w:rsid w:val="3BCA786A"/>
    <w:rsid w:val="3BD31E2F"/>
    <w:rsid w:val="3BF15831"/>
    <w:rsid w:val="3C105946"/>
    <w:rsid w:val="3C471448"/>
    <w:rsid w:val="3C5F759A"/>
    <w:rsid w:val="3C6C525A"/>
    <w:rsid w:val="3C82468D"/>
    <w:rsid w:val="3CCE23CB"/>
    <w:rsid w:val="3CD17D17"/>
    <w:rsid w:val="3CE07B72"/>
    <w:rsid w:val="3D3C7F39"/>
    <w:rsid w:val="3D440F09"/>
    <w:rsid w:val="3D4504A0"/>
    <w:rsid w:val="3D711112"/>
    <w:rsid w:val="3D8734BB"/>
    <w:rsid w:val="3D9A11D4"/>
    <w:rsid w:val="3DA16D89"/>
    <w:rsid w:val="3DA364BE"/>
    <w:rsid w:val="3DE041CB"/>
    <w:rsid w:val="3DE17B53"/>
    <w:rsid w:val="3E0D48F6"/>
    <w:rsid w:val="3E1868B4"/>
    <w:rsid w:val="3E2E5D0C"/>
    <w:rsid w:val="3E377251"/>
    <w:rsid w:val="3E42664B"/>
    <w:rsid w:val="3E5A7334"/>
    <w:rsid w:val="3E5E4FB2"/>
    <w:rsid w:val="3E7B5D6B"/>
    <w:rsid w:val="3E843E66"/>
    <w:rsid w:val="3E8F51FE"/>
    <w:rsid w:val="3E926F87"/>
    <w:rsid w:val="3E9A59DE"/>
    <w:rsid w:val="3EAF4836"/>
    <w:rsid w:val="3EC139D3"/>
    <w:rsid w:val="3EC33DFA"/>
    <w:rsid w:val="3EFC5866"/>
    <w:rsid w:val="3F060E16"/>
    <w:rsid w:val="3F1D1096"/>
    <w:rsid w:val="3F250C7E"/>
    <w:rsid w:val="3F2F0234"/>
    <w:rsid w:val="3F6363FE"/>
    <w:rsid w:val="3F6532F2"/>
    <w:rsid w:val="3F756B8F"/>
    <w:rsid w:val="3F95482B"/>
    <w:rsid w:val="400277B2"/>
    <w:rsid w:val="40153A55"/>
    <w:rsid w:val="4019356B"/>
    <w:rsid w:val="40195A39"/>
    <w:rsid w:val="401F27C9"/>
    <w:rsid w:val="40592157"/>
    <w:rsid w:val="406E1CAE"/>
    <w:rsid w:val="407B27E6"/>
    <w:rsid w:val="40A0133A"/>
    <w:rsid w:val="40C31A53"/>
    <w:rsid w:val="40FF545D"/>
    <w:rsid w:val="410067C8"/>
    <w:rsid w:val="41145C03"/>
    <w:rsid w:val="415E7BFF"/>
    <w:rsid w:val="41644689"/>
    <w:rsid w:val="41662610"/>
    <w:rsid w:val="41766CF7"/>
    <w:rsid w:val="417B4C85"/>
    <w:rsid w:val="418F0D2A"/>
    <w:rsid w:val="41AF32FF"/>
    <w:rsid w:val="41D01505"/>
    <w:rsid w:val="41D06DB9"/>
    <w:rsid w:val="421D0A58"/>
    <w:rsid w:val="4235270E"/>
    <w:rsid w:val="42474939"/>
    <w:rsid w:val="424C3C57"/>
    <w:rsid w:val="426043A2"/>
    <w:rsid w:val="42613FF3"/>
    <w:rsid w:val="42660D96"/>
    <w:rsid w:val="428667D2"/>
    <w:rsid w:val="42C024C7"/>
    <w:rsid w:val="42CD1CE0"/>
    <w:rsid w:val="42E1381E"/>
    <w:rsid w:val="42ED6459"/>
    <w:rsid w:val="42FE58DD"/>
    <w:rsid w:val="43174B3D"/>
    <w:rsid w:val="434B790E"/>
    <w:rsid w:val="435D02F8"/>
    <w:rsid w:val="4360274F"/>
    <w:rsid w:val="43977AB6"/>
    <w:rsid w:val="43A3342B"/>
    <w:rsid w:val="43C77C27"/>
    <w:rsid w:val="43DE09EE"/>
    <w:rsid w:val="43F6333F"/>
    <w:rsid w:val="44002FAD"/>
    <w:rsid w:val="447F5EC2"/>
    <w:rsid w:val="449101DD"/>
    <w:rsid w:val="44A96E38"/>
    <w:rsid w:val="44D426B2"/>
    <w:rsid w:val="44DE1391"/>
    <w:rsid w:val="44E95A32"/>
    <w:rsid w:val="45092CD6"/>
    <w:rsid w:val="451B225C"/>
    <w:rsid w:val="452410C9"/>
    <w:rsid w:val="452D1DC2"/>
    <w:rsid w:val="45317DFB"/>
    <w:rsid w:val="456D3CE4"/>
    <w:rsid w:val="4579042C"/>
    <w:rsid w:val="457F0571"/>
    <w:rsid w:val="45851176"/>
    <w:rsid w:val="45BF61BF"/>
    <w:rsid w:val="45C63B94"/>
    <w:rsid w:val="460E7DA5"/>
    <w:rsid w:val="46422483"/>
    <w:rsid w:val="4659254A"/>
    <w:rsid w:val="465B0637"/>
    <w:rsid w:val="465E3F0D"/>
    <w:rsid w:val="466A16E6"/>
    <w:rsid w:val="46893F2B"/>
    <w:rsid w:val="46C4686E"/>
    <w:rsid w:val="477B778F"/>
    <w:rsid w:val="478203EC"/>
    <w:rsid w:val="47B025FA"/>
    <w:rsid w:val="47DC5B8D"/>
    <w:rsid w:val="4809698F"/>
    <w:rsid w:val="4811697D"/>
    <w:rsid w:val="487A3E25"/>
    <w:rsid w:val="487A531F"/>
    <w:rsid w:val="488B5503"/>
    <w:rsid w:val="48937E21"/>
    <w:rsid w:val="489A0361"/>
    <w:rsid w:val="489D725F"/>
    <w:rsid w:val="48A203D1"/>
    <w:rsid w:val="48AB35BF"/>
    <w:rsid w:val="48B94FF3"/>
    <w:rsid w:val="48E37AAB"/>
    <w:rsid w:val="48FD4B4C"/>
    <w:rsid w:val="490A68E0"/>
    <w:rsid w:val="491055FE"/>
    <w:rsid w:val="49481ACB"/>
    <w:rsid w:val="495F5B3E"/>
    <w:rsid w:val="496F77D7"/>
    <w:rsid w:val="497654FD"/>
    <w:rsid w:val="49B64211"/>
    <w:rsid w:val="49F6167F"/>
    <w:rsid w:val="4A064FA0"/>
    <w:rsid w:val="4A16615C"/>
    <w:rsid w:val="4A4424D7"/>
    <w:rsid w:val="4A697CFB"/>
    <w:rsid w:val="4A8B785B"/>
    <w:rsid w:val="4AB82D0F"/>
    <w:rsid w:val="4AEB7664"/>
    <w:rsid w:val="4AFD7C19"/>
    <w:rsid w:val="4B0567D1"/>
    <w:rsid w:val="4B236AAE"/>
    <w:rsid w:val="4B707271"/>
    <w:rsid w:val="4B9739F7"/>
    <w:rsid w:val="4BEE2503"/>
    <w:rsid w:val="4C1A1980"/>
    <w:rsid w:val="4C245A30"/>
    <w:rsid w:val="4CB6685F"/>
    <w:rsid w:val="4CC367FE"/>
    <w:rsid w:val="4CD1070F"/>
    <w:rsid w:val="4D077F3C"/>
    <w:rsid w:val="4D123355"/>
    <w:rsid w:val="4D2A3B31"/>
    <w:rsid w:val="4D312C52"/>
    <w:rsid w:val="4D6A0258"/>
    <w:rsid w:val="4D905305"/>
    <w:rsid w:val="4D964A72"/>
    <w:rsid w:val="4D9C1254"/>
    <w:rsid w:val="4DD4208D"/>
    <w:rsid w:val="4DE74717"/>
    <w:rsid w:val="4DEE5DF2"/>
    <w:rsid w:val="4DF842F9"/>
    <w:rsid w:val="4E395334"/>
    <w:rsid w:val="4E793892"/>
    <w:rsid w:val="4E800872"/>
    <w:rsid w:val="4EC569ED"/>
    <w:rsid w:val="4ECC0997"/>
    <w:rsid w:val="4ED50EA1"/>
    <w:rsid w:val="4EEB05CA"/>
    <w:rsid w:val="4EEC050C"/>
    <w:rsid w:val="4F0564E7"/>
    <w:rsid w:val="4F104EC3"/>
    <w:rsid w:val="4F47354A"/>
    <w:rsid w:val="4F7E1357"/>
    <w:rsid w:val="4F911C54"/>
    <w:rsid w:val="4FE625E0"/>
    <w:rsid w:val="5021480F"/>
    <w:rsid w:val="503C110B"/>
    <w:rsid w:val="50962ECB"/>
    <w:rsid w:val="50A42E38"/>
    <w:rsid w:val="50A4577F"/>
    <w:rsid w:val="50B73D1F"/>
    <w:rsid w:val="50BD5BC9"/>
    <w:rsid w:val="50C11EEE"/>
    <w:rsid w:val="50E52AF7"/>
    <w:rsid w:val="50E97CFC"/>
    <w:rsid w:val="50FA4028"/>
    <w:rsid w:val="510D65B7"/>
    <w:rsid w:val="511157AB"/>
    <w:rsid w:val="5142540C"/>
    <w:rsid w:val="518832C8"/>
    <w:rsid w:val="51A0432A"/>
    <w:rsid w:val="51A86090"/>
    <w:rsid w:val="51B7396D"/>
    <w:rsid w:val="51D874A6"/>
    <w:rsid w:val="522E4CC3"/>
    <w:rsid w:val="5244713B"/>
    <w:rsid w:val="52615633"/>
    <w:rsid w:val="52977FD4"/>
    <w:rsid w:val="52A25790"/>
    <w:rsid w:val="52A96B6F"/>
    <w:rsid w:val="52B45975"/>
    <w:rsid w:val="52D94AA4"/>
    <w:rsid w:val="52EA3A62"/>
    <w:rsid w:val="52F50BB8"/>
    <w:rsid w:val="53097272"/>
    <w:rsid w:val="53407009"/>
    <w:rsid w:val="53544462"/>
    <w:rsid w:val="5397158E"/>
    <w:rsid w:val="54013861"/>
    <w:rsid w:val="54487265"/>
    <w:rsid w:val="544D6070"/>
    <w:rsid w:val="54605E1E"/>
    <w:rsid w:val="548B182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1FF1"/>
    <w:rsid w:val="55DC29B6"/>
    <w:rsid w:val="55DD4241"/>
    <w:rsid w:val="564B654C"/>
    <w:rsid w:val="566B6D1E"/>
    <w:rsid w:val="57032A2C"/>
    <w:rsid w:val="570F5219"/>
    <w:rsid w:val="573841AB"/>
    <w:rsid w:val="575435C3"/>
    <w:rsid w:val="575D12B5"/>
    <w:rsid w:val="57610A87"/>
    <w:rsid w:val="577B1140"/>
    <w:rsid w:val="577B7F21"/>
    <w:rsid w:val="577F181B"/>
    <w:rsid w:val="57921984"/>
    <w:rsid w:val="579737F0"/>
    <w:rsid w:val="57A57E57"/>
    <w:rsid w:val="57AB7B30"/>
    <w:rsid w:val="57AF5251"/>
    <w:rsid w:val="57B26373"/>
    <w:rsid w:val="57B63F04"/>
    <w:rsid w:val="57CA671C"/>
    <w:rsid w:val="57CD20C2"/>
    <w:rsid w:val="57D675AB"/>
    <w:rsid w:val="57D95FDD"/>
    <w:rsid w:val="584B3471"/>
    <w:rsid w:val="58917D2F"/>
    <w:rsid w:val="5894085C"/>
    <w:rsid w:val="58AE4F0C"/>
    <w:rsid w:val="58B85899"/>
    <w:rsid w:val="58E363A9"/>
    <w:rsid w:val="595E1678"/>
    <w:rsid w:val="596D5BD4"/>
    <w:rsid w:val="597E3DD8"/>
    <w:rsid w:val="59F43F22"/>
    <w:rsid w:val="59F80043"/>
    <w:rsid w:val="5A09252F"/>
    <w:rsid w:val="5A0B2778"/>
    <w:rsid w:val="5A2A7C7B"/>
    <w:rsid w:val="5A3E2560"/>
    <w:rsid w:val="5A5D3B6E"/>
    <w:rsid w:val="5A5D684E"/>
    <w:rsid w:val="5A637A76"/>
    <w:rsid w:val="5A6D33BA"/>
    <w:rsid w:val="5A792B1F"/>
    <w:rsid w:val="5A874767"/>
    <w:rsid w:val="5AAD6F28"/>
    <w:rsid w:val="5AD63A24"/>
    <w:rsid w:val="5B2E1A1D"/>
    <w:rsid w:val="5B843A1C"/>
    <w:rsid w:val="5B873E3F"/>
    <w:rsid w:val="5B9F1A9A"/>
    <w:rsid w:val="5BE75EF1"/>
    <w:rsid w:val="5C02690E"/>
    <w:rsid w:val="5C196DA7"/>
    <w:rsid w:val="5C2A048C"/>
    <w:rsid w:val="5C677032"/>
    <w:rsid w:val="5C80234E"/>
    <w:rsid w:val="5C8A680C"/>
    <w:rsid w:val="5C9800BC"/>
    <w:rsid w:val="5CCD28A1"/>
    <w:rsid w:val="5CDD5A24"/>
    <w:rsid w:val="5D0C4701"/>
    <w:rsid w:val="5D0F0395"/>
    <w:rsid w:val="5D221076"/>
    <w:rsid w:val="5D3715D8"/>
    <w:rsid w:val="5D397964"/>
    <w:rsid w:val="5D4A1228"/>
    <w:rsid w:val="5D5A391C"/>
    <w:rsid w:val="5D5F10C0"/>
    <w:rsid w:val="5D736A1E"/>
    <w:rsid w:val="5D891B7B"/>
    <w:rsid w:val="5D954081"/>
    <w:rsid w:val="5DAD38EE"/>
    <w:rsid w:val="5E006862"/>
    <w:rsid w:val="5E0207B9"/>
    <w:rsid w:val="5E041912"/>
    <w:rsid w:val="5E1834A1"/>
    <w:rsid w:val="5E261785"/>
    <w:rsid w:val="5E4A7017"/>
    <w:rsid w:val="5E50172C"/>
    <w:rsid w:val="5E552BBA"/>
    <w:rsid w:val="5E611C10"/>
    <w:rsid w:val="5E69089E"/>
    <w:rsid w:val="5E6A4482"/>
    <w:rsid w:val="5EFC7377"/>
    <w:rsid w:val="5F06174D"/>
    <w:rsid w:val="5F3A3602"/>
    <w:rsid w:val="5F5F4E16"/>
    <w:rsid w:val="5F6277C6"/>
    <w:rsid w:val="5F6D0B1D"/>
    <w:rsid w:val="5F8D0B82"/>
    <w:rsid w:val="5F994D48"/>
    <w:rsid w:val="5FCC5339"/>
    <w:rsid w:val="5FE34A5B"/>
    <w:rsid w:val="5FFE1E36"/>
    <w:rsid w:val="60081CB7"/>
    <w:rsid w:val="60232584"/>
    <w:rsid w:val="6035115A"/>
    <w:rsid w:val="607330CE"/>
    <w:rsid w:val="60825176"/>
    <w:rsid w:val="609F2AC4"/>
    <w:rsid w:val="60C678F3"/>
    <w:rsid w:val="60FA2EE8"/>
    <w:rsid w:val="61054A27"/>
    <w:rsid w:val="610A52BC"/>
    <w:rsid w:val="611D2366"/>
    <w:rsid w:val="61421856"/>
    <w:rsid w:val="615227C4"/>
    <w:rsid w:val="61654E3F"/>
    <w:rsid w:val="6182292A"/>
    <w:rsid w:val="618C1D01"/>
    <w:rsid w:val="61954B1F"/>
    <w:rsid w:val="619F7F92"/>
    <w:rsid w:val="61F94C26"/>
    <w:rsid w:val="62000E56"/>
    <w:rsid w:val="62013264"/>
    <w:rsid w:val="624F3E49"/>
    <w:rsid w:val="62632286"/>
    <w:rsid w:val="62727F9C"/>
    <w:rsid w:val="6280045C"/>
    <w:rsid w:val="62885958"/>
    <w:rsid w:val="62F40B65"/>
    <w:rsid w:val="62FC2CFE"/>
    <w:rsid w:val="63024505"/>
    <w:rsid w:val="632A2406"/>
    <w:rsid w:val="635B1DB5"/>
    <w:rsid w:val="63711FED"/>
    <w:rsid w:val="63880DDC"/>
    <w:rsid w:val="638D750D"/>
    <w:rsid w:val="63AC6CC0"/>
    <w:rsid w:val="63D135A5"/>
    <w:rsid w:val="64055776"/>
    <w:rsid w:val="64240056"/>
    <w:rsid w:val="643E143A"/>
    <w:rsid w:val="648B6EEF"/>
    <w:rsid w:val="64C158BF"/>
    <w:rsid w:val="64CE2EAA"/>
    <w:rsid w:val="65365732"/>
    <w:rsid w:val="653C3090"/>
    <w:rsid w:val="65854376"/>
    <w:rsid w:val="658767BE"/>
    <w:rsid w:val="65892531"/>
    <w:rsid w:val="658B443E"/>
    <w:rsid w:val="66123178"/>
    <w:rsid w:val="66195831"/>
    <w:rsid w:val="6625194F"/>
    <w:rsid w:val="662E75B1"/>
    <w:rsid w:val="66342C2E"/>
    <w:rsid w:val="663E784C"/>
    <w:rsid w:val="668B6A45"/>
    <w:rsid w:val="66E328B4"/>
    <w:rsid w:val="66E8749F"/>
    <w:rsid w:val="66F84F97"/>
    <w:rsid w:val="67135CE8"/>
    <w:rsid w:val="671939D8"/>
    <w:rsid w:val="672F3F24"/>
    <w:rsid w:val="673E055F"/>
    <w:rsid w:val="67551CE3"/>
    <w:rsid w:val="675D7E8D"/>
    <w:rsid w:val="67A22552"/>
    <w:rsid w:val="67B22DCC"/>
    <w:rsid w:val="67BE71AA"/>
    <w:rsid w:val="67D90273"/>
    <w:rsid w:val="67DE5875"/>
    <w:rsid w:val="67E55852"/>
    <w:rsid w:val="67EB1AB4"/>
    <w:rsid w:val="67FA1285"/>
    <w:rsid w:val="68273FF7"/>
    <w:rsid w:val="68551F4F"/>
    <w:rsid w:val="68737AFB"/>
    <w:rsid w:val="687C10C9"/>
    <w:rsid w:val="68840C16"/>
    <w:rsid w:val="68876EFB"/>
    <w:rsid w:val="68884654"/>
    <w:rsid w:val="689F444F"/>
    <w:rsid w:val="68B96DBB"/>
    <w:rsid w:val="68CA2805"/>
    <w:rsid w:val="68E937A3"/>
    <w:rsid w:val="693E15D3"/>
    <w:rsid w:val="69627681"/>
    <w:rsid w:val="696F20FA"/>
    <w:rsid w:val="6977531D"/>
    <w:rsid w:val="69CC2BFF"/>
    <w:rsid w:val="69FD55B8"/>
    <w:rsid w:val="6A025FC0"/>
    <w:rsid w:val="6A0B1C62"/>
    <w:rsid w:val="6A2406C8"/>
    <w:rsid w:val="6A343766"/>
    <w:rsid w:val="6A553A32"/>
    <w:rsid w:val="6ADE0BD1"/>
    <w:rsid w:val="6ADF4614"/>
    <w:rsid w:val="6AE96859"/>
    <w:rsid w:val="6B147746"/>
    <w:rsid w:val="6B24787C"/>
    <w:rsid w:val="6B460C38"/>
    <w:rsid w:val="6B573233"/>
    <w:rsid w:val="6B583B8B"/>
    <w:rsid w:val="6B5B6274"/>
    <w:rsid w:val="6B650E36"/>
    <w:rsid w:val="6B935D53"/>
    <w:rsid w:val="6C196F71"/>
    <w:rsid w:val="6C226FCB"/>
    <w:rsid w:val="6C31226F"/>
    <w:rsid w:val="6C552F0B"/>
    <w:rsid w:val="6C8C67B7"/>
    <w:rsid w:val="6C9D744C"/>
    <w:rsid w:val="6CA04DB4"/>
    <w:rsid w:val="6D167928"/>
    <w:rsid w:val="6D26299B"/>
    <w:rsid w:val="6D3D22B1"/>
    <w:rsid w:val="6D4772EC"/>
    <w:rsid w:val="6D8019D5"/>
    <w:rsid w:val="6D8B6BCA"/>
    <w:rsid w:val="6D9078AF"/>
    <w:rsid w:val="6DAA3FEF"/>
    <w:rsid w:val="6DC0172B"/>
    <w:rsid w:val="6DC42A14"/>
    <w:rsid w:val="6DCB690C"/>
    <w:rsid w:val="6DD41A5B"/>
    <w:rsid w:val="6DF43C2E"/>
    <w:rsid w:val="6DF51CA3"/>
    <w:rsid w:val="6E8335BD"/>
    <w:rsid w:val="6E8E12EF"/>
    <w:rsid w:val="6E8E6B7E"/>
    <w:rsid w:val="6E972936"/>
    <w:rsid w:val="6ED446C5"/>
    <w:rsid w:val="6F2A7D94"/>
    <w:rsid w:val="6F8331F1"/>
    <w:rsid w:val="6F8A1A3C"/>
    <w:rsid w:val="6FAE1A09"/>
    <w:rsid w:val="6FD75BF8"/>
    <w:rsid w:val="6FEF4D34"/>
    <w:rsid w:val="6FF60E7F"/>
    <w:rsid w:val="707723D0"/>
    <w:rsid w:val="70B60EB5"/>
    <w:rsid w:val="70F5661B"/>
    <w:rsid w:val="71360107"/>
    <w:rsid w:val="713B688E"/>
    <w:rsid w:val="7177062A"/>
    <w:rsid w:val="718E7C4E"/>
    <w:rsid w:val="71D43752"/>
    <w:rsid w:val="71F1796A"/>
    <w:rsid w:val="72154626"/>
    <w:rsid w:val="72262B5D"/>
    <w:rsid w:val="72283FF7"/>
    <w:rsid w:val="722E7212"/>
    <w:rsid w:val="723A0474"/>
    <w:rsid w:val="724A54B2"/>
    <w:rsid w:val="725923E4"/>
    <w:rsid w:val="725B68B3"/>
    <w:rsid w:val="72864BF7"/>
    <w:rsid w:val="729023FC"/>
    <w:rsid w:val="72DE4B8F"/>
    <w:rsid w:val="73005B71"/>
    <w:rsid w:val="7379100F"/>
    <w:rsid w:val="738B5D82"/>
    <w:rsid w:val="73C0646E"/>
    <w:rsid w:val="73D47171"/>
    <w:rsid w:val="742222F5"/>
    <w:rsid w:val="74476126"/>
    <w:rsid w:val="74706664"/>
    <w:rsid w:val="747F3682"/>
    <w:rsid w:val="749C4185"/>
    <w:rsid w:val="74B50DF5"/>
    <w:rsid w:val="75067759"/>
    <w:rsid w:val="752E6DCD"/>
    <w:rsid w:val="7551380D"/>
    <w:rsid w:val="75600BE5"/>
    <w:rsid w:val="7564475C"/>
    <w:rsid w:val="7583797F"/>
    <w:rsid w:val="758962F1"/>
    <w:rsid w:val="75D20F1D"/>
    <w:rsid w:val="75DA2C18"/>
    <w:rsid w:val="75F54412"/>
    <w:rsid w:val="761D08E0"/>
    <w:rsid w:val="765D347C"/>
    <w:rsid w:val="76826699"/>
    <w:rsid w:val="76C87133"/>
    <w:rsid w:val="76CD08D5"/>
    <w:rsid w:val="76DB4B92"/>
    <w:rsid w:val="77052AA4"/>
    <w:rsid w:val="77136511"/>
    <w:rsid w:val="77340A39"/>
    <w:rsid w:val="77351FD0"/>
    <w:rsid w:val="77366005"/>
    <w:rsid w:val="77472422"/>
    <w:rsid w:val="777B33FD"/>
    <w:rsid w:val="777F31F2"/>
    <w:rsid w:val="77D1700D"/>
    <w:rsid w:val="77EC04CC"/>
    <w:rsid w:val="78775729"/>
    <w:rsid w:val="78A42DB0"/>
    <w:rsid w:val="78A656AB"/>
    <w:rsid w:val="78B2245C"/>
    <w:rsid w:val="78E172CC"/>
    <w:rsid w:val="78EA1D1F"/>
    <w:rsid w:val="7904172F"/>
    <w:rsid w:val="790F7E27"/>
    <w:rsid w:val="792A231A"/>
    <w:rsid w:val="79316829"/>
    <w:rsid w:val="7936053E"/>
    <w:rsid w:val="79670CD6"/>
    <w:rsid w:val="797E66A9"/>
    <w:rsid w:val="79986B03"/>
    <w:rsid w:val="79A97383"/>
    <w:rsid w:val="79D52F41"/>
    <w:rsid w:val="79E27E8B"/>
    <w:rsid w:val="79F850CE"/>
    <w:rsid w:val="79FD443C"/>
    <w:rsid w:val="7A1D1975"/>
    <w:rsid w:val="7A3E3B4E"/>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C6B3B"/>
    <w:rsid w:val="7BA94F93"/>
    <w:rsid w:val="7BBF33B2"/>
    <w:rsid w:val="7BEE0103"/>
    <w:rsid w:val="7BEE4D6E"/>
    <w:rsid w:val="7C0445AA"/>
    <w:rsid w:val="7C0A0FE4"/>
    <w:rsid w:val="7C254906"/>
    <w:rsid w:val="7C590818"/>
    <w:rsid w:val="7C7C10F6"/>
    <w:rsid w:val="7C853BEA"/>
    <w:rsid w:val="7C881368"/>
    <w:rsid w:val="7CE27788"/>
    <w:rsid w:val="7D0C32F1"/>
    <w:rsid w:val="7D0F408D"/>
    <w:rsid w:val="7D491C6C"/>
    <w:rsid w:val="7D5429C0"/>
    <w:rsid w:val="7D6E6D43"/>
    <w:rsid w:val="7DB0109D"/>
    <w:rsid w:val="7DB57A34"/>
    <w:rsid w:val="7DE60973"/>
    <w:rsid w:val="7DEF0916"/>
    <w:rsid w:val="7E1E5218"/>
    <w:rsid w:val="7E9A4E1F"/>
    <w:rsid w:val="7EA7723A"/>
    <w:rsid w:val="7EF56FBB"/>
    <w:rsid w:val="7F0768EB"/>
    <w:rsid w:val="7F143BEC"/>
    <w:rsid w:val="7F651B7D"/>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
    <w:link w:val="264"/>
    <w:qFormat/>
    <w:uiPriority w:val="0"/>
    <w:pPr>
      <w:spacing w:line="480" w:lineRule="exact"/>
      <w:ind w:firstLine="480" w:firstLineChars="200"/>
    </w:pPr>
    <w:rPr>
      <w:rFonts w:ascii="宋体" w:hAnsi="宋体"/>
      <w:sz w:val="24"/>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5"/>
    <w:qFormat/>
    <w:uiPriority w:val="0"/>
    <w:rPr>
      <w:b/>
      <w:bCs/>
    </w:rPr>
  </w:style>
  <w:style w:type="paragraph" w:styleId="61">
    <w:name w:val="Body Text First Indent 2"/>
    <w:basedOn w:val="19"/>
    <w:next w:val="3"/>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9"/>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3"/>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7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79"/>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79"/>
    <w:qFormat/>
    <w:uiPriority w:val="0"/>
    <w:pPr>
      <w:tabs>
        <w:tab w:val="left" w:pos="1260"/>
        <w:tab w:val="left" w:pos="1680"/>
        <w:tab w:val="left" w:pos="2100"/>
      </w:tabs>
      <w:ind w:left="0"/>
      <w:outlineLvl w:val="3"/>
    </w:pPr>
  </w:style>
  <w:style w:type="paragraph" w:customStyle="1" w:styleId="655">
    <w:name w:val="一级条标题"/>
    <w:basedOn w:val="656"/>
    <w:next w:val="79"/>
    <w:qFormat/>
    <w:uiPriority w:val="0"/>
    <w:pPr>
      <w:tabs>
        <w:tab w:val="left" w:pos="1260"/>
        <w:tab w:val="left" w:pos="1680"/>
      </w:tabs>
      <w:spacing w:before="0" w:beforeLines="0" w:after="0" w:afterLines="0"/>
      <w:ind w:left="1680"/>
      <w:outlineLvl w:val="2"/>
    </w:pPr>
  </w:style>
  <w:style w:type="paragraph" w:customStyle="1" w:styleId="656">
    <w:name w:val="章标题"/>
    <w:next w:val="7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79"/>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79"/>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3"/>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HTML Bottom of Form"/>
    <w:basedOn w:val="1"/>
    <w:next w:val="1"/>
    <w:qFormat/>
    <w:uiPriority w:val="0"/>
    <w:pPr>
      <w:pBdr>
        <w:top w:val="single" w:color="auto" w:sz="6" w:space="1"/>
      </w:pBdr>
      <w:jc w:val="center"/>
    </w:pPr>
    <w:rPr>
      <w:rFonts w:ascii="Arial"/>
      <w:vanish/>
      <w:sz w:val="16"/>
    </w:rPr>
  </w:style>
  <w:style w:type="paragraph" w:customStyle="1" w:styleId="962">
    <w:name w:val="z-窗体底端1"/>
    <w:basedOn w:val="1"/>
    <w:next w:val="1"/>
    <w:qFormat/>
    <w:uiPriority w:val="0"/>
    <w:pPr>
      <w:pBdr>
        <w:top w:val="single" w:color="auto" w:sz="6" w:space="1"/>
      </w:pBdr>
      <w:jc w:val="center"/>
    </w:pPr>
    <w:rPr>
      <w:rFonts w:ascii="Arial"/>
      <w:vanish/>
      <w:sz w:val="16"/>
    </w:rPr>
  </w:style>
  <w:style w:type="paragraph" w:customStyle="1" w:styleId="963">
    <w:name w:val="样式 标题 1 + 段后: 0.5 行"/>
    <w:basedOn w:val="5"/>
    <w:qFormat/>
    <w:uiPriority w:val="0"/>
    <w:pPr>
      <w:keepLines w:val="0"/>
      <w:numPr>
        <w:ilvl w:val="0"/>
        <w:numId w:val="0"/>
      </w:numPr>
      <w:autoSpaceDE/>
      <w:autoSpaceDN/>
      <w:adjustRightInd/>
      <w:spacing w:before="120" w:after="120" w:afterLines="50" w:line="240" w:lineRule="auto"/>
      <w:textAlignment w:val="auto"/>
    </w:pPr>
    <w:rPr>
      <w:rFonts w:hAnsi="Times New Roman" w:eastAsia="宋体" w:cs="宋体"/>
      <w:snapToGrid w:val="0"/>
      <w:color w:val="auto"/>
      <w:kern w:val="0"/>
      <w:sz w:val="28"/>
    </w:rPr>
  </w:style>
  <w:style w:type="character" w:customStyle="1" w:styleId="964">
    <w:name w:val="font121"/>
    <w:qFormat/>
    <w:uiPriority w:val="0"/>
    <w:rPr>
      <w:rFonts w:ascii="宋体" w:hAnsi="Tahoma" w:eastAsia="宋体" w:cs="宋体"/>
      <w:color w:val="000000"/>
      <w:sz w:val="20"/>
      <w:szCs w:val="20"/>
      <w:u w:val="none"/>
      <w:lang w:bidi="ar-SA"/>
    </w:rPr>
  </w:style>
  <w:style w:type="paragraph" w:customStyle="1" w:styleId="965">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34589</Words>
  <Characters>36825</Characters>
  <Lines>287</Lines>
  <Paragraphs>81</Paragraphs>
  <TotalTime>7</TotalTime>
  <ScaleCrop>false</ScaleCrop>
  <LinksUpToDate>false</LinksUpToDate>
  <CharactersWithSpaces>41730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Yiluo一络</cp:lastModifiedBy>
  <cp:lastPrinted>2022-10-31T05:42:00Z</cp:lastPrinted>
  <dcterms:modified xsi:type="dcterms:W3CDTF">2023-02-27T08:05:48Z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06E95BEC88744A6AB4CF3BA0D441EB9F</vt:lpwstr>
  </property>
</Properties>
</file>