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_GB2312" w:hAnsi="仿宋_GB2312" w:eastAsia="仿宋_GB2312" w:cs="仿宋_GB2312"/>
          <w:b/>
          <w:color w:val="auto"/>
          <w:sz w:val="44"/>
          <w:szCs w:val="44"/>
        </w:rPr>
      </w:pPr>
    </w:p>
    <w:p>
      <w:pPr>
        <w:spacing w:line="600" w:lineRule="exact"/>
        <w:ind w:left="-141" w:leftChars="-67" w:right="-170" w:rightChars="-81"/>
        <w:jc w:val="center"/>
        <w:rPr>
          <w:rFonts w:hint="eastAsia" w:ascii="仿宋_GB2312" w:hAnsi="仿宋_GB2312" w:eastAsia="仿宋_GB2312" w:cs="仿宋_GB2312"/>
          <w:b/>
          <w:color w:val="auto"/>
          <w:kern w:val="0"/>
          <w:sz w:val="44"/>
          <w:szCs w:val="44"/>
        </w:rPr>
      </w:pPr>
      <w:bookmarkStart w:id="0" w:name="OLE_LINK21"/>
      <w:r>
        <w:rPr>
          <w:rFonts w:hint="eastAsia" w:ascii="仿宋_GB2312" w:hAnsi="仿宋_GB2312" w:eastAsia="仿宋_GB2312" w:cs="仿宋_GB2312"/>
          <w:b/>
          <w:color w:val="auto"/>
          <w:kern w:val="0"/>
          <w:sz w:val="44"/>
          <w:szCs w:val="44"/>
        </w:rPr>
        <w:t>江山市中小学AI智慧体育设备采购项目</w:t>
      </w:r>
    </w:p>
    <w:bookmarkEnd w:id="0"/>
    <w:p>
      <w:pPr>
        <w:spacing w:line="600" w:lineRule="exact"/>
        <w:ind w:left="-141" w:leftChars="-67" w:right="-170" w:rightChars="-81"/>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项目编号：jshjzf-20250707</w:t>
      </w:r>
    </w:p>
    <w:p>
      <w:pPr>
        <w:adjustRightInd/>
        <w:spacing w:line="360" w:lineRule="auto"/>
        <w:jc w:val="center"/>
        <w:rPr>
          <w:rFonts w:hint="eastAsia" w:ascii="仿宋_GB2312" w:hAnsi="仿宋_GB2312" w:eastAsia="仿宋_GB2312" w:cs="仿宋_GB2312"/>
          <w:color w:val="auto"/>
        </w:rPr>
      </w:pPr>
      <w:r>
        <w:rPr>
          <w:rFonts w:hint="eastAsia" w:ascii="仿宋_GB2312" w:hAnsi="仿宋_GB2312" w:eastAsia="仿宋_GB2312" w:cs="仿宋_GB2312"/>
          <w:b/>
          <w:color w:val="auto"/>
          <w:sz w:val="44"/>
          <w:szCs w:val="44"/>
        </w:rPr>
        <w:t>（电子招投标）</w:t>
      </w:r>
    </w:p>
    <w:p>
      <w:pPr>
        <w:pStyle w:val="15"/>
        <w:rPr>
          <w:rFonts w:hint="eastAsia" w:ascii="仿宋_GB2312" w:hAnsi="仿宋_GB2312" w:eastAsia="仿宋_GB2312" w:cs="仿宋_GB2312"/>
          <w:color w:val="auto"/>
        </w:rPr>
      </w:pP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公</w:t>
      </w: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开</w:t>
      </w: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招</w:t>
      </w: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标</w:t>
      </w: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文</w:t>
      </w:r>
    </w:p>
    <w:p>
      <w:pPr>
        <w:spacing w:after="100" w:afterAutospacing="1" w:line="880" w:lineRule="exact"/>
        <w:ind w:right="-108"/>
        <w:jc w:val="center"/>
        <w:rPr>
          <w:rFonts w:hint="eastAsia" w:ascii="仿宋_GB2312" w:hAnsi="仿宋_GB2312" w:eastAsia="仿宋_GB2312" w:cs="仿宋_GB2312"/>
          <w:b/>
          <w:color w:val="auto"/>
          <w:spacing w:val="40"/>
          <w:sz w:val="84"/>
          <w:szCs w:val="84"/>
        </w:rPr>
      </w:pPr>
      <w:r>
        <w:rPr>
          <w:rFonts w:hint="eastAsia" w:ascii="仿宋_GB2312" w:hAnsi="仿宋_GB2312" w:eastAsia="仿宋_GB2312" w:cs="仿宋_GB2312"/>
          <w:b/>
          <w:color w:val="auto"/>
          <w:spacing w:val="40"/>
          <w:sz w:val="84"/>
          <w:szCs w:val="84"/>
        </w:rPr>
        <w:t>件</w:t>
      </w:r>
    </w:p>
    <w:p>
      <w:pPr>
        <w:tabs>
          <w:tab w:val="left" w:pos="10440"/>
        </w:tabs>
        <w:spacing w:line="500" w:lineRule="exact"/>
        <w:ind w:right="25" w:rightChars="12"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采购单位: </w:t>
      </w:r>
      <w:r>
        <w:rPr>
          <w:rFonts w:hint="eastAsia" w:ascii="仿宋_GB2312" w:hAnsi="仿宋_GB2312" w:eastAsia="仿宋_GB2312" w:cs="仿宋_GB2312"/>
          <w:color w:val="auto"/>
          <w:sz w:val="36"/>
          <w:szCs w:val="36"/>
        </w:rPr>
        <w:t>江山市教育技术中心</w:t>
      </w:r>
    </w:p>
    <w:p>
      <w:pPr>
        <w:spacing w:line="500" w:lineRule="exact"/>
        <w:ind w:right="25" w:rightChars="12"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备案单位：江山市财政局</w:t>
      </w:r>
    </w:p>
    <w:p>
      <w:pPr>
        <w:spacing w:line="500" w:lineRule="exact"/>
        <w:ind w:right="531" w:rightChars="253" w:firstLine="720" w:firstLineChars="200"/>
        <w:jc w:val="lef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代理机构：江山惠捷信息技术咨询有限公司</w:t>
      </w:r>
    </w:p>
    <w:p>
      <w:pPr>
        <w:snapToGrid w:val="0"/>
        <w:ind w:right="-158"/>
        <w:jc w:val="left"/>
        <w:rPr>
          <w:rFonts w:hint="eastAsia" w:ascii="仿宋_GB2312" w:hAnsi="仿宋_GB2312" w:eastAsia="仿宋_GB2312" w:cs="仿宋_GB2312"/>
          <w:b/>
          <w:color w:val="auto"/>
          <w:sz w:val="24"/>
        </w:rPr>
      </w:pPr>
    </w:p>
    <w:p>
      <w:pPr>
        <w:snapToGrid w:val="0"/>
        <w:ind w:right="-158"/>
        <w:jc w:val="center"/>
        <w:rPr>
          <w:rFonts w:hint="eastAsia" w:ascii="仿宋_GB2312" w:hAnsi="仿宋_GB2312" w:eastAsia="仿宋_GB2312" w:cs="仿宋_GB2312"/>
          <w:b/>
          <w:color w:val="auto"/>
          <w:sz w:val="24"/>
        </w:rPr>
      </w:pPr>
    </w:p>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44"/>
          <w:szCs w:val="44"/>
        </w:rPr>
        <w:t>二○二五年七月</w:t>
      </w:r>
    </w:p>
    <w:p>
      <w:pPr>
        <w:spacing w:line="360" w:lineRule="auto"/>
        <w:rPr>
          <w:rFonts w:hint="eastAsia" w:ascii="仿宋_GB2312" w:hAnsi="仿宋_GB2312" w:eastAsia="仿宋_GB2312" w:cs="仿宋_GB2312"/>
          <w:b/>
          <w:color w:val="auto"/>
          <w:sz w:val="48"/>
          <w:szCs w:val="48"/>
        </w:rPr>
      </w:pPr>
    </w:p>
    <w:p>
      <w:pPr>
        <w:spacing w:line="360" w:lineRule="auto"/>
        <w:jc w:val="center"/>
        <w:rPr>
          <w:rFonts w:hint="eastAsia" w:ascii="仿宋_GB2312" w:hAnsi="仿宋_GB2312" w:eastAsia="仿宋_GB2312" w:cs="仿宋_GB2312"/>
          <w:b/>
          <w:color w:val="auto"/>
          <w:sz w:val="48"/>
          <w:szCs w:val="48"/>
        </w:rPr>
      </w:pPr>
      <w:r>
        <w:rPr>
          <w:rFonts w:hint="eastAsia" w:ascii="仿宋_GB2312" w:hAnsi="仿宋_GB2312" w:eastAsia="仿宋_GB2312" w:cs="仿宋_GB2312"/>
          <w:b/>
          <w:color w:val="auto"/>
          <w:sz w:val="48"/>
          <w:szCs w:val="48"/>
        </w:rPr>
        <w:t>目  录</w:t>
      </w:r>
    </w:p>
    <w:p>
      <w:pPr>
        <w:spacing w:line="480" w:lineRule="auto"/>
        <w:rPr>
          <w:rFonts w:hint="eastAsia" w:ascii="仿宋_GB2312" w:hAnsi="仿宋_GB2312" w:eastAsia="仿宋_GB2312" w:cs="仿宋_GB2312"/>
          <w:color w:val="auto"/>
          <w:sz w:val="28"/>
          <w:szCs w:val="28"/>
        </w:rPr>
      </w:pPr>
    </w:p>
    <w:p>
      <w:pPr>
        <w:spacing w:line="480" w:lineRule="auto"/>
        <w:rPr>
          <w:rFonts w:hint="eastAsia" w:ascii="仿宋_GB2312" w:hAnsi="仿宋_GB2312" w:eastAsia="仿宋_GB2312" w:cs="仿宋_GB2312"/>
          <w:color w:val="auto"/>
          <w:sz w:val="28"/>
          <w:szCs w:val="28"/>
        </w:rPr>
      </w:pPr>
    </w:p>
    <w:p>
      <w:pPr>
        <w:pStyle w:val="41"/>
        <w:tabs>
          <w:tab w:val="right" w:leader="dot" w:pos="9070"/>
        </w:tabs>
        <w:spacing w:line="480" w:lineRule="auto"/>
        <w:rPr>
          <w:rFonts w:hint="eastAsia" w:ascii="仿宋_GB2312" w:hAnsi="仿宋_GB2312" w:eastAsia="仿宋_GB2312" w:cs="仿宋_GB2312"/>
          <w:color w:val="auto"/>
          <w:sz w:val="28"/>
          <w:szCs w:val="28"/>
        </w:rPr>
      </w:pPr>
      <w:bookmarkStart w:id="1" w:name="_Hlt91233176"/>
      <w:bookmarkEnd w:id="1"/>
      <w:bookmarkStart w:id="2" w:name="_Toc91899869"/>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TOC \o "1-3" \h \u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"_Toc4826"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第一部分 招标公告</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fldChar w:fldCharType="end"/>
      </w:r>
    </w:p>
    <w:p>
      <w:pPr>
        <w:pStyle w:val="41"/>
        <w:tabs>
          <w:tab w:val="right" w:leader="dot" w:pos="9070"/>
        </w:tabs>
        <w:spacing w:line="48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"_Toc10828"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第二部分 投标人须知</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fldChar w:fldCharType="end"/>
      </w:r>
    </w:p>
    <w:p>
      <w:pPr>
        <w:pStyle w:val="41"/>
        <w:tabs>
          <w:tab w:val="right" w:leader="dot" w:pos="9070"/>
        </w:tabs>
        <w:spacing w:line="48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"_Toc14727"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第三部分 采购需求</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_Toc14727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22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pPr>
        <w:pStyle w:val="41"/>
        <w:tabs>
          <w:tab w:val="right" w:leader="dot" w:pos="9070"/>
        </w:tabs>
        <w:spacing w:line="48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"_Toc32514"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第四部分 评标办法</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31</w:t>
      </w:r>
      <w:r>
        <w:rPr>
          <w:rFonts w:hint="eastAsia" w:ascii="仿宋_GB2312" w:hAnsi="仿宋_GB2312" w:eastAsia="仿宋_GB2312" w:cs="仿宋_GB2312"/>
          <w:color w:val="auto"/>
          <w:sz w:val="28"/>
          <w:szCs w:val="28"/>
        </w:rPr>
        <w:fldChar w:fldCharType="end"/>
      </w:r>
    </w:p>
    <w:p>
      <w:pPr>
        <w:pStyle w:val="41"/>
        <w:tabs>
          <w:tab w:val="right" w:leader="dot" w:pos="9070"/>
        </w:tabs>
        <w:spacing w:line="48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"_Toc11270"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第五部分 拟签订的合同文本</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9</w:t>
      </w:r>
    </w:p>
    <w:p>
      <w:pPr>
        <w:pStyle w:val="41"/>
        <w:tabs>
          <w:tab w:val="right" w:leader="dot" w:pos="9070"/>
        </w:tabs>
        <w:spacing w:line="48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"_Toc11460"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第六部分 应提交的有关格式范例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42</w:t>
      </w:r>
      <w:r>
        <w:rPr>
          <w:rFonts w:hint="eastAsia" w:ascii="仿宋_GB2312" w:hAnsi="仿宋_GB2312" w:eastAsia="仿宋_GB2312" w:cs="仿宋_GB2312"/>
          <w:color w:val="auto"/>
          <w:sz w:val="28"/>
          <w:szCs w:val="28"/>
        </w:rPr>
        <w:fldChar w:fldCharType="end"/>
      </w:r>
    </w:p>
    <w:p>
      <w:pPr>
        <w:pStyle w:val="41"/>
        <w:tabs>
          <w:tab w:val="right" w:leader="dot" w:pos="9070"/>
        </w:tabs>
        <w:spacing w:line="480" w:lineRule="auto"/>
        <w:rPr>
          <w:rFonts w:hint="eastAsia" w:ascii="仿宋_GB2312" w:hAnsi="仿宋_GB2312" w:eastAsia="仿宋_GB2312" w:cs="仿宋_GB2312"/>
          <w:color w:val="auto"/>
          <w:sz w:val="28"/>
          <w:szCs w:val="28"/>
        </w:rPr>
      </w:pPr>
    </w:p>
    <w:p>
      <w:pPr>
        <w:spacing w:line="480" w:lineRule="auto"/>
        <w:ind w:firstLine="641" w:firstLineChars="22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end"/>
      </w: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spacing w:line="360" w:lineRule="auto"/>
        <w:ind w:firstLine="549" w:firstLineChars="229"/>
        <w:rPr>
          <w:rFonts w:hint="eastAsia" w:ascii="仿宋_GB2312" w:hAnsi="仿宋_GB2312" w:eastAsia="仿宋_GB2312" w:cs="仿宋_GB2312"/>
          <w:color w:val="auto"/>
          <w:sz w:val="24"/>
        </w:rPr>
      </w:pPr>
    </w:p>
    <w:p>
      <w:pPr>
        <w:adjustRightInd/>
        <w:spacing w:line="360" w:lineRule="auto"/>
        <w:jc w:val="center"/>
        <w:outlineLvl w:val="0"/>
        <w:rPr>
          <w:rFonts w:hint="eastAsia" w:ascii="仿宋_GB2312" w:hAnsi="仿宋_GB2312" w:eastAsia="仿宋_GB2312" w:cs="仿宋_GB2312"/>
          <w:b/>
          <w:color w:val="auto"/>
          <w:sz w:val="36"/>
          <w:szCs w:val="20"/>
        </w:rPr>
      </w:pPr>
      <w:bookmarkStart w:id="3" w:name="第一部分"/>
      <w:r>
        <w:rPr>
          <w:rFonts w:hint="eastAsia" w:ascii="仿宋_GB2312" w:hAnsi="仿宋_GB2312" w:eastAsia="仿宋_GB2312" w:cs="仿宋_GB2312"/>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22654"/>
      <w:bookmarkStart w:id="9" w:name="_Toc4826"/>
      <w:bookmarkStart w:id="10" w:name="第二部分"/>
      <w:bookmarkStart w:id="11" w:name="_Toc91899870"/>
      <w:bookmarkStart w:id="12" w:name="_Toc91899871"/>
      <w:r>
        <w:rPr>
          <w:rFonts w:hint="eastAsia" w:ascii="仿宋_GB2312" w:hAnsi="仿宋_GB2312" w:eastAsia="仿宋_GB2312" w:cs="仿宋_GB2312"/>
          <w:b/>
          <w:color w:val="auto"/>
          <w:sz w:val="36"/>
          <w:szCs w:val="20"/>
        </w:rPr>
        <w:t>第一部分招标公告</w:t>
      </w:r>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江山市中小学AI智慧体育设备采购项目招标项目的潜在投标人应在政采云平台（</w:t>
      </w:r>
      <w:r>
        <w:rPr>
          <w:rFonts w:hint="eastAsia" w:ascii="仿宋_GB2312" w:hAnsi="仿宋_GB2312" w:eastAsia="仿宋_GB2312" w:cs="仿宋_GB2312"/>
          <w:color w:val="auto"/>
          <w:u w:val="none"/>
        </w:rPr>
        <w:fldChar w:fldCharType="begin"/>
      </w:r>
      <w:r>
        <w:rPr>
          <w:rFonts w:hint="eastAsia" w:ascii="仿宋_GB2312" w:hAnsi="仿宋_GB2312" w:eastAsia="仿宋_GB2312" w:cs="仿宋_GB2312"/>
          <w:color w:val="auto"/>
          <w:u w:val="none"/>
        </w:rPr>
        <w:instrText xml:space="preserve"> HYPERLINK "https://www.zcygov.cn/）获取（下载）招标文件，并于2021年" </w:instrText>
      </w:r>
      <w:r>
        <w:rPr>
          <w:rFonts w:hint="eastAsia" w:ascii="仿宋_GB2312" w:hAnsi="仿宋_GB2312" w:eastAsia="仿宋_GB2312" w:cs="仿宋_GB2312"/>
          <w:color w:val="auto"/>
          <w:u w:val="none"/>
        </w:rPr>
        <w:fldChar w:fldCharType="separate"/>
      </w:r>
      <w:r>
        <w:rPr>
          <w:rStyle w:val="70"/>
          <w:rFonts w:hint="eastAsia" w:ascii="仿宋_GB2312" w:hAnsi="仿宋_GB2312" w:eastAsia="仿宋_GB2312" w:cs="仿宋_GB2312"/>
          <w:snapToGrid/>
          <w:color w:val="auto"/>
          <w:kern w:val="2"/>
          <w:sz w:val="24"/>
          <w:szCs w:val="24"/>
          <w:u w:val="none"/>
        </w:rPr>
        <w:t>https://www.zcygov.cn/）获取（下载）招标文件，并于</w:t>
      </w:r>
      <w:r>
        <w:rPr>
          <w:rFonts w:hint="eastAsia" w:ascii="仿宋_GB2312" w:hAnsi="仿宋_GB2312" w:eastAsia="仿宋_GB2312" w:cs="仿宋_GB2312"/>
          <w:color w:val="auto"/>
          <w:sz w:val="24"/>
          <w:u w:val="none"/>
        </w:rPr>
        <w:t>2025年</w:t>
      </w:r>
      <w:r>
        <w:rPr>
          <w:rFonts w:hint="eastAsia" w:ascii="仿宋_GB2312" w:hAnsi="仿宋_GB2312" w:eastAsia="仿宋_GB2312" w:cs="仿宋_GB2312"/>
          <w:color w:val="auto"/>
          <w:sz w:val="24"/>
          <w:u w:val="none"/>
          <w:lang w:val="en-US" w:eastAsia="zh-CN"/>
        </w:rPr>
        <w:t>08</w:t>
      </w:r>
      <w:r>
        <w:rPr>
          <w:rFonts w:hint="eastAsia" w:ascii="仿宋_GB2312" w:hAnsi="仿宋_GB2312" w:eastAsia="仿宋_GB2312" w:cs="仿宋_GB2312"/>
          <w:color w:val="auto"/>
          <w:sz w:val="24"/>
          <w:u w:val="none"/>
        </w:rPr>
        <w:t>月</w:t>
      </w:r>
      <w:r>
        <w:rPr>
          <w:rFonts w:hint="eastAsia" w:ascii="仿宋_GB2312" w:hAnsi="仿宋_GB2312" w:eastAsia="仿宋_GB2312" w:cs="仿宋_GB2312"/>
          <w:color w:val="auto"/>
          <w:sz w:val="24"/>
          <w:u w:val="none"/>
          <w:lang w:val="en-US" w:eastAsia="zh-CN"/>
        </w:rPr>
        <w:t>07</w:t>
      </w:r>
      <w:r>
        <w:rPr>
          <w:rFonts w:hint="eastAsia" w:ascii="仿宋_GB2312" w:hAnsi="仿宋_GB2312" w:eastAsia="仿宋_GB2312" w:cs="仿宋_GB2312"/>
          <w:color w:val="auto"/>
          <w:sz w:val="24"/>
          <w:u w:val="none"/>
        </w:rPr>
        <w:t>日</w:t>
      </w:r>
      <w:r>
        <w:rPr>
          <w:rFonts w:hint="eastAsia" w:ascii="仿宋_GB2312" w:hAnsi="仿宋_GB2312" w:eastAsia="仿宋_GB2312" w:cs="仿宋_GB2312"/>
          <w:color w:val="auto"/>
          <w:sz w:val="24"/>
          <w:u w:val="none"/>
        </w:rPr>
        <w:fldChar w:fldCharType="end"/>
      </w:r>
      <w:r>
        <w:rPr>
          <w:rFonts w:hint="eastAsia" w:ascii="仿宋_GB2312" w:hAnsi="仿宋_GB2312" w:eastAsia="仿宋_GB2312" w:cs="仿宋_GB2312"/>
          <w:color w:val="auto"/>
          <w:sz w:val="24"/>
          <w:u w:val="none"/>
          <w:lang w:val="en-US" w:eastAsia="zh-CN"/>
        </w:rPr>
        <w:t>09</w:t>
      </w:r>
      <w:r>
        <w:rPr>
          <w:rFonts w:hint="eastAsia" w:ascii="仿宋_GB2312" w:hAnsi="仿宋_GB2312" w:eastAsia="仿宋_GB2312" w:cs="仿宋_GB2312"/>
          <w:bCs/>
          <w:color w:val="auto"/>
          <w:sz w:val="24"/>
          <w:u w:val="none"/>
        </w:rPr>
        <w:t>:</w:t>
      </w:r>
      <w:r>
        <w:rPr>
          <w:rFonts w:hint="eastAsia" w:ascii="仿宋_GB2312" w:hAnsi="仿宋_GB2312" w:eastAsia="仿宋_GB2312" w:cs="仿宋_GB2312"/>
          <w:bCs/>
          <w:color w:val="auto"/>
          <w:sz w:val="24"/>
          <w:u w:val="none"/>
          <w:lang w:val="en-US" w:eastAsia="zh-CN"/>
        </w:rPr>
        <w:t>0</w:t>
      </w:r>
      <w:r>
        <w:rPr>
          <w:rFonts w:hint="eastAsia" w:ascii="仿宋_GB2312" w:hAnsi="仿宋_GB2312" w:eastAsia="仿宋_GB2312" w:cs="仿宋_GB2312"/>
          <w:bCs/>
          <w:color w:val="auto"/>
          <w:sz w:val="24"/>
          <w:u w:val="none"/>
        </w:rPr>
        <w:t>0（北京时间）前</w:t>
      </w:r>
      <w:bookmarkStart w:id="13" w:name="OLE_LINK9"/>
      <w:r>
        <w:rPr>
          <w:rFonts w:hint="eastAsia" w:ascii="仿宋_GB2312" w:hAnsi="仿宋_GB2312" w:eastAsia="仿宋_GB2312" w:cs="仿宋_GB2312"/>
          <w:color w:val="auto"/>
          <w:sz w:val="24"/>
          <w:u w:val="none"/>
        </w:rPr>
        <w:t>递交（上传）投标文件</w:t>
      </w:r>
      <w:bookmarkEnd w:id="13"/>
      <w:r>
        <w:rPr>
          <w:rFonts w:hint="eastAsia" w:ascii="仿宋_GB2312" w:hAnsi="仿宋_GB2312" w:eastAsia="仿宋_GB2312" w:cs="仿宋_GB2312"/>
          <w:color w:val="auto"/>
          <w:sz w:val="24"/>
          <w:u w:val="none"/>
        </w:rPr>
        <w:t>。</w:t>
      </w:r>
    </w:p>
    <w:p>
      <w:pPr>
        <w:pStyle w:val="258"/>
        <w:numPr>
          <w:ilvl w:val="0"/>
          <w:numId w:val="1"/>
        </w:numPr>
        <w:ind w:firstLineChars="0"/>
        <w:rPr>
          <w:rFonts w:hint="eastAsia" w:ascii="仿宋_GB2312" w:hAnsi="仿宋_GB2312" w:eastAsia="仿宋_GB2312" w:cs="仿宋_GB2312"/>
          <w:b/>
          <w:color w:val="auto"/>
        </w:rPr>
      </w:pPr>
      <w:r>
        <w:rPr>
          <w:rFonts w:hint="eastAsia" w:ascii="仿宋_GB2312" w:hAnsi="仿宋_GB2312" w:eastAsia="仿宋_GB2312" w:cs="仿宋_GB2312"/>
          <w:b/>
          <w:color w:val="auto"/>
        </w:rPr>
        <w:t>招标公告发布前事项：</w:t>
      </w:r>
    </w:p>
    <w:p>
      <w:pPr>
        <w:pStyle w:val="258"/>
        <w:numPr>
          <w:ilvl w:val="0"/>
          <w:numId w:val="0"/>
        </w:numPr>
        <w:ind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意向公开的发布链接</w:t>
      </w:r>
      <w:bookmarkStart w:id="14" w:name="OLE_LINK2"/>
      <w:bookmarkStart w:id="15" w:name="OLE_LINK3"/>
    </w:p>
    <w:p>
      <w:pPr>
        <w:pStyle w:val="258"/>
        <w:numPr>
          <w:ilvl w:val="0"/>
          <w:numId w:val="0"/>
        </w:numPr>
        <w:ind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https://zfcg.czt.zj.gov.cn/site/detail?parentId=600007&amp;articleId=LZ4r32mI0Ype5q1wlGh0uQ%3D%3D</w:t>
      </w:r>
    </w:p>
    <w:bookmarkEnd w:id="14"/>
    <w:bookmarkEnd w:id="15"/>
    <w:p>
      <w:pPr>
        <w:pStyle w:val="258"/>
        <w:numPr>
          <w:ilvl w:val="0"/>
          <w:numId w:val="1"/>
        </w:numPr>
        <w:ind w:firstLineChars="0"/>
        <w:rPr>
          <w:rFonts w:hint="eastAsia" w:ascii="仿宋_GB2312" w:hAnsi="仿宋_GB2312" w:eastAsia="仿宋_GB2312" w:cs="仿宋_GB2312"/>
          <w:b/>
          <w:color w:val="auto"/>
        </w:rPr>
      </w:pPr>
      <w:r>
        <w:rPr>
          <w:rFonts w:hint="eastAsia" w:ascii="仿宋_GB2312" w:hAnsi="仿宋_GB2312" w:eastAsia="仿宋_GB2312" w:cs="仿宋_GB2312"/>
          <w:b/>
          <w:color w:val="auto"/>
        </w:rPr>
        <w:t>项目基本情况</w:t>
      </w:r>
    </w:p>
    <w:p>
      <w:pPr>
        <w:spacing w:line="360" w:lineRule="auto"/>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b/>
          <w:color w:val="auto"/>
          <w:sz w:val="24"/>
        </w:rPr>
        <w:t>项目编号：</w:t>
      </w:r>
      <w:r>
        <w:rPr>
          <w:rFonts w:hint="eastAsia" w:ascii="仿宋_GB2312" w:hAnsi="仿宋_GB2312" w:eastAsia="仿宋_GB2312" w:cs="仿宋_GB2312"/>
          <w:bCs/>
          <w:color w:val="auto"/>
          <w:sz w:val="24"/>
        </w:rPr>
        <w:t>jshjzf-20250707</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2.项目名称：</w:t>
      </w:r>
      <w:r>
        <w:rPr>
          <w:rFonts w:hint="eastAsia" w:ascii="仿宋_GB2312" w:hAnsi="仿宋_GB2312" w:eastAsia="仿宋_GB2312" w:cs="仿宋_GB2312"/>
          <w:bCs/>
          <w:color w:val="auto"/>
          <w:sz w:val="24"/>
        </w:rPr>
        <w:t>江山市中小学AI智慧体育设备采购项目</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rPr>
        <w:t>1550000</w:t>
      </w:r>
    </w:p>
    <w:p>
      <w:pPr>
        <w:spacing w:line="400" w:lineRule="exact"/>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4.最高限价（元）：</w:t>
      </w:r>
      <w:r>
        <w:rPr>
          <w:rFonts w:hint="eastAsia" w:ascii="仿宋_GB2312" w:hAnsi="仿宋_GB2312" w:eastAsia="仿宋_GB2312" w:cs="仿宋_GB2312"/>
          <w:color w:val="auto"/>
          <w:sz w:val="24"/>
        </w:rPr>
        <w:t xml:space="preserve">/ </w:t>
      </w:r>
    </w:p>
    <w:p>
      <w:pPr>
        <w:spacing w:line="400" w:lineRule="exact"/>
        <w:ind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5.采购需求：</w:t>
      </w:r>
    </w:p>
    <w:tbl>
      <w:tblPr>
        <w:tblStyle w:val="73"/>
        <w:tblW w:w="8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093"/>
        <w:gridCol w:w="821"/>
        <w:gridCol w:w="146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标</w:t>
            </w:r>
            <w:r>
              <w:rPr>
                <w:rFonts w:hint="eastAsia" w:ascii="仿宋_GB2312" w:hAnsi="仿宋_GB2312" w:eastAsia="仿宋_GB2312" w:cs="仿宋_GB2312"/>
                <w:bCs/>
                <w:color w:val="auto"/>
                <w:sz w:val="24"/>
                <w:lang w:val="en-US" w:eastAsia="zh-CN"/>
              </w:rPr>
              <w:t>项</w:t>
            </w:r>
            <w:r>
              <w:rPr>
                <w:rFonts w:hint="eastAsia" w:ascii="仿宋_GB2312" w:hAnsi="仿宋_GB2312" w:eastAsia="仿宋_GB2312" w:cs="仿宋_GB2312"/>
                <w:bCs/>
                <w:color w:val="auto"/>
                <w:sz w:val="24"/>
              </w:rPr>
              <w:t>号</w:t>
            </w:r>
          </w:p>
        </w:tc>
        <w:tc>
          <w:tcPr>
            <w:tcW w:w="3093"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采购内容</w:t>
            </w:r>
          </w:p>
        </w:tc>
        <w:tc>
          <w:tcPr>
            <w:tcW w:w="821"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数量</w:t>
            </w:r>
          </w:p>
        </w:tc>
        <w:tc>
          <w:tcPr>
            <w:tcW w:w="1469" w:type="dxa"/>
            <w:vAlign w:val="top"/>
          </w:tcPr>
          <w:p>
            <w:pPr>
              <w:spacing w:line="360" w:lineRule="auto"/>
              <w:ind w:firstLine="240" w:firstLineChars="1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预算价</w:t>
            </w:r>
          </w:p>
        </w:tc>
        <w:tc>
          <w:tcPr>
            <w:tcW w:w="2295" w:type="dxa"/>
            <w:vAlign w:val="top"/>
          </w:tcPr>
          <w:p>
            <w:pPr>
              <w:spacing w:line="360" w:lineRule="auto"/>
              <w:ind w:firstLine="720" w:firstLineChars="3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8"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标项1</w:t>
            </w:r>
          </w:p>
        </w:tc>
        <w:tc>
          <w:tcPr>
            <w:tcW w:w="3093"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江山市中小学AI智慧体育设备采购项目</w:t>
            </w:r>
          </w:p>
        </w:tc>
        <w:tc>
          <w:tcPr>
            <w:tcW w:w="821"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1项</w:t>
            </w:r>
          </w:p>
        </w:tc>
        <w:tc>
          <w:tcPr>
            <w:tcW w:w="1469"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1550000元</w:t>
            </w:r>
          </w:p>
        </w:tc>
        <w:tc>
          <w:tcPr>
            <w:tcW w:w="2295" w:type="dxa"/>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详见第三部分采购需求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4932" w:type="dxa"/>
            <w:gridSpan w:val="3"/>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合计</w:t>
            </w:r>
          </w:p>
        </w:tc>
        <w:tc>
          <w:tcPr>
            <w:tcW w:w="3764" w:type="dxa"/>
            <w:gridSpan w:val="2"/>
            <w:vAlign w:val="top"/>
          </w:tcPr>
          <w:p>
            <w:pPr>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1550000元</w:t>
            </w:r>
          </w:p>
        </w:tc>
      </w:tr>
    </w:tbl>
    <w:p>
      <w:pPr>
        <w:pStyle w:val="131"/>
        <w:ind w:left="0" w:leftChars="0" w:firstLine="482" w:firstLineChars="200"/>
        <w:outlineLvl w:val="2"/>
        <w:rPr>
          <w:rFonts w:hint="eastAsia" w:ascii="仿宋_GB2312" w:hAnsi="仿宋_GB2312" w:eastAsia="仿宋_GB2312" w:cs="仿宋_GB2312"/>
          <w:color w:val="auto"/>
        </w:rPr>
      </w:pPr>
      <w:bookmarkStart w:id="16" w:name="_Toc2281"/>
      <w:bookmarkStart w:id="17" w:name="_Toc11939"/>
      <w:r>
        <w:rPr>
          <w:rFonts w:hint="eastAsia" w:ascii="仿宋_GB2312" w:hAnsi="仿宋_GB2312" w:eastAsia="仿宋_GB2312" w:cs="仿宋_GB2312"/>
          <w:b/>
          <w:color w:val="auto"/>
        </w:rPr>
        <w:t>6.合同履约期限：</w:t>
      </w:r>
      <w:r>
        <w:rPr>
          <w:rFonts w:hint="eastAsia" w:ascii="仿宋_GB2312" w:hAnsi="仿宋_GB2312" w:eastAsia="仿宋_GB2312" w:cs="仿宋_GB2312"/>
          <w:color w:val="auto"/>
          <w:szCs w:val="24"/>
        </w:rPr>
        <w:t>按采购人要求。</w:t>
      </w:r>
      <w:bookmarkEnd w:id="16"/>
      <w:bookmarkEnd w:id="17"/>
    </w:p>
    <w:p>
      <w:pPr>
        <w:pStyle w:val="20"/>
        <w:spacing w:line="360" w:lineRule="auto"/>
        <w:ind w:left="0" w:leftChars="0"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7.本项目接受联合体投标：</w:t>
      </w:r>
      <w:r>
        <w:rPr>
          <w:rFonts w:hint="eastAsia" w:ascii="仿宋_GB2312" w:hAnsi="仿宋_GB2312" w:eastAsia="仿宋_GB2312" w:cs="仿宋_GB2312"/>
          <w:color w:val="auto"/>
          <w:kern w:val="0"/>
          <w:sz w:val="24"/>
        </w:rPr>
        <w:sym w:font="Wingdings" w:char="00A8"/>
      </w:r>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7237932"/>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三、申请人的资格要求：</w:t>
      </w:r>
    </w:p>
    <w:p>
      <w:pPr>
        <w:spacing w:line="360" w:lineRule="auto"/>
        <w:ind w:firstLine="480"/>
        <w:rPr>
          <w:rFonts w:hint="eastAsia" w:ascii="仿宋_GB2312" w:hAnsi="仿宋_GB2312" w:eastAsia="仿宋_GB2312" w:cs="仿宋_GB2312"/>
          <w:snapToGrid w:val="0"/>
          <w:color w:val="auto"/>
          <w:kern w:val="28"/>
          <w:sz w:val="24"/>
          <w:szCs w:val="20"/>
        </w:rPr>
      </w:pPr>
      <w:r>
        <w:rPr>
          <w:rFonts w:hint="eastAsia" w:ascii="仿宋_GB2312" w:hAnsi="仿宋_GB2312" w:eastAsia="仿宋_GB2312" w:cs="仿宋_GB2312"/>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仿宋_GB2312" w:eastAsia="仿宋_GB2312" w:cs="仿宋_GB2312"/>
          <w:snapToGrid w:val="0"/>
          <w:color w:val="auto"/>
          <w:kern w:val="28"/>
          <w:sz w:val="24"/>
          <w:szCs w:val="20"/>
        </w:rPr>
      </w:pPr>
      <w:r>
        <w:rPr>
          <w:rFonts w:hint="eastAsia" w:ascii="仿宋_GB2312" w:hAnsi="仿宋_GB2312" w:eastAsia="仿宋_GB2312" w:cs="仿宋_GB2312"/>
          <w:snapToGrid w:val="0"/>
          <w:color w:val="auto"/>
          <w:kern w:val="28"/>
          <w:sz w:val="24"/>
          <w:szCs w:val="20"/>
        </w:rPr>
        <w:t>2.落实政府采购政策需满足的资格要求：</w:t>
      </w:r>
    </w:p>
    <w:p>
      <w:pPr>
        <w:spacing w:line="360" w:lineRule="auto"/>
        <w:ind w:firstLine="480" w:firstLineChars="200"/>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1606266204"/>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928616923"/>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sdt>
            <w:sdtPr>
              <w:rPr>
                <w:rFonts w:hint="eastAsia" w:ascii="仿宋_GB2312" w:hAnsi="仿宋_GB2312" w:eastAsia="仿宋_GB2312" w:cs="仿宋_GB2312"/>
                <w:color w:val="auto"/>
                <w:kern w:val="0"/>
                <w:sz w:val="24"/>
              </w:rPr>
              <w:id w:val="2035453831"/>
              <w:showingPlcHdr/>
            </w:sdtPr>
            <w:sdtEndPr>
              <w:rPr>
                <w:rFonts w:hint="eastAsia" w:ascii="仿宋_GB2312" w:hAnsi="仿宋_GB2312" w:eastAsia="仿宋_GB2312" w:cs="仿宋_GB2312"/>
                <w:color w:val="auto"/>
                <w:kern w:val="0"/>
                <w:sz w:val="24"/>
              </w:rPr>
            </w:sdtEndPr>
            <w:sdtContent/>
          </w:sdt>
        </w:sdtContent>
      </w:sdt>
      <w:r>
        <w:rPr>
          <w:rFonts w:hint="eastAsia" w:ascii="仿宋_GB2312" w:hAnsi="仿宋_GB2312" w:eastAsia="仿宋_GB2312" w:cs="仿宋_GB2312"/>
          <w:color w:val="auto"/>
          <w:sz w:val="24"/>
        </w:rPr>
        <w:t>无；</w:t>
      </w:r>
    </w:p>
    <w:p>
      <w:pPr>
        <w:spacing w:line="360" w:lineRule="auto"/>
        <w:ind w:firstLine="480" w:firstLineChars="200"/>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2131624535"/>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r>
        <w:rPr>
          <w:rFonts w:hint="eastAsia" w:ascii="仿宋_GB2312" w:hAnsi="仿宋_GB2312" w:eastAsia="仿宋_GB2312" w:cs="仿宋_GB2312"/>
          <w:color w:val="auto"/>
          <w:kern w:val="0"/>
          <w:sz w:val="24"/>
        </w:rPr>
        <w:t>专</w:t>
      </w:r>
      <w:r>
        <w:rPr>
          <w:rFonts w:hint="eastAsia" w:ascii="仿宋_GB2312" w:hAnsi="仿宋_GB2312" w:eastAsia="仿宋_GB2312" w:cs="仿宋_GB2312"/>
          <w:color w:val="auto"/>
          <w:sz w:val="24"/>
        </w:rPr>
        <w:t>门面向中小企业</w:t>
      </w:r>
    </w:p>
    <w:p>
      <w:pPr>
        <w:spacing w:line="360" w:lineRule="auto"/>
        <w:ind w:firstLine="897" w:firstLineChars="374"/>
        <w:rPr>
          <w:rFonts w:hint="eastAsia" w:ascii="仿宋_GB2312" w:hAnsi="仿宋_GB2312" w:eastAsia="仿宋_GB2312" w:cs="仿宋_GB2312"/>
          <w:color w:val="auto"/>
          <w:sz w:val="24"/>
          <w:u w:val="single"/>
        </w:rPr>
      </w:pPr>
      <w:sdt>
        <w:sdtPr>
          <w:rPr>
            <w:rFonts w:hint="eastAsia" w:ascii="仿宋_GB2312" w:hAnsi="仿宋_GB2312" w:eastAsia="仿宋_GB2312" w:cs="仿宋_GB2312"/>
            <w:color w:val="auto"/>
            <w:kern w:val="0"/>
            <w:sz w:val="24"/>
          </w:rPr>
          <w:id w:val="-1152604937"/>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540049161"/>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sdtContent>
      </w:sdt>
      <w:sdt>
        <w:sdtPr>
          <w:rPr>
            <w:rFonts w:hint="eastAsia" w:ascii="仿宋_GB2312" w:hAnsi="仿宋_GB2312" w:eastAsia="仿宋_GB2312" w:cs="仿宋_GB2312"/>
            <w:color w:val="auto"/>
            <w:kern w:val="0"/>
            <w:sz w:val="24"/>
          </w:rPr>
          <w:id w:val="-924730588"/>
        </w:sdtPr>
        <w:sdtEndPr>
          <w:rPr>
            <w:rFonts w:hint="eastAsia" w:ascii="仿宋_GB2312" w:hAnsi="仿宋_GB2312" w:eastAsia="仿宋_GB2312" w:cs="仿宋_GB2312"/>
            <w:color w:val="auto"/>
            <w:kern w:val="0"/>
            <w:sz w:val="24"/>
          </w:rPr>
        </w:sdtEndPr>
        <w:sdtContent/>
      </w:sdt>
      <w:r>
        <w:rPr>
          <w:rFonts w:hint="eastAsia" w:ascii="仿宋_GB2312" w:hAnsi="仿宋_GB2312" w:eastAsia="仿宋_GB2312" w:cs="仿宋_GB2312"/>
          <w:color w:val="auto"/>
          <w:sz w:val="24"/>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390085382"/>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sz w:val="24"/>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1337834060"/>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sdt>
        <w:sdtPr>
          <w:rPr>
            <w:rFonts w:hint="eastAsia" w:ascii="仿宋_GB2312" w:hAnsi="仿宋_GB2312" w:eastAsia="仿宋_GB2312" w:cs="仿宋_GB2312"/>
            <w:color w:val="auto"/>
            <w:kern w:val="0"/>
            <w:sz w:val="24"/>
          </w:rPr>
          <w:id w:val="-33368540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024704304"/>
              <w:showingPlcHdr/>
            </w:sdtPr>
            <w:sdtEndPr>
              <w:rPr>
                <w:rFonts w:hint="eastAsia" w:ascii="仿宋_GB2312" w:hAnsi="仿宋_GB2312" w:eastAsia="仿宋_GB2312" w:cs="仿宋_GB2312"/>
                <w:color w:val="auto"/>
                <w:kern w:val="0"/>
                <w:sz w:val="24"/>
              </w:rPr>
            </w:sdtEndPr>
            <w:sdtContent/>
          </w:sdt>
        </w:sdtContent>
      </w:sdt>
      <w:r>
        <w:rPr>
          <w:rFonts w:hint="eastAsia" w:ascii="仿宋_GB2312" w:hAnsi="仿宋_GB2312" w:eastAsia="仿宋_GB2312" w:cs="仿宋_GB2312"/>
          <w:color w:val="auto"/>
          <w:sz w:val="24"/>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auto"/>
        </w:rPr>
      </w:pPr>
      <w:sdt>
        <w:sdtPr>
          <w:rPr>
            <w:rFonts w:hint="eastAsia" w:ascii="仿宋_GB2312" w:hAnsi="仿宋_GB2312" w:eastAsia="仿宋_GB2312" w:cs="仿宋_GB2312"/>
            <w:color w:val="auto"/>
            <w:kern w:val="0"/>
            <w:sz w:val="24"/>
          </w:rPr>
          <w:id w:val="-2141025358"/>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sz w:val="24"/>
        </w:rPr>
        <w:t>服务全部由符合政策要求的小微企业承接，提供中小企业声明函；</w:t>
      </w:r>
    </w:p>
    <w:p>
      <w:pPr>
        <w:spacing w:line="360" w:lineRule="auto"/>
        <w:ind w:firstLine="480" w:firstLineChars="200"/>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1985607795"/>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sz w:val="24"/>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rPr>
        <w:t>；</w:t>
      </w:r>
    </w:p>
    <w:p>
      <w:pPr>
        <w:spacing w:line="360" w:lineRule="auto"/>
        <w:ind w:firstLine="480" w:firstLineChars="200"/>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49608250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578478100"/>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44205068"/>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1289048387"/>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sdtContent>
              </w:sdt>
            </w:sdtContent>
          </w:sdt>
        </w:sdtContent>
      </w:sdt>
      <w:sdt>
        <w:sdtPr>
          <w:rPr>
            <w:rFonts w:hint="eastAsia" w:ascii="仿宋_GB2312" w:hAnsi="仿宋_GB2312" w:eastAsia="仿宋_GB2312" w:cs="仿宋_GB2312"/>
            <w:color w:val="auto"/>
            <w:kern w:val="0"/>
            <w:sz w:val="24"/>
          </w:rPr>
          <w:id w:val="34630645"/>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767776108"/>
              <w:showingPlcHdr/>
            </w:sdtPr>
            <w:sdtEndPr>
              <w:rPr>
                <w:rFonts w:hint="eastAsia" w:ascii="仿宋_GB2312" w:hAnsi="仿宋_GB2312" w:eastAsia="仿宋_GB2312" w:cs="仿宋_GB2312"/>
                <w:color w:val="auto"/>
                <w:kern w:val="0"/>
                <w:sz w:val="24"/>
              </w:rPr>
            </w:sdtEndPr>
            <w:sdtContent/>
          </w:sdt>
        </w:sdtContent>
      </w:sdt>
      <w:r>
        <w:rPr>
          <w:rFonts w:hint="eastAsia" w:ascii="仿宋_GB2312" w:hAnsi="仿宋_GB2312" w:eastAsia="仿宋_GB2312" w:cs="仿宋_GB2312"/>
          <w:color w:val="auto"/>
          <w:sz w:val="24"/>
        </w:rPr>
        <w:t>要求合同分包，提供分包意向协议和中小企业声明函，分包意向协议中中小企业合同金额应当达到达到40% ，其中预留给小微企业合同金额应当达到70% ;</w:t>
      </w:r>
      <w:r>
        <w:rPr>
          <w:rFonts w:hint="eastAsia" w:ascii="仿宋_GB2312" w:hAnsi="仿宋_GB2312" w:eastAsia="仿宋_GB2312" w:cs="仿宋_GB2312"/>
          <w:color w:val="auto"/>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rPr>
        <w:t>；</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3.本项目的特定资格要求：无；</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四、获取招标文件</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时间：</w:t>
      </w:r>
      <w:r>
        <w:rPr>
          <w:rFonts w:hint="eastAsia" w:ascii="仿宋_GB2312" w:hAnsi="仿宋_GB2312" w:eastAsia="仿宋_GB2312" w:cs="仿宋_GB2312"/>
          <w:color w:val="auto"/>
          <w:sz w:val="24"/>
        </w:rPr>
        <w:t>/至</w:t>
      </w:r>
      <w:r>
        <w:rPr>
          <w:rFonts w:hint="eastAsia" w:ascii="仿宋_GB2312" w:hAnsi="仿宋_GB2312" w:eastAsia="仿宋_GB2312" w:cs="仿宋_GB2312"/>
          <w:color w:val="auto"/>
          <w:sz w:val="24"/>
          <w:u w:val="single"/>
        </w:rPr>
        <w:t>2025年</w:t>
      </w:r>
      <w:r>
        <w:rPr>
          <w:rFonts w:hint="eastAsia" w:ascii="仿宋_GB2312" w:hAnsi="仿宋_GB2312" w:eastAsia="仿宋_GB2312" w:cs="仿宋_GB2312"/>
          <w:color w:val="auto"/>
          <w:sz w:val="24"/>
          <w:u w:val="single"/>
          <w:lang w:val="en-US" w:eastAsia="zh-CN"/>
        </w:rPr>
        <w:t>08</w:t>
      </w:r>
      <w:r>
        <w:rPr>
          <w:rFonts w:hint="eastAsia" w:ascii="仿宋_GB2312" w:hAnsi="仿宋_GB2312" w:eastAsia="仿宋_GB2312" w:cs="仿宋_GB2312"/>
          <w:color w:val="auto"/>
          <w:sz w:val="24"/>
          <w:u w:val="single"/>
        </w:rPr>
        <w:t>月</w:t>
      </w:r>
      <w:r>
        <w:rPr>
          <w:rFonts w:hint="eastAsia" w:ascii="仿宋_GB2312" w:hAnsi="仿宋_GB2312" w:eastAsia="仿宋_GB2312" w:cs="仿宋_GB2312"/>
          <w:color w:val="auto"/>
          <w:sz w:val="24"/>
          <w:u w:val="single"/>
          <w:lang w:val="en-US" w:eastAsia="zh-CN"/>
        </w:rPr>
        <w:t>07</w:t>
      </w:r>
      <w:r>
        <w:rPr>
          <w:rFonts w:hint="eastAsia" w:ascii="仿宋_GB2312" w:hAnsi="仿宋_GB2312" w:eastAsia="仿宋_GB2312" w:cs="仿宋_GB2312"/>
          <w:color w:val="auto"/>
          <w:sz w:val="24"/>
          <w:u w:val="single"/>
        </w:rPr>
        <w:t>日</w:t>
      </w:r>
      <w:r>
        <w:rPr>
          <w:rFonts w:hint="eastAsia" w:ascii="仿宋_GB2312" w:hAnsi="仿宋_GB2312" w:eastAsia="仿宋_GB2312" w:cs="仿宋_GB2312"/>
          <w:color w:val="auto"/>
          <w:sz w:val="24"/>
        </w:rPr>
        <w:t>，每天上午00:00至12:00 ，下午12:00至23:59（北京时间，线上获取法定节假日均可）</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地点（网址）：</w:t>
      </w:r>
      <w:r>
        <w:rPr>
          <w:rFonts w:hint="eastAsia" w:ascii="仿宋_GB2312" w:hAnsi="仿宋_GB2312" w:eastAsia="仿宋_GB2312" w:cs="仿宋_GB2312"/>
          <w:color w:val="auto"/>
          <w:sz w:val="24"/>
        </w:rPr>
        <w:t xml:space="preserve">政采云平台（https://www.zcygov.cn/） </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方式：</w:t>
      </w:r>
      <w:r>
        <w:rPr>
          <w:rFonts w:hint="eastAsia" w:ascii="仿宋_GB2312" w:hAnsi="仿宋_GB2312" w:eastAsia="仿宋_GB2312" w:cs="仿宋_GB2312"/>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售价（元）：</w:t>
      </w:r>
      <w:r>
        <w:rPr>
          <w:rFonts w:hint="eastAsia" w:ascii="仿宋_GB2312" w:hAnsi="仿宋_GB2312" w:eastAsia="仿宋_GB2312" w:cs="仿宋_GB2312"/>
          <w:color w:val="auto"/>
          <w:sz w:val="24"/>
        </w:rPr>
        <w:t xml:space="preserve">0 </w:t>
      </w:r>
      <w:r>
        <w:rPr>
          <w:rFonts w:hint="eastAsia" w:ascii="仿宋_GB2312" w:hAnsi="仿宋_GB2312" w:eastAsia="仿宋_GB2312" w:cs="仿宋_GB2312"/>
          <w:color w:val="auto"/>
          <w:sz w:val="24"/>
        </w:rPr>
        <w:tab/>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五、提交投标文件截止时间、开标时间和地点</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提交投标文件截止时间：</w:t>
      </w:r>
      <w:r>
        <w:rPr>
          <w:rFonts w:hint="eastAsia" w:ascii="仿宋_GB2312" w:hAnsi="仿宋_GB2312" w:eastAsia="仿宋_GB2312" w:cs="仿宋_GB2312"/>
          <w:color w:val="auto"/>
          <w:sz w:val="24"/>
          <w:u w:val="single"/>
        </w:rPr>
        <w:t>2025年</w:t>
      </w:r>
      <w:r>
        <w:rPr>
          <w:rFonts w:hint="eastAsia" w:ascii="仿宋_GB2312" w:hAnsi="仿宋_GB2312" w:eastAsia="仿宋_GB2312" w:cs="仿宋_GB2312"/>
          <w:color w:val="auto"/>
          <w:sz w:val="24"/>
          <w:u w:val="single"/>
          <w:lang w:val="en-US" w:eastAsia="zh-CN"/>
        </w:rPr>
        <w:t>08</w:t>
      </w:r>
      <w:r>
        <w:rPr>
          <w:rFonts w:hint="eastAsia" w:ascii="仿宋_GB2312" w:hAnsi="仿宋_GB2312" w:eastAsia="仿宋_GB2312" w:cs="仿宋_GB2312"/>
          <w:color w:val="auto"/>
          <w:sz w:val="24"/>
          <w:u w:val="single"/>
        </w:rPr>
        <w:t>月</w:t>
      </w:r>
      <w:r>
        <w:rPr>
          <w:rFonts w:hint="eastAsia" w:ascii="仿宋_GB2312" w:hAnsi="仿宋_GB2312" w:eastAsia="仿宋_GB2312" w:cs="仿宋_GB2312"/>
          <w:color w:val="auto"/>
          <w:sz w:val="24"/>
          <w:u w:val="single"/>
          <w:lang w:val="en-US" w:eastAsia="zh-CN"/>
        </w:rPr>
        <w:t>07</w:t>
      </w:r>
      <w:r>
        <w:rPr>
          <w:rFonts w:hint="eastAsia" w:ascii="仿宋_GB2312" w:hAnsi="仿宋_GB2312" w:eastAsia="仿宋_GB2312" w:cs="仿宋_GB2312"/>
          <w:color w:val="auto"/>
          <w:sz w:val="24"/>
          <w:u w:val="single"/>
        </w:rPr>
        <w:t>日</w:t>
      </w:r>
      <w:r>
        <w:rPr>
          <w:rFonts w:hint="eastAsia" w:ascii="仿宋_GB2312" w:hAnsi="仿宋_GB2312" w:eastAsia="仿宋_GB2312" w:cs="仿宋_GB2312"/>
          <w:color w:val="auto"/>
          <w:sz w:val="24"/>
          <w:u w:val="single"/>
          <w:lang w:val="en-US" w:eastAsia="zh-CN"/>
        </w:rPr>
        <w:t>09</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val="en-US" w:eastAsia="zh-CN"/>
        </w:rPr>
        <w:t>0</w:t>
      </w:r>
      <w:r>
        <w:rPr>
          <w:rFonts w:hint="eastAsia" w:ascii="仿宋_GB2312" w:hAnsi="仿宋_GB2312" w:eastAsia="仿宋_GB2312" w:cs="仿宋_GB2312"/>
          <w:color w:val="auto"/>
          <w:sz w:val="24"/>
          <w:u w:val="single"/>
        </w:rPr>
        <w:t>0</w:t>
      </w:r>
      <w:r>
        <w:rPr>
          <w:rFonts w:hint="eastAsia" w:ascii="仿宋_GB2312" w:hAnsi="仿宋_GB2312" w:eastAsia="仿宋_GB2312" w:cs="仿宋_GB2312"/>
          <w:color w:val="auto"/>
          <w:sz w:val="24"/>
        </w:rPr>
        <w:t>（北京时间）</w:t>
      </w:r>
    </w:p>
    <w:p>
      <w:pPr>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投标地点（网址）：</w:t>
      </w:r>
      <w:r>
        <w:rPr>
          <w:rFonts w:hint="eastAsia" w:ascii="仿宋_GB2312" w:hAnsi="仿宋_GB2312" w:eastAsia="仿宋_GB2312" w:cs="仿宋_GB2312"/>
          <w:color w:val="auto"/>
          <w:sz w:val="24"/>
        </w:rPr>
        <w:t xml:space="preserve">政采云平台（https://www.zcygov.cn/） </w:t>
      </w:r>
    </w:p>
    <w:p>
      <w:pPr>
        <w:spacing w:line="360" w:lineRule="auto"/>
        <w:ind w:firstLine="482" w:firstLineChars="200"/>
        <w:rPr>
          <w:rFonts w:hint="eastAsia" w:ascii="仿宋_GB2312" w:hAnsi="仿宋_GB2312" w:eastAsia="仿宋_GB2312" w:cs="仿宋_GB2312"/>
          <w:bCs/>
          <w:color w:val="auto"/>
          <w:sz w:val="24"/>
          <w:u w:val="single"/>
        </w:rPr>
      </w:pPr>
      <w:r>
        <w:rPr>
          <w:rFonts w:hint="eastAsia" w:ascii="仿宋_GB2312" w:hAnsi="仿宋_GB2312" w:eastAsia="仿宋_GB2312" w:cs="仿宋_GB2312"/>
          <w:b/>
          <w:color w:val="auto"/>
          <w:sz w:val="24"/>
        </w:rPr>
        <w:t>开标时间：</w:t>
      </w:r>
      <w:r>
        <w:rPr>
          <w:rFonts w:hint="eastAsia" w:ascii="仿宋_GB2312" w:hAnsi="仿宋_GB2312" w:eastAsia="仿宋_GB2312" w:cs="仿宋_GB2312"/>
          <w:color w:val="auto"/>
          <w:sz w:val="24"/>
          <w:u w:val="single"/>
        </w:rPr>
        <w:t>2025年</w:t>
      </w:r>
      <w:r>
        <w:rPr>
          <w:rFonts w:hint="eastAsia" w:ascii="仿宋_GB2312" w:hAnsi="仿宋_GB2312" w:eastAsia="仿宋_GB2312" w:cs="仿宋_GB2312"/>
          <w:color w:val="auto"/>
          <w:sz w:val="24"/>
          <w:u w:val="single"/>
          <w:lang w:val="en-US" w:eastAsia="zh-CN"/>
        </w:rPr>
        <w:t>08</w:t>
      </w:r>
      <w:r>
        <w:rPr>
          <w:rFonts w:hint="eastAsia" w:ascii="仿宋_GB2312" w:hAnsi="仿宋_GB2312" w:eastAsia="仿宋_GB2312" w:cs="仿宋_GB2312"/>
          <w:color w:val="auto"/>
          <w:sz w:val="24"/>
          <w:u w:val="single"/>
        </w:rPr>
        <w:t>月</w:t>
      </w:r>
      <w:r>
        <w:rPr>
          <w:rFonts w:hint="eastAsia" w:ascii="仿宋_GB2312" w:hAnsi="仿宋_GB2312" w:eastAsia="仿宋_GB2312" w:cs="仿宋_GB2312"/>
          <w:color w:val="auto"/>
          <w:sz w:val="24"/>
          <w:u w:val="single"/>
          <w:lang w:val="en-US" w:eastAsia="zh-CN"/>
        </w:rPr>
        <w:t>07</w:t>
      </w:r>
      <w:r>
        <w:rPr>
          <w:rFonts w:hint="eastAsia" w:ascii="仿宋_GB2312" w:hAnsi="仿宋_GB2312" w:eastAsia="仿宋_GB2312" w:cs="仿宋_GB2312"/>
          <w:color w:val="auto"/>
          <w:sz w:val="24"/>
          <w:u w:val="single"/>
        </w:rPr>
        <w:t>日</w:t>
      </w:r>
      <w:r>
        <w:rPr>
          <w:rFonts w:hint="eastAsia" w:ascii="仿宋_GB2312" w:hAnsi="仿宋_GB2312" w:eastAsia="仿宋_GB2312" w:cs="仿宋_GB2312"/>
          <w:color w:val="auto"/>
          <w:sz w:val="24"/>
          <w:u w:val="single"/>
          <w:lang w:val="en-US" w:eastAsia="zh-CN"/>
        </w:rPr>
        <w:t>09</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val="en-US" w:eastAsia="zh-CN"/>
        </w:rPr>
        <w:t>0</w:t>
      </w:r>
      <w:r>
        <w:rPr>
          <w:rFonts w:hint="eastAsia" w:ascii="仿宋_GB2312" w:hAnsi="仿宋_GB2312" w:eastAsia="仿宋_GB2312" w:cs="仿宋_GB2312"/>
          <w:color w:val="auto"/>
          <w:sz w:val="24"/>
          <w:u w:val="single"/>
        </w:rPr>
        <w:t>0</w:t>
      </w:r>
    </w:p>
    <w:p>
      <w:pPr>
        <w:spacing w:line="360" w:lineRule="auto"/>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开标地点：</w:t>
      </w:r>
      <w:r>
        <w:rPr>
          <w:rFonts w:hint="eastAsia" w:ascii="仿宋_GB2312" w:hAnsi="仿宋_GB2312" w:eastAsia="仿宋_GB2312" w:cs="仿宋_GB2312"/>
          <w:color w:val="auto"/>
          <w:sz w:val="24"/>
        </w:rPr>
        <w:t>江山市公共资源交易中心7号评标室。</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六、公告期限</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自本公告发布之日起5个工作日。</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七、其他补充事宜</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八、对本次采购提出询问、质疑、投诉，请按以下方式联系</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1.采购人信息</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名    称：江山市教育技术中心</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地    址： </w:t>
      </w:r>
      <w:bookmarkStart w:id="18" w:name="OLE_LINK6"/>
      <w:r>
        <w:rPr>
          <w:rFonts w:hint="eastAsia" w:ascii="仿宋_GB2312" w:hAnsi="仿宋_GB2312" w:eastAsia="仿宋_GB2312" w:cs="仿宋_GB2312"/>
          <w:color w:val="auto"/>
          <w:sz w:val="24"/>
        </w:rPr>
        <w:t>江山市礼贤路304号</w:t>
      </w:r>
      <w:bookmarkEnd w:id="18"/>
      <w:r>
        <w:rPr>
          <w:rFonts w:hint="eastAsia" w:ascii="仿宋_GB2312" w:hAnsi="仿宋_GB2312" w:eastAsia="仿宋_GB2312" w:cs="仿宋_GB2312"/>
          <w:color w:val="auto"/>
          <w:sz w:val="24"/>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项目联系人（询问）：</w:t>
      </w:r>
      <w:bookmarkStart w:id="19" w:name="OLE_LINK4"/>
      <w:r>
        <w:rPr>
          <w:rFonts w:hint="eastAsia" w:ascii="仿宋_GB2312" w:hAnsi="仿宋_GB2312" w:eastAsia="仿宋_GB2312" w:cs="仿宋_GB2312"/>
          <w:color w:val="auto"/>
          <w:sz w:val="24"/>
        </w:rPr>
        <w:t>姜女士</w:t>
      </w:r>
      <w:bookmarkEnd w:id="19"/>
      <w:r>
        <w:rPr>
          <w:rFonts w:hint="eastAsia" w:ascii="仿宋_GB2312" w:hAnsi="仿宋_GB2312" w:eastAsia="仿宋_GB2312" w:cs="仿宋_GB2312"/>
          <w:color w:val="auto"/>
          <w:sz w:val="24"/>
        </w:rPr>
        <w:t xml:space="preserve">  </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项目联系方式（询问）：0570-4013360 </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质疑联系人： </w:t>
      </w:r>
      <w:bookmarkStart w:id="20" w:name="OLE_LINK10"/>
      <w:r>
        <w:rPr>
          <w:rFonts w:hint="eastAsia" w:ascii="仿宋_GB2312" w:hAnsi="仿宋_GB2312" w:eastAsia="仿宋_GB2312" w:cs="仿宋_GB2312"/>
          <w:color w:val="auto"/>
          <w:sz w:val="24"/>
        </w:rPr>
        <w:t>赵老师</w:t>
      </w:r>
      <w:bookmarkEnd w:id="20"/>
      <w:r>
        <w:rPr>
          <w:rFonts w:hint="eastAsia" w:ascii="仿宋_GB2312" w:hAnsi="仿宋_GB2312" w:eastAsia="仿宋_GB2312" w:cs="仿宋_GB2312"/>
          <w:color w:val="auto"/>
          <w:sz w:val="24"/>
        </w:rPr>
        <w:t xml:space="preserve"> </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质疑联系方式： </w:t>
      </w:r>
      <w:bookmarkStart w:id="21" w:name="OLE_LINK5"/>
      <w:r>
        <w:rPr>
          <w:rFonts w:hint="eastAsia" w:ascii="仿宋_GB2312" w:hAnsi="仿宋_GB2312" w:eastAsia="仿宋_GB2312" w:cs="仿宋_GB2312"/>
          <w:color w:val="auto"/>
          <w:sz w:val="24"/>
        </w:rPr>
        <w:t>0570-4013360</w:t>
      </w:r>
      <w:bookmarkEnd w:id="21"/>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2、采购代理机构名称：江山惠捷信息技术咨询有限公司</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联系人： </w:t>
      </w:r>
      <w:bookmarkStart w:id="22" w:name="OLE_LINK7"/>
      <w:r>
        <w:rPr>
          <w:rFonts w:hint="eastAsia" w:ascii="仿宋_GB2312" w:hAnsi="仿宋_GB2312" w:eastAsia="仿宋_GB2312" w:cs="仿宋_GB2312"/>
          <w:color w:val="auto"/>
          <w:sz w:val="24"/>
        </w:rPr>
        <w:t>周女士</w:t>
      </w:r>
      <w:bookmarkEnd w:id="22"/>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bookmarkStart w:id="23" w:name="OLE_LINK8"/>
      <w:r>
        <w:rPr>
          <w:rFonts w:hint="eastAsia" w:ascii="仿宋_GB2312" w:hAnsi="仿宋_GB2312" w:eastAsia="仿宋_GB2312" w:cs="仿宋_GB2312"/>
          <w:color w:val="auto"/>
          <w:sz w:val="24"/>
        </w:rPr>
        <w:t>15957012209</w:t>
      </w:r>
      <w:bookmarkEnd w:id="23"/>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 陈女士</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联系电话：18057052517</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w:t>
      </w:r>
      <w:r>
        <w:rPr>
          <w:rFonts w:hint="eastAsia" w:ascii="仿宋_GB2312" w:hAnsi="仿宋_GB2312" w:eastAsia="仿宋_GB2312" w:cs="仿宋_GB2312"/>
          <w:color w:val="auto"/>
          <w:sz w:val="24"/>
          <w:lang w:eastAsia="zh-CN"/>
        </w:rPr>
        <w:t>江山市双塔街道礼贤路80幢一单元227号</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3、同级政府采购监督管理部门名称：江山市财政局政府采购监管科</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联系人：王先生</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监督投诉电话：0570-4033811</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地址：江山市鹿溪中路240号</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CA问题联系电话（人工）：汇信CA 400-888-4636；天谷CA 400-087-8198。</w:t>
      </w:r>
    </w:p>
    <w:p>
      <w:pPr>
        <w:pStyle w:val="36"/>
        <w:spacing w:line="360" w:lineRule="auto"/>
        <w:ind w:firstLine="480" w:firstLineChars="200"/>
        <w:rPr>
          <w:rFonts w:hint="eastAsia" w:ascii="仿宋_GB2312" w:hAnsi="仿宋_GB2312" w:eastAsia="仿宋_GB2312" w:cs="仿宋_GB2312"/>
          <w:color w:val="auto"/>
          <w:sz w:val="24"/>
          <w:szCs w:val="24"/>
        </w:rPr>
      </w:pPr>
    </w:p>
    <w:p>
      <w:pPr>
        <w:adjustRightInd/>
        <w:spacing w:line="360" w:lineRule="auto"/>
        <w:jc w:val="center"/>
        <w:outlineLvl w:val="0"/>
        <w:rPr>
          <w:rFonts w:hint="eastAsia" w:ascii="仿宋_GB2312" w:hAnsi="仿宋_GB2312" w:eastAsia="仿宋_GB2312" w:cs="仿宋_GB2312"/>
          <w:b/>
          <w:color w:val="auto"/>
          <w:sz w:val="36"/>
          <w:szCs w:val="20"/>
        </w:rPr>
      </w:pPr>
      <w:r>
        <w:rPr>
          <w:rFonts w:hint="eastAsia" w:ascii="仿宋_GB2312" w:hAnsi="仿宋_GB2312" w:eastAsia="仿宋_GB2312" w:cs="仿宋_GB2312"/>
          <w:b/>
          <w:color w:val="auto"/>
          <w:sz w:val="36"/>
          <w:szCs w:val="20"/>
        </w:rPr>
        <w:br w:type="page"/>
      </w:r>
      <w:bookmarkStart w:id="24" w:name="_Toc10828"/>
      <w:bookmarkStart w:id="25" w:name="_Toc18357"/>
      <w:r>
        <w:rPr>
          <w:rFonts w:hint="eastAsia" w:ascii="仿宋_GB2312" w:hAnsi="仿宋_GB2312" w:eastAsia="仿宋_GB2312" w:cs="仿宋_GB2312"/>
          <w:b/>
          <w:color w:val="auto"/>
          <w:sz w:val="36"/>
          <w:szCs w:val="20"/>
        </w:rPr>
        <w:t>第二部分</w:t>
      </w:r>
      <w:bookmarkEnd w:id="10"/>
      <w:r>
        <w:rPr>
          <w:rFonts w:hint="eastAsia" w:ascii="仿宋_GB2312" w:hAnsi="仿宋_GB2312" w:eastAsia="仿宋_GB2312" w:cs="仿宋_GB2312"/>
          <w:b/>
          <w:color w:val="auto"/>
          <w:sz w:val="36"/>
          <w:szCs w:val="20"/>
        </w:rPr>
        <w:t xml:space="preserve"> 投标人须知</w:t>
      </w:r>
      <w:bookmarkEnd w:id="11"/>
      <w:bookmarkEnd w:id="24"/>
      <w:bookmarkEnd w:id="25"/>
    </w:p>
    <w:p>
      <w:pPr>
        <w:snapToGrid w:val="0"/>
        <w:spacing w:line="360" w:lineRule="auto"/>
        <w:jc w:val="center"/>
        <w:rPr>
          <w:rFonts w:hint="eastAsia" w:ascii="仿宋_GB2312" w:hAnsi="仿宋_GB2312" w:eastAsia="仿宋_GB2312" w:cs="仿宋_GB2312"/>
          <w:b/>
          <w:color w:val="auto"/>
          <w:sz w:val="32"/>
          <w:szCs w:val="20"/>
        </w:rPr>
      </w:pPr>
      <w:r>
        <w:rPr>
          <w:rFonts w:hint="eastAsia" w:ascii="仿宋_GB2312" w:hAnsi="仿宋_GB2312" w:eastAsia="仿宋_GB2312" w:cs="仿宋_GB2312"/>
          <w:b/>
          <w:color w:val="auto"/>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2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有关本项目实施所需的所有费用（含税费）均计入报价。</w:t>
            </w:r>
            <w:r>
              <w:rPr>
                <w:rFonts w:hint="eastAsia" w:ascii="仿宋_GB2312" w:hAnsi="仿宋_GB2312" w:eastAsia="仿宋_GB2312" w:cs="仿宋_GB2312"/>
                <w:color w:val="auto"/>
                <w:sz w:val="24"/>
              </w:rPr>
              <w:t>开标一览表（报价表）是报价的唯一载体</w:t>
            </w:r>
            <w:r>
              <w:rPr>
                <w:rFonts w:hint="eastAsia" w:ascii="仿宋_GB2312" w:hAnsi="仿宋_GB2312" w:eastAsia="仿宋_GB2312" w:cs="仿宋_GB2312"/>
                <w:color w:val="auto"/>
                <w:kern w:val="0"/>
                <w:sz w:val="24"/>
                <w:lang w:val="zh-CN"/>
              </w:rPr>
              <w:t>。投标文件中价格全部采用人民币报价。招标文件未列明，而投标人认为必需的费用也需列入报价。</w:t>
            </w:r>
          </w:p>
          <w:p>
            <w:pPr>
              <w:snapToGrid w:val="0"/>
              <w:spacing w:line="360" w:lineRule="auto"/>
              <w:ind w:firstLine="241" w:firstLineChars="100"/>
              <w:jc w:val="left"/>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b/>
                <w:color w:val="auto"/>
                <w:kern w:val="0"/>
                <w:sz w:val="24"/>
                <w:lang w:val="zh-CN"/>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报价明显低于其他通过符合性审查投标人的报价，有可能影响产品质量或者不能诚信履约的，在接到询标函15分钟内未能按要求提供书面说明或者提交相关证明材料证明其报价合理性的</w:t>
            </w:r>
            <w:r>
              <w:rPr>
                <w:rFonts w:hint="eastAsia" w:ascii="仿宋_GB2312" w:hAnsi="仿宋_GB2312" w:eastAsia="仿宋_GB2312" w:cs="仿宋_GB2312"/>
                <w:b/>
                <w:color w:val="auto"/>
                <w:sz w:val="24"/>
                <w:szCs w:val="21"/>
              </w:rPr>
              <w:t>;</w:t>
            </w:r>
          </w:p>
          <w:p>
            <w:pPr>
              <w:spacing w:line="360" w:lineRule="auto"/>
              <w:ind w:firstLine="241" w:firstLineChars="100"/>
              <w:rPr>
                <w:rFonts w:hint="eastAsia" w:ascii="仿宋_GB2312" w:hAnsi="仿宋_GB2312" w:eastAsia="仿宋_GB2312" w:cs="仿宋_GB2312"/>
                <w:color w:val="auto"/>
                <w:sz w:val="24"/>
              </w:rPr>
            </w:pPr>
            <w:r>
              <w:rPr>
                <w:rFonts w:hint="eastAsia" w:ascii="仿宋_GB2312" w:hAnsi="仿宋_GB2312" w:eastAsia="仿宋_GB2312" w:cs="仿宋_GB2312"/>
                <w:b/>
                <w:color w:val="auto"/>
                <w:kern w:val="0"/>
                <w:sz w:val="24"/>
              </w:rPr>
              <w:t>投标人对根据修正原则修正后的报价不确认的</w:t>
            </w:r>
            <w:r>
              <w:rPr>
                <w:rFonts w:hint="eastAsia" w:ascii="仿宋_GB2312" w:hAnsi="仿宋_GB2312" w:eastAsia="仿宋_GB2312" w:cs="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kern w:val="0"/>
                <w:sz w:val="24"/>
                <w:lang w:val="zh-CN"/>
              </w:rPr>
            </w:pPr>
            <w:sdt>
              <w:sdtPr>
                <w:rPr>
                  <w:rFonts w:hint="eastAsia" w:ascii="仿宋_GB2312" w:hAnsi="仿宋_GB2312" w:eastAsia="仿宋_GB2312" w:cs="仿宋_GB2312"/>
                  <w:color w:val="auto"/>
                </w:rPr>
                <w:id w:val="7237939"/>
              </w:sdtPr>
              <w:sdtEndPr>
                <w:rPr>
                  <w:rFonts w:hint="eastAsia" w:ascii="仿宋_GB2312" w:hAnsi="仿宋_GB2312" w:eastAsia="仿宋_GB2312" w:cs="仿宋_GB2312"/>
                  <w:color w:val="auto"/>
                  <w:kern w:val="0"/>
                  <w:sz w:val="24"/>
                  <w:lang w:val="zh-CN"/>
                </w:rPr>
              </w:sdtEndPr>
              <w:sdtContent>
                <w:r>
                  <w:rPr>
                    <w:rFonts w:hint="eastAsia" w:ascii="仿宋_GB2312" w:hAnsi="仿宋_GB2312" w:eastAsia="仿宋_GB2312" w:cs="仿宋_GB2312"/>
                    <w:color w:val="auto"/>
                    <w:kern w:val="0"/>
                    <w:sz w:val="24"/>
                    <w:lang w:val="zh-CN"/>
                  </w:rPr>
                  <w:t>☐</w:t>
                </w:r>
              </w:sdtContent>
            </w:sdt>
            <w:r>
              <w:rPr>
                <w:rFonts w:hint="eastAsia" w:ascii="仿宋_GB2312" w:hAnsi="仿宋_GB2312" w:eastAsia="仿宋_GB2312" w:cs="仿宋_GB2312"/>
                <w:color w:val="auto"/>
                <w:kern w:val="0"/>
                <w:sz w:val="24"/>
                <w:lang w:val="zh-CN"/>
              </w:rPr>
              <w:t xml:space="preserve"> </w:t>
            </w:r>
            <w:sdt>
              <w:sdtPr>
                <w:rPr>
                  <w:rFonts w:hint="eastAsia" w:ascii="仿宋_GB2312" w:hAnsi="仿宋_GB2312" w:eastAsia="仿宋_GB2312" w:cs="仿宋_GB2312"/>
                  <w:color w:val="auto"/>
                  <w:kern w:val="0"/>
                  <w:sz w:val="24"/>
                  <w:lang w:val="zh-CN"/>
                </w:rPr>
                <w:id w:val="1631671534"/>
              </w:sdtPr>
              <w:sdtEndPr>
                <w:rPr>
                  <w:rFonts w:hint="eastAsia" w:ascii="仿宋_GB2312" w:hAnsi="仿宋_GB2312" w:eastAsia="仿宋_GB2312" w:cs="仿宋_GB2312"/>
                  <w:color w:val="auto"/>
                  <w:kern w:val="0"/>
                  <w:sz w:val="24"/>
                  <w:lang w:val="zh-CN"/>
                </w:rPr>
              </w:sdtEndPr>
              <w:sdtContent/>
            </w:sdt>
            <w:r>
              <w:rPr>
                <w:rFonts w:hint="eastAsia" w:ascii="仿宋_GB2312" w:hAnsi="仿宋_GB2312" w:eastAsia="仿宋_GB2312" w:cs="仿宋_GB2312"/>
                <w:color w:val="auto"/>
                <w:kern w:val="0"/>
                <w:sz w:val="24"/>
                <w:lang w:val="zh-CN"/>
              </w:rPr>
              <w:t xml:space="preserve">同意将非主体、非关键性的工作分包。 </w:t>
            </w:r>
          </w:p>
          <w:p>
            <w:pPr>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lang w:val="zh-CN"/>
              </w:rPr>
              <w:sym w:font="Wingdings" w:char="F0FE"/>
            </w:r>
            <w:r>
              <w:rPr>
                <w:rFonts w:hint="eastAsia" w:ascii="仿宋_GB2312" w:hAnsi="仿宋_GB2312" w:eastAsia="仿宋_GB2312" w:cs="仿宋_GB2312"/>
                <w:color w:val="auto"/>
                <w:kern w:val="0"/>
                <w:sz w:val="24"/>
                <w:lang w:val="zh-CN"/>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（1）资格证明文件：见招标文件第二部分11.1。</w:t>
            </w:r>
          </w:p>
          <w:p>
            <w:pPr>
              <w:spacing w:line="360" w:lineRule="auto"/>
              <w:rPr>
                <w:rFonts w:hint="eastAsia" w:ascii="仿宋_GB2312" w:hAnsi="仿宋_GB2312" w:eastAsia="仿宋_GB2312" w:cs="仿宋_GB2312"/>
                <w:snapToGrid w:val="0"/>
                <w:color w:val="auto"/>
                <w:kern w:val="0"/>
                <w:szCs w:val="21"/>
              </w:rPr>
            </w:pPr>
            <w:r>
              <w:rPr>
                <w:rFonts w:hint="eastAsia" w:ascii="仿宋_GB2312" w:hAnsi="仿宋_GB2312" w:eastAsia="仿宋_GB2312" w:cs="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723794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F0FE"/>
                </w:r>
              </w:sdtContent>
            </w:sdt>
            <w:r>
              <w:rPr>
                <w:rFonts w:hint="eastAsia" w:ascii="仿宋_GB2312" w:hAnsi="仿宋_GB2312" w:eastAsia="仿宋_GB2312" w:cs="仿宋_GB2312"/>
                <w:color w:val="auto"/>
                <w:sz w:val="24"/>
              </w:rPr>
              <w:t>不组织。</w:t>
            </w:r>
          </w:p>
          <w:p>
            <w:pPr>
              <w:spacing w:line="360" w:lineRule="auto"/>
              <w:rPr>
                <w:rFonts w:hint="eastAsia" w:ascii="仿宋_GB2312" w:hAnsi="仿宋_GB2312" w:eastAsia="仿宋_GB2312" w:cs="仿宋_GB2312"/>
                <w:color w:val="auto"/>
                <w:sz w:val="24"/>
                <w:szCs w:val="20"/>
              </w:rPr>
            </w:pPr>
            <w:sdt>
              <w:sdtPr>
                <w:rPr>
                  <w:rFonts w:hint="eastAsia" w:ascii="仿宋_GB2312" w:hAnsi="仿宋_GB2312" w:eastAsia="仿宋_GB2312" w:cs="仿宋_GB2312"/>
                  <w:color w:val="auto"/>
                  <w:kern w:val="0"/>
                  <w:sz w:val="24"/>
                </w:rPr>
                <w:id w:val="7237942"/>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kern w:val="0"/>
                <w:sz w:val="24"/>
              </w:rPr>
              <w:t>B组织，</w:t>
            </w:r>
            <w:r>
              <w:rPr>
                <w:rFonts w:hint="eastAsia" w:ascii="仿宋_GB2312" w:hAnsi="仿宋_GB2312" w:eastAsia="仿宋_GB2312" w:cs="仿宋_GB2312"/>
                <w:color w:val="auto"/>
                <w:sz w:val="24"/>
              </w:rPr>
              <w:t>时间：,地点：，联系人：，联系方式：</w:t>
            </w:r>
            <w:r>
              <w:rPr>
                <w:rFonts w:hint="eastAsia" w:ascii="仿宋_GB2312" w:hAnsi="仿宋_GB2312" w:eastAsia="仿宋_GB2312" w:cs="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7237943"/>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F0FE"/>
                </w:r>
              </w:sdtContent>
            </w:sdt>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sz w:val="24"/>
              </w:rPr>
              <w:t>不要求提供。</w:t>
            </w:r>
          </w:p>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☐B要求提供，</w:t>
            </w:r>
          </w:p>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snapToGrid w:val="0"/>
                <w:color w:val="auto"/>
                <w:kern w:val="28"/>
                <w:sz w:val="24"/>
              </w:rPr>
              <w:t>样品：</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r>
              <w:rPr>
                <w:rFonts w:hint="eastAsia" w:ascii="仿宋_GB2312" w:hAnsi="仿宋_GB2312" w:eastAsia="仿宋_GB2312" w:cs="仿宋_GB2312"/>
                <w:snapToGrid w:val="0"/>
                <w:color w:val="auto"/>
                <w:kern w:val="28"/>
                <w:sz w:val="24"/>
              </w:rPr>
              <w:t>样品制作的标准和要求：</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（3）样品的评审方法以及评审标准</w:t>
            </w:r>
            <w:r>
              <w:rPr>
                <w:rFonts w:hint="eastAsia" w:ascii="仿宋_GB2312" w:hAnsi="仿宋_GB2312" w:eastAsia="仿宋_GB2312" w:cs="仿宋_GB2312"/>
                <w:snapToGrid w:val="0"/>
                <w:color w:val="auto"/>
                <w:kern w:val="28"/>
                <w:sz w:val="24"/>
              </w:rPr>
              <w:t>：详见</w:t>
            </w:r>
            <w:r>
              <w:rPr>
                <w:rFonts w:hint="eastAsia" w:ascii="仿宋_GB2312" w:hAnsi="仿宋_GB2312" w:eastAsia="仿宋_GB2312" w:cs="仿宋_GB2312"/>
                <w:color w:val="auto"/>
                <w:sz w:val="24"/>
                <w:u w:val="single"/>
              </w:rPr>
              <w:t>评标办法</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（4）是否需要随样品提交检测报告：</w:t>
            </w:r>
            <w:sdt>
              <w:sdtPr>
                <w:rPr>
                  <w:rFonts w:hint="eastAsia" w:ascii="仿宋_GB2312" w:hAnsi="仿宋_GB2312" w:eastAsia="仿宋_GB2312" w:cs="仿宋_GB2312"/>
                  <w:color w:val="auto"/>
                  <w:kern w:val="0"/>
                  <w:sz w:val="24"/>
                </w:rPr>
                <w:id w:val="1303421454"/>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A8"/>
                </w:r>
              </w:sdtContent>
            </w:sdt>
            <w:r>
              <w:rPr>
                <w:rFonts w:hint="eastAsia" w:ascii="仿宋_GB2312" w:hAnsi="仿宋_GB2312" w:eastAsia="仿宋_GB2312" w:cs="仿宋_GB2312"/>
                <w:color w:val="auto"/>
                <w:kern w:val="0"/>
                <w:sz w:val="24"/>
              </w:rPr>
              <w:t>否；</w:t>
            </w:r>
            <w:sdt>
              <w:sdtPr>
                <w:rPr>
                  <w:rFonts w:hint="eastAsia" w:ascii="仿宋_GB2312" w:hAnsi="仿宋_GB2312" w:eastAsia="仿宋_GB2312" w:cs="仿宋_GB2312"/>
                  <w:color w:val="auto"/>
                  <w:kern w:val="0"/>
                  <w:sz w:val="24"/>
                </w:rPr>
                <w:id w:val="1621728433"/>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kern w:val="0"/>
                <w:sz w:val="24"/>
              </w:rPr>
              <w:t>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（5）提供样品的时间：</w:t>
            </w:r>
            <w:r>
              <w:rPr>
                <w:rFonts w:hint="eastAsia" w:ascii="仿宋_GB2312" w:hAnsi="仿宋_GB2312" w:eastAsia="仿宋_GB2312" w:cs="仿宋_GB2312"/>
                <w:color w:val="auto"/>
                <w:kern w:val="0"/>
                <w:sz w:val="24"/>
              </w:rPr>
              <w:t>；地点：；联系人</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28"/>
                <w:sz w:val="24"/>
              </w:rPr>
              <w:t>联系电话：</w:t>
            </w:r>
            <w:r>
              <w:rPr>
                <w:rFonts w:hint="eastAsia" w:ascii="仿宋_GB2312" w:hAnsi="仿宋_GB2312" w:eastAsia="仿宋_GB2312" w:cs="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color w:val="auto"/>
                <w:sz w:val="24"/>
              </w:rPr>
            </w:pPr>
            <w:r>
              <w:rPr>
                <w:rFonts w:hint="eastAsia" w:ascii="仿宋_GB2312" w:hAnsi="仿宋_GB2312" w:eastAsia="仿宋_GB2312" w:cs="仿宋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1026831988"/>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7237944"/>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sdtContent>
            </w:sdt>
            <w:sdt>
              <w:sdtPr>
                <w:rPr>
                  <w:rFonts w:hint="eastAsia" w:ascii="仿宋_GB2312" w:hAnsi="仿宋_GB2312" w:eastAsia="仿宋_GB2312" w:cs="仿宋_GB2312"/>
                  <w:color w:val="auto"/>
                  <w:kern w:val="0"/>
                  <w:sz w:val="24"/>
                </w:rPr>
                <w:id w:val="685487457"/>
                <w:showingPlcHdr/>
              </w:sdtPr>
              <w:sdtEndPr>
                <w:rPr>
                  <w:rFonts w:hint="eastAsia" w:ascii="仿宋_GB2312" w:hAnsi="仿宋_GB2312" w:eastAsia="仿宋_GB2312" w:cs="仿宋_GB2312"/>
                  <w:color w:val="auto"/>
                  <w:kern w:val="0"/>
                  <w:sz w:val="24"/>
                </w:rPr>
              </w:sdtEndPr>
              <w:sdtContent/>
            </w:sdt>
            <w:r>
              <w:rPr>
                <w:rFonts w:hint="eastAsia" w:ascii="仿宋_GB2312" w:hAnsi="仿宋_GB2312" w:eastAsia="仿宋_GB2312" w:cs="仿宋_GB2312"/>
                <w:color w:val="auto"/>
                <w:sz w:val="24"/>
              </w:rPr>
              <w:t>不组织。</w:t>
            </w:r>
          </w:p>
          <w:p>
            <w:pPr>
              <w:spacing w:line="360" w:lineRule="auto"/>
              <w:rPr>
                <w:rFonts w:hint="eastAsia" w:ascii="仿宋_GB2312" w:hAnsi="仿宋_GB2312" w:eastAsia="仿宋_GB2312" w:cs="仿宋_GB2312"/>
                <w:b/>
                <w:color w:val="auto"/>
                <w:kern w:val="0"/>
                <w:sz w:val="24"/>
                <w:lang w:val="zh-CN"/>
              </w:rPr>
            </w:pPr>
            <w:sdt>
              <w:sdtPr>
                <w:rPr>
                  <w:rFonts w:hint="eastAsia" w:ascii="仿宋_GB2312" w:hAnsi="仿宋_GB2312" w:eastAsia="仿宋_GB2312" w:cs="仿宋_GB2312"/>
                  <w:color w:val="auto"/>
                  <w:kern w:val="0"/>
                  <w:sz w:val="24"/>
                </w:rPr>
                <w:id w:val="2051407288"/>
                <w:showingPlcHdr/>
              </w:sdtPr>
              <w:sdtEndPr>
                <w:rPr>
                  <w:rFonts w:hint="eastAsia" w:ascii="仿宋_GB2312" w:hAnsi="仿宋_GB2312" w:eastAsia="仿宋_GB2312" w:cs="仿宋_GB2312"/>
                  <w:color w:val="auto"/>
                  <w:kern w:val="0"/>
                  <w:sz w:val="24"/>
                </w:rPr>
              </w:sdtEndPr>
              <w:sdtContent/>
            </w:sdt>
            <w:sdt>
              <w:sdtPr>
                <w:rPr>
                  <w:rFonts w:hint="eastAsia" w:ascii="仿宋_GB2312" w:hAnsi="仿宋_GB2312" w:eastAsia="仿宋_GB2312" w:cs="仿宋_GB2312"/>
                  <w:color w:val="auto"/>
                  <w:kern w:val="0"/>
                  <w:sz w:val="24"/>
                </w:rPr>
                <w:id w:val="1174071719"/>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669098776"/>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057511558"/>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F0FE"/>
                        </w:r>
                      </w:sdtContent>
                    </w:sdt>
                  </w:sdtContent>
                </w:sdt>
              </w:sdtContent>
            </w:sdt>
            <w:r>
              <w:rPr>
                <w:rFonts w:hint="eastAsia" w:ascii="仿宋_GB2312" w:hAnsi="仿宋_GB2312" w:eastAsia="仿宋_GB2312" w:cs="仿宋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sym w:font="Wingdings" w:char="F0FE"/>
            </w:r>
            <w:r>
              <w:rPr>
                <w:rFonts w:hint="eastAsia" w:ascii="仿宋_GB2312" w:hAnsi="仿宋_GB2312" w:eastAsia="仿宋_GB2312" w:cs="仿宋_GB2312"/>
                <w:color w:val="auto"/>
                <w:kern w:val="0"/>
                <w:sz w:val="24"/>
              </w:rPr>
              <w:t>本项目不允许采购进口产品。</w:t>
            </w:r>
          </w:p>
          <w:p>
            <w:pPr>
              <w:spacing w:line="360" w:lineRule="auto"/>
              <w:rPr>
                <w:rFonts w:hint="eastAsia" w:ascii="仿宋_GB2312" w:hAnsi="仿宋_GB2312" w:eastAsia="仿宋_GB2312" w:cs="仿宋_GB2312"/>
                <w:color w:val="auto"/>
              </w:rPr>
            </w:pPr>
            <w:bookmarkStart w:id="26" w:name="OLE_LINK1"/>
            <w:r>
              <w:rPr>
                <w:rFonts w:hint="eastAsia" w:ascii="仿宋_GB2312" w:hAnsi="仿宋_GB2312" w:eastAsia="仿宋_GB2312" w:cs="仿宋_GB2312"/>
                <w:color w:val="auto"/>
                <w:kern w:val="0"/>
                <w:sz w:val="24"/>
              </w:rPr>
              <w:t>☐</w:t>
            </w:r>
            <w:bookmarkEnd w:id="26"/>
            <w:r>
              <w:rPr>
                <w:rFonts w:hint="eastAsia" w:ascii="仿宋_GB2312" w:hAnsi="仿宋_GB2312" w:eastAsia="仿宋_GB2312" w:cs="仿宋_GB2312"/>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rPr>
            </w:pPr>
            <w:sdt>
              <w:sdtPr>
                <w:rPr>
                  <w:rFonts w:hint="eastAsia" w:ascii="仿宋_GB2312" w:hAnsi="仿宋_GB2312" w:eastAsia="仿宋_GB2312" w:cs="仿宋_GB2312"/>
                  <w:color w:val="auto"/>
                  <w:kern w:val="0"/>
                  <w:sz w:val="24"/>
                </w:rPr>
                <w:id w:val="118727868"/>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474885559"/>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F0FE"/>
                    </w:r>
                  </w:sdtContent>
                </w:sdt>
              </w:sdtContent>
            </w:sdt>
            <w:r>
              <w:rPr>
                <w:rFonts w:hint="eastAsia" w:ascii="仿宋_GB2312" w:hAnsi="仿宋_GB2312" w:eastAsia="仿宋_GB2312" w:cs="仿宋_GB2312"/>
                <w:color w:val="auto"/>
                <w:sz w:val="24"/>
              </w:rPr>
              <w:t>货物类，单一产品或</w:t>
            </w:r>
            <w:r>
              <w:rPr>
                <w:rFonts w:hint="eastAsia" w:ascii="仿宋_GB2312" w:hAnsi="仿宋_GB2312" w:eastAsia="仿宋_GB2312" w:cs="仿宋_GB2312"/>
                <w:color w:val="auto"/>
                <w:kern w:val="0"/>
                <w:sz w:val="24"/>
              </w:rPr>
              <w:t>核心产品为：</w:t>
            </w:r>
            <w:r>
              <w:rPr>
                <w:rFonts w:hint="eastAsia" w:ascii="仿宋_GB2312" w:hAnsi="仿宋_GB2312" w:eastAsia="仿宋_GB2312" w:cs="仿宋_GB2312"/>
                <w:color w:val="auto"/>
                <w:kern w:val="0"/>
                <w:sz w:val="24"/>
                <w:u w:val="single"/>
                <w:lang w:val="en-US" w:eastAsia="zh-CN"/>
              </w:rPr>
              <w:t>智慧体育数据管理系统平台</w:t>
            </w:r>
            <w:bookmarkStart w:id="477" w:name="_GoBack"/>
            <w:bookmarkEnd w:id="477"/>
            <w:r>
              <w:rPr>
                <w:rFonts w:hint="eastAsia" w:ascii="仿宋_GB2312" w:hAnsi="仿宋_GB2312" w:eastAsia="仿宋_GB2312" w:cs="仿宋_GB2312"/>
                <w:color w:val="auto"/>
                <w:kern w:val="0"/>
                <w:sz w:val="24"/>
                <w:u w:val="single"/>
              </w:rPr>
              <w:t>。</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rPr>
              <w:t>（1）项目：</w:t>
            </w:r>
            <w:r>
              <w:rPr>
                <w:rFonts w:hint="eastAsia" w:ascii="仿宋_GB2312" w:hAnsi="仿宋_GB2312" w:eastAsia="仿宋_GB2312" w:cs="仿宋_GB2312"/>
                <w:bCs/>
                <w:color w:val="auto"/>
                <w:sz w:val="24"/>
                <w:u w:val="single"/>
              </w:rPr>
              <w:t>江山市中小学AI智慧体育设备采购项目</w:t>
            </w:r>
            <w:r>
              <w:rPr>
                <w:rFonts w:hint="eastAsia" w:ascii="仿宋_GB2312" w:hAnsi="仿宋_GB2312" w:eastAsia="仿宋_GB2312" w:cs="仿宋_GB2312"/>
                <w:color w:val="auto"/>
                <w:kern w:val="0"/>
                <w:sz w:val="24"/>
              </w:rPr>
              <w:t>，属于</w:t>
            </w:r>
            <w:r>
              <w:rPr>
                <w:rFonts w:hint="eastAsia" w:ascii="仿宋_GB2312" w:hAnsi="仿宋_GB2312" w:eastAsia="仿宋_GB2312" w:cs="仿宋_GB2312"/>
                <w:color w:val="auto"/>
                <w:kern w:val="0"/>
                <w:sz w:val="24"/>
                <w:u w:val="single"/>
              </w:rPr>
              <w:t>信息</w:t>
            </w:r>
            <w:r>
              <w:rPr>
                <w:rFonts w:hint="eastAsia" w:ascii="仿宋_GB2312" w:hAnsi="仿宋_GB2312" w:eastAsia="仿宋_GB2312" w:cs="仿宋_GB2312"/>
                <w:color w:val="auto"/>
                <w:kern w:val="0"/>
                <w:sz w:val="24"/>
                <w:u w:val="single"/>
                <w:lang w:val="en-US" w:eastAsia="zh-CN"/>
              </w:rPr>
              <w:t>传输业</w:t>
            </w: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169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rPr>
            </w:pPr>
            <w:r>
              <w:rPr>
                <w:rFonts w:hint="eastAsia" w:ascii="仿宋_GB2312" w:hAnsi="仿宋_GB2312" w:eastAsia="仿宋_GB2312" w:cs="仿宋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spacing w:line="380" w:lineRule="exact"/>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仿宋_GB2312" w:hAnsi="仿宋_GB2312" w:eastAsia="仿宋_GB2312" w:cs="仿宋_GB2312"/>
                <w:snapToGrid w:val="0"/>
                <w:color w:val="auto"/>
                <w:kern w:val="28"/>
                <w:sz w:val="24"/>
              </w:rPr>
            </w:pPr>
            <w:r>
              <w:rPr>
                <w:rFonts w:hint="eastAsia" w:ascii="仿宋_GB2312" w:hAnsi="仿宋_GB2312" w:eastAsia="仿宋_GB2312" w:cs="仿宋_GB2312"/>
                <w:color w:val="auto"/>
                <w:kern w:val="0"/>
                <w:sz w:val="24"/>
              </w:rPr>
              <w:t>为确保采购项目顺利实施，避免因政采云上电子投标文件解密失败导致投标方投标无效，投标方可在</w:t>
            </w:r>
            <w:r>
              <w:rPr>
                <w:rFonts w:hint="eastAsia" w:ascii="仿宋_GB2312" w:hAnsi="仿宋_GB2312" w:eastAsia="仿宋_GB2312" w:cs="仿宋_GB2312"/>
                <w:color w:val="auto"/>
                <w:kern w:val="0"/>
                <w:sz w:val="24"/>
                <w:u w:val="single"/>
              </w:rPr>
              <w:t>2025年</w:t>
            </w:r>
            <w:r>
              <w:rPr>
                <w:rFonts w:hint="eastAsia" w:ascii="仿宋_GB2312" w:hAnsi="仿宋_GB2312" w:eastAsia="仿宋_GB2312" w:cs="仿宋_GB2312"/>
                <w:color w:val="auto"/>
                <w:kern w:val="0"/>
                <w:sz w:val="24"/>
                <w:u w:val="single"/>
                <w:lang w:val="en-US" w:eastAsia="zh-CN"/>
              </w:rPr>
              <w:t>08</w:t>
            </w:r>
            <w:r>
              <w:rPr>
                <w:rFonts w:hint="eastAsia" w:ascii="仿宋_GB2312" w:hAnsi="仿宋_GB2312" w:eastAsia="仿宋_GB2312" w:cs="仿宋_GB2312"/>
                <w:color w:val="auto"/>
                <w:kern w:val="0"/>
                <w:sz w:val="24"/>
                <w:u w:val="single"/>
              </w:rPr>
              <w:t xml:space="preserve">月 </w:t>
            </w:r>
            <w:r>
              <w:rPr>
                <w:rFonts w:hint="eastAsia" w:ascii="仿宋_GB2312" w:hAnsi="仿宋_GB2312" w:eastAsia="仿宋_GB2312" w:cs="仿宋_GB2312"/>
                <w:color w:val="auto"/>
                <w:kern w:val="0"/>
                <w:sz w:val="24"/>
                <w:u w:val="single"/>
                <w:lang w:val="en-US" w:eastAsia="zh-CN"/>
              </w:rPr>
              <w:t>07</w:t>
            </w:r>
            <w:r>
              <w:rPr>
                <w:rFonts w:hint="eastAsia" w:ascii="仿宋_GB2312" w:hAnsi="仿宋_GB2312" w:eastAsia="仿宋_GB2312" w:cs="仿宋_GB2312"/>
                <w:color w:val="auto"/>
                <w:kern w:val="0"/>
                <w:sz w:val="24"/>
                <w:u w:val="single"/>
              </w:rPr>
              <w:t>日</w:t>
            </w:r>
            <w:r>
              <w:rPr>
                <w:rFonts w:hint="eastAsia" w:ascii="仿宋_GB2312" w:hAnsi="仿宋_GB2312" w:eastAsia="仿宋_GB2312" w:cs="仿宋_GB2312"/>
                <w:color w:val="auto"/>
                <w:kern w:val="0"/>
                <w:sz w:val="24"/>
                <w:u w:val="single"/>
                <w:lang w:val="en-US" w:eastAsia="zh-CN"/>
              </w:rPr>
              <w:t>09</w:t>
            </w:r>
            <w:r>
              <w:rPr>
                <w:rFonts w:hint="eastAsia" w:ascii="仿宋_GB2312" w:hAnsi="仿宋_GB2312" w:eastAsia="仿宋_GB2312" w:cs="仿宋_GB2312"/>
                <w:color w:val="auto"/>
                <w:kern w:val="0"/>
                <w:sz w:val="24"/>
                <w:u w:val="single"/>
              </w:rPr>
              <w:t>时</w:t>
            </w:r>
            <w:r>
              <w:rPr>
                <w:rFonts w:hint="eastAsia" w:ascii="仿宋_GB2312" w:hAnsi="仿宋_GB2312" w:eastAsia="仿宋_GB2312" w:cs="仿宋_GB2312"/>
                <w:color w:val="auto"/>
                <w:kern w:val="0"/>
                <w:sz w:val="24"/>
                <w:u w:val="single"/>
                <w:lang w:val="en-US" w:eastAsia="zh-CN"/>
              </w:rPr>
              <w:t>00</w:t>
            </w:r>
            <w:r>
              <w:rPr>
                <w:rFonts w:hint="eastAsia" w:ascii="仿宋_GB2312" w:hAnsi="仿宋_GB2312" w:eastAsia="仿宋_GB2312" w:cs="仿宋_GB2312"/>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kern w:val="28"/>
                <w:sz w:val="24"/>
                <w:u w:val="single"/>
                <w:lang w:val="zh-CN"/>
              </w:rPr>
            </w:pPr>
            <w:sdt>
              <w:sdtPr>
                <w:rPr>
                  <w:rFonts w:hint="eastAsia" w:ascii="仿宋_GB2312" w:hAnsi="仿宋_GB2312" w:eastAsia="仿宋_GB2312" w:cs="仿宋_GB2312"/>
                  <w:color w:val="auto"/>
                  <w:kern w:val="0"/>
                  <w:sz w:val="24"/>
                </w:rPr>
                <w:id w:val="21172207"/>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1172208"/>
                    <w:showingPlcHdr/>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sdtContent>
            </w:sdt>
            <w:r>
              <w:rPr>
                <w:rFonts w:hint="eastAsia" w:ascii="仿宋_GB2312" w:hAnsi="仿宋_GB2312" w:eastAsia="仿宋_GB2312" w:cs="仿宋_GB2312"/>
                <w:color w:val="auto"/>
                <w:kern w:val="0"/>
                <w:sz w:val="24"/>
              </w:rPr>
              <w:t>有。具体说明：</w:t>
            </w:r>
            <w:r>
              <w:rPr>
                <w:rFonts w:hint="eastAsia" w:ascii="仿宋_GB2312" w:hAnsi="仿宋_GB2312" w:eastAsia="仿宋_GB2312" w:cs="仿宋_GB2312"/>
                <w:color w:val="auto"/>
                <w:kern w:val="28"/>
                <w:sz w:val="24"/>
                <w:u w:val="single"/>
                <w:lang w:val="zh-CN"/>
              </w:rPr>
              <w:t>中标单位须提供纸质响应文件各三套给代理公司备案。</w:t>
            </w:r>
          </w:p>
          <w:p>
            <w:pPr>
              <w:pStyle w:val="3"/>
              <w:rPr>
                <w:rFonts w:hint="eastAsia" w:ascii="仿宋_GB2312" w:hAnsi="仿宋_GB2312" w:eastAsia="仿宋_GB2312" w:cs="仿宋_GB2312"/>
                <w:color w:val="auto"/>
                <w:lang w:val="en-US"/>
              </w:rPr>
            </w:pPr>
            <w:bookmarkStart w:id="27" w:name="_Toc373"/>
            <w:bookmarkStart w:id="28" w:name="_Toc23317"/>
            <w:r>
              <w:rPr>
                <w:rFonts w:hint="eastAsia" w:ascii="仿宋_GB2312" w:hAnsi="仿宋_GB2312" w:eastAsia="仿宋_GB2312" w:cs="仿宋_GB2312"/>
                <w:color w:val="auto"/>
                <w:kern w:val="0"/>
                <w:sz w:val="24"/>
              </w:rPr>
              <w:t>☐无。</w:t>
            </w:r>
            <w:bookmarkEnd w:id="27"/>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本项目招标代理费由中标人承担，中标人在领取中标通知书前一次性支付给代理机构。</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招标代理服务收费标准，按差额定率累进法计算</w:t>
            </w:r>
          </w:p>
          <w:tbl>
            <w:tblPr>
              <w:tblStyle w:val="73"/>
              <w:tblpPr w:leftFromText="180" w:rightFromText="180" w:vertAnchor="text" w:horzAnchor="page" w:tblpX="127" w:tblpY="31"/>
              <w:tblOverlap w:val="never"/>
              <w:tblW w:w="6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217" w:type="dxa"/>
                  <w:tcBorders>
                    <w:tl2br w:val="single" w:color="auto" w:sz="4" w:space="0"/>
                  </w:tcBorders>
                </w:tcPr>
                <w:p>
                  <w:pPr>
                    <w:snapToGrid w:val="0"/>
                    <w:spacing w:line="100" w:lineRule="exact"/>
                    <w:ind w:firstLine="480" w:firstLineChars="200"/>
                    <w:rPr>
                      <w:rFonts w:hint="eastAsia" w:ascii="仿宋_GB2312" w:hAnsi="仿宋_GB2312" w:eastAsia="仿宋_GB2312" w:cs="仿宋_GB2312"/>
                      <w:color w:val="auto"/>
                      <w:sz w:val="24"/>
                    </w:rPr>
                  </w:pPr>
                </w:p>
                <w:p>
                  <w:pPr>
                    <w:snapToGrid w:val="0"/>
                    <w:spacing w:line="24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费率</w:t>
                  </w:r>
                </w:p>
                <w:p>
                  <w:pPr>
                    <w:snapToGrid w:val="0"/>
                    <w:spacing w:line="24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中标金额（万元）</w:t>
                  </w:r>
                </w:p>
              </w:tc>
              <w:tc>
                <w:tcPr>
                  <w:tcW w:w="2903" w:type="dxa"/>
                  <w:vAlign w:val="center"/>
                </w:tcPr>
                <w:p>
                  <w:pPr>
                    <w:snapToGrid w:val="0"/>
                    <w:spacing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trPr>
              <w:tc>
                <w:tcPr>
                  <w:tcW w:w="3217" w:type="dxa"/>
                  <w:vAlign w:val="center"/>
                </w:tcPr>
                <w:p>
                  <w:pPr>
                    <w:snapToGrid w:val="0"/>
                    <w:spacing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100以下</w:t>
                  </w:r>
                </w:p>
              </w:tc>
              <w:tc>
                <w:tcPr>
                  <w:tcW w:w="2903" w:type="dxa"/>
                  <w:vAlign w:val="center"/>
                </w:tcPr>
                <w:p>
                  <w:pPr>
                    <w:snapToGrid w:val="0"/>
                    <w:spacing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trPr>
              <w:tc>
                <w:tcPr>
                  <w:tcW w:w="3217" w:type="dxa"/>
                  <w:vAlign w:val="center"/>
                </w:tcPr>
                <w:p>
                  <w:pPr>
                    <w:snapToGrid w:val="0"/>
                    <w:spacing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100以上</w:t>
                  </w:r>
                </w:p>
              </w:tc>
              <w:tc>
                <w:tcPr>
                  <w:tcW w:w="2903" w:type="dxa"/>
                  <w:vAlign w:val="center"/>
                </w:tcPr>
                <w:p>
                  <w:pPr>
                    <w:snapToGrid w:val="0"/>
                    <w:spacing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0.45%</w:t>
                  </w:r>
                </w:p>
              </w:tc>
            </w:tr>
          </w:tbl>
          <w:p>
            <w:pPr>
              <w:pStyle w:val="15"/>
              <w:rPr>
                <w:rFonts w:hint="eastAsia" w:ascii="仿宋_GB2312" w:hAnsi="仿宋_GB2312" w:eastAsia="仿宋_GB2312" w:cs="仿宋_GB2312"/>
                <w:color w:val="auto"/>
              </w:rPr>
            </w:pPr>
          </w:p>
        </w:tc>
      </w:tr>
    </w:tbl>
    <w:p>
      <w:pPr>
        <w:snapToGrid w:val="0"/>
        <w:spacing w:line="360" w:lineRule="auto"/>
        <w:jc w:val="center"/>
        <w:rPr>
          <w:rFonts w:hint="eastAsia" w:ascii="仿宋_GB2312" w:hAnsi="仿宋_GB2312" w:eastAsia="仿宋_GB2312" w:cs="仿宋_GB2312"/>
          <w:b/>
          <w:color w:val="auto"/>
          <w:sz w:val="32"/>
          <w:szCs w:val="20"/>
        </w:rPr>
      </w:pPr>
    </w:p>
    <w:p>
      <w:pPr>
        <w:pStyle w:val="14"/>
        <w:rPr>
          <w:rFonts w:hint="eastAsia" w:ascii="仿宋_GB2312" w:hAnsi="仿宋_GB2312" w:eastAsia="仿宋_GB2312" w:cs="仿宋_GB2312"/>
          <w:color w:val="auto"/>
        </w:rPr>
      </w:pPr>
    </w:p>
    <w:bookmarkEnd w:id="12"/>
    <w:p>
      <w:pPr>
        <w:adjustRightInd/>
        <w:spacing w:line="360" w:lineRule="auto"/>
        <w:ind w:firstLine="3845" w:firstLineChars="1197"/>
        <w:outlineLvl w:val="0"/>
        <w:rPr>
          <w:rFonts w:hint="eastAsia" w:ascii="仿宋_GB2312" w:hAnsi="仿宋_GB2312" w:eastAsia="仿宋_GB2312" w:cs="仿宋_GB2312"/>
          <w:b/>
          <w:color w:val="auto"/>
          <w:sz w:val="32"/>
          <w:szCs w:val="20"/>
        </w:rPr>
      </w:pPr>
      <w:bookmarkStart w:id="29" w:name="_Toc14335"/>
      <w:bookmarkStart w:id="30" w:name="_Toc12767"/>
      <w:bookmarkStart w:id="31" w:name="_Toc164416483"/>
      <w:bookmarkStart w:id="32" w:name="第三部分"/>
      <w:r>
        <w:rPr>
          <w:rFonts w:hint="eastAsia" w:ascii="仿宋_GB2312" w:hAnsi="仿宋_GB2312" w:eastAsia="仿宋_GB2312" w:cs="仿宋_GB2312"/>
          <w:b/>
          <w:color w:val="auto"/>
          <w:sz w:val="32"/>
          <w:szCs w:val="20"/>
        </w:rPr>
        <w:t>一、总则</w:t>
      </w:r>
      <w:bookmarkEnd w:id="29"/>
      <w:bookmarkEnd w:id="30"/>
    </w:p>
    <w:p>
      <w:pPr>
        <w:snapToGrid w:val="0"/>
        <w:spacing w:line="360" w:lineRule="auto"/>
        <w:ind w:firstLine="361" w:firstLineChars="150"/>
        <w:jc w:val="left"/>
        <w:outlineLvl w:val="1"/>
        <w:rPr>
          <w:rFonts w:hint="eastAsia" w:ascii="仿宋_GB2312" w:hAnsi="仿宋_GB2312" w:eastAsia="仿宋_GB2312" w:cs="仿宋_GB2312"/>
          <w:b/>
          <w:color w:val="auto"/>
          <w:sz w:val="24"/>
        </w:rPr>
      </w:pPr>
      <w:bookmarkStart w:id="33" w:name="_Toc20737"/>
      <w:bookmarkStart w:id="34" w:name="_Toc14900"/>
      <w:r>
        <w:rPr>
          <w:rFonts w:hint="eastAsia" w:ascii="仿宋_GB2312" w:hAnsi="仿宋_GB2312" w:eastAsia="仿宋_GB2312" w:cs="仿宋_GB2312"/>
          <w:b/>
          <w:color w:val="auto"/>
          <w:sz w:val="24"/>
        </w:rPr>
        <w:t>1. 适用范围</w:t>
      </w:r>
      <w:bookmarkEnd w:id="33"/>
      <w:bookmarkEnd w:id="34"/>
    </w:p>
    <w:p>
      <w:pPr>
        <w:snapToGrid w:val="0"/>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color w:val="auto"/>
          <w:sz w:val="24"/>
        </w:rPr>
      </w:pPr>
      <w:bookmarkStart w:id="35" w:name="_Toc15875"/>
      <w:bookmarkStart w:id="36" w:name="_Toc31942"/>
      <w:r>
        <w:rPr>
          <w:rFonts w:hint="eastAsia" w:ascii="仿宋_GB2312" w:hAnsi="仿宋_GB2312" w:eastAsia="仿宋_GB2312" w:cs="仿宋_GB2312"/>
          <w:b/>
          <w:color w:val="auto"/>
          <w:sz w:val="24"/>
        </w:rPr>
        <w:t>2.定义</w:t>
      </w:r>
      <w:bookmarkEnd w:id="35"/>
      <w:bookmarkEnd w:id="36"/>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2.1 “采购人”系指招标公告中载明的本项目的采购人。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2.2 “采购机构”系指招标公告中载明的本项目的采购机构。</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2.7 “▲”系指实质性要求条款，“</w:t>
      </w:r>
      <w:sdt>
        <w:sdtPr>
          <w:rPr>
            <w:rFonts w:hint="eastAsia" w:ascii="仿宋_GB2312" w:hAnsi="仿宋_GB2312" w:eastAsia="仿宋_GB2312" w:cs="仿宋_GB2312"/>
            <w:color w:val="auto"/>
            <w:kern w:val="0"/>
            <w:sz w:val="24"/>
          </w:rPr>
          <w:id w:val="512970236"/>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sz w:val="24"/>
        </w:rPr>
        <w:t>”系指适用本项目的要求，“</w:t>
      </w:r>
      <w:sdt>
        <w:sdtPr>
          <w:rPr>
            <w:rFonts w:hint="eastAsia" w:ascii="仿宋_GB2312" w:hAnsi="仿宋_GB2312" w:eastAsia="仿宋_GB2312" w:cs="仿宋_GB2312"/>
            <w:color w:val="auto"/>
            <w:kern w:val="0"/>
            <w:sz w:val="24"/>
          </w:rPr>
          <w:id w:val="404888855"/>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t>☐</w:t>
          </w:r>
        </w:sdtContent>
      </w:sdt>
      <w:r>
        <w:rPr>
          <w:rFonts w:hint="eastAsia" w:ascii="仿宋_GB2312" w:hAnsi="仿宋_GB2312" w:eastAsia="仿宋_GB2312" w:cs="仿宋_GB2312"/>
          <w:color w:val="auto"/>
          <w:sz w:val="24"/>
        </w:rPr>
        <w:t>”系指不适用本项目的要求。</w:t>
      </w:r>
    </w:p>
    <w:p>
      <w:pPr>
        <w:spacing w:line="360" w:lineRule="auto"/>
        <w:ind w:firstLine="241" w:firstLineChars="1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3.采购项目需要落实的政府采购政策</w:t>
      </w:r>
    </w:p>
    <w:p>
      <w:pPr>
        <w:spacing w:line="360" w:lineRule="auto"/>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3.2 支持绿色发展</w:t>
      </w:r>
    </w:p>
    <w:p>
      <w:pPr>
        <w:spacing w:line="360" w:lineRule="auto"/>
        <w:ind w:firstLine="480" w:firstLineChars="20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3.3支持中小企业发展</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sz w:val="24"/>
        </w:rPr>
        <w:t>3.3.2</w:t>
      </w:r>
      <w:r>
        <w:rPr>
          <w:rFonts w:hint="eastAsia" w:ascii="仿宋_GB2312" w:hAnsi="仿宋_GB2312" w:eastAsia="仿宋_GB2312" w:cs="仿宋_GB2312"/>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3.4</w:t>
      </w:r>
      <w:r>
        <w:rPr>
          <w:rFonts w:hint="eastAsia" w:ascii="仿宋_GB2312" w:hAnsi="仿宋_GB2312" w:eastAsia="仿宋_GB2312" w:cs="仿宋_GB2312"/>
          <w:bCs/>
          <w:color w:val="auto"/>
          <w:sz w:val="24"/>
        </w:rPr>
        <w:t>支持创新发展</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cr/>
      </w:r>
      <w:r>
        <w:rPr>
          <w:rFonts w:hint="eastAsia" w:ascii="仿宋_GB2312" w:hAnsi="仿宋_GB2312" w:eastAsia="仿宋_GB2312" w:cs="仿宋_GB2312"/>
          <w:b/>
          <w:color w:val="auto"/>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4.2供应商质疑</w:t>
      </w:r>
    </w:p>
    <w:p>
      <w:pPr>
        <w:pStyle w:val="36"/>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4.2</w:t>
      </w:r>
      <w:r>
        <w:rPr>
          <w:rFonts w:hint="eastAsia" w:ascii="仿宋_GB2312" w:hAnsi="仿宋_GB2312" w:eastAsia="仿宋_GB2312" w:cs="仿宋_GB2312"/>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4.2</w:t>
      </w:r>
      <w:r>
        <w:rPr>
          <w:rFonts w:hint="eastAsia" w:ascii="仿宋_GB2312" w:hAnsi="仿宋_GB2312" w:eastAsia="仿宋_GB2312" w:cs="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4.2.2.3对采购结果提出质疑的，质疑期限自采购结果公告期限届满之日起计算。</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4.2.3</w:t>
      </w:r>
      <w:r>
        <w:rPr>
          <w:rFonts w:hint="eastAsia" w:ascii="仿宋_GB2312" w:hAnsi="仿宋_GB2312" w:eastAsia="仿宋_GB2312" w:cs="仿宋_GB2312"/>
          <w:color w:val="auto"/>
          <w:sz w:val="24"/>
        </w:rPr>
        <w:t>供应商提出质疑应当提交质疑函和必要的证明材料。质疑函应当包括下列内容：</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4.2.3.1供应商的姓名或者名称、地址、邮编、联系人及联系电话；</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4.2.3.2质疑项目的名称、编号；</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4.2.3.3具体、明确的质疑事项和与质疑事项相关的请求；</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4.2.3.4事实依据；</w:t>
      </w:r>
    </w:p>
    <w:p>
      <w:pPr>
        <w:pStyle w:val="36"/>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4.2.3.5必要的法律依据；</w:t>
      </w:r>
    </w:p>
    <w:p>
      <w:pPr>
        <w:pStyle w:val="36"/>
        <w:spacing w:line="360" w:lineRule="auto"/>
        <w:ind w:firstLine="960" w:firstLineChars="4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供应商提交的质疑函需一式三份。供应商为自然人的，应当由本人签字；供应商为法人或者其他组织的，应当由法定代表人、主要负责人，或者其授权代表签字</w:t>
      </w:r>
      <w:r>
        <w:rPr>
          <w:rFonts w:hint="eastAsia" w:ascii="仿宋_GB2312" w:hAnsi="仿宋_GB2312" w:eastAsia="仿宋_GB2312" w:cs="仿宋_GB2312"/>
          <w:b/>
          <w:color w:val="auto"/>
        </w:rPr>
        <w:t>（授权代表提供投标前三个月的在本公司的社保证明）</w:t>
      </w:r>
      <w:r>
        <w:rPr>
          <w:rFonts w:hint="eastAsia" w:ascii="仿宋_GB2312" w:hAnsi="仿宋_GB2312" w:eastAsia="仿宋_GB2312" w:cs="仿宋_GB2312"/>
          <w:color w:val="auto"/>
        </w:rPr>
        <w:t>或者盖章，并加盖公章。</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质疑函范本及制作说明详见附件2。</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lang w:val="zh-CN"/>
        </w:rPr>
        <w:t>4.2</w:t>
      </w:r>
      <w:r>
        <w:rPr>
          <w:rFonts w:hint="eastAsia" w:ascii="仿宋_GB2312" w:hAnsi="仿宋_GB2312" w:eastAsia="仿宋_GB2312" w:cs="仿宋_GB2312"/>
          <w:color w:val="auto"/>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lang w:val="zh-CN"/>
        </w:rPr>
        <w:t>4.2</w:t>
      </w:r>
      <w:r>
        <w:rPr>
          <w:rFonts w:hint="eastAsia" w:ascii="仿宋_GB2312" w:hAnsi="仿宋_GB2312" w:eastAsia="仿宋_GB2312" w:cs="仿宋_GB2312"/>
          <w:color w:val="auto"/>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color w:val="auto"/>
          <w:lang w:val="zh-CN"/>
        </w:rPr>
      </w:pPr>
      <w:r>
        <w:rPr>
          <w:rFonts w:hint="eastAsia" w:ascii="仿宋_GB2312" w:hAnsi="仿宋_GB2312" w:eastAsia="仿宋_GB2312" w:cs="仿宋_GB2312"/>
          <w:color w:val="auto"/>
          <w:lang w:val="zh-CN"/>
        </w:rPr>
        <w:t>4.3供应商投诉</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4.3.</w:t>
      </w:r>
      <w:r>
        <w:rPr>
          <w:rFonts w:hint="eastAsia" w:ascii="仿宋_GB2312" w:hAnsi="仿宋_GB2312" w:eastAsia="仿宋_GB2312" w:cs="仿宋_GB2312"/>
          <w:color w:val="auto"/>
          <w:lang w:val="zh-CN"/>
        </w:rPr>
        <w:t>2</w:t>
      </w:r>
      <w:r>
        <w:rPr>
          <w:rFonts w:hint="eastAsia" w:ascii="仿宋_GB2312" w:hAnsi="仿宋_GB2312" w:eastAsia="仿宋_GB2312" w:cs="仿宋_GB2312"/>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rPr>
        <w:t>投诉书范本及制作说明详见附件3。</w:t>
      </w:r>
    </w:p>
    <w:p>
      <w:pPr>
        <w:pStyle w:val="131"/>
        <w:numPr>
          <w:ilvl w:val="0"/>
          <w:numId w:val="2"/>
        </w:numPr>
        <w:snapToGrid w:val="0"/>
        <w:spacing w:before="0"/>
        <w:ind w:firstLine="48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投标费用</w:t>
      </w:r>
    </w:p>
    <w:p>
      <w:pPr>
        <w:pStyle w:val="131"/>
        <w:snapToGrid w:val="0"/>
        <w:spacing w:before="0"/>
        <w:ind w:firstLine="48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不论投标结果如何，响应方均应自行承担所有与磋商有关的全部费用。</w:t>
      </w:r>
    </w:p>
    <w:p>
      <w:pPr>
        <w:adjustRightInd/>
        <w:spacing w:line="360" w:lineRule="auto"/>
        <w:jc w:val="center"/>
        <w:outlineLvl w:val="0"/>
        <w:rPr>
          <w:rFonts w:hint="eastAsia" w:ascii="仿宋_GB2312" w:hAnsi="仿宋_GB2312" w:eastAsia="仿宋_GB2312" w:cs="仿宋_GB2312"/>
          <w:b/>
          <w:color w:val="auto"/>
          <w:sz w:val="32"/>
          <w:szCs w:val="20"/>
        </w:rPr>
      </w:pPr>
      <w:bookmarkStart w:id="37" w:name="_Toc17686"/>
      <w:bookmarkStart w:id="38" w:name="_Toc23883"/>
      <w:r>
        <w:rPr>
          <w:rFonts w:hint="eastAsia" w:ascii="仿宋_GB2312" w:hAnsi="仿宋_GB2312" w:eastAsia="仿宋_GB2312" w:cs="仿宋_GB2312"/>
          <w:b/>
          <w:color w:val="auto"/>
          <w:sz w:val="32"/>
          <w:szCs w:val="20"/>
        </w:rPr>
        <w:t>二、招标文件的构成、澄清、修改</w:t>
      </w:r>
      <w:bookmarkEnd w:id="37"/>
      <w:bookmarkEnd w:id="38"/>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5．招标文件的构成</w:t>
      </w:r>
    </w:p>
    <w:p>
      <w:pPr>
        <w:pStyle w:val="36"/>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 招标文件包括下列文件及附件：</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5.1.1招标公告；</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5.1.2投标人须知；</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5.1.3采购需求；</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5.1.4评标办法；</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5.1.5拟签订的合同文本；</w:t>
      </w:r>
    </w:p>
    <w:p>
      <w:pPr>
        <w:pStyle w:val="36"/>
        <w:tabs>
          <w:tab w:val="left" w:pos="840"/>
        </w:tabs>
        <w:spacing w:line="360" w:lineRule="auto"/>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5.1.6</w:t>
      </w:r>
      <w:r>
        <w:rPr>
          <w:rFonts w:hint="eastAsia" w:ascii="仿宋_GB2312" w:hAnsi="仿宋_GB2312" w:eastAsia="仿宋_GB2312" w:cs="仿宋_GB2312"/>
          <w:color w:val="auto"/>
          <w:sz w:val="24"/>
          <w:szCs w:val="24"/>
        </w:rPr>
        <w:t>应提交的有关格式范例。</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5.2与本项目有关的</w:t>
      </w:r>
      <w:r>
        <w:rPr>
          <w:rFonts w:hint="eastAsia" w:ascii="仿宋_GB2312" w:hAnsi="仿宋_GB2312" w:eastAsia="仿宋_GB2312" w:cs="仿宋_GB2312"/>
          <w:bCs/>
          <w:color w:val="auto"/>
          <w:sz w:val="24"/>
        </w:rPr>
        <w:t>澄清或者修改的内容为招标文件的组成部分</w:t>
      </w:r>
      <w:r>
        <w:rPr>
          <w:rFonts w:hint="eastAsia" w:ascii="仿宋_GB2312" w:hAnsi="仿宋_GB2312" w:eastAsia="仿宋_GB2312" w:cs="仿宋_GB2312"/>
          <w:color w:val="auto"/>
          <w:sz w:val="24"/>
        </w:rPr>
        <w:t>。</w:t>
      </w:r>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6. 招标文件的澄清、修改</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6.1已获取招标文件的潜在投标人，若有问题需要澄清，应于投标截止时间前，以书面形式向采购机构提出。</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hint="eastAsia" w:ascii="仿宋_GB2312" w:hAnsi="仿宋_GB2312" w:eastAsia="仿宋_GB2312" w:cs="仿宋_GB2312"/>
          <w:color w:val="auto"/>
          <w:sz w:val="18"/>
          <w:szCs w:val="18"/>
          <w:lang w:val="en-US"/>
        </w:rPr>
      </w:pPr>
    </w:p>
    <w:p>
      <w:pPr>
        <w:adjustRightInd/>
        <w:spacing w:line="360" w:lineRule="auto"/>
        <w:jc w:val="center"/>
        <w:outlineLvl w:val="0"/>
        <w:rPr>
          <w:rFonts w:hint="eastAsia" w:ascii="仿宋_GB2312" w:hAnsi="仿宋_GB2312" w:eastAsia="仿宋_GB2312" w:cs="仿宋_GB2312"/>
          <w:b/>
          <w:color w:val="auto"/>
          <w:sz w:val="30"/>
          <w:szCs w:val="20"/>
        </w:rPr>
      </w:pPr>
      <w:bookmarkStart w:id="39" w:name="_Toc8965"/>
      <w:bookmarkStart w:id="40" w:name="_Toc21055"/>
      <w:r>
        <w:rPr>
          <w:rFonts w:hint="eastAsia" w:ascii="仿宋_GB2312" w:hAnsi="仿宋_GB2312" w:eastAsia="仿宋_GB2312" w:cs="仿宋_GB2312"/>
          <w:b/>
          <w:color w:val="auto"/>
          <w:sz w:val="30"/>
          <w:szCs w:val="20"/>
        </w:rPr>
        <w:t>三、投标</w:t>
      </w:r>
      <w:bookmarkEnd w:id="39"/>
      <w:bookmarkEnd w:id="40"/>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7. 招标文件的获取</w:t>
      </w:r>
    </w:p>
    <w:p>
      <w:pPr>
        <w:spacing w:line="360" w:lineRule="auto"/>
        <w:ind w:firstLine="480" w:firstLineChars="200"/>
        <w:rPr>
          <w:rFonts w:hint="eastAsia" w:ascii="仿宋_GB2312" w:hAnsi="仿宋_GB2312" w:eastAsia="仿宋_GB2312" w:cs="仿宋_GB2312"/>
          <w:snapToGrid w:val="0"/>
          <w:color w:val="auto"/>
          <w:kern w:val="28"/>
          <w:sz w:val="24"/>
        </w:rPr>
      </w:pPr>
      <w:r>
        <w:rPr>
          <w:rFonts w:hint="eastAsia" w:ascii="仿宋_GB2312" w:hAnsi="仿宋_GB2312" w:eastAsia="仿宋_GB2312" w:cs="仿宋_GB2312"/>
          <w:snapToGrid w:val="0"/>
          <w:color w:val="auto"/>
          <w:kern w:val="28"/>
          <w:sz w:val="24"/>
        </w:rPr>
        <w:t>详见招标公告中获取招标文件的时间期限、地点、方式及招标文件售价。</w:t>
      </w:r>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8.开标前答疑会或现场考察</w:t>
      </w:r>
    </w:p>
    <w:p>
      <w:pPr>
        <w:pStyle w:val="36"/>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kern w:val="28"/>
          <w:sz w:val="24"/>
          <w:szCs w:val="24"/>
        </w:rPr>
        <w:t>9.投标保证金</w:t>
      </w:r>
    </w:p>
    <w:p>
      <w:pPr>
        <w:pStyle w:val="20"/>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投标文件及投标人与采购有关的来往通知、函件和文件均应使用中文。</w:t>
      </w:r>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11. 投标文件的组成</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w:t>
      </w:r>
      <w:r>
        <w:rPr>
          <w:rFonts w:hint="eastAsia" w:ascii="仿宋_GB2312" w:hAnsi="仿宋_GB2312" w:eastAsia="仿宋_GB2312" w:cs="仿宋_GB2312"/>
          <w:b/>
          <w:color w:val="auto"/>
          <w:sz w:val="24"/>
        </w:rPr>
        <w:t>资格文件</w:t>
      </w:r>
      <w:r>
        <w:rPr>
          <w:rFonts w:hint="eastAsia" w:ascii="仿宋_GB2312" w:hAnsi="仿宋_GB2312" w:eastAsia="仿宋_GB2312" w:cs="仿宋_GB2312"/>
          <w:color w:val="auto"/>
          <w:sz w:val="24"/>
        </w:rPr>
        <w:t>：</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11.1.1资格文件封面；</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11.1.2▲符合参加政府采购活动应当具备的一般条件的承诺函；</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格式参照后附表）</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11.1.3落实政府采购政策需满足的资格要求；</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11.1.4▲有效的《企业法人营业执照》副本扫描件；</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11.1.5授权委托书或法定代表人（单位负责人、自然人本人）身份证明；被授权人身份证明、被授权人投标前3个月在本单位社保证明。</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格式参照后附表）</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11.1.6▲投标函；</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格式参照后附表）</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11.1.7信用中国等网站信用查询结果；</w:t>
      </w:r>
    </w:p>
    <w:p>
      <w:pPr>
        <w:snapToGrid w:val="0"/>
        <w:spacing w:line="360" w:lineRule="auto"/>
        <w:ind w:firstLine="960" w:firstLineChars="4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11.1.8</w:t>
      </w:r>
      <w:r>
        <w:rPr>
          <w:rFonts w:hint="eastAsia" w:ascii="仿宋_GB2312" w:hAnsi="仿宋_GB2312" w:eastAsia="仿宋_GB2312" w:cs="仿宋_GB2312"/>
          <w:color w:val="auto"/>
          <w:sz w:val="24"/>
          <w:lang w:val="zh-CN"/>
        </w:rPr>
        <w:t>政府采购活动现场确认声明书；</w:t>
      </w:r>
      <w:r>
        <w:rPr>
          <w:rFonts w:hint="eastAsia" w:ascii="仿宋_GB2312" w:hAnsi="仿宋_GB2312" w:eastAsia="仿宋_GB2312" w:cs="仿宋_GB2312"/>
          <w:color w:val="auto"/>
          <w:sz w:val="24"/>
          <w:lang w:val="zh-CN" w:eastAsia="zh-CN"/>
        </w:rPr>
        <w:t>（格式参照后附表）</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11.1.9▲</w:t>
      </w:r>
      <w:r>
        <w:rPr>
          <w:rFonts w:hint="eastAsia" w:ascii="仿宋_GB2312" w:hAnsi="仿宋_GB2312" w:eastAsia="仿宋_GB2312" w:cs="仿宋_GB2312"/>
          <w:color w:val="auto"/>
          <w:sz w:val="24"/>
          <w:lang w:val="zh-CN"/>
        </w:rPr>
        <w:t>政府采购供应商廉洁自律承诺书；</w:t>
      </w:r>
      <w:r>
        <w:rPr>
          <w:rFonts w:hint="eastAsia" w:ascii="仿宋_GB2312" w:hAnsi="仿宋_GB2312" w:eastAsia="仿宋_GB2312" w:cs="仿宋_GB2312"/>
          <w:color w:val="auto"/>
          <w:sz w:val="24"/>
          <w:lang w:val="zh-CN" w:eastAsia="zh-CN"/>
        </w:rPr>
        <w:t>（格式参照后附表）</w:t>
      </w:r>
    </w:p>
    <w:p>
      <w:pPr>
        <w:snapToGrid w:val="0"/>
        <w:spacing w:line="360" w:lineRule="auto"/>
        <w:ind w:firstLine="480" w:firstLineChars="2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11.</w:t>
      </w:r>
      <w:r>
        <w:rPr>
          <w:rFonts w:hint="eastAsia" w:ascii="仿宋_GB2312" w:hAnsi="仿宋_GB2312" w:eastAsia="仿宋_GB2312" w:cs="仿宋_GB2312"/>
          <w:color w:val="auto"/>
          <w:sz w:val="24"/>
        </w:rPr>
        <w:t>2商务技术</w:t>
      </w:r>
      <w:r>
        <w:rPr>
          <w:rFonts w:hint="eastAsia" w:ascii="仿宋_GB2312" w:hAnsi="仿宋_GB2312" w:eastAsia="仿宋_GB2312" w:cs="仿宋_GB2312"/>
          <w:color w:val="auto"/>
          <w:sz w:val="24"/>
          <w:lang w:val="zh-CN"/>
        </w:rPr>
        <w:t>文件：</w:t>
      </w:r>
    </w:p>
    <w:p>
      <w:pPr>
        <w:snapToGrid w:val="0"/>
        <w:spacing w:line="360" w:lineRule="auto"/>
        <w:ind w:firstLine="960" w:firstLineChars="400"/>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11.2.1商务技术</w:t>
      </w:r>
      <w:r>
        <w:rPr>
          <w:rFonts w:hint="eastAsia" w:ascii="仿宋_GB2312" w:hAnsi="仿宋_GB2312" w:eastAsia="仿宋_GB2312" w:cs="仿宋_GB2312"/>
          <w:color w:val="auto"/>
          <w:sz w:val="24"/>
          <w:lang w:val="zh-CN"/>
        </w:rPr>
        <w:t>文件封面；</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11.2.2符合性审查资料；</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11.2.3评标标准相应的商务技术资料；</w:t>
      </w:r>
    </w:p>
    <w:p>
      <w:pPr>
        <w:snapToGrid w:val="0"/>
        <w:spacing w:line="360" w:lineRule="auto"/>
        <w:ind w:firstLine="960" w:firstLineChars="4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11.2.4商务技术偏离表；</w:t>
      </w:r>
    </w:p>
    <w:p>
      <w:pPr>
        <w:snapToGrid w:val="0"/>
        <w:spacing w:line="360" w:lineRule="auto"/>
        <w:ind w:firstLine="480" w:firstLineChars="200"/>
        <w:rPr>
          <w:rFonts w:hint="eastAsia" w:ascii="仿宋_GB2312" w:hAnsi="仿宋_GB2312" w:eastAsia="仿宋_GB2312" w:cs="仿宋_GB2312"/>
          <w:color w:val="auto"/>
          <w:sz w:val="24"/>
          <w:u w:val="single"/>
          <w:lang w:val="zh-CN"/>
        </w:rPr>
      </w:pPr>
      <w:r>
        <w:rPr>
          <w:rFonts w:hint="eastAsia" w:ascii="仿宋_GB2312" w:hAnsi="仿宋_GB2312" w:eastAsia="仿宋_GB2312" w:cs="仿宋_GB2312"/>
          <w:color w:val="auto"/>
          <w:kern w:val="0"/>
          <w:sz w:val="24"/>
          <w:lang w:val="zh-CN"/>
        </w:rPr>
        <w:t>11.</w:t>
      </w:r>
      <w:r>
        <w:rPr>
          <w:rFonts w:hint="eastAsia" w:ascii="仿宋_GB2312" w:hAnsi="仿宋_GB2312" w:eastAsia="仿宋_GB2312" w:cs="仿宋_GB2312"/>
          <w:color w:val="auto"/>
          <w:kern w:val="0"/>
          <w:sz w:val="24"/>
        </w:rPr>
        <w:t>3</w:t>
      </w:r>
      <w:r>
        <w:rPr>
          <w:rFonts w:hint="eastAsia" w:ascii="仿宋_GB2312" w:hAnsi="仿宋_GB2312" w:eastAsia="仿宋_GB2312" w:cs="仿宋_GB2312"/>
          <w:b/>
          <w:color w:val="auto"/>
          <w:sz w:val="24"/>
        </w:rPr>
        <w:t>报价文件：</w:t>
      </w:r>
    </w:p>
    <w:p>
      <w:pPr>
        <w:snapToGrid w:val="0"/>
        <w:spacing w:line="360" w:lineRule="auto"/>
        <w:ind w:firstLine="960" w:firstLineChars="4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11.3.1</w:t>
      </w:r>
      <w:r>
        <w:rPr>
          <w:rFonts w:hint="eastAsia" w:ascii="仿宋_GB2312" w:hAnsi="仿宋_GB2312" w:eastAsia="仿宋_GB2312" w:cs="仿宋_GB2312"/>
          <w:color w:val="auto"/>
          <w:sz w:val="24"/>
          <w:lang w:val="zh-CN"/>
        </w:rPr>
        <w:t>报价文件封面（</w:t>
      </w:r>
      <w:r>
        <w:rPr>
          <w:rFonts w:hint="eastAsia" w:ascii="仿宋_GB2312" w:hAnsi="仿宋_GB2312" w:eastAsia="仿宋_GB2312" w:cs="仿宋_GB2312"/>
          <w:color w:val="auto"/>
          <w:sz w:val="24"/>
          <w:lang w:val="en-US" w:eastAsia="zh-CN"/>
        </w:rPr>
        <w:t>格式自拟）</w:t>
      </w:r>
      <w:r>
        <w:rPr>
          <w:rFonts w:hint="eastAsia" w:ascii="仿宋_GB2312" w:hAnsi="仿宋_GB2312" w:eastAsia="仿宋_GB2312" w:cs="仿宋_GB2312"/>
          <w:color w:val="auto"/>
          <w:sz w:val="24"/>
          <w:lang w:val="zh-CN"/>
        </w:rPr>
        <w:t>；</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11.3.2▲开标一览表（</w:t>
      </w:r>
      <w:r>
        <w:rPr>
          <w:rFonts w:hint="eastAsia" w:ascii="仿宋_GB2312" w:hAnsi="仿宋_GB2312" w:eastAsia="仿宋_GB2312" w:cs="仿宋_GB2312"/>
          <w:color w:val="auto"/>
          <w:sz w:val="24"/>
          <w:lang w:val="en-US" w:eastAsia="zh-CN"/>
        </w:rPr>
        <w:t>格式参照后附表</w:t>
      </w:r>
      <w:r>
        <w:rPr>
          <w:rFonts w:hint="eastAsia" w:ascii="仿宋_GB2312" w:hAnsi="仿宋_GB2312" w:eastAsia="仿宋_GB2312" w:cs="仿宋_GB2312"/>
          <w:color w:val="auto"/>
          <w:sz w:val="24"/>
        </w:rPr>
        <w:t>）；</w:t>
      </w:r>
    </w:p>
    <w:p>
      <w:pPr>
        <w:snapToGrid w:val="0"/>
        <w:spacing w:line="360" w:lineRule="auto"/>
        <w:ind w:firstLine="960" w:firstLineChars="4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11.3.3报价明细表；（格式参照后附表）；</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11.3.</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中小企业声明函</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格式参照后附表）</w:t>
      </w:r>
      <w:r>
        <w:rPr>
          <w:rFonts w:hint="eastAsia" w:ascii="仿宋_GB2312" w:hAnsi="仿宋_GB2312" w:eastAsia="仿宋_GB2312" w:cs="仿宋_GB2312"/>
          <w:color w:val="auto"/>
          <w:sz w:val="24"/>
        </w:rPr>
        <w:t>。</w:t>
      </w:r>
    </w:p>
    <w:p>
      <w:pPr>
        <w:spacing w:line="360" w:lineRule="auto"/>
        <w:ind w:firstLine="723" w:firstLineChars="300"/>
        <w:rPr>
          <w:rFonts w:hint="eastAsia" w:ascii="仿宋_GB2312" w:hAnsi="仿宋_GB2312" w:eastAsia="仿宋_GB2312" w:cs="仿宋_GB2312"/>
          <w:b/>
          <w:color w:val="auto"/>
          <w:sz w:val="24"/>
          <w:szCs w:val="21"/>
        </w:rPr>
      </w:pPr>
      <w:r>
        <w:rPr>
          <w:rFonts w:hint="eastAsia" w:ascii="仿宋_GB2312" w:hAnsi="仿宋_GB2312" w:eastAsia="仿宋_GB2312" w:cs="仿宋_GB2312"/>
          <w:b/>
          <w:color w:val="auto"/>
          <w:sz w:val="24"/>
        </w:rPr>
        <w:t>投标人提供虚假材料投标的，投标无效。</w:t>
      </w:r>
    </w:p>
    <w:p>
      <w:pPr>
        <w:pStyle w:val="131"/>
        <w:snapToGrid w:val="0"/>
        <w:spacing w:before="0"/>
        <w:ind w:firstLine="0" w:firstLineChars="0"/>
        <w:outlineLvl w:val="0"/>
        <w:rPr>
          <w:rFonts w:hint="eastAsia" w:ascii="仿宋_GB2312" w:hAnsi="仿宋_GB2312" w:eastAsia="仿宋_GB2312" w:cs="仿宋_GB2312"/>
          <w:b/>
          <w:color w:val="auto"/>
          <w:szCs w:val="24"/>
        </w:rPr>
      </w:pPr>
      <w:bookmarkStart w:id="41" w:name="_Toc16973"/>
      <w:bookmarkStart w:id="42" w:name="_Toc22389"/>
      <w:r>
        <w:rPr>
          <w:rFonts w:hint="eastAsia" w:ascii="仿宋_GB2312" w:hAnsi="仿宋_GB2312" w:eastAsia="仿宋_GB2312" w:cs="仿宋_GB2312"/>
          <w:b/>
          <w:color w:val="auto"/>
          <w:szCs w:val="24"/>
        </w:rPr>
        <w:t>12</w:t>
      </w:r>
      <w:r>
        <w:rPr>
          <w:rFonts w:hint="eastAsia" w:ascii="仿宋_GB2312" w:hAnsi="仿宋_GB2312" w:eastAsia="仿宋_GB2312" w:cs="仿宋_GB2312"/>
          <w:b/>
          <w:color w:val="auto"/>
          <w:kern w:val="0"/>
          <w:szCs w:val="24"/>
          <w:lang w:val="zh-CN"/>
        </w:rPr>
        <w:t xml:space="preserve">. </w:t>
      </w:r>
      <w:r>
        <w:rPr>
          <w:rFonts w:hint="eastAsia" w:ascii="仿宋_GB2312" w:hAnsi="仿宋_GB2312" w:eastAsia="仿宋_GB2312" w:cs="仿宋_GB2312"/>
          <w:b/>
          <w:color w:val="auto"/>
          <w:szCs w:val="24"/>
        </w:rPr>
        <w:t>投标文件的编制</w:t>
      </w:r>
      <w:bookmarkEnd w:id="41"/>
      <w:bookmarkEnd w:id="42"/>
    </w:p>
    <w:p>
      <w:pPr>
        <w:spacing w:line="360" w:lineRule="auto"/>
        <w:ind w:firstLine="480" w:firstLineChars="200"/>
        <w:rPr>
          <w:rFonts w:hint="eastAsia" w:ascii="仿宋_GB2312" w:hAnsi="仿宋_GB2312" w:eastAsia="仿宋_GB2312" w:cs="仿宋_GB2312"/>
          <w:b/>
          <w:color w:val="auto"/>
          <w:sz w:val="24"/>
        </w:rPr>
      </w:pPr>
      <w:r>
        <w:rPr>
          <w:rFonts w:hint="eastAsia" w:ascii="仿宋_GB2312" w:hAnsi="仿宋_GB2312" w:eastAsia="仿宋_GB2312" w:cs="仿宋_GB2312"/>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13.投标文件的签署、盖章</w:t>
      </w:r>
    </w:p>
    <w:p>
      <w:pPr>
        <w:pStyle w:val="131"/>
        <w:snapToGrid w:val="0"/>
        <w:spacing w:before="0"/>
        <w:ind w:firstLine="480"/>
        <w:rPr>
          <w:rFonts w:hint="eastAsia" w:ascii="仿宋_GB2312" w:hAnsi="仿宋_GB2312" w:eastAsia="仿宋_GB2312" w:cs="仿宋_GB2312"/>
          <w:b/>
          <w:color w:val="auto"/>
        </w:rPr>
      </w:pPr>
      <w:r>
        <w:rPr>
          <w:rFonts w:hint="eastAsia" w:ascii="仿宋_GB2312" w:hAnsi="仿宋_GB2312" w:eastAsia="仿宋_GB2312" w:cs="仿宋_GB2312"/>
          <w:color w:val="auto"/>
          <w:szCs w:val="24"/>
        </w:rPr>
        <w:t>13.1投标文件按照招标文件第六部分格式要</w:t>
      </w:r>
      <w:r>
        <w:rPr>
          <w:rFonts w:hint="eastAsia" w:ascii="仿宋_GB2312" w:hAnsi="仿宋_GB2312" w:eastAsia="仿宋_GB2312" w:cs="仿宋_GB2312"/>
          <w:color w:val="auto"/>
        </w:rPr>
        <w:t>求进行签署、盖章。</w:t>
      </w:r>
      <w:r>
        <w:rPr>
          <w:rFonts w:hint="eastAsia" w:ascii="仿宋_GB2312" w:hAnsi="仿宋_GB2312" w:eastAsia="仿宋_GB2312" w:cs="仿宋_GB2312"/>
          <w:b/>
          <w:color w:val="auto"/>
        </w:rPr>
        <w:t>投标人的投标文件未按照招标文件要求签署、盖章的，其投标无效</w:t>
      </w:r>
      <w:r>
        <w:rPr>
          <w:rFonts w:hint="eastAsia" w:ascii="仿宋_GB2312" w:hAnsi="仿宋_GB2312" w:eastAsia="仿宋_GB2312" w:cs="仿宋_GB2312"/>
          <w:color w:val="auto"/>
          <w:szCs w:val="24"/>
        </w:rPr>
        <w:t>。</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13.2为确保网上操作合法、有效和安全，投标人应当在投标截止时间前完成在“政府采购云平台”的身份认证，确保在电子投标过程中能够对相关数据电文进行加密和使用电子签章。</w:t>
      </w:r>
    </w:p>
    <w:p>
      <w:pPr>
        <w:pStyle w:val="131"/>
        <w:snapToGrid w:val="0"/>
        <w:spacing w:before="0"/>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rPr>
        <w:t>13.3招标文件对投标文件盖章的要求适用于电子签章。</w:t>
      </w:r>
    </w:p>
    <w:p>
      <w:pPr>
        <w:pStyle w:val="131"/>
        <w:spacing w:before="0"/>
        <w:ind w:firstLine="0" w:firstLineChars="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14. 投标文件的提交、补充、修改、撤回</w:t>
      </w:r>
    </w:p>
    <w:p>
      <w:pPr>
        <w:pStyle w:val="131"/>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15.备份投标文件</w:t>
      </w:r>
    </w:p>
    <w:p>
      <w:pPr>
        <w:pStyle w:val="36"/>
        <w:spacing w:line="360" w:lineRule="auto"/>
        <w:ind w:firstLine="360" w:firstLineChars="15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color w:val="auto"/>
          <w:sz w:val="24"/>
          <w:szCs w:val="24"/>
        </w:rPr>
        <w:t>但采购人、采购机构不强制或变相强制投标人提交备份投标文件。</w:t>
      </w:r>
    </w:p>
    <w:p>
      <w:pPr>
        <w:pStyle w:val="36"/>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15.2备份投标文件须在“政采云投标客户端”制作生成，并储存在</w:t>
      </w:r>
      <w:r>
        <w:rPr>
          <w:rFonts w:hint="eastAsia" w:ascii="仿宋_GB2312" w:hAnsi="仿宋_GB2312" w:eastAsia="仿宋_GB2312" w:cs="仿宋_GB2312"/>
          <w:color w:val="auto"/>
          <w:sz w:val="24"/>
        </w:rPr>
        <w:t>DVD光盘</w:t>
      </w:r>
      <w:r>
        <w:rPr>
          <w:rFonts w:hint="eastAsia" w:ascii="仿宋_GB2312" w:hAnsi="仿宋_GB2312" w:eastAsia="仿宋_GB2312" w:cs="仿宋_GB2312"/>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color w:val="auto"/>
          <w:sz w:val="24"/>
        </w:rPr>
        <w:t>不符合上述制作、</w:t>
      </w:r>
      <w:r>
        <w:rPr>
          <w:rFonts w:hint="eastAsia" w:ascii="仿宋_GB2312" w:hAnsi="仿宋_GB2312" w:eastAsia="仿宋_GB2312" w:cs="仿宋_GB2312"/>
          <w:b/>
          <w:color w:val="auto"/>
          <w:sz w:val="24"/>
          <w:szCs w:val="24"/>
        </w:rPr>
        <w:t>存储、密封规定的备份投标文件将被视为无效或者被拒绝接收。</w:t>
      </w:r>
    </w:p>
    <w:p>
      <w:pPr>
        <w:pStyle w:val="36"/>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color w:val="auto"/>
          <w:sz w:val="24"/>
          <w:szCs w:val="24"/>
        </w:rPr>
        <w:t>招标文件第二部分投标人须知前附表规定的备份投标文件送达地点；</w:t>
      </w:r>
      <w:r>
        <w:rPr>
          <w:rFonts w:hint="eastAsia" w:ascii="仿宋_GB2312" w:hAnsi="仿宋_GB2312"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15.5投标人仅提交备份投标文件，没有在电子交易平台传输递交投标文件的，投标无效。</w:t>
      </w:r>
    </w:p>
    <w:p>
      <w:pPr>
        <w:pStyle w:val="131"/>
        <w:spacing w:before="0"/>
        <w:ind w:firstLine="0" w:firstLineChars="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16.投标文件的无效处理</w:t>
      </w:r>
    </w:p>
    <w:p>
      <w:pPr>
        <w:pStyle w:val="21"/>
        <w:spacing w:line="360" w:lineRule="auto"/>
        <w:ind w:firstLine="360" w:firstLineChars="15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有招标文件第四部分</w:t>
      </w:r>
      <w:r>
        <w:rPr>
          <w:rFonts w:hint="eastAsia" w:ascii="仿宋_GB2312" w:hAnsi="仿宋_GB2312" w:eastAsia="仿宋_GB2312" w:cs="仿宋_GB2312"/>
          <w:color w:val="auto"/>
        </w:rPr>
        <w:t>第13项规定</w:t>
      </w:r>
      <w:r>
        <w:rPr>
          <w:rFonts w:hint="eastAsia" w:ascii="仿宋_GB2312" w:hAnsi="仿宋_GB2312" w:eastAsia="仿宋_GB2312" w:cs="仿宋_GB2312"/>
          <w:color w:val="auto"/>
          <w:szCs w:val="21"/>
        </w:rPr>
        <w:t>的情形之一的，投标无效：</w:t>
      </w:r>
    </w:p>
    <w:p>
      <w:pPr>
        <w:pStyle w:val="131"/>
        <w:spacing w:before="0"/>
        <w:ind w:firstLine="0" w:firstLineChars="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17.投标有效期</w:t>
      </w:r>
    </w:p>
    <w:p>
      <w:pPr>
        <w:spacing w:line="360" w:lineRule="auto"/>
        <w:ind w:firstLine="480" w:firstLineChars="200"/>
        <w:rPr>
          <w:rFonts w:hint="eastAsia" w:ascii="仿宋_GB2312" w:hAnsi="仿宋_GB2312" w:eastAsia="仿宋_GB2312" w:cs="仿宋_GB2312"/>
          <w:b/>
          <w:color w:val="auto"/>
          <w:sz w:val="24"/>
          <w:szCs w:val="21"/>
        </w:rPr>
      </w:pPr>
      <w:r>
        <w:rPr>
          <w:rFonts w:hint="eastAsia" w:ascii="仿宋_GB2312" w:hAnsi="仿宋_GB2312" w:eastAsia="仿宋_GB2312" w:cs="仿宋_GB2312"/>
          <w:color w:val="auto"/>
          <w:sz w:val="24"/>
          <w:szCs w:val="20"/>
        </w:rPr>
        <w:t>17.1投标有效期为从提交投标文件的截止之日起90天。</w:t>
      </w:r>
      <w:r>
        <w:rPr>
          <w:rFonts w:hint="eastAsia" w:ascii="仿宋_GB2312" w:hAnsi="仿宋_GB2312" w:eastAsia="仿宋_GB2312" w:cs="仿宋_GB2312"/>
          <w:b/>
          <w:color w:val="auto"/>
          <w:sz w:val="24"/>
          <w:szCs w:val="20"/>
        </w:rPr>
        <w:t>投标人的投标文件中承</w:t>
      </w:r>
      <w:r>
        <w:rPr>
          <w:rFonts w:hint="eastAsia" w:ascii="仿宋_GB2312" w:hAnsi="仿宋_GB2312" w:eastAsia="仿宋_GB2312" w:cs="仿宋_GB2312"/>
          <w:b/>
          <w:color w:val="auto"/>
          <w:sz w:val="24"/>
          <w:szCs w:val="21"/>
        </w:rPr>
        <w:t>诺的投标有效期少于招标文件中载明的投标有效期的，投标无效。</w:t>
      </w:r>
    </w:p>
    <w:p>
      <w:pPr>
        <w:pStyle w:val="131"/>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17.2投标文件合格投递后，自投标截止日期起，在投标有效期内有效。</w:t>
      </w:r>
    </w:p>
    <w:p>
      <w:pPr>
        <w:pStyle w:val="131"/>
        <w:spacing w:before="0"/>
        <w:ind w:firstLine="643"/>
        <w:rPr>
          <w:rFonts w:hint="eastAsia" w:ascii="仿宋_GB2312" w:hAnsi="仿宋_GB2312" w:eastAsia="仿宋_GB2312" w:cs="仿宋_GB2312"/>
          <w:b/>
          <w:color w:val="auto"/>
          <w:sz w:val="32"/>
        </w:rPr>
      </w:pPr>
    </w:p>
    <w:p>
      <w:pPr>
        <w:pStyle w:val="131"/>
        <w:spacing w:before="0"/>
        <w:ind w:firstLine="1928" w:firstLineChars="600"/>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四、开标、资格审查与信用信息查询</w:t>
      </w:r>
    </w:p>
    <w:p>
      <w:pPr>
        <w:pStyle w:val="557"/>
        <w:spacing w:before="0" w:line="360" w:lineRule="auto"/>
        <w:ind w:left="0" w:firstLine="241" w:firstLineChars="100"/>
        <w:contextualSpacing/>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szCs w:val="24"/>
        </w:rPr>
        <w:t>18.开标</w:t>
      </w:r>
    </w:p>
    <w:p>
      <w:pPr>
        <w:pStyle w:val="557"/>
        <w:spacing w:before="0" w:line="360" w:lineRule="auto"/>
        <w:ind w:left="0"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18.2开标时，电子交易平台按开标时间自动提取所有投标文件。采购机构依托电子交易平台发起开始解密指令，投标人按照平台提示和招标文件的规定在半</w:t>
      </w:r>
      <w:r>
        <w:rPr>
          <w:rFonts w:hint="eastAsia" w:ascii="仿宋_GB2312" w:hAnsi="仿宋_GB2312" w:eastAsia="仿宋_GB2312" w:cs="仿宋_GB2312"/>
          <w:b/>
          <w:color w:val="auto"/>
          <w:sz w:val="24"/>
        </w:rPr>
        <w:t>小时内</w:t>
      </w:r>
      <w:r>
        <w:rPr>
          <w:rFonts w:hint="eastAsia" w:ascii="仿宋_GB2312" w:hAnsi="仿宋_GB2312" w:eastAsia="仿宋_GB2312" w:cs="仿宋_GB2312"/>
          <w:color w:val="auto"/>
          <w:sz w:val="24"/>
        </w:rPr>
        <w:t>完成在线解密。</w:t>
      </w:r>
    </w:p>
    <w:p>
      <w:pPr>
        <w:pStyle w:val="557"/>
        <w:spacing w:before="0" w:line="360" w:lineRule="auto"/>
        <w:ind w:left="0" w:firstLine="240" w:firstLineChars="100"/>
        <w:contextualSpacing/>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　18.3</w:t>
      </w:r>
      <w:r>
        <w:rPr>
          <w:rFonts w:hint="eastAsia" w:ascii="仿宋_GB2312" w:hAnsi="仿宋_GB2312"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color w:val="auto"/>
          <w:sz w:val="24"/>
          <w:szCs w:val="20"/>
        </w:rPr>
      </w:pPr>
      <w:r>
        <w:rPr>
          <w:rFonts w:hint="eastAsia" w:ascii="仿宋_GB2312" w:hAnsi="仿宋_GB2312" w:eastAsia="仿宋_GB2312" w:cs="仿宋_GB2312"/>
          <w:b/>
          <w:color w:val="auto"/>
          <w:sz w:val="24"/>
          <w:szCs w:val="20"/>
        </w:rPr>
        <w:t>　19、资格审查</w:t>
      </w:r>
    </w:p>
    <w:p>
      <w:pPr>
        <w:pStyle w:val="131"/>
        <w:spacing w:before="0"/>
        <w:ind w:firstLine="48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19.2</w:t>
      </w:r>
      <w:r>
        <w:rPr>
          <w:rFonts w:hint="eastAsia" w:ascii="仿宋_GB2312" w:hAnsi="仿宋_GB2312" w:eastAsia="仿宋_GB2312" w:cs="仿宋_GB2312"/>
          <w:color w:val="auto"/>
          <w:sz w:val="24"/>
        </w:rPr>
        <w:t>采购人或采购机构依据法律法规和招标文件的规定，对投标人的基本资格条件、特定资格条件进行审查。</w:t>
      </w:r>
    </w:p>
    <w:p>
      <w:pPr>
        <w:pStyle w:val="131"/>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4"/>
        </w:rPr>
        <w:t>19.3投标人未按照招标文件要求提供与</w:t>
      </w:r>
      <w:r>
        <w:rPr>
          <w:rFonts w:hint="eastAsia" w:ascii="仿宋_GB2312" w:hAnsi="仿宋_GB2312" w:eastAsia="仿宋_GB2312" w:cs="仿宋_GB2312"/>
          <w:color w:val="auto"/>
        </w:rPr>
        <w:t>基本资格条件、特定资格条件相应的</w:t>
      </w:r>
      <w:r>
        <w:rPr>
          <w:rFonts w:hint="eastAsia" w:ascii="仿宋_GB2312" w:hAnsi="仿宋_GB2312" w:eastAsia="仿宋_GB2312" w:cs="仿宋_GB2312"/>
          <w:color w:val="auto"/>
          <w:kern w:val="0"/>
          <w:szCs w:val="24"/>
        </w:rPr>
        <w:t>有效资格证明材料的，视为</w:t>
      </w:r>
      <w:r>
        <w:rPr>
          <w:rFonts w:hint="eastAsia" w:ascii="仿宋_GB2312" w:hAnsi="仿宋_GB2312" w:eastAsia="仿宋_GB2312" w:cs="仿宋_GB2312"/>
          <w:color w:val="auto"/>
        </w:rPr>
        <w:t>投标人不具备招标文件中规定的资格要求，其投标无效。</w:t>
      </w:r>
    </w:p>
    <w:p>
      <w:pPr>
        <w:pStyle w:val="131"/>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4"/>
        </w:rPr>
        <w:t>19.</w:t>
      </w:r>
      <w:r>
        <w:rPr>
          <w:rFonts w:hint="eastAsia" w:ascii="仿宋_GB2312" w:hAnsi="仿宋_GB2312" w:eastAsia="仿宋_GB2312" w:cs="仿宋_GB2312"/>
          <w:color w:val="auto"/>
        </w:rPr>
        <w:t>4对未通过资格审查的投标人，采购人或采购机构告知其未通过的原因。</w:t>
      </w:r>
    </w:p>
    <w:p>
      <w:pPr>
        <w:pStyle w:val="131"/>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4"/>
        </w:rPr>
        <w:t>19.</w:t>
      </w:r>
      <w:r>
        <w:rPr>
          <w:rFonts w:hint="eastAsia" w:ascii="仿宋_GB2312" w:hAnsi="仿宋_GB2312" w:eastAsia="仿宋_GB2312" w:cs="仿宋_GB2312"/>
          <w:color w:val="auto"/>
        </w:rPr>
        <w:t>5合格投标人不足3家的，不再评标。</w:t>
      </w:r>
    </w:p>
    <w:p>
      <w:pPr>
        <w:pStyle w:val="131"/>
        <w:spacing w:before="0"/>
        <w:ind w:firstLine="0" w:firstLineChars="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20、信用信息查询</w:t>
      </w:r>
    </w:p>
    <w:p>
      <w:pPr>
        <w:pStyle w:val="131"/>
        <w:spacing w:before="0"/>
        <w:ind w:firstLine="495" w:firstLineChars="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_GB2312" w:hAnsi="仿宋_GB2312" w:eastAsia="仿宋_GB2312" w:cs="仿宋_GB2312"/>
          <w:color w:val="auto"/>
          <w:kern w:val="0"/>
          <w:szCs w:val="24"/>
        </w:rPr>
      </w:pPr>
      <w:r>
        <w:rPr>
          <w:rFonts w:hint="eastAsia" w:ascii="仿宋_GB2312" w:hAnsi="仿宋_GB2312" w:eastAsia="仿宋_GB2312" w:cs="仿宋_GB2312"/>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rPr>
        <w:t>。</w:t>
      </w:r>
    </w:p>
    <w:p>
      <w:pPr>
        <w:pStyle w:val="131"/>
        <w:spacing w:before="0"/>
        <w:ind w:firstLine="0" w:firstLineChars="0"/>
        <w:rPr>
          <w:rFonts w:hint="eastAsia" w:ascii="仿宋_GB2312" w:hAnsi="仿宋_GB2312" w:eastAsia="仿宋_GB2312" w:cs="仿宋_GB2312"/>
          <w:color w:val="auto"/>
          <w:kern w:val="0"/>
          <w:szCs w:val="24"/>
        </w:rPr>
      </w:pPr>
    </w:p>
    <w:p>
      <w:pPr>
        <w:snapToGrid w:val="0"/>
        <w:spacing w:line="360" w:lineRule="auto"/>
        <w:jc w:val="center"/>
        <w:outlineLvl w:val="0"/>
        <w:rPr>
          <w:rFonts w:hint="eastAsia" w:ascii="仿宋_GB2312" w:hAnsi="仿宋_GB2312" w:eastAsia="仿宋_GB2312" w:cs="仿宋_GB2312"/>
          <w:b/>
          <w:color w:val="auto"/>
          <w:sz w:val="36"/>
          <w:szCs w:val="36"/>
        </w:rPr>
      </w:pPr>
      <w:bookmarkStart w:id="43" w:name="_Toc3603"/>
      <w:bookmarkStart w:id="44" w:name="_Toc6236"/>
      <w:r>
        <w:rPr>
          <w:rFonts w:hint="eastAsia" w:ascii="仿宋_GB2312" w:hAnsi="仿宋_GB2312" w:eastAsia="仿宋_GB2312" w:cs="仿宋_GB2312"/>
          <w:b/>
          <w:color w:val="auto"/>
          <w:sz w:val="36"/>
          <w:szCs w:val="36"/>
        </w:rPr>
        <w:t>五、评标</w:t>
      </w:r>
      <w:bookmarkEnd w:id="43"/>
      <w:bookmarkEnd w:id="44"/>
    </w:p>
    <w:p>
      <w:pPr>
        <w:spacing w:line="360" w:lineRule="auto"/>
        <w:rPr>
          <w:rFonts w:hint="eastAsia" w:ascii="仿宋_GB2312" w:hAnsi="仿宋_GB2312" w:eastAsia="仿宋_GB2312" w:cs="仿宋_GB2312"/>
          <w:b/>
          <w:color w:val="auto"/>
          <w:sz w:val="24"/>
        </w:rPr>
      </w:pPr>
      <w:bookmarkStart w:id="45" w:name="_Toc91899903"/>
      <w:r>
        <w:rPr>
          <w:rFonts w:hint="eastAsia" w:ascii="仿宋_GB2312" w:hAnsi="仿宋_GB2312" w:eastAsia="仿宋_GB2312" w:cs="仿宋_GB2312"/>
          <w:b/>
          <w:color w:val="auto"/>
          <w:sz w:val="24"/>
        </w:rPr>
        <w:t>21.</w:t>
      </w:r>
      <w:r>
        <w:rPr>
          <w:rFonts w:hint="eastAsia" w:ascii="仿宋_GB2312" w:hAnsi="仿宋_GB2312"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rPr>
        <w:t>详见招标文件第四部分评标办法。</w:t>
      </w:r>
    </w:p>
    <w:p>
      <w:pPr>
        <w:spacing w:line="360" w:lineRule="auto"/>
        <w:rPr>
          <w:rFonts w:hint="eastAsia" w:ascii="仿宋_GB2312" w:hAnsi="仿宋_GB2312" w:eastAsia="仿宋_GB2312" w:cs="仿宋_GB2312"/>
          <w:b/>
          <w:color w:val="auto"/>
          <w:sz w:val="24"/>
        </w:rPr>
      </w:pPr>
    </w:p>
    <w:p>
      <w:pPr>
        <w:snapToGrid w:val="0"/>
        <w:spacing w:line="360" w:lineRule="auto"/>
        <w:jc w:val="center"/>
        <w:outlineLvl w:val="0"/>
        <w:rPr>
          <w:rFonts w:hint="eastAsia" w:ascii="仿宋_GB2312" w:hAnsi="仿宋_GB2312" w:eastAsia="仿宋_GB2312" w:cs="仿宋_GB2312"/>
          <w:b/>
          <w:color w:val="auto"/>
          <w:sz w:val="36"/>
          <w:szCs w:val="36"/>
        </w:rPr>
      </w:pPr>
      <w:bookmarkStart w:id="46" w:name="_Toc31968"/>
      <w:bookmarkStart w:id="47" w:name="_Toc8241"/>
      <w:r>
        <w:rPr>
          <w:rFonts w:hint="eastAsia" w:ascii="仿宋_GB2312" w:hAnsi="仿宋_GB2312" w:eastAsia="仿宋_GB2312" w:cs="仿宋_GB2312"/>
          <w:b/>
          <w:color w:val="auto"/>
          <w:sz w:val="36"/>
          <w:szCs w:val="36"/>
        </w:rPr>
        <w:t>六、定标</w:t>
      </w:r>
      <w:bookmarkEnd w:id="46"/>
      <w:bookmarkEnd w:id="47"/>
    </w:p>
    <w:p>
      <w:pPr>
        <w:pStyle w:val="21"/>
        <w:spacing w:line="360" w:lineRule="auto"/>
        <w:ind w:left="479" w:hanging="479" w:hangingChars="199"/>
        <w:rPr>
          <w:rFonts w:hint="eastAsia" w:ascii="仿宋_GB2312" w:hAnsi="仿宋_GB2312" w:eastAsia="仿宋_GB2312" w:cs="仿宋_GB2312"/>
          <w:b/>
          <w:color w:val="auto"/>
        </w:rPr>
      </w:pPr>
      <w:r>
        <w:rPr>
          <w:rFonts w:hint="eastAsia" w:ascii="仿宋_GB2312" w:hAnsi="仿宋_GB2312" w:eastAsia="仿宋_GB2312" w:cs="仿宋_GB2312"/>
          <w:b/>
          <w:color w:val="auto"/>
        </w:rPr>
        <w:t>22. 确定中标供应商</w:t>
      </w:r>
    </w:p>
    <w:p>
      <w:pPr>
        <w:pStyle w:val="131"/>
        <w:snapToGrid w:val="0"/>
        <w:spacing w:before="0"/>
        <w:ind w:firstLine="480"/>
        <w:rPr>
          <w:rFonts w:hint="eastAsia" w:ascii="仿宋_GB2312" w:hAnsi="仿宋_GB2312" w:eastAsia="仿宋_GB2312" w:cs="仿宋_GB2312"/>
          <w:b/>
          <w:color w:val="auto"/>
          <w:szCs w:val="24"/>
        </w:rPr>
      </w:pPr>
      <w:r>
        <w:rPr>
          <w:rFonts w:hint="eastAsia" w:ascii="仿宋_GB2312" w:hAnsi="仿宋_GB2312" w:eastAsia="仿宋_GB2312" w:cs="仿宋_GB2312"/>
          <w:color w:val="auto"/>
          <w:szCs w:val="24"/>
        </w:rPr>
        <w:t>采购人将自收到评审报告之日起5个工作日内通过电子交易平台在评审报告推荐的中标候选人中按顺序确定中标供应商。</w:t>
      </w:r>
    </w:p>
    <w:p>
      <w:pPr>
        <w:pStyle w:val="131"/>
        <w:snapToGrid w:val="0"/>
        <w:spacing w:before="0"/>
        <w:ind w:firstLine="0" w:firstLineChars="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23. 中标通知与中标结果公告</w:t>
      </w:r>
    </w:p>
    <w:p>
      <w:pPr>
        <w:widowControl/>
        <w:shd w:val="clear" w:color="auto" w:fill="FFFFFF"/>
        <w:spacing w:line="360" w:lineRule="auto"/>
        <w:ind w:firstLine="48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23.2公告期限为1个工作日。</w:t>
      </w:r>
    </w:p>
    <w:p>
      <w:pPr>
        <w:snapToGrid w:val="0"/>
        <w:spacing w:line="360" w:lineRule="auto"/>
        <w:ind w:left="120" w:leftChars="57" w:firstLine="482" w:firstLineChars="150"/>
        <w:jc w:val="center"/>
        <w:rPr>
          <w:rFonts w:hint="eastAsia" w:ascii="仿宋_GB2312" w:hAnsi="仿宋_GB2312" w:eastAsia="仿宋_GB2312" w:cs="仿宋_GB2312"/>
          <w:b/>
          <w:color w:val="auto"/>
          <w:sz w:val="32"/>
        </w:rPr>
      </w:pPr>
    </w:p>
    <w:p>
      <w:pPr>
        <w:snapToGrid w:val="0"/>
        <w:spacing w:line="360" w:lineRule="auto"/>
        <w:ind w:left="120" w:leftChars="57" w:firstLine="482" w:firstLineChars="150"/>
        <w:jc w:val="center"/>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七、合同授予</w:t>
      </w:r>
    </w:p>
    <w:p>
      <w:pPr>
        <w:pStyle w:val="21"/>
        <w:spacing w:line="360" w:lineRule="auto"/>
        <w:ind w:left="479" w:hanging="479" w:hangingChars="199"/>
        <w:rPr>
          <w:rFonts w:hint="eastAsia" w:ascii="仿宋_GB2312" w:hAnsi="仿宋_GB2312" w:eastAsia="仿宋_GB2312" w:cs="仿宋_GB2312"/>
          <w:b/>
          <w:color w:val="auto"/>
        </w:rPr>
      </w:pPr>
      <w:r>
        <w:rPr>
          <w:rFonts w:hint="eastAsia" w:ascii="仿宋_GB2312" w:hAnsi="仿宋_GB2312" w:eastAsia="仿宋_GB2312" w:cs="仿宋_GB2312"/>
          <w:b/>
          <w:color w:val="auto"/>
        </w:rPr>
        <w:t xml:space="preserve">24. </w:t>
      </w:r>
      <w:r>
        <w:rPr>
          <w:rFonts w:hint="eastAsia" w:ascii="仿宋_GB2312" w:hAnsi="仿宋_GB2312" w:eastAsia="仿宋_GB2312" w:cs="仿宋_GB2312"/>
          <w:color w:val="auto"/>
        </w:rPr>
        <w:t>合同主要条款详见第五部分拟签订的合同文本。</w:t>
      </w:r>
    </w:p>
    <w:p>
      <w:pPr>
        <w:pStyle w:val="21"/>
        <w:spacing w:line="360" w:lineRule="auto"/>
        <w:ind w:left="479" w:hanging="479" w:hangingChars="199"/>
        <w:rPr>
          <w:rFonts w:hint="eastAsia" w:ascii="仿宋_GB2312" w:hAnsi="仿宋_GB2312" w:eastAsia="仿宋_GB2312" w:cs="仿宋_GB2312"/>
          <w:b/>
          <w:color w:val="auto"/>
        </w:rPr>
      </w:pPr>
      <w:r>
        <w:rPr>
          <w:rFonts w:hint="eastAsia" w:ascii="仿宋_GB2312" w:hAnsi="仿宋_GB2312" w:eastAsia="仿宋_GB2312" w:cs="仿宋_GB2312"/>
          <w:b/>
          <w:color w:val="auto"/>
        </w:rPr>
        <w:t>25. 合同的签订</w:t>
      </w:r>
    </w:p>
    <w:p>
      <w:pPr>
        <w:widowControl/>
        <w:shd w:val="clear" w:color="auto" w:fill="FFFFFF"/>
        <w:spacing w:line="360" w:lineRule="auto"/>
        <w:ind w:firstLine="48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25.1</w:t>
      </w:r>
      <w:r>
        <w:rPr>
          <w:rFonts w:hint="eastAsia" w:ascii="仿宋_GB2312" w:hAnsi="仿宋_GB2312" w:eastAsia="仿宋_GB2312" w:cs="仿宋_GB2312"/>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1"/>
        <w:snapToGrid w:val="0"/>
        <w:spacing w:before="0"/>
        <w:ind w:firstLine="480"/>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25.3如签订合同并生效后，供应商无故拒绝或延期，除按照合同条款处理外，列入不良行为记录一次，并给予通报。</w:t>
      </w:r>
    </w:p>
    <w:p>
      <w:pPr>
        <w:pStyle w:val="131"/>
        <w:snapToGrid w:val="0"/>
        <w:spacing w:before="0" w:after="12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25.4采购合同由采购人与中标供应商根据招标文件、投标文件等内容通过政府采购电子交易平台在线签订，并备案。</w:t>
      </w:r>
    </w:p>
    <w:p>
      <w:pPr>
        <w:pStyle w:val="21"/>
        <w:spacing w:line="360" w:lineRule="auto"/>
        <w:ind w:left="479" w:hanging="479" w:hangingChars="199"/>
        <w:rPr>
          <w:rFonts w:hint="eastAsia" w:ascii="仿宋_GB2312" w:hAnsi="仿宋_GB2312" w:eastAsia="仿宋_GB2312" w:cs="仿宋_GB2312"/>
          <w:b/>
          <w:color w:val="auto"/>
        </w:rPr>
      </w:pPr>
      <w:r>
        <w:rPr>
          <w:rFonts w:hint="eastAsia" w:ascii="仿宋_GB2312" w:hAnsi="仿宋_GB2312" w:eastAsia="仿宋_GB2312" w:cs="仿宋_GB2312"/>
          <w:b/>
          <w:color w:val="auto"/>
        </w:rPr>
        <w:t>26. 履约保证金</w:t>
      </w:r>
    </w:p>
    <w:p>
      <w:pPr>
        <w:tabs>
          <w:tab w:val="left" w:pos="0"/>
        </w:tabs>
        <w:spacing w:line="360" w:lineRule="auto"/>
        <w:ind w:firstLine="482"/>
        <w:rPr>
          <w:rFonts w:hint="eastAsia" w:ascii="仿宋_GB2312" w:hAnsi="仿宋_GB2312" w:eastAsia="仿宋_GB2312" w:cs="仿宋_GB2312"/>
          <w:b/>
          <w:color w:val="auto"/>
          <w:sz w:val="24"/>
        </w:rPr>
      </w:pPr>
      <w:r>
        <w:rPr>
          <w:rFonts w:hint="eastAsia" w:ascii="仿宋_GB2312" w:hAnsi="仿宋_GB2312" w:eastAsia="仿宋_GB2312" w:cs="仿宋_GB2312"/>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color w:val="auto"/>
          <w:sz w:val="24"/>
        </w:rPr>
        <w:t>。履约保证金的数额不得超过政府采购合同金额的1%。鼓励和支持供应商以银行、保险公司出具的保函形式提供履约保证金。</w:t>
      </w:r>
      <w:r>
        <w:rPr>
          <w:rFonts w:hint="eastAsia" w:ascii="仿宋_GB2312" w:hAnsi="仿宋_GB2312" w:eastAsia="仿宋_GB2312" w:cs="仿宋_GB2312"/>
          <w:b/>
          <w:color w:val="auto"/>
          <w:sz w:val="24"/>
        </w:rPr>
        <w:t>采购人不得拒收履约保函。</w:t>
      </w:r>
    </w:p>
    <w:p>
      <w:pPr>
        <w:tabs>
          <w:tab w:val="left" w:pos="0"/>
        </w:tabs>
        <w:spacing w:line="360" w:lineRule="auto"/>
        <w:ind w:firstLine="482"/>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color w:val="auto"/>
          <w:sz w:val="32"/>
        </w:rPr>
      </w:pPr>
    </w:p>
    <w:p>
      <w:pPr>
        <w:snapToGrid w:val="0"/>
        <w:spacing w:line="360" w:lineRule="auto"/>
        <w:ind w:firstLine="3357" w:firstLineChars="1045"/>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32"/>
        </w:rPr>
        <w:t>八、电子交易活动的中止</w:t>
      </w:r>
    </w:p>
    <w:p>
      <w:pPr>
        <w:pStyle w:val="131"/>
        <w:snapToGrid w:val="0"/>
        <w:spacing w:before="0"/>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Cs w:val="24"/>
        </w:rPr>
        <w:t>7. 电子交易活动的中止。</w:t>
      </w:r>
      <w:r>
        <w:rPr>
          <w:rFonts w:hint="eastAsia" w:ascii="仿宋_GB2312" w:hAnsi="仿宋_GB2312" w:eastAsia="仿宋_GB2312" w:cs="仿宋_GB2312"/>
          <w:color w:val="auto"/>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27.1电子交易平台发生故障而无法登录访问的； </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27.2电子交易平台应用或数据库出现错误，不能进行正常操作的；</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27.3电子交易平台发现严重安全漏洞，有潜在泄密危险的；</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27.4病毒发作导致不能进行正常操作的； </w:t>
      </w:r>
    </w:p>
    <w:p>
      <w:pPr>
        <w:pStyle w:val="131"/>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27.5其他无法保证电子交易的公平、公正和安全的情况。</w:t>
      </w:r>
    </w:p>
    <w:p>
      <w:pPr>
        <w:pStyle w:val="131"/>
        <w:snapToGrid w:val="0"/>
        <w:spacing w:before="0"/>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hint="eastAsia" w:ascii="仿宋_GB2312" w:hAnsi="仿宋_GB2312" w:eastAsia="仿宋_GB2312" w:cs="仿宋_GB2312"/>
          <w:color w:val="auto"/>
          <w:sz w:val="24"/>
        </w:rPr>
      </w:pPr>
    </w:p>
    <w:p>
      <w:pPr>
        <w:snapToGrid w:val="0"/>
        <w:spacing w:line="360" w:lineRule="auto"/>
        <w:ind w:left="120" w:leftChars="57" w:firstLine="482" w:firstLineChars="150"/>
        <w:jc w:val="center"/>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九、验收</w:t>
      </w:r>
    </w:p>
    <w:p>
      <w:pPr>
        <w:pStyle w:val="21"/>
        <w:spacing w:line="360" w:lineRule="auto"/>
        <w:ind w:firstLine="0" w:firstLineChars="0"/>
        <w:rPr>
          <w:rFonts w:hint="eastAsia" w:ascii="仿宋_GB2312" w:hAnsi="仿宋_GB2312" w:eastAsia="仿宋_GB2312" w:cs="仿宋_GB2312"/>
          <w:b/>
          <w:color w:val="auto"/>
        </w:rPr>
      </w:pPr>
      <w:r>
        <w:rPr>
          <w:rFonts w:hint="eastAsia" w:ascii="仿宋_GB2312" w:hAnsi="仿宋_GB2312" w:eastAsia="仿宋_GB2312" w:cs="仿宋_GB2312"/>
          <w:b/>
          <w:color w:val="auto"/>
        </w:rPr>
        <w:t>29.验收</w:t>
      </w:r>
    </w:p>
    <w:p>
      <w:pPr>
        <w:tabs>
          <w:tab w:val="left" w:pos="0"/>
        </w:tabs>
        <w:spacing w:line="360" w:lineRule="auto"/>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5"/>
    <w:p>
      <w:pPr>
        <w:tabs>
          <w:tab w:val="left" w:pos="0"/>
        </w:tabs>
        <w:spacing w:line="360" w:lineRule="auto"/>
        <w:ind w:firstLine="480"/>
        <w:rPr>
          <w:rFonts w:hint="eastAsia" w:ascii="仿宋_GB2312" w:hAnsi="仿宋_GB2312" w:eastAsia="仿宋_GB2312" w:cs="仿宋_GB2312"/>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48" w:name="_Hlt68072990"/>
      <w:bookmarkEnd w:id="48"/>
      <w:bookmarkStart w:id="49" w:name="_Hlt74729768"/>
      <w:bookmarkEnd w:id="49"/>
      <w:bookmarkStart w:id="50" w:name="_Hlt68057669"/>
      <w:bookmarkEnd w:id="50"/>
      <w:bookmarkStart w:id="51" w:name="_Hlt68073093"/>
      <w:bookmarkEnd w:id="51"/>
      <w:bookmarkStart w:id="52" w:name="_Hlt75236101"/>
      <w:bookmarkEnd w:id="52"/>
      <w:bookmarkStart w:id="53" w:name="_Hlt75236011"/>
      <w:bookmarkEnd w:id="53"/>
      <w:bookmarkStart w:id="54" w:name="_Hlt74714665"/>
      <w:bookmarkEnd w:id="54"/>
      <w:bookmarkStart w:id="55" w:name="_Hlt74730295"/>
      <w:bookmarkEnd w:id="55"/>
      <w:bookmarkStart w:id="56" w:name="_Hlt75236290"/>
      <w:bookmarkEnd w:id="56"/>
      <w:bookmarkStart w:id="57" w:name="_Hlt68403820"/>
      <w:bookmarkEnd w:id="57"/>
      <w:bookmarkStart w:id="58" w:name="_Hlt74707468"/>
      <w:bookmarkEnd w:id="58"/>
      <w:bookmarkStart w:id="59" w:name="_Hlt68072998"/>
      <w:bookmarkEnd w:id="59"/>
    </w:p>
    <w:bookmarkEnd w:id="31"/>
    <w:bookmarkEnd w:id="32"/>
    <w:p>
      <w:pPr>
        <w:spacing w:line="360" w:lineRule="auto"/>
        <w:jc w:val="center"/>
        <w:outlineLvl w:val="0"/>
        <w:rPr>
          <w:rFonts w:hint="eastAsia" w:ascii="仿宋_GB2312" w:hAnsi="仿宋_GB2312" w:eastAsia="仿宋_GB2312" w:cs="仿宋_GB2312"/>
          <w:b/>
          <w:color w:val="auto"/>
          <w:sz w:val="32"/>
        </w:rPr>
      </w:pPr>
      <w:bookmarkStart w:id="60" w:name="_Toc2126"/>
      <w:bookmarkStart w:id="61" w:name="_Toc14727"/>
      <w:bookmarkStart w:id="62" w:name="第四部分"/>
      <w:r>
        <w:rPr>
          <w:rFonts w:hint="eastAsia" w:ascii="仿宋_GB2312" w:hAnsi="仿宋_GB2312" w:eastAsia="仿宋_GB2312" w:cs="仿宋_GB2312"/>
          <w:b/>
          <w:color w:val="auto"/>
          <w:sz w:val="32"/>
        </w:rPr>
        <w:t>第三部分采购需求</w:t>
      </w:r>
      <w:bookmarkEnd w:id="60"/>
      <w:bookmarkEnd w:id="61"/>
    </w:p>
    <w:p>
      <w:pPr>
        <w:jc w:val="left"/>
        <w:rPr>
          <w:rFonts w:hint="eastAsia" w:ascii="仿宋_GB2312" w:hAnsi="仿宋_GB2312" w:eastAsia="仿宋_GB2312" w:cs="仿宋_GB2312"/>
          <w:color w:val="auto"/>
          <w:sz w:val="24"/>
        </w:rPr>
      </w:pPr>
      <w:bookmarkStart w:id="63" w:name="_Toc32514"/>
      <w:r>
        <w:rPr>
          <w:rFonts w:hint="eastAsia" w:ascii="仿宋_GB2312" w:hAnsi="仿宋_GB2312" w:eastAsia="仿宋_GB2312" w:cs="仿宋_GB2312"/>
          <w:color w:val="auto"/>
          <w:sz w:val="24"/>
          <w:lang w:bidi="ar"/>
        </w:rPr>
        <w:t>一、采购清单</w:t>
      </w:r>
    </w:p>
    <w:tbl>
      <w:tblPr>
        <w:tblStyle w:val="73"/>
        <w:tblW w:w="8315" w:type="dxa"/>
        <w:tblInd w:w="23" w:type="dxa"/>
        <w:tblLayout w:type="fixed"/>
        <w:tblCellMar>
          <w:top w:w="0" w:type="dxa"/>
          <w:left w:w="108" w:type="dxa"/>
          <w:bottom w:w="0" w:type="dxa"/>
          <w:right w:w="108" w:type="dxa"/>
        </w:tblCellMar>
      </w:tblPr>
      <w:tblGrid>
        <w:gridCol w:w="684"/>
        <w:gridCol w:w="4562"/>
        <w:gridCol w:w="1464"/>
        <w:gridCol w:w="1605"/>
      </w:tblGrid>
      <w:tr>
        <w:tblPrEx>
          <w:tblLayout w:type="fixed"/>
          <w:tblCellMar>
            <w:top w:w="0" w:type="dxa"/>
            <w:left w:w="108" w:type="dxa"/>
            <w:bottom w:w="0" w:type="dxa"/>
            <w:right w:w="108" w:type="dxa"/>
          </w:tblCellMar>
        </w:tblPrEx>
        <w:trPr>
          <w:trHeight w:val="480" w:hRule="atLeast"/>
        </w:trPr>
        <w:tc>
          <w:tcPr>
            <w:tcW w:w="684" w:type="dxa"/>
            <w:tcBorders>
              <w:top w:val="single" w:color="auto" w:sz="4" w:space="0"/>
              <w:left w:val="single" w:color="auto" w:sz="4" w:space="0"/>
              <w:bottom w:val="nil"/>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序号</w:t>
            </w:r>
          </w:p>
        </w:tc>
        <w:tc>
          <w:tcPr>
            <w:tcW w:w="4562" w:type="dxa"/>
            <w:tcBorders>
              <w:top w:val="single" w:color="auto" w:sz="4" w:space="0"/>
              <w:left w:val="nil"/>
              <w:bottom w:val="nil"/>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项目</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数量</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单位</w:t>
            </w:r>
          </w:p>
        </w:tc>
      </w:tr>
      <w:tr>
        <w:tblPrEx>
          <w:tblLayout w:type="fixed"/>
          <w:tblCellMar>
            <w:top w:w="0" w:type="dxa"/>
            <w:left w:w="108" w:type="dxa"/>
            <w:bottom w:w="0" w:type="dxa"/>
            <w:right w:w="108" w:type="dxa"/>
          </w:tblCellMar>
        </w:tblPrEx>
        <w:trPr>
          <w:trHeight w:val="468" w:hRule="atLeast"/>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w:t>
            </w:r>
          </w:p>
        </w:tc>
        <w:tc>
          <w:tcPr>
            <w:tcW w:w="456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智慧体育数据管理系统平台</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套</w:t>
            </w:r>
          </w:p>
        </w:tc>
      </w:tr>
      <w:tr>
        <w:tblPrEx>
          <w:tblLayout w:type="fixed"/>
          <w:tblCellMar>
            <w:top w:w="0" w:type="dxa"/>
            <w:left w:w="108" w:type="dxa"/>
            <w:bottom w:w="0" w:type="dxa"/>
            <w:right w:w="108" w:type="dxa"/>
          </w:tblCellMar>
        </w:tblPrEx>
        <w:trPr>
          <w:trHeight w:val="452"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w:t>
            </w:r>
          </w:p>
        </w:tc>
        <w:tc>
          <w:tcPr>
            <w:tcW w:w="456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阳光跑</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套</w:t>
            </w:r>
          </w:p>
        </w:tc>
      </w:tr>
      <w:tr>
        <w:tblPrEx>
          <w:tblLayout w:type="fixed"/>
          <w:tblCellMar>
            <w:top w:w="0" w:type="dxa"/>
            <w:left w:w="108" w:type="dxa"/>
            <w:bottom w:w="0" w:type="dxa"/>
            <w:right w:w="108" w:type="dxa"/>
          </w:tblCellMar>
        </w:tblPrEx>
        <w:trPr>
          <w:trHeight w:val="428"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3</w:t>
            </w:r>
          </w:p>
        </w:tc>
        <w:tc>
          <w:tcPr>
            <w:tcW w:w="456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50米及往返跑（50，50×8，100）</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套</w:t>
            </w:r>
          </w:p>
        </w:tc>
      </w:tr>
      <w:tr>
        <w:tblPrEx>
          <w:tblLayout w:type="fixed"/>
          <w:tblCellMar>
            <w:top w:w="0" w:type="dxa"/>
            <w:left w:w="108" w:type="dxa"/>
            <w:bottom w:w="0" w:type="dxa"/>
            <w:right w:w="108" w:type="dxa"/>
          </w:tblCellMar>
        </w:tblPrEx>
        <w:trPr>
          <w:trHeight w:val="474"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4</w:t>
            </w:r>
          </w:p>
        </w:tc>
        <w:tc>
          <w:tcPr>
            <w:tcW w:w="4562" w:type="dxa"/>
            <w:tcBorders>
              <w:top w:val="nil"/>
              <w:left w:val="nil"/>
              <w:bottom w:val="nil"/>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运动吧（室外）</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套</w:t>
            </w:r>
          </w:p>
        </w:tc>
      </w:tr>
      <w:tr>
        <w:tblPrEx>
          <w:tblLayout w:type="fixed"/>
          <w:tblCellMar>
            <w:top w:w="0" w:type="dxa"/>
            <w:left w:w="108" w:type="dxa"/>
            <w:bottom w:w="0" w:type="dxa"/>
            <w:right w:w="108" w:type="dxa"/>
          </w:tblCellMar>
        </w:tblPrEx>
        <w:trPr>
          <w:trHeight w:val="540"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5</w:t>
            </w:r>
          </w:p>
        </w:tc>
        <w:tc>
          <w:tcPr>
            <w:tcW w:w="456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趣味游戏与考试、训练一体机（室内）</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套</w:t>
            </w:r>
          </w:p>
        </w:tc>
      </w:tr>
      <w:tr>
        <w:tblPrEx>
          <w:tblLayout w:type="fixed"/>
          <w:tblCellMar>
            <w:top w:w="0" w:type="dxa"/>
            <w:left w:w="108" w:type="dxa"/>
            <w:bottom w:w="0" w:type="dxa"/>
            <w:right w:w="108" w:type="dxa"/>
          </w:tblCellMar>
        </w:tblPrEx>
        <w:trPr>
          <w:trHeight w:val="540"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6</w:t>
            </w:r>
          </w:p>
        </w:tc>
        <w:tc>
          <w:tcPr>
            <w:tcW w:w="456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自动计分篮筐</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台</w:t>
            </w:r>
          </w:p>
        </w:tc>
      </w:tr>
      <w:tr>
        <w:tblPrEx>
          <w:tblLayout w:type="fixed"/>
          <w:tblCellMar>
            <w:top w:w="0" w:type="dxa"/>
            <w:left w:w="108" w:type="dxa"/>
            <w:bottom w:w="0" w:type="dxa"/>
            <w:right w:w="108" w:type="dxa"/>
          </w:tblCellMar>
        </w:tblPrEx>
        <w:trPr>
          <w:trHeight w:val="474" w:hRule="atLeast"/>
        </w:trPr>
        <w:tc>
          <w:tcPr>
            <w:tcW w:w="6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7</w:t>
            </w:r>
          </w:p>
        </w:tc>
        <w:tc>
          <w:tcPr>
            <w:tcW w:w="456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施工及服务</w:t>
            </w:r>
          </w:p>
        </w:tc>
        <w:tc>
          <w:tcPr>
            <w:tcW w:w="1464"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批</w:t>
            </w:r>
          </w:p>
        </w:tc>
      </w:tr>
    </w:tbl>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 </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二、设备参数</w:t>
      </w:r>
    </w:p>
    <w:tbl>
      <w:tblPr>
        <w:tblStyle w:val="74"/>
        <w:tblW w:w="94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（一）</w:t>
            </w:r>
            <w:r>
              <w:rPr>
                <w:rFonts w:hint="eastAsia" w:ascii="仿宋_GB2312" w:hAnsi="仿宋_GB2312" w:eastAsia="仿宋_GB2312" w:cs="仿宋_GB2312"/>
                <w:color w:val="auto"/>
                <w:kern w:val="0"/>
                <w:sz w:val="24"/>
                <w:lang w:val="en-US" w:eastAsia="zh-CN" w:bidi="ar"/>
              </w:rPr>
              <w:t>智慧体育数据管理</w:t>
            </w:r>
            <w:r>
              <w:rPr>
                <w:rFonts w:hint="eastAsia" w:ascii="仿宋_GB2312" w:hAnsi="仿宋_GB2312" w:eastAsia="仿宋_GB2312" w:cs="仿宋_GB2312"/>
                <w:color w:val="auto"/>
                <w:kern w:val="0"/>
                <w:sz w:val="24"/>
                <w:lang w:bidi="ar"/>
              </w:rPr>
              <w:t>系统平台（</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1.平台支持提供标准数据API接口，可与外部系统进行数据交换。</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★2.提供平台软件著作权证书</w:t>
            </w:r>
            <w:r>
              <w:rPr>
                <w:rFonts w:hint="eastAsia" w:ascii="仿宋_GB2312" w:hAnsi="仿宋_GB2312" w:eastAsia="仿宋_GB2312" w:cs="仿宋_GB2312"/>
                <w:color w:val="auto"/>
                <w:kern w:val="0"/>
                <w:sz w:val="24"/>
                <w:lang w:val="en-US" w:eastAsia="zh-CN" w:bidi="ar"/>
              </w:rPr>
              <w:t>扫描件</w:t>
            </w:r>
            <w:r>
              <w:rPr>
                <w:rFonts w:hint="eastAsia" w:ascii="仿宋_GB2312" w:hAnsi="仿宋_GB2312" w:eastAsia="仿宋_GB2312" w:cs="仿宋_GB2312"/>
                <w:color w:val="auto"/>
                <w:kern w:val="0"/>
                <w:sz w:val="24"/>
                <w:lang w:bidi="ar"/>
              </w:rPr>
              <w:t>。</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★3.平台具有二级及以上等保备案证明。（提供效期内的备案证明材料</w:t>
            </w:r>
            <w:r>
              <w:rPr>
                <w:rFonts w:hint="eastAsia" w:ascii="仿宋_GB2312" w:hAnsi="仿宋_GB2312" w:eastAsia="仿宋_GB2312" w:cs="仿宋_GB2312"/>
                <w:color w:val="auto"/>
                <w:kern w:val="0"/>
                <w:sz w:val="24"/>
                <w:lang w:val="en-US" w:eastAsia="zh-CN" w:bidi="ar"/>
              </w:rPr>
              <w:t>扫描件</w:t>
            </w:r>
            <w:r>
              <w:rPr>
                <w:rFonts w:hint="eastAsia" w:ascii="仿宋_GB2312" w:hAnsi="仿宋_GB2312" w:eastAsia="仿宋_GB2312" w:cs="仿宋_GB2312"/>
                <w:color w:val="auto"/>
                <w:kern w:val="0"/>
                <w:sz w:val="24"/>
                <w:lang w:bidi="ar"/>
              </w:rPr>
              <w:t>）</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4.基础信息管理</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（1）支持基于老师、班级、学校分别开通管理账号，分层分级管理。</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（2）支持学校基础信息建立，学生、老师批量导入功能。</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（3）支持模块化管理功能。</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（4）支持分类数据导出功能，数据汇总、分析、结果呈现功能。</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（5）支持系统不同维度查询功能，支持设备添加、控制、编辑功能。</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5.数据查看</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（1）支持多校数据对比，将区域内各所学校的体育数据进行综合分析。</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（2）支持提供数据可视化展示，以图表和地图等形式呈现学校体育数据。</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（3）支持对整个辖区内的学校学生的运动数据进行横向比较分析，查看不同学校之间学生的运动次数、运动时长等信息。</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（4）支持教师查看随堂测试详情，包含：参与人数、完成人数、学生数运动详情等数据信息。</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（5）支持查看学生运动记录详情，包括：成绩、开始结束时间、视频/图片回放及违规关键帧等信息。</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6）支持学校管理者查看不同学期的校级报告，包括学校体育年级数、学生数、授权和自建项目数、本学期累计测评任务数、测评人次、学校各项目的测评任务数、测评人次、学校各项目的平均分数、等级分布、学校各项目的年级成绩对比。</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6.功能模块</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（1）具备自由练习、国家体测、赛事、家庭作业等功能模块。</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（2）支持AI智能化视频分析体育测试项目，含立定跳远、仰卧起坐、引体向上、跳绳、50米、100米等。</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（3）支持测试过程中的干扰语音播报，包括测试的指令播报、干扰播报，支持对违规、成绩进行展示。</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（4）可配置一体机的首页的模式，包括：排行榜模式、宣传图模式。</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（5）可设置排行榜数据过滤规则，包括：跳绳的空跳、引体向上多人、疑似违规类型的运动成绩。</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★（6）系统支持运动排行榜展示，学生运动后可根据运动量、年级、性别获得奖励，积分等可用于兑换学校配置的奖品。（提供系统功能截图）</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★（7）校园跑步管理模块需包含阳光跑管理、长跑管理、长跑记录等主要管理功能。（提供系统功能截图）</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（8）支持兼容性与延展性，支持用户后期同品牌同类型设备的增加预留数据接口，并支持数据汇总、展示及分析功能，包括但不限于体质体征设备、智能体测设备等。</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（9）考试中心设随堂测试和统考测试两个模块。老师可按照自己的要求（选班级、项目）建立随堂测试，学校可按照要求（选年级、项目、测试时间）组织统考测试，数据可一键导出。</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7.移动端应用</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（1）支持微信与账号密码绑定、通过学籍号注册等账号管理功能。</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（2）支持查看绑定学生的训练任务记录、训练成绩等信息。</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★（3）学生在家对着手机摄像头或者平板摄像头进行跳绳、开合跳、高抬腿等运动，视频 AI可以自动识别动作并进行计数，运动完成后，系统会生成运动报告，方便学生和家长进行查看。（提供由第三方检测机构出具的有CMA或CNAS标志检验检测报告扫描件。信息查询网址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snapToGrid w:val="0"/>
                <w:color w:val="auto"/>
                <w:sz w:val="24"/>
                <w:lang w:bidi="ar"/>
              </w:rPr>
              <w:t>http://cx.cnca.cn/</w:t>
            </w:r>
            <w:r>
              <w:rPr>
                <w:rFonts w:hint="eastAsia" w:ascii="仿宋_GB2312" w:hAnsi="仿宋_GB2312" w:eastAsia="仿宋_GB2312" w:cs="仿宋_GB2312"/>
                <w:snapToGrid w:val="0"/>
                <w:color w:val="auto"/>
                <w:sz w:val="24"/>
                <w:lang w:bidi="ar"/>
              </w:rPr>
              <w:fldChar w:fldCharType="end"/>
            </w:r>
            <w:r>
              <w:rPr>
                <w:rFonts w:hint="eastAsia" w:ascii="仿宋_GB2312" w:hAnsi="仿宋_GB2312" w:eastAsia="仿宋_GB2312" w:cs="仿宋_GB2312"/>
                <w:color w:val="auto"/>
                <w:kern w:val="0"/>
                <w:sz w:val="24"/>
                <w:lang w:bidi="ar"/>
              </w:rPr>
              <w:t>）</w:t>
            </w:r>
          </w:p>
          <w:p>
            <w:pPr>
              <w:spacing w:line="440" w:lineRule="exact"/>
              <w:ind w:firstLine="480" w:firstLineChars="20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（4）支持老师布置的单日、周期体育作业；学生家庭体育作业打卡提交，与校端APP数据同步，学生在家通过APP对着手机或者平板摄像头完成作业，老师可查看学生完成作业情况。</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）学生可通过完成运动挑战获得运动积分或勋章，提升学生在家运动锻炼的兴趣和持续性。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（二）</w:t>
            </w:r>
            <w:r>
              <w:rPr>
                <w:rFonts w:hint="eastAsia" w:ascii="仿宋_GB2312" w:hAnsi="仿宋_GB2312" w:eastAsia="仿宋_GB2312" w:cs="仿宋_GB2312"/>
                <w:color w:val="auto"/>
                <w:kern w:val="0"/>
                <w:sz w:val="24"/>
                <w:lang w:val="en-US" w:eastAsia="zh-CN" w:bidi="ar"/>
              </w:rPr>
              <w:t>阳光跑</w:t>
            </w:r>
            <w:r>
              <w:rPr>
                <w:rFonts w:hint="eastAsia" w:ascii="仿宋_GB2312" w:hAnsi="仿宋_GB2312" w:eastAsia="仿宋_GB2312" w:cs="仿宋_GB2312"/>
                <w:color w:val="auto"/>
                <w:kern w:val="0"/>
                <w:sz w:val="24"/>
                <w:lang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主要硬件</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（1）≥32寸</w:t>
            </w:r>
            <w:bookmarkStart w:id="64" w:name="OLE_LINK11"/>
            <w:r>
              <w:rPr>
                <w:rFonts w:hint="eastAsia" w:ascii="仿宋_GB2312" w:hAnsi="仿宋_GB2312" w:eastAsia="仿宋_GB2312" w:cs="仿宋_GB2312"/>
                <w:color w:val="auto"/>
                <w:kern w:val="0"/>
                <w:sz w:val="24"/>
              </w:rPr>
              <w:t>立体化液晶触摸</w:t>
            </w:r>
            <w:bookmarkEnd w:id="64"/>
            <w:r>
              <w:rPr>
                <w:rFonts w:hint="eastAsia" w:ascii="仿宋_GB2312" w:hAnsi="仿宋_GB2312" w:eastAsia="仿宋_GB2312" w:cs="仿宋_GB2312"/>
                <w:color w:val="auto"/>
                <w:kern w:val="0"/>
                <w:sz w:val="24"/>
              </w:rPr>
              <w:t>交互屏，实时展示各项排行及数据、报告查询，同时支持其他体育项目的实时人脸查询功能，可作为全校体育</w:t>
            </w:r>
            <w:r>
              <w:rPr>
                <w:rFonts w:hint="eastAsia" w:ascii="仿宋_GB2312" w:hAnsi="仿宋_GB2312" w:eastAsia="仿宋_GB2312" w:cs="仿宋_GB2312"/>
                <w:color w:val="auto"/>
                <w:kern w:val="0"/>
                <w:sz w:val="24"/>
                <w:lang w:val="en-US" w:eastAsia="zh-CN"/>
              </w:rPr>
              <w:t>户</w:t>
            </w:r>
            <w:r>
              <w:rPr>
                <w:rFonts w:hint="eastAsia" w:ascii="仿宋_GB2312" w:hAnsi="仿宋_GB2312" w:eastAsia="仿宋_GB2312" w:cs="仿宋_GB2312"/>
                <w:color w:val="auto"/>
                <w:kern w:val="0"/>
                <w:sz w:val="24"/>
              </w:rPr>
              <w:t>外查询展示屏。</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（2）防护等级：整体结构≥IP54防护等级。（提供由第三方检测机构出具的有CMA或CNAS标志检验检测报告扫描件。信息查询网址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★（3）立体化液晶触摸</w:t>
            </w:r>
            <w:r>
              <w:rPr>
                <w:rFonts w:hint="eastAsia" w:ascii="仿宋_GB2312" w:hAnsi="仿宋_GB2312" w:eastAsia="仿宋_GB2312" w:cs="仿宋_GB2312"/>
                <w:color w:val="auto"/>
                <w:sz w:val="24"/>
                <w:lang w:val="en-US" w:eastAsia="zh-CN"/>
              </w:rPr>
              <w:t>交互</w:t>
            </w:r>
            <w:r>
              <w:rPr>
                <w:rFonts w:hint="eastAsia" w:ascii="仿宋_GB2312" w:hAnsi="仿宋_GB2312" w:eastAsia="仿宋_GB2312" w:cs="仿宋_GB2312"/>
                <w:color w:val="auto"/>
                <w:kern w:val="0"/>
                <w:sz w:val="24"/>
              </w:rPr>
              <w:t>屏经过国相关部门的检测和认证，认证内容包括：3C、ISO 9001、ISO14001、节能。（提供由第三方检测机构出具的有CMA或CNAS标志检验检测报告扫描件。信息查询网址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lang w:val="en-US" w:eastAsia="zh-CN"/>
              </w:rPr>
              <w:t>数据采集设备</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★（1）最高分辨率不低于800万像素，分辨率≥3840×2160，并在此分辨率下可输出帧率30 fps实时图像，图像更流畅；支持透雾、电子防抖。（提供</w:t>
            </w:r>
            <w:r>
              <w:rPr>
                <w:rFonts w:hint="eastAsia" w:ascii="仿宋_GB2312" w:hAnsi="仿宋_GB2312" w:eastAsia="仿宋_GB2312" w:cs="仿宋_GB2312"/>
                <w:color w:val="auto"/>
                <w:kern w:val="0"/>
                <w:sz w:val="24"/>
                <w:lang w:val="en-US" w:eastAsia="zh-CN"/>
              </w:rPr>
              <w:t>此项功能完全满足的承诺函,CA签章。中标后核验,经查实提供虚假承诺的,投标无效。</w:t>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（2）防护等级：不低于IP66。</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（3）功能支持：采用深度学习算法，以海量图片及视频资源为路基，可通过机器自身提取目标特征，形成深层可供学习的图像，并进行识别。</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3.系统功能</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（1）支持随来随测，支持多人同时运动，无起点，识别完成后按照设定的路线轨迹跑，进行动作捕捉，对运动者进行 AI人脸识别采集，跑完结束后自动生成跑步成绩。</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（2）支持逆时针顺时针跑步方向。</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（3）支持抓拍记录，并可查看抓拍照片。</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（4）支持操场跑道及校内环线部署，满足超大规模学校的跑步运动。</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（5）数据有效性筛选功能：</w:t>
            </w:r>
          </w:p>
          <w:p>
            <w:pPr>
              <w:spacing w:line="440" w:lineRule="exact"/>
              <w:ind w:firstLine="727" w:firstLineChars="303"/>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eq \o\ac(○,</w:instrText>
            </w:r>
            <w:r>
              <w:rPr>
                <w:rFonts w:hint="eastAsia" w:ascii="仿宋_GB2312" w:hAnsi="仿宋_GB2312" w:eastAsia="仿宋_GB2312" w:cs="仿宋_GB2312"/>
                <w:color w:val="auto"/>
                <w:kern w:val="0"/>
                <w:position w:val="3"/>
                <w:sz w:val="24"/>
              </w:rPr>
              <w:instrText xml:space="preserve">1</w:instrText>
            </w:r>
            <w:r>
              <w:rPr>
                <w:rFonts w:hint="eastAsia" w:ascii="仿宋_GB2312" w:hAnsi="仿宋_GB2312" w:eastAsia="仿宋_GB2312" w:cs="仿宋_GB2312"/>
                <w:color w:val="auto"/>
                <w:kern w:val="0"/>
                <w:sz w:val="24"/>
              </w:rPr>
              <w:instrText xml:space="preserve">)</w:instrTex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配速检测：支持配速设置，未达到配速要求不计入总里程。</w:t>
            </w:r>
          </w:p>
          <w:p>
            <w:pPr>
              <w:spacing w:line="440" w:lineRule="exact"/>
              <w:ind w:firstLine="727" w:firstLineChars="303"/>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eq \o\ac(○,</w:instrText>
            </w:r>
            <w:r>
              <w:rPr>
                <w:rFonts w:hint="eastAsia" w:ascii="仿宋_GB2312" w:hAnsi="仿宋_GB2312" w:eastAsia="仿宋_GB2312" w:cs="仿宋_GB2312"/>
                <w:color w:val="auto"/>
                <w:kern w:val="0"/>
                <w:position w:val="3"/>
                <w:sz w:val="24"/>
              </w:rPr>
              <w:instrText xml:space="preserve">2</w:instrText>
            </w:r>
            <w:r>
              <w:rPr>
                <w:rFonts w:hint="eastAsia" w:ascii="仿宋_GB2312" w:hAnsi="仿宋_GB2312" w:eastAsia="仿宋_GB2312" w:cs="仿宋_GB2312"/>
                <w:color w:val="auto"/>
                <w:kern w:val="0"/>
                <w:sz w:val="24"/>
              </w:rPr>
              <w:instrText xml:space="preserve">)</w:instrTex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违规区域检测：对于不符合跑步区域要求的运动记录会进行过滤，相应里程不计入总里程。</w:t>
            </w:r>
          </w:p>
          <w:p>
            <w:pPr>
              <w:spacing w:line="440" w:lineRule="exact"/>
              <w:ind w:firstLine="727" w:firstLineChars="303"/>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eq \o\ac(○,</w:instrText>
            </w:r>
            <w:r>
              <w:rPr>
                <w:rFonts w:hint="eastAsia" w:ascii="仿宋_GB2312" w:hAnsi="仿宋_GB2312" w:eastAsia="仿宋_GB2312" w:cs="仿宋_GB2312"/>
                <w:color w:val="auto"/>
                <w:kern w:val="0"/>
                <w:position w:val="3"/>
                <w:sz w:val="24"/>
              </w:rPr>
              <w:instrText xml:space="preserve">3</w:instrText>
            </w:r>
            <w:r>
              <w:rPr>
                <w:rFonts w:hint="eastAsia" w:ascii="仿宋_GB2312" w:hAnsi="仿宋_GB2312" w:eastAsia="仿宋_GB2312" w:cs="仿宋_GB2312"/>
                <w:color w:val="auto"/>
                <w:kern w:val="0"/>
                <w:sz w:val="24"/>
              </w:rPr>
              <w:instrText xml:space="preserve">)</w:instrTex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作弊检测：操场布置有多个识别区，学生跑步过程必须在相邻无感识别区被识别，相应里程才会被汇总计入。</w:t>
            </w:r>
          </w:p>
          <w:p>
            <w:pPr>
              <w:spacing w:line="440" w:lineRule="exact"/>
              <w:ind w:firstLine="727" w:firstLineChars="303"/>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eq \o\ac(○,</w:instrText>
            </w:r>
            <w:r>
              <w:rPr>
                <w:rFonts w:hint="eastAsia" w:ascii="仿宋_GB2312" w:hAnsi="仿宋_GB2312" w:eastAsia="仿宋_GB2312" w:cs="仿宋_GB2312"/>
                <w:color w:val="auto"/>
                <w:kern w:val="0"/>
                <w:position w:val="3"/>
                <w:sz w:val="24"/>
              </w:rPr>
              <w:instrText xml:space="preserve">4</w:instrText>
            </w:r>
            <w:r>
              <w:rPr>
                <w:rFonts w:hint="eastAsia" w:ascii="仿宋_GB2312" w:hAnsi="仿宋_GB2312" w:eastAsia="仿宋_GB2312" w:cs="仿宋_GB2312"/>
                <w:color w:val="auto"/>
                <w:kern w:val="0"/>
                <w:sz w:val="24"/>
              </w:rPr>
              <w:instrText xml:space="preserve">)</w:instrTex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抄近道检测：没有按照识别区顺序被依次识别，相应里程不计入总里程。</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）排行榜：</w:t>
            </w:r>
            <w:r>
              <w:rPr>
                <w:rFonts w:hint="eastAsia" w:ascii="仿宋_GB2312" w:hAnsi="仿宋_GB2312" w:eastAsia="仿宋_GB2312" w:cs="仿宋_GB2312"/>
                <w:color w:val="auto"/>
                <w:kern w:val="0"/>
                <w:sz w:val="24"/>
              </w:rPr>
              <w:t>支持全校个人运动信息抓取并界面实时刷新及显示，展示</w:t>
            </w:r>
            <w:r>
              <w:rPr>
                <w:rFonts w:hint="eastAsia" w:ascii="仿宋_GB2312" w:hAnsi="仿宋_GB2312" w:eastAsia="仿宋_GB2312" w:cs="仿宋_GB2312"/>
                <w:b/>
                <w:bCs/>
                <w:color w:val="auto"/>
                <w:sz w:val="24"/>
              </w:rPr>
              <w:t>日、周、月、学期榜单</w:t>
            </w:r>
            <w:r>
              <w:rPr>
                <w:rFonts w:hint="eastAsia" w:ascii="仿宋_GB2312" w:hAnsi="仿宋_GB2312" w:eastAsia="仿宋_GB2312" w:cs="仿宋_GB2312"/>
                <w:color w:val="auto"/>
                <w:sz w:val="24"/>
              </w:rPr>
              <w:t>（榜单</w:t>
            </w:r>
            <w:r>
              <w:rPr>
                <w:rFonts w:hint="eastAsia" w:ascii="仿宋_GB2312" w:hAnsi="仿宋_GB2312" w:eastAsia="仿宋_GB2312" w:cs="仿宋_GB2312"/>
                <w:color w:val="auto"/>
                <w:kern w:val="0"/>
                <w:sz w:val="24"/>
              </w:rPr>
              <w:t>包含姓名、班级、里程等信息</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（提供系统功能截图）</w:t>
            </w:r>
          </w:p>
          <w:p>
            <w:pPr>
              <w:spacing w:line="44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7</w:t>
            </w:r>
            <w:r>
              <w:rPr>
                <w:rFonts w:hint="eastAsia" w:ascii="仿宋_GB2312" w:hAnsi="仿宋_GB2312" w:eastAsia="仿宋_GB2312" w:cs="仿宋_GB2312"/>
                <w:color w:val="auto"/>
                <w:kern w:val="0"/>
                <w:sz w:val="24"/>
              </w:rPr>
              <w:t>）支持学生在</w:t>
            </w:r>
            <w:r>
              <w:rPr>
                <w:rFonts w:hint="eastAsia" w:ascii="仿宋_GB2312" w:hAnsi="仿宋_GB2312" w:eastAsia="仿宋_GB2312" w:cs="仿宋_GB2312"/>
                <w:color w:val="auto"/>
                <w:kern w:val="0"/>
                <w:sz w:val="24"/>
                <w:lang w:val="en-US" w:eastAsia="zh-CN"/>
              </w:rPr>
              <w:t>阳光跑屏</w:t>
            </w:r>
            <w:r>
              <w:rPr>
                <w:rFonts w:hint="eastAsia" w:ascii="仿宋_GB2312" w:hAnsi="仿宋_GB2312" w:eastAsia="仿宋_GB2312" w:cs="仿宋_GB2312"/>
                <w:color w:val="auto"/>
                <w:kern w:val="0"/>
                <w:sz w:val="24"/>
              </w:rPr>
              <w:t>前通过人脸识别后即可显示、查询到自己本期累计成绩，完成任务度成绩。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（三）50米及往返跑（50，50×8，100）5套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主要硬件</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★（1）≥21寸屏幕，屏幕背光亮度不低于2500nit。（提供由第三方检测机构出具的有CMA或CNAS标志检验检测报告扫描件。信息查询网址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（2）设备支持批量注册，注册包括姓名、性别、人脸照片、班级、年级等信息。</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（3）内置WiFi模块，支持2.4和5GHz频段。</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★（4）外壳防护能力不小于IP54。 （提供由第三方检测机构出具的有CMA或CNAS标志检验检测报告扫描件。信息查询网址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（5）设备支持远程升级管理。</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lang w:val="en-US" w:eastAsia="zh-CN"/>
              </w:rPr>
              <w:t>数据采集设备</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★（1）最高分辨率不低于800万像素，分辨率≥3840×2160，并在此分辨率下可输出帧率30 fps实时图像，图像更流畅；支持透雾、电子防抖。（提供</w:t>
            </w:r>
            <w:r>
              <w:rPr>
                <w:rFonts w:hint="eastAsia" w:ascii="仿宋_GB2312" w:hAnsi="仿宋_GB2312" w:eastAsia="仿宋_GB2312" w:cs="仿宋_GB2312"/>
                <w:color w:val="auto"/>
                <w:kern w:val="0"/>
                <w:sz w:val="24"/>
                <w:lang w:val="en-US" w:eastAsia="zh-CN"/>
              </w:rPr>
              <w:t>此项功能完全满足</w:t>
            </w:r>
            <w:r>
              <w:rPr>
                <w:rFonts w:hint="eastAsia" w:ascii="仿宋_GB2312" w:hAnsi="仿宋_GB2312" w:eastAsia="仿宋_GB2312" w:cs="仿宋_GB2312"/>
                <w:color w:val="auto"/>
                <w:kern w:val="0"/>
                <w:sz w:val="24"/>
              </w:rPr>
              <w:t>承诺函</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CA签章。中标后核验，经查实提供虚假承诺，投标无效。</w:t>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（2）防护等级：不低于IP66。</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（3）功能支持：采用深度学习算法，以海量图片及视频资源为路基，可通过机器自身提取目标特征，形成深层可供学习的图像，并进行识别。</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3.系统功能</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（1）支持教师操作屏开启教学或模拟测评，支持系统触发起跑指令的方式，学生根据系统语音指引完成测试项目。</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（2）训练模式下支持人脸识别自动开启测评任务，满足大课间、课后等场景下学生自主运动、自由训练需求。</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（3）支持现场实时成绩屏显、成绩播报、及个人成绩查询。</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（4）支持1-8跑道同时使用，支持“踩线”、“抢跑”、“窜道”等违规动作语音警示，自动判罚。</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（5）支持现场人脸与身份的更换、补录、纠正等功能。</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（6）运动教学视频指导及视频播放；教学模式下AI关键帧回溯，系统自动捕捉运动过程中的关键帧。</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（7）支持游客无人脸测试。</w:t>
            </w:r>
          </w:p>
          <w:p>
            <w:pPr>
              <w:spacing w:line="44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（8）计时误差：≤0.15秒，成绩结果反馈响应速度：≤1秒；成绩分度值：0.01秒。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(四)运动吧（室外）（10套）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一、硬件配置</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★1.≥32寸屏幕，屏幕背光亮度不低于2500nit；支持触摸或手势控屏功能。（提供由第三方检测机构出具的有CMA或CNAS标志检验检测报告扫描件。信息查询网址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2.设备本地支持人脸库的存储；支持批量注册，注册包括姓名、性别、年龄、人脸照片、班级、年级等信息。</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3.内置WiFi模块，支持2.4和5GHz频段。</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★4.外壳防护能力不小于IP54。（提供由第三方检测机构出具的有CMA或CNAS标志检验检测报告扫描件。信息查询网址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"http://cx.cnca.cn/" </w:instrText>
            </w:r>
            <w:r>
              <w:rPr>
                <w:rFonts w:hint="eastAsia" w:ascii="仿宋_GB2312" w:hAnsi="仿宋_GB2312" w:eastAsia="仿宋_GB2312" w:cs="仿宋_GB2312"/>
                <w:color w:val="auto"/>
              </w:rPr>
              <w:fldChar w:fldCharType="separate"/>
            </w:r>
            <w:r>
              <w:rPr>
                <w:rStyle w:val="70"/>
                <w:rFonts w:hint="eastAsia" w:ascii="仿宋_GB2312" w:hAnsi="仿宋_GB2312" w:eastAsia="仿宋_GB2312" w:cs="仿宋_GB2312"/>
                <w:color w:val="auto"/>
                <w:sz w:val="24"/>
                <w:szCs w:val="24"/>
              </w:rPr>
              <w:t>http://cx.cnca.cn/</w:t>
            </w:r>
            <w:r>
              <w:rPr>
                <w:rStyle w:val="70"/>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5.设备支持远程升级管理。</w:t>
            </w:r>
          </w:p>
          <w:p>
            <w:pPr>
              <w:spacing w:line="440" w:lineRule="exact"/>
              <w:ind w:left="917" w:leftChars="268" w:hanging="354" w:hangingChars="147"/>
              <w:jc w:val="left"/>
              <w:rPr>
                <w:rFonts w:hint="eastAsia" w:ascii="仿宋_GB2312" w:hAnsi="仿宋_GB2312" w:eastAsia="仿宋_GB2312" w:cs="仿宋_GB2312"/>
                <w:b/>
                <w:bCs/>
                <w:color w:val="auto"/>
                <w:kern w:val="0"/>
                <w:sz w:val="24"/>
                <w:lang w:bidi="ar"/>
              </w:rPr>
            </w:pPr>
            <w:r>
              <w:rPr>
                <w:rFonts w:hint="eastAsia" w:ascii="仿宋_GB2312" w:hAnsi="仿宋_GB2312" w:eastAsia="仿宋_GB2312" w:cs="仿宋_GB2312"/>
                <w:b/>
                <w:bCs/>
                <w:color w:val="auto"/>
                <w:kern w:val="0"/>
                <w:sz w:val="24"/>
                <w:lang w:bidi="ar"/>
              </w:rPr>
              <w:t>二、主要功能</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★1.单设备支持不少于7项运动项目的运用及AI检测：跳绳、立定跳远、仰卧起坐、俯卧撑、引体向上、高抬腿、纵跳、开合跳、深蹲等项目。（提供每年持续迭代及免费增加项目的承诺函</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加盖产品制造商公章。</w:t>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.人脸识别，手势控制，随到随测，满足课间训练PK，教学测试等多场景。</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.支持各项成绩数据与智慧体育数据管理系统实时对接，数据自动汇入智慧体育数据管理系统。</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.系统支持运动排行榜展示，学生运动后可根据运动量、年级、性别获得金币或勋章奖励，可用于兑换学校配置的奖品。</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（1）AI跳绳</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w:t>
            </w:r>
            <w:r>
              <w:rPr>
                <w:rFonts w:hint="eastAsia" w:ascii="仿宋_GB2312" w:hAnsi="仿宋_GB2312" w:eastAsia="仿宋_GB2312" w:cs="仿宋_GB2312"/>
                <w:color w:val="auto"/>
                <w:kern w:val="0"/>
                <w:sz w:val="24"/>
                <w:lang w:bidi="ar"/>
              </w:rPr>
              <w:t>在1个摄像头下，可支持不少于5人运动同时测试、同时计时计数，运动过程中实现人脸识别、身份信息匹配，前端大屏跳绳过程数据实时显示、跳出测试区域提示</w:t>
            </w:r>
            <w:r>
              <w:rPr>
                <w:rFonts w:hint="eastAsia" w:ascii="仿宋_GB2312" w:hAnsi="仿宋_GB2312" w:eastAsia="仿宋_GB2312" w:cs="仿宋_GB2312"/>
                <w:color w:val="auto"/>
                <w:kern w:val="0"/>
                <w:sz w:val="24"/>
              </w:rPr>
              <w:t>。</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②运动过程中实现人脸识别、身份信息匹配，前端大屏跳绳过程数据实时显示、跳出测试区域提示、运动结束后15秒间段计数、中断数的呈现。</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③运动结束后，形成个人运动报告，pc端查看视频回放。</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④误差值≤1次（±）。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（2）AI开合跳</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①在同一摄像头下，可支持1-5人运动的同时测试、计时计数（60秒）。</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②运动过程中实现人脸识别、身份信息匹配，支持前端大屏开合跳过程数据实时显示。</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③支持动作不规范犯规检测：手不动或脚不动不计数并提示，记录并显示违规个数并剔除。</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④误差值≤1次（±）。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（3）AI高抬腿</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①在同一摄像头下，可支持1-5人运动的同时测试、计时计数（60秒）。</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②运动过程中实现人脸识别、身份信息匹配，支持前端大屏高抬腿过程数据实时显示。</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③支持动作不规范犯规检测：需双手双脚运动，手不动或脚不动不计数。</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④误差值≤1次（±）。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（4）AI深蹲</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①在同一摄像头下，可支持1-5人运动的同时测试、计时计数（60秒）。</w:t>
            </w:r>
          </w:p>
          <w:p>
            <w:pPr>
              <w:spacing w:line="440" w:lineRule="exact"/>
              <w:ind w:left="559" w:leftChars="266"/>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②运动过程中实现人脸识别、身份信息匹配，支持前端大屏深蹲过程数据实时显示。</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③支持动作不规范犯规检测：下蹲不足或无跳跃动作行为检测，实现提示或不计数。</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④误差值≤1次（±）。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（5）AI纵跳</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①在同一摄像头下，可支持1-5人运动的同时测试、计时计数（60秒）。</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②运动过程中实现人脸识别、身份信息匹配，支持前端大屏纵跳过程数据实时显示。</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③支持动作不规范犯规检测：下蹲不足或无起身跳跃动作行为检测，实现提示或不计数。</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④误差值≤1次（±）。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（6）AI立定跳远</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①在同一摄像头下，支持一人立定跳远测试。</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②全程AI无感自动检测，自动检测，自动测距。</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③支持运动前人脸识别、身份信息匹配、人物跟踪，开始及结束运动自动检测。</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④全程AI自动判罚，实时对“踩线违规”“跨步跳跃作弊”“侧边替考作弊”“反向替考作弊”等错误动作进行判错提示警告。</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⑤具备阶段性分析与评价功能，根据平均速度、起跳角度、腾空角度、腾空高度、落地姿态等多个数据维度进行动作拆解分析。</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⑥自动保存完整运动视频，后台终端支持随时查看运动教学视频及影像回溯。</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⑦实时自动剔除无效动作成绩，保证检测结果精准，检测误差值≤1cm（±）。</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（7）AI仰卧起坐</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①在同一摄像头下，可支持1-3人运动的随到随时测试、计时计数（60秒）。</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②支持运动前人脸识别、身份信息匹配，开始及结束运动检测，但并不影响未完成人员。</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③随到随测互不干扰，全程AI无感自动检测，计时、计量。</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④全程AI自动判罚，“身体未躺平”、“手肘未碰到膝盖”、“手没有抱头”、“脚部未固定”的错误动作进行判错提示及成绩剔除，并文字及视觉提醒。</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支持现场实时成绩屏显、成绩文字播报、成绩排名。</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⑤自动保存完整运动视频，后台终端支持随时查看运动教学视频及影像回溯。</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⑥实时自动剔除无效动作成绩，确保检测结果精准性，检测误差值≤1个（±）。</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（8）AI智慧俯卧撑测试</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①支持单人、双人模式</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②支持俯卧撑有效个数智能识别检测，并支持身体弯曲、趴地、未过最低点检测，可实时进行语音干预提醒，便于及时修正违规行为。</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③支持在智能交互运动管理屏呈现使用者运动实时视频画面，并对运动过程的视频自动截取保存，运动结束支持按1.5/0.5倍速查看此次运动完整回放。</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④具备运动的提示及成绩展示功能;当待测人员通过人脸比对功能比对成功，待测人员按要求完成对应的体育运动项目，并实时将评分结果显示在屏幕上;成绩显示延时应不超过1S。</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（9）AI智慧引体向上测试</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①支持单人、双人同时检测。</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②违规识别：手臂未伸直、下颚未过杆、手掌反握违规识别、学生踮脚跳拉伸显示脚着地，背对摄像头引体向上显示背身等，对违规动作进行声音提醒，不计数。</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③支持作弊行为（踩箱子）检测，作弊成绩无效。</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④支持生成运动处方报告，并给予点评与建议。</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 5 \* GB3 </w:instrText>
            </w:r>
            <w:r>
              <w:rPr>
                <w:rFonts w:hint="eastAsia" w:ascii="仿宋_GB2312" w:hAnsi="仿宋_GB2312" w:eastAsia="仿宋_GB2312" w:cs="仿宋_GB2312"/>
                <w:color w:val="auto"/>
                <w:kern w:val="0"/>
                <w:sz w:val="24"/>
              </w:rPr>
              <w:fldChar w:fldCharType="separate"/>
            </w:r>
            <w:r>
              <w:rPr>
                <w:rFonts w:hint="eastAsia" w:ascii="仿宋_GB2312" w:hAnsi="仿宋_GB2312" w:eastAsia="仿宋_GB2312" w:cs="仿宋_GB2312"/>
                <w:color w:val="auto"/>
                <w:kern w:val="0"/>
                <w:sz w:val="24"/>
              </w:rPr>
              <w:t>⑤</w: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支持在智能交互运动管理屏呈现使用者运动实时视频画面，并对运动过程的视频自动截取保存，运动结束支持按1.5/0.5倍速查看此次运动完整回放。</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fldChar w:fldCharType="begin"/>
            </w:r>
            <w:r>
              <w:rPr>
                <w:rFonts w:hint="eastAsia" w:ascii="仿宋_GB2312" w:hAnsi="仿宋_GB2312" w:eastAsia="仿宋_GB2312" w:cs="仿宋_GB2312"/>
                <w:color w:val="auto"/>
                <w:kern w:val="0"/>
                <w:sz w:val="24"/>
              </w:rPr>
              <w:instrText xml:space="preserve"> = 6 \* GB3 </w:instrText>
            </w:r>
            <w:r>
              <w:rPr>
                <w:rFonts w:hint="eastAsia" w:ascii="仿宋_GB2312" w:hAnsi="仿宋_GB2312" w:eastAsia="仿宋_GB2312" w:cs="仿宋_GB2312"/>
                <w:color w:val="auto"/>
                <w:kern w:val="0"/>
                <w:sz w:val="24"/>
              </w:rPr>
              <w:fldChar w:fldCharType="separate"/>
            </w:r>
            <w:r>
              <w:rPr>
                <w:rFonts w:hint="eastAsia" w:ascii="仿宋_GB2312" w:hAnsi="仿宋_GB2312" w:eastAsia="仿宋_GB2312" w:cs="仿宋_GB2312"/>
                <w:color w:val="auto"/>
                <w:kern w:val="0"/>
                <w:sz w:val="24"/>
              </w:rPr>
              <w:t>⑥</w:t>
            </w:r>
            <w:r>
              <w:rPr>
                <w:rFonts w:hint="eastAsia" w:ascii="仿宋_GB2312" w:hAnsi="仿宋_GB2312" w:eastAsia="仿宋_GB2312" w:cs="仿宋_GB2312"/>
                <w:color w:val="auto"/>
                <w:kern w:val="0"/>
                <w:sz w:val="24"/>
              </w:rPr>
              <w:fldChar w:fldCharType="end"/>
            </w:r>
            <w:r>
              <w:rPr>
                <w:rFonts w:hint="eastAsia" w:ascii="仿宋_GB2312" w:hAnsi="仿宋_GB2312" w:eastAsia="仿宋_GB2312" w:cs="仿宋_GB2312"/>
                <w:color w:val="auto"/>
                <w:kern w:val="0"/>
                <w:sz w:val="24"/>
              </w:rPr>
              <w:t>具备运动的提示及成绩展示功能;当待测人员通过人脸比对功能比对成功，待测人员按要求完成对应的体育运动项目，并实时将评分结果显示在屏幕上;成绩显示延时应不超过1S。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（五）趣味游戏与考试、训练一体机（室内）（1套）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一、主要硬件</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1.屏幕尺寸：≥32寸屏。</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2.摄像头像素：≥800w。</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3.网络支持：移动网络支持4G/5G，支持自适应以太网10M/100M/1000M。</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4.采用边缘人工智能计算，高计算器算力及性能参数视频分析、数据采集的精准度和系统的稳定性，符合运动项目瞬间采集与分析的特点与要求。</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二、主要功能</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1.具备AI对运动的实时检测分析，自动计算量化并实时显示各项运动进行的动作数量、时长、距离、动作姿态及其他过程性参考数据，自动上传数据，自动保存完整运动视频，支持视频回溯防止作弊。</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2.具备AI实时自动判断运动动作是否符合规范，即时剔除不符合规范的或假动作的成绩。</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设备界面功能模块包括“考试中心”、“体测训练”、“强基训练”、“趣味运动”“排行榜”、“运动记录”、“自定义”模块、“问题反馈”等日常常用模块；考试中心需包含“随堂测试”和“统考体测”，并支持“账户查询”与“人脸识别”功能。</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4.具备AI检测运动项目包括但不限于立定跳远、引体向上、仰卧起坐、跳绳等体测运动（高精准度及复杂环境抗干扰性完全满足考试要求）。</w:t>
            </w:r>
          </w:p>
          <w:p>
            <w:pPr>
              <w:widowControl/>
              <w:spacing w:line="440" w:lineRule="exact"/>
              <w:ind w:left="559" w:leftChars="266"/>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5.具备体测运动、基础锻炼运动和AI趣味运动项目数不少于30项，并支持更新迭代（下述体测运动说明）。</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（1）仰卧起坐</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①具备AI对仰卧起坐的实时检测分析，具备运动影像实时屏显。</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②系统实时自动对仰卧起坐计时计数，自动保存每次仰卧起坐完整运动视频。</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③具备实时对“身体未躺平”、“手肘未碰到膝盖”、“手没有抱头”、“腿部未弯曲”、“脚部未固定”的错误动作进行判错提示。</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④系统实时自动剔除判错及犯规动作的计数。</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（2）立定跳远</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①具备AI对立定跳远的实时检测分析，具备运动影像实时屏显。</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②系统实时自动检测并统计立定跳远的距离，自动保存每次立定跳远完整运动视频。</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③具备实时对单脚跳、跨步等造成的“双脚未齐平”、“踩线”的错误动作进行判错提示。</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④系统实时自动剔除判错及犯规动作成绩。</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（3）引体向上</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①具备AI对引体向上的实时检测分析，具备运动影像实时屏显。</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②系统实时自动对引体向上计时计数，自动保存每次引体向上完整运动视频。</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③具备实时对“下颚没过杆”、“下落手臂未伸直”的错误动作进行判错提示。</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④系统实时自动剔除错误动作计数。</w:t>
            </w:r>
          </w:p>
          <w:p>
            <w:pPr>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（4）跳绳</w:t>
            </w:r>
          </w:p>
          <w:p>
            <w:pPr>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①具备AI对跳绳的实时检测分析，具备运动影像实时屏显。</w:t>
            </w:r>
          </w:p>
          <w:p>
            <w:pPr>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②系统实时自动对跳绳计时计数，自动保存每次跳绳完整运动视频。</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③具备实时对“跳绳中断”进行判错提示。</w:t>
            </w:r>
          </w:p>
          <w:p>
            <w:pPr>
              <w:widowControl/>
              <w:spacing w:line="44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④具备绳子绊脚中断，但绳子没有绕完整一圈的计数回调功能。</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⑤系统支持跳绳检测功能。对无绳跳、跳绳中断等无效跳绳动作不计数。</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6.支持一体机各项数据与智慧体育数据管理系统实时对接，数据自动汇入智慧体育数据管理系统。</w:t>
            </w:r>
          </w:p>
          <w:p>
            <w:pPr>
              <w:widowControl/>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★7.支持对学生进行体质健康运动项目的测试、训练，支持根据国家统一的学生体质健康标准自动换算测试、训练成绩。（提供系统功能截图）</w:t>
            </w:r>
          </w:p>
          <w:p>
            <w:pPr>
              <w:spacing w:line="440" w:lineRule="exact"/>
              <w:ind w:firstLine="480" w:firstLineChars="200"/>
              <w:jc w:val="left"/>
              <w:rPr>
                <w:rFonts w:hint="eastAsia" w:ascii="仿宋_GB2312" w:hAnsi="仿宋_GB2312" w:eastAsia="仿宋_GB2312" w:cs="仿宋_GB2312"/>
                <w:color w:val="auto"/>
                <w:kern w:val="0"/>
                <w:sz w:val="24"/>
              </w:rPr>
            </w:pPr>
            <w:bookmarkStart w:id="65" w:name="OLE_LINK23"/>
            <w:r>
              <w:rPr>
                <w:rFonts w:hint="eastAsia" w:ascii="仿宋_GB2312" w:hAnsi="仿宋_GB2312" w:eastAsia="仿宋_GB2312" w:cs="仿宋_GB2312"/>
                <w:color w:val="auto"/>
                <w:kern w:val="0"/>
                <w:sz w:val="24"/>
              </w:rPr>
              <w:t>8.一体机可移动式，考试训练竞技等更换场地无需施工。</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（六）自动计分篮筐（10台）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1.红外线自动计分,高清显示屏准确记录计算得分。</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2.包含电池。</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3.高度可调节范围140cm-270cm。</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4.加粗钢管。</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5.篮板：高强度PE边框+透明PVC材质，尺寸≥52*38cm。</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6.篮筐尺寸直径35cm(可投1-7号球)。</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7.底座尺寸：≥58*40*10cm。</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8.底座配重：注水/沙等。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（七）施工及服务（1批）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1.地面保护、基坑挖掘、基坑混泥土浇筑。</w:t>
            </w:r>
          </w:p>
          <w:p>
            <w:pPr>
              <w:spacing w:line="44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2.含实现整套系统功能的所需材料：如大硬件（4毫米厚度立杆、3毫米厚度横杆）、功放、音柱、监控杆安装、监控布超六类网络、光纤、光纤熔接、光纤辅助配件、光纤交换机、立杆设备箱（定制）、电源线、POE交换机等材料。</w:t>
            </w:r>
          </w:p>
          <w:p>
            <w:pPr>
              <w:spacing w:line="44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3. 运费、施工服务、管理及产品培训等费用。</w:t>
            </w:r>
          </w:p>
        </w:tc>
      </w:tr>
    </w:tbl>
    <w:p>
      <w:pPr>
        <w:snapToGrid w:val="0"/>
        <w:spacing w:line="360" w:lineRule="auto"/>
        <w:rPr>
          <w:rStyle w:val="283"/>
          <w:rFonts w:hint="eastAsia" w:ascii="仿宋_GB2312" w:hAnsi="仿宋_GB2312" w:eastAsia="仿宋_GB2312" w:cs="仿宋_GB2312"/>
          <w:color w:val="auto"/>
          <w:sz w:val="24"/>
          <w:szCs w:val="24"/>
        </w:rPr>
      </w:pPr>
    </w:p>
    <w:p>
      <w:pPr>
        <w:spacing w:line="360" w:lineRule="auto"/>
        <w:jc w:val="center"/>
        <w:outlineLvl w:val="0"/>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第四部分</w:t>
      </w:r>
      <w:bookmarkStart w:id="66" w:name="_Toc184312084"/>
      <w:bookmarkEnd w:id="66"/>
      <w:bookmarkStart w:id="67" w:name="_Toc184310328"/>
      <w:bookmarkEnd w:id="67"/>
      <w:bookmarkStart w:id="68" w:name="_Toc184310329"/>
      <w:bookmarkEnd w:id="68"/>
      <w:bookmarkStart w:id="69" w:name="_Toc184314431"/>
      <w:bookmarkEnd w:id="69"/>
      <w:bookmarkStart w:id="70" w:name="_Toc184313293"/>
      <w:bookmarkEnd w:id="70"/>
      <w:bookmarkStart w:id="71" w:name="_Toc184310302"/>
      <w:bookmarkEnd w:id="71"/>
      <w:bookmarkStart w:id="72" w:name="_Toc184314475"/>
      <w:bookmarkEnd w:id="72"/>
      <w:bookmarkStart w:id="73" w:name="_Toc184314474"/>
      <w:bookmarkEnd w:id="73"/>
      <w:bookmarkStart w:id="74" w:name="_Toc184308041"/>
      <w:bookmarkEnd w:id="74"/>
      <w:bookmarkStart w:id="75" w:name="_Toc184310312"/>
      <w:bookmarkEnd w:id="75"/>
      <w:bookmarkStart w:id="76" w:name="_Toc184314435"/>
      <w:bookmarkEnd w:id="76"/>
      <w:bookmarkStart w:id="77" w:name="_Toc184313251"/>
      <w:bookmarkEnd w:id="77"/>
      <w:bookmarkStart w:id="78" w:name="_Toc184310336"/>
      <w:bookmarkEnd w:id="78"/>
      <w:bookmarkStart w:id="79" w:name="_Toc184313306"/>
      <w:bookmarkEnd w:id="79"/>
      <w:bookmarkStart w:id="80" w:name="_Toc184312101"/>
      <w:bookmarkEnd w:id="80"/>
      <w:bookmarkStart w:id="81" w:name="_Toc184310325"/>
      <w:bookmarkEnd w:id="81"/>
      <w:bookmarkStart w:id="82" w:name="_Toc184314424"/>
      <w:bookmarkEnd w:id="82"/>
      <w:bookmarkStart w:id="83" w:name="_Toc184313254"/>
      <w:bookmarkEnd w:id="83"/>
      <w:bookmarkStart w:id="84" w:name="_Toc184314464"/>
      <w:bookmarkEnd w:id="84"/>
      <w:bookmarkStart w:id="85" w:name="_Toc184308052"/>
      <w:bookmarkEnd w:id="85"/>
      <w:bookmarkStart w:id="86" w:name="_Toc184313295"/>
      <w:bookmarkEnd w:id="86"/>
      <w:bookmarkStart w:id="87" w:name="_Toc184312081"/>
      <w:bookmarkEnd w:id="87"/>
      <w:bookmarkStart w:id="88" w:name="_Toc184313284"/>
      <w:bookmarkEnd w:id="88"/>
      <w:bookmarkStart w:id="89" w:name="_Toc184312082"/>
      <w:bookmarkEnd w:id="89"/>
      <w:bookmarkStart w:id="90" w:name="_Toc184310296"/>
      <w:bookmarkEnd w:id="90"/>
      <w:bookmarkStart w:id="91" w:name="_Toc184310294"/>
      <w:bookmarkEnd w:id="91"/>
      <w:bookmarkStart w:id="92" w:name="_Toc184313289"/>
      <w:bookmarkEnd w:id="92"/>
      <w:bookmarkStart w:id="93" w:name="_Toc184310276"/>
      <w:bookmarkEnd w:id="93"/>
      <w:bookmarkStart w:id="94" w:name="_Toc184313249"/>
      <w:bookmarkEnd w:id="94"/>
      <w:bookmarkStart w:id="95" w:name="_Toc184314438"/>
      <w:bookmarkEnd w:id="95"/>
      <w:bookmarkStart w:id="96" w:name="_Toc184310310"/>
      <w:bookmarkEnd w:id="96"/>
      <w:bookmarkStart w:id="97" w:name="_Toc184314445"/>
      <w:bookmarkEnd w:id="97"/>
      <w:bookmarkStart w:id="98" w:name="_Toc184314411"/>
      <w:bookmarkEnd w:id="98"/>
      <w:bookmarkStart w:id="99" w:name="_Toc184314462"/>
      <w:bookmarkEnd w:id="99"/>
      <w:bookmarkStart w:id="100" w:name="_Toc184312126"/>
      <w:bookmarkEnd w:id="100"/>
      <w:bookmarkStart w:id="101" w:name="_Toc184313267"/>
      <w:bookmarkEnd w:id="101"/>
      <w:bookmarkStart w:id="102" w:name="_Toc184308099"/>
      <w:bookmarkEnd w:id="102"/>
      <w:bookmarkStart w:id="103" w:name="_Toc184312080"/>
      <w:bookmarkEnd w:id="103"/>
      <w:bookmarkStart w:id="104" w:name="_Toc184308049"/>
      <w:bookmarkEnd w:id="104"/>
      <w:bookmarkStart w:id="105" w:name="_Toc184310342"/>
      <w:bookmarkEnd w:id="105"/>
      <w:bookmarkStart w:id="106" w:name="_Toc184313296"/>
      <w:bookmarkEnd w:id="106"/>
      <w:bookmarkStart w:id="107" w:name="_Toc184308036"/>
      <w:bookmarkEnd w:id="107"/>
      <w:bookmarkStart w:id="108" w:name="_Toc184312135"/>
      <w:bookmarkEnd w:id="108"/>
      <w:bookmarkStart w:id="109" w:name="_Toc184314436"/>
      <w:bookmarkEnd w:id="109"/>
      <w:bookmarkStart w:id="110" w:name="_Toc184314450"/>
      <w:bookmarkEnd w:id="110"/>
      <w:bookmarkStart w:id="111" w:name="_Toc184312073"/>
      <w:bookmarkEnd w:id="111"/>
      <w:bookmarkStart w:id="112" w:name="_Toc184313281"/>
      <w:bookmarkEnd w:id="112"/>
      <w:bookmarkStart w:id="113" w:name="_Toc184312109"/>
      <w:bookmarkEnd w:id="113"/>
      <w:bookmarkStart w:id="114" w:name="_Toc184310326"/>
      <w:bookmarkEnd w:id="114"/>
      <w:bookmarkStart w:id="115" w:name="_Toc184314481"/>
      <w:bookmarkEnd w:id="115"/>
      <w:bookmarkStart w:id="116" w:name="_Toc184308087"/>
      <w:bookmarkEnd w:id="116"/>
      <w:bookmarkStart w:id="117" w:name="_Toc184314425"/>
      <w:bookmarkEnd w:id="117"/>
      <w:bookmarkStart w:id="118" w:name="_Toc184312102"/>
      <w:bookmarkEnd w:id="118"/>
      <w:bookmarkStart w:id="119" w:name="_Toc184310291"/>
      <w:bookmarkEnd w:id="119"/>
      <w:bookmarkStart w:id="120" w:name="_Toc184308097"/>
      <w:bookmarkEnd w:id="120"/>
      <w:bookmarkStart w:id="121" w:name="_Toc184308037"/>
      <w:bookmarkEnd w:id="121"/>
      <w:bookmarkStart w:id="122" w:name="_Toc184312123"/>
      <w:bookmarkEnd w:id="122"/>
      <w:bookmarkStart w:id="123" w:name="_Toc184310286"/>
      <w:bookmarkEnd w:id="123"/>
      <w:bookmarkStart w:id="124" w:name="_Toc184314412"/>
      <w:bookmarkEnd w:id="124"/>
      <w:bookmarkStart w:id="125" w:name="_Toc184313305"/>
      <w:bookmarkEnd w:id="125"/>
      <w:bookmarkStart w:id="126" w:name="_Toc184312106"/>
      <w:bookmarkEnd w:id="126"/>
      <w:bookmarkStart w:id="127" w:name="_Toc184310343"/>
      <w:bookmarkEnd w:id="127"/>
      <w:bookmarkStart w:id="128" w:name="_Toc184308054"/>
      <w:bookmarkEnd w:id="128"/>
      <w:bookmarkStart w:id="129" w:name="_Toc184314439"/>
      <w:bookmarkEnd w:id="129"/>
      <w:bookmarkStart w:id="130" w:name="_Toc184308082"/>
      <w:bookmarkEnd w:id="130"/>
      <w:bookmarkStart w:id="131" w:name="_Toc184314429"/>
      <w:bookmarkEnd w:id="131"/>
      <w:bookmarkStart w:id="132" w:name="_Toc184313240"/>
      <w:bookmarkEnd w:id="132"/>
      <w:bookmarkStart w:id="133" w:name="_Toc184308078"/>
      <w:bookmarkEnd w:id="133"/>
      <w:bookmarkStart w:id="134" w:name="_Toc184314410"/>
      <w:bookmarkEnd w:id="134"/>
      <w:bookmarkStart w:id="135" w:name="_Toc184310331"/>
      <w:bookmarkEnd w:id="135"/>
      <w:bookmarkStart w:id="136" w:name="_Toc184314446"/>
      <w:bookmarkEnd w:id="136"/>
      <w:bookmarkStart w:id="137" w:name="_Toc184314479"/>
      <w:bookmarkEnd w:id="137"/>
      <w:bookmarkStart w:id="138" w:name="_Toc184314476"/>
      <w:bookmarkEnd w:id="138"/>
      <w:bookmarkStart w:id="139" w:name="_Toc184313250"/>
      <w:bookmarkEnd w:id="139"/>
      <w:bookmarkStart w:id="140" w:name="_Toc184308057"/>
      <w:bookmarkEnd w:id="140"/>
      <w:bookmarkStart w:id="141" w:name="_Toc184313304"/>
      <w:bookmarkEnd w:id="141"/>
      <w:bookmarkStart w:id="142" w:name="_Toc184310283"/>
      <w:bookmarkEnd w:id="142"/>
      <w:bookmarkStart w:id="143" w:name="_Toc184312131"/>
      <w:bookmarkEnd w:id="143"/>
      <w:bookmarkStart w:id="144" w:name="_Toc184313247"/>
      <w:bookmarkEnd w:id="144"/>
      <w:bookmarkStart w:id="145" w:name="_Toc184312068"/>
      <w:bookmarkEnd w:id="145"/>
      <w:bookmarkStart w:id="146" w:name="_Toc184308050"/>
      <w:bookmarkEnd w:id="146"/>
      <w:bookmarkStart w:id="147" w:name="_Toc184313258"/>
      <w:bookmarkEnd w:id="147"/>
      <w:bookmarkStart w:id="148" w:name="_Toc184312112"/>
      <w:bookmarkEnd w:id="148"/>
      <w:bookmarkStart w:id="149" w:name="_Toc184310313"/>
      <w:bookmarkEnd w:id="149"/>
      <w:bookmarkStart w:id="150" w:name="_Toc184313288"/>
      <w:bookmarkEnd w:id="150"/>
      <w:bookmarkStart w:id="151" w:name="_Toc184310334"/>
      <w:bookmarkEnd w:id="151"/>
      <w:bookmarkStart w:id="152" w:name="_Toc184310304"/>
      <w:bookmarkEnd w:id="152"/>
      <w:bookmarkStart w:id="153" w:name="_Toc184314458"/>
      <w:bookmarkEnd w:id="153"/>
      <w:bookmarkStart w:id="154" w:name="_Toc184312077"/>
      <w:bookmarkEnd w:id="154"/>
      <w:bookmarkStart w:id="155" w:name="_Toc184310274"/>
      <w:bookmarkEnd w:id="155"/>
      <w:bookmarkStart w:id="156" w:name="_Toc184314453"/>
      <w:bookmarkEnd w:id="156"/>
      <w:bookmarkStart w:id="157" w:name="_Toc184308045"/>
      <w:bookmarkEnd w:id="157"/>
      <w:bookmarkStart w:id="158" w:name="_Toc184312076"/>
      <w:bookmarkEnd w:id="158"/>
      <w:bookmarkStart w:id="159" w:name="_Toc184308098"/>
      <w:bookmarkEnd w:id="159"/>
      <w:bookmarkStart w:id="160" w:name="_Toc184312075"/>
      <w:bookmarkEnd w:id="160"/>
      <w:bookmarkStart w:id="161" w:name="_Toc184308067"/>
      <w:bookmarkEnd w:id="161"/>
      <w:bookmarkStart w:id="162" w:name="_Toc184314427"/>
      <w:bookmarkEnd w:id="162"/>
      <w:bookmarkStart w:id="163" w:name="_Toc184310344"/>
      <w:bookmarkEnd w:id="163"/>
      <w:bookmarkStart w:id="164" w:name="_Toc184314451"/>
      <w:bookmarkEnd w:id="164"/>
      <w:bookmarkStart w:id="165" w:name="_Toc184310307"/>
      <w:bookmarkEnd w:id="165"/>
      <w:bookmarkStart w:id="166" w:name="_Toc184308092"/>
      <w:bookmarkEnd w:id="166"/>
      <w:bookmarkStart w:id="167" w:name="_Toc184313308"/>
      <w:bookmarkEnd w:id="167"/>
      <w:bookmarkStart w:id="168" w:name="_Toc184310321"/>
      <w:bookmarkEnd w:id="168"/>
      <w:bookmarkStart w:id="169" w:name="_Toc184312099"/>
      <w:bookmarkEnd w:id="169"/>
      <w:bookmarkStart w:id="170" w:name="_Toc184308065"/>
      <w:bookmarkEnd w:id="170"/>
      <w:bookmarkStart w:id="171" w:name="_Toc184310272"/>
      <w:bookmarkEnd w:id="171"/>
      <w:bookmarkStart w:id="172" w:name="_Toc184312105"/>
      <w:bookmarkEnd w:id="172"/>
      <w:bookmarkStart w:id="173" w:name="_Toc184308048"/>
      <w:bookmarkEnd w:id="173"/>
      <w:bookmarkStart w:id="174" w:name="_Toc184313248"/>
      <w:bookmarkEnd w:id="174"/>
      <w:bookmarkStart w:id="175" w:name="_Toc184314423"/>
      <w:bookmarkEnd w:id="175"/>
      <w:bookmarkStart w:id="176" w:name="_Toc184310292"/>
      <w:bookmarkEnd w:id="176"/>
      <w:bookmarkStart w:id="177" w:name="_Toc184310315"/>
      <w:bookmarkEnd w:id="177"/>
      <w:bookmarkStart w:id="178" w:name="_Toc184312094"/>
      <w:bookmarkEnd w:id="178"/>
      <w:bookmarkStart w:id="179" w:name="_Toc184313285"/>
      <w:bookmarkEnd w:id="179"/>
      <w:bookmarkStart w:id="180" w:name="_Toc184312083"/>
      <w:bookmarkEnd w:id="180"/>
      <w:bookmarkStart w:id="181" w:name="_Toc184312138"/>
      <w:bookmarkEnd w:id="181"/>
      <w:bookmarkStart w:id="182" w:name="_Toc184310327"/>
      <w:bookmarkEnd w:id="182"/>
      <w:bookmarkStart w:id="183" w:name="_Toc184314467"/>
      <w:bookmarkEnd w:id="183"/>
      <w:bookmarkStart w:id="184" w:name="_Toc184310319"/>
      <w:bookmarkEnd w:id="184"/>
      <w:bookmarkStart w:id="185" w:name="_Toc184314430"/>
      <w:bookmarkEnd w:id="185"/>
      <w:bookmarkStart w:id="186" w:name="_Toc184314440"/>
      <w:bookmarkEnd w:id="186"/>
      <w:bookmarkStart w:id="187" w:name="_Toc184314448"/>
      <w:bookmarkEnd w:id="187"/>
      <w:bookmarkStart w:id="188" w:name="_Toc184310318"/>
      <w:bookmarkEnd w:id="188"/>
      <w:bookmarkStart w:id="189" w:name="_Toc184313274"/>
      <w:bookmarkEnd w:id="189"/>
      <w:bookmarkStart w:id="190" w:name="_Toc184314422"/>
      <w:bookmarkEnd w:id="190"/>
      <w:bookmarkStart w:id="191" w:name="_Toc184314433"/>
      <w:bookmarkEnd w:id="191"/>
      <w:bookmarkStart w:id="192" w:name="_Toc184314441"/>
      <w:bookmarkEnd w:id="192"/>
      <w:bookmarkStart w:id="193" w:name="_Toc184310338"/>
      <w:bookmarkEnd w:id="193"/>
      <w:bookmarkStart w:id="194" w:name="_Toc184308060"/>
      <w:bookmarkEnd w:id="194"/>
      <w:bookmarkStart w:id="195" w:name="_Toc184310303"/>
      <w:bookmarkEnd w:id="195"/>
      <w:bookmarkStart w:id="196" w:name="_Toc184308103"/>
      <w:bookmarkEnd w:id="196"/>
      <w:bookmarkStart w:id="197" w:name="_Toc184308071"/>
      <w:bookmarkEnd w:id="197"/>
      <w:bookmarkStart w:id="198" w:name="_Toc184308075"/>
      <w:bookmarkEnd w:id="198"/>
      <w:bookmarkStart w:id="199" w:name="_Toc184312136"/>
      <w:bookmarkEnd w:id="199"/>
      <w:bookmarkStart w:id="200" w:name="_Toc184308038"/>
      <w:bookmarkEnd w:id="200"/>
      <w:bookmarkStart w:id="201" w:name="_Toc184310298"/>
      <w:bookmarkEnd w:id="201"/>
      <w:bookmarkStart w:id="202" w:name="_Toc184312125"/>
      <w:bookmarkEnd w:id="202"/>
      <w:bookmarkStart w:id="203" w:name="_Toc184314443"/>
      <w:bookmarkEnd w:id="203"/>
      <w:bookmarkStart w:id="204" w:name="_Toc184308046"/>
      <w:bookmarkEnd w:id="204"/>
      <w:bookmarkStart w:id="205" w:name="_Toc184310316"/>
      <w:bookmarkEnd w:id="205"/>
      <w:bookmarkStart w:id="206" w:name="_Toc184310341"/>
      <w:bookmarkEnd w:id="206"/>
      <w:bookmarkStart w:id="207" w:name="_Toc184312113"/>
      <w:bookmarkEnd w:id="207"/>
      <w:bookmarkStart w:id="208" w:name="_Toc184312078"/>
      <w:bookmarkEnd w:id="208"/>
      <w:bookmarkStart w:id="209" w:name="_Toc184308080"/>
      <w:bookmarkEnd w:id="209"/>
      <w:bookmarkStart w:id="210" w:name="_Toc184308095"/>
      <w:bookmarkEnd w:id="210"/>
      <w:bookmarkStart w:id="211" w:name="_Toc184308061"/>
      <w:bookmarkEnd w:id="211"/>
      <w:bookmarkStart w:id="212" w:name="_Toc184312137"/>
      <w:bookmarkEnd w:id="212"/>
      <w:bookmarkStart w:id="213" w:name="_Toc184310317"/>
      <w:bookmarkEnd w:id="213"/>
      <w:bookmarkStart w:id="214" w:name="_Toc184314414"/>
      <w:bookmarkEnd w:id="214"/>
      <w:bookmarkStart w:id="215" w:name="_Toc184312074"/>
      <w:bookmarkEnd w:id="215"/>
      <w:bookmarkStart w:id="216" w:name="_Toc184314469"/>
      <w:bookmarkEnd w:id="216"/>
      <w:bookmarkStart w:id="217" w:name="_Toc184312097"/>
      <w:bookmarkEnd w:id="217"/>
      <w:bookmarkStart w:id="218" w:name="_Toc184314426"/>
      <w:bookmarkEnd w:id="218"/>
      <w:bookmarkStart w:id="219" w:name="_Toc184308066"/>
      <w:bookmarkEnd w:id="219"/>
      <w:bookmarkStart w:id="220" w:name="_Toc184308100"/>
      <w:bookmarkEnd w:id="220"/>
      <w:bookmarkStart w:id="221" w:name="_Toc184308081"/>
      <w:bookmarkEnd w:id="221"/>
      <w:bookmarkStart w:id="222" w:name="_Toc184313241"/>
      <w:bookmarkEnd w:id="222"/>
      <w:bookmarkStart w:id="223" w:name="_Toc184314419"/>
      <w:bookmarkEnd w:id="223"/>
      <w:bookmarkStart w:id="224" w:name="_Toc184308106"/>
      <w:bookmarkEnd w:id="224"/>
      <w:bookmarkStart w:id="225" w:name="_Toc184310339"/>
      <w:bookmarkEnd w:id="225"/>
      <w:bookmarkStart w:id="226" w:name="_Toc184308063"/>
      <w:bookmarkEnd w:id="226"/>
      <w:bookmarkStart w:id="227" w:name="_Toc184313292"/>
      <w:bookmarkEnd w:id="227"/>
      <w:bookmarkStart w:id="228" w:name="_Toc184310332"/>
      <w:bookmarkEnd w:id="228"/>
      <w:bookmarkStart w:id="229" w:name="_Toc184312088"/>
      <w:bookmarkEnd w:id="229"/>
      <w:bookmarkStart w:id="230" w:name="_Toc184308059"/>
      <w:bookmarkEnd w:id="230"/>
      <w:bookmarkStart w:id="231" w:name="_Toc184308064"/>
      <w:bookmarkEnd w:id="231"/>
      <w:bookmarkStart w:id="232" w:name="_Toc184310323"/>
      <w:bookmarkEnd w:id="232"/>
      <w:bookmarkStart w:id="233" w:name="_Toc184308079"/>
      <w:bookmarkEnd w:id="233"/>
      <w:bookmarkStart w:id="234" w:name="_Toc184313266"/>
      <w:bookmarkEnd w:id="234"/>
      <w:bookmarkStart w:id="235" w:name="_Toc184308107"/>
      <w:bookmarkEnd w:id="235"/>
      <w:bookmarkStart w:id="236" w:name="_Toc184308091"/>
      <w:bookmarkEnd w:id="236"/>
      <w:bookmarkStart w:id="237" w:name="_Toc184312107"/>
      <w:bookmarkEnd w:id="237"/>
      <w:bookmarkStart w:id="238" w:name="_Toc184310287"/>
      <w:bookmarkEnd w:id="238"/>
      <w:bookmarkStart w:id="239" w:name="_Toc184312100"/>
      <w:bookmarkEnd w:id="239"/>
      <w:bookmarkStart w:id="240" w:name="_Toc184313298"/>
      <w:bookmarkEnd w:id="240"/>
      <w:bookmarkStart w:id="241" w:name="_Toc184312067"/>
      <w:bookmarkEnd w:id="241"/>
      <w:bookmarkStart w:id="242" w:name="_Toc184313290"/>
      <w:bookmarkEnd w:id="242"/>
      <w:bookmarkStart w:id="243" w:name="_Toc184314466"/>
      <w:bookmarkEnd w:id="243"/>
      <w:bookmarkStart w:id="244" w:name="_Toc184313291"/>
      <w:bookmarkEnd w:id="244"/>
      <w:bookmarkStart w:id="245" w:name="_Toc184314477"/>
      <w:bookmarkEnd w:id="245"/>
      <w:bookmarkStart w:id="246" w:name="_Toc184312132"/>
      <w:bookmarkEnd w:id="246"/>
      <w:bookmarkStart w:id="247" w:name="_Toc184313252"/>
      <w:bookmarkEnd w:id="247"/>
      <w:bookmarkStart w:id="248" w:name="_Toc184314452"/>
      <w:bookmarkEnd w:id="248"/>
      <w:bookmarkStart w:id="249" w:name="_Toc184313261"/>
      <w:bookmarkEnd w:id="249"/>
      <w:bookmarkStart w:id="250" w:name="_Toc184312122"/>
      <w:bookmarkEnd w:id="250"/>
      <w:bookmarkStart w:id="251" w:name="_Toc184312098"/>
      <w:bookmarkEnd w:id="251"/>
      <w:bookmarkStart w:id="252" w:name="_Toc184313301"/>
      <w:bookmarkEnd w:id="252"/>
      <w:bookmarkStart w:id="253" w:name="_Toc184312129"/>
      <w:bookmarkEnd w:id="253"/>
      <w:bookmarkStart w:id="254" w:name="_Toc184313256"/>
      <w:bookmarkEnd w:id="254"/>
      <w:bookmarkStart w:id="255" w:name="_Toc184310278"/>
      <w:bookmarkEnd w:id="255"/>
      <w:bookmarkStart w:id="256" w:name="_Toc184313264"/>
      <w:bookmarkEnd w:id="256"/>
      <w:bookmarkStart w:id="257" w:name="_Toc184314457"/>
      <w:bookmarkEnd w:id="257"/>
      <w:bookmarkStart w:id="258" w:name="_Toc184313294"/>
      <w:bookmarkEnd w:id="258"/>
      <w:bookmarkStart w:id="259" w:name="_Toc184312119"/>
      <w:bookmarkEnd w:id="259"/>
      <w:bookmarkStart w:id="260" w:name="_Toc184312124"/>
      <w:bookmarkEnd w:id="260"/>
      <w:bookmarkStart w:id="261" w:name="_Toc184314460"/>
      <w:bookmarkEnd w:id="261"/>
      <w:bookmarkStart w:id="262" w:name="_Toc184313277"/>
      <w:bookmarkEnd w:id="262"/>
      <w:bookmarkStart w:id="263" w:name="_Toc184310308"/>
      <w:bookmarkEnd w:id="263"/>
      <w:bookmarkStart w:id="264" w:name="_Toc184310275"/>
      <w:bookmarkEnd w:id="264"/>
      <w:bookmarkStart w:id="265" w:name="_Toc184312127"/>
      <w:bookmarkEnd w:id="265"/>
      <w:bookmarkStart w:id="266" w:name="_Toc184312072"/>
      <w:bookmarkEnd w:id="266"/>
      <w:bookmarkStart w:id="267" w:name="_Toc184310289"/>
      <w:bookmarkEnd w:id="267"/>
      <w:bookmarkStart w:id="268" w:name="_Toc184314428"/>
      <w:bookmarkEnd w:id="268"/>
      <w:bookmarkStart w:id="269" w:name="_Toc184308055"/>
      <w:bookmarkEnd w:id="269"/>
      <w:bookmarkStart w:id="270" w:name="_Toc184312091"/>
      <w:bookmarkEnd w:id="270"/>
      <w:bookmarkStart w:id="271" w:name="_Toc184308083"/>
      <w:bookmarkEnd w:id="271"/>
      <w:bookmarkStart w:id="272" w:name="_Toc184314459"/>
      <w:bookmarkEnd w:id="272"/>
      <w:bookmarkStart w:id="273" w:name="_Toc184313270"/>
      <w:bookmarkEnd w:id="273"/>
      <w:bookmarkStart w:id="274" w:name="_Toc184312117"/>
      <w:bookmarkEnd w:id="274"/>
      <w:bookmarkStart w:id="275" w:name="_Toc184314417"/>
      <w:bookmarkEnd w:id="275"/>
      <w:bookmarkStart w:id="276" w:name="_Toc184312133"/>
      <w:bookmarkEnd w:id="276"/>
      <w:bookmarkStart w:id="277" w:name="_Toc184313259"/>
      <w:bookmarkEnd w:id="277"/>
      <w:bookmarkStart w:id="278" w:name="_Toc184310299"/>
      <w:bookmarkEnd w:id="278"/>
      <w:bookmarkStart w:id="279" w:name="_Toc184314480"/>
      <w:bookmarkEnd w:id="279"/>
      <w:bookmarkStart w:id="280" w:name="_Toc184312108"/>
      <w:bookmarkEnd w:id="280"/>
      <w:bookmarkStart w:id="281" w:name="_Toc184313282"/>
      <w:bookmarkEnd w:id="281"/>
      <w:bookmarkStart w:id="282" w:name="_Toc184313280"/>
      <w:bookmarkEnd w:id="282"/>
      <w:bookmarkStart w:id="283" w:name="_Toc184314421"/>
      <w:bookmarkEnd w:id="283"/>
      <w:bookmarkStart w:id="284" w:name="_Toc184308094"/>
      <w:bookmarkEnd w:id="284"/>
      <w:bookmarkStart w:id="285" w:name="_Toc184310290"/>
      <w:bookmarkEnd w:id="285"/>
      <w:bookmarkStart w:id="286" w:name="_Toc184314470"/>
      <w:bookmarkEnd w:id="286"/>
      <w:bookmarkStart w:id="287" w:name="_Toc184310322"/>
      <w:bookmarkEnd w:id="287"/>
      <w:bookmarkStart w:id="288" w:name="_Toc184313276"/>
      <w:bookmarkEnd w:id="288"/>
      <w:bookmarkStart w:id="289" w:name="_Toc184308076"/>
      <w:bookmarkEnd w:id="289"/>
      <w:bookmarkStart w:id="290" w:name="_Toc184312090"/>
      <w:bookmarkEnd w:id="290"/>
      <w:bookmarkStart w:id="291" w:name="_Toc184313257"/>
      <w:bookmarkEnd w:id="291"/>
      <w:bookmarkStart w:id="292" w:name="_Toc184313300"/>
      <w:bookmarkEnd w:id="292"/>
      <w:bookmarkStart w:id="293" w:name="_Toc184314416"/>
      <w:bookmarkEnd w:id="293"/>
      <w:bookmarkStart w:id="294" w:name="_Toc184312130"/>
      <w:bookmarkEnd w:id="294"/>
      <w:bookmarkStart w:id="295" w:name="_Toc184310305"/>
      <w:bookmarkEnd w:id="295"/>
      <w:bookmarkStart w:id="296" w:name="_Toc184308047"/>
      <w:bookmarkEnd w:id="296"/>
      <w:bookmarkStart w:id="297" w:name="_Toc184313279"/>
      <w:bookmarkEnd w:id="297"/>
      <w:bookmarkStart w:id="298" w:name="_Toc184313286"/>
      <w:bookmarkEnd w:id="298"/>
      <w:bookmarkStart w:id="299" w:name="_Toc184312069"/>
      <w:bookmarkEnd w:id="299"/>
      <w:bookmarkStart w:id="300" w:name="_Toc184308101"/>
      <w:bookmarkEnd w:id="300"/>
      <w:bookmarkStart w:id="301" w:name="_Toc184308086"/>
      <w:bookmarkEnd w:id="301"/>
      <w:bookmarkStart w:id="302" w:name="_Toc184308093"/>
      <w:bookmarkEnd w:id="302"/>
      <w:bookmarkStart w:id="303" w:name="_Toc184310288"/>
      <w:bookmarkEnd w:id="303"/>
      <w:bookmarkStart w:id="304" w:name="_Toc184308096"/>
      <w:bookmarkEnd w:id="304"/>
      <w:bookmarkStart w:id="305" w:name="_Toc184314444"/>
      <w:bookmarkEnd w:id="305"/>
      <w:bookmarkStart w:id="306" w:name="_Toc184310314"/>
      <w:bookmarkEnd w:id="306"/>
      <w:bookmarkStart w:id="307" w:name="_Toc184313309"/>
      <w:bookmarkEnd w:id="307"/>
      <w:bookmarkStart w:id="308" w:name="_Toc184312103"/>
      <w:bookmarkEnd w:id="308"/>
      <w:bookmarkStart w:id="309" w:name="_Toc184308077"/>
      <w:bookmarkEnd w:id="309"/>
      <w:bookmarkStart w:id="310" w:name="_Toc184308042"/>
      <w:bookmarkEnd w:id="310"/>
      <w:bookmarkStart w:id="311" w:name="_Toc184308074"/>
      <w:bookmarkEnd w:id="311"/>
      <w:bookmarkStart w:id="312" w:name="_Toc184308070"/>
      <w:bookmarkEnd w:id="312"/>
      <w:bookmarkStart w:id="313" w:name="_Toc184312093"/>
      <w:bookmarkEnd w:id="313"/>
      <w:bookmarkStart w:id="314" w:name="_Toc184314420"/>
      <w:bookmarkEnd w:id="314"/>
      <w:bookmarkStart w:id="315" w:name="_Toc184314465"/>
      <w:bookmarkEnd w:id="315"/>
      <w:bookmarkStart w:id="316" w:name="_Toc184310285"/>
      <w:bookmarkEnd w:id="316"/>
      <w:bookmarkStart w:id="317" w:name="_Toc184313244"/>
      <w:bookmarkEnd w:id="317"/>
      <w:bookmarkStart w:id="318" w:name="_Toc184312095"/>
      <w:bookmarkEnd w:id="318"/>
      <w:bookmarkStart w:id="319" w:name="_Toc184310297"/>
      <w:bookmarkEnd w:id="319"/>
      <w:bookmarkStart w:id="320" w:name="_Toc184308069"/>
      <w:bookmarkEnd w:id="320"/>
      <w:bookmarkStart w:id="321" w:name="_Toc184313268"/>
      <w:bookmarkEnd w:id="321"/>
      <w:bookmarkStart w:id="322" w:name="_Toc184308040"/>
      <w:bookmarkEnd w:id="322"/>
      <w:bookmarkStart w:id="323" w:name="_Toc184308085"/>
      <w:bookmarkEnd w:id="323"/>
      <w:bookmarkStart w:id="324" w:name="_Toc184310295"/>
      <w:bookmarkEnd w:id="324"/>
      <w:bookmarkStart w:id="325" w:name="_Toc184310311"/>
      <w:bookmarkEnd w:id="325"/>
      <w:bookmarkStart w:id="326" w:name="_Toc184310273"/>
      <w:bookmarkEnd w:id="326"/>
      <w:bookmarkStart w:id="327" w:name="_Toc184313271"/>
      <w:bookmarkEnd w:id="327"/>
      <w:bookmarkStart w:id="328" w:name="_Toc184314473"/>
      <w:bookmarkEnd w:id="328"/>
      <w:bookmarkStart w:id="329" w:name="_Toc184313299"/>
      <w:bookmarkEnd w:id="329"/>
      <w:bookmarkStart w:id="330" w:name="_Toc184313239"/>
      <w:bookmarkEnd w:id="330"/>
      <w:bookmarkStart w:id="331" w:name="_Toc184313242"/>
      <w:bookmarkEnd w:id="331"/>
      <w:bookmarkStart w:id="332" w:name="_Toc184312114"/>
      <w:bookmarkEnd w:id="332"/>
      <w:bookmarkStart w:id="333" w:name="_Toc184308056"/>
      <w:bookmarkEnd w:id="333"/>
      <w:bookmarkStart w:id="334" w:name="_Toc184312110"/>
      <w:bookmarkEnd w:id="334"/>
      <w:bookmarkStart w:id="335" w:name="_Toc184308104"/>
      <w:bookmarkEnd w:id="335"/>
      <w:bookmarkStart w:id="336" w:name="_Toc184308062"/>
      <w:bookmarkEnd w:id="336"/>
      <w:bookmarkStart w:id="337" w:name="_Toc184310300"/>
      <w:bookmarkEnd w:id="337"/>
      <w:bookmarkStart w:id="338" w:name="_Toc184310279"/>
      <w:bookmarkEnd w:id="338"/>
      <w:bookmarkStart w:id="339" w:name="_Toc184308058"/>
      <w:bookmarkEnd w:id="339"/>
      <w:bookmarkStart w:id="340" w:name="_Toc184310335"/>
      <w:bookmarkEnd w:id="340"/>
      <w:bookmarkStart w:id="341" w:name="_Toc184314447"/>
      <w:bookmarkEnd w:id="341"/>
      <w:bookmarkStart w:id="342" w:name="_Toc184312079"/>
      <w:bookmarkEnd w:id="342"/>
      <w:bookmarkStart w:id="343" w:name="_Toc184314415"/>
      <w:bookmarkEnd w:id="343"/>
      <w:bookmarkStart w:id="344" w:name="_Toc184310301"/>
      <w:bookmarkEnd w:id="344"/>
      <w:bookmarkStart w:id="345" w:name="_Toc184310320"/>
      <w:bookmarkEnd w:id="345"/>
      <w:bookmarkStart w:id="346" w:name="_Toc184310282"/>
      <w:bookmarkEnd w:id="346"/>
      <w:bookmarkStart w:id="347" w:name="_Toc184313307"/>
      <w:bookmarkEnd w:id="347"/>
      <w:bookmarkStart w:id="348" w:name="_Toc184314432"/>
      <w:bookmarkEnd w:id="348"/>
      <w:bookmarkStart w:id="349" w:name="_Toc184312111"/>
      <w:bookmarkEnd w:id="349"/>
      <w:bookmarkStart w:id="350" w:name="_Toc184308073"/>
      <w:bookmarkEnd w:id="350"/>
      <w:bookmarkStart w:id="351" w:name="_Toc184312070"/>
      <w:bookmarkEnd w:id="351"/>
      <w:bookmarkStart w:id="352" w:name="_Toc184313283"/>
      <w:bookmarkEnd w:id="352"/>
      <w:bookmarkStart w:id="353" w:name="_Toc184313273"/>
      <w:bookmarkEnd w:id="353"/>
      <w:bookmarkStart w:id="354" w:name="_Toc184308043"/>
      <w:bookmarkEnd w:id="354"/>
      <w:bookmarkStart w:id="355" w:name="_Toc184312118"/>
      <w:bookmarkEnd w:id="355"/>
      <w:bookmarkStart w:id="356" w:name="_Toc184308090"/>
      <w:bookmarkEnd w:id="356"/>
      <w:bookmarkStart w:id="357" w:name="_Toc184313265"/>
      <w:bookmarkEnd w:id="357"/>
      <w:bookmarkStart w:id="358" w:name="_Toc184313260"/>
      <w:bookmarkEnd w:id="358"/>
      <w:bookmarkStart w:id="359" w:name="_Toc184308084"/>
      <w:bookmarkEnd w:id="359"/>
      <w:bookmarkStart w:id="360" w:name="_Toc184308102"/>
      <w:bookmarkEnd w:id="360"/>
      <w:bookmarkStart w:id="361" w:name="_Toc184310330"/>
      <w:bookmarkEnd w:id="361"/>
      <w:bookmarkStart w:id="362" w:name="_Toc184312120"/>
      <w:bookmarkEnd w:id="362"/>
      <w:bookmarkStart w:id="363" w:name="_Toc184308044"/>
      <w:bookmarkEnd w:id="363"/>
      <w:bookmarkStart w:id="364" w:name="_Toc184308053"/>
      <w:bookmarkEnd w:id="364"/>
      <w:bookmarkStart w:id="365" w:name="_Toc184314478"/>
      <w:bookmarkEnd w:id="365"/>
      <w:bookmarkStart w:id="366" w:name="_Toc184313310"/>
      <w:bookmarkEnd w:id="366"/>
      <w:bookmarkStart w:id="367" w:name="_Toc184314455"/>
      <w:bookmarkEnd w:id="367"/>
      <w:bookmarkStart w:id="368" w:name="_Toc184314461"/>
      <w:bookmarkEnd w:id="368"/>
      <w:bookmarkStart w:id="369" w:name="_Toc184313238"/>
      <w:bookmarkEnd w:id="369"/>
      <w:bookmarkStart w:id="370" w:name="_Toc184312086"/>
      <w:bookmarkEnd w:id="370"/>
      <w:bookmarkStart w:id="371" w:name="_Toc184314472"/>
      <w:bookmarkEnd w:id="371"/>
      <w:bookmarkStart w:id="372" w:name="_Toc184313278"/>
      <w:bookmarkEnd w:id="372"/>
      <w:bookmarkStart w:id="373" w:name="_Toc184310281"/>
      <w:bookmarkEnd w:id="373"/>
      <w:bookmarkStart w:id="374" w:name="_Toc184313263"/>
      <w:bookmarkEnd w:id="374"/>
      <w:bookmarkStart w:id="375" w:name="_Toc184313275"/>
      <w:bookmarkEnd w:id="375"/>
      <w:bookmarkStart w:id="376" w:name="_Toc184314449"/>
      <w:bookmarkEnd w:id="376"/>
      <w:bookmarkStart w:id="377" w:name="_Toc184308039"/>
      <w:bookmarkEnd w:id="377"/>
      <w:bookmarkStart w:id="378" w:name="_Toc184312115"/>
      <w:bookmarkEnd w:id="378"/>
      <w:bookmarkStart w:id="379" w:name="_Toc184313262"/>
      <w:bookmarkEnd w:id="379"/>
      <w:bookmarkStart w:id="380" w:name="_Toc184313246"/>
      <w:bookmarkEnd w:id="380"/>
      <w:bookmarkStart w:id="381" w:name="_Toc184308108"/>
      <w:bookmarkEnd w:id="381"/>
      <w:bookmarkStart w:id="382" w:name="_Toc184308051"/>
      <w:bookmarkEnd w:id="382"/>
      <w:bookmarkStart w:id="383" w:name="_Toc184310306"/>
      <w:bookmarkEnd w:id="383"/>
      <w:bookmarkStart w:id="384" w:name="_Toc184310293"/>
      <w:bookmarkEnd w:id="384"/>
      <w:bookmarkStart w:id="385" w:name="_Toc184312089"/>
      <w:bookmarkEnd w:id="385"/>
      <w:bookmarkStart w:id="386" w:name="_Toc184313245"/>
      <w:bookmarkEnd w:id="386"/>
      <w:bookmarkStart w:id="387" w:name="_Toc184308068"/>
      <w:bookmarkEnd w:id="387"/>
      <w:bookmarkStart w:id="388" w:name="_Toc184312139"/>
      <w:bookmarkEnd w:id="388"/>
      <w:bookmarkStart w:id="389" w:name="_Toc184312104"/>
      <w:bookmarkEnd w:id="389"/>
      <w:bookmarkStart w:id="390" w:name="_Toc184310324"/>
      <w:bookmarkEnd w:id="390"/>
      <w:bookmarkStart w:id="391" w:name="_Toc184313297"/>
      <w:bookmarkEnd w:id="391"/>
      <w:bookmarkStart w:id="392" w:name="_Toc184313253"/>
      <w:bookmarkEnd w:id="392"/>
      <w:bookmarkStart w:id="393" w:name="_Toc184313302"/>
      <w:bookmarkEnd w:id="393"/>
      <w:bookmarkStart w:id="394" w:name="_Toc184314454"/>
      <w:bookmarkEnd w:id="394"/>
      <w:bookmarkStart w:id="395" w:name="_Toc184308105"/>
      <w:bookmarkEnd w:id="395"/>
      <w:bookmarkStart w:id="396" w:name="_Toc184308088"/>
      <w:bookmarkEnd w:id="396"/>
      <w:bookmarkStart w:id="397" w:name="_Toc184310333"/>
      <w:bookmarkEnd w:id="397"/>
      <w:bookmarkStart w:id="398" w:name="_Toc184310284"/>
      <w:bookmarkEnd w:id="398"/>
      <w:bookmarkStart w:id="399" w:name="_Toc184312071"/>
      <w:bookmarkEnd w:id="399"/>
      <w:bookmarkStart w:id="400" w:name="_Toc184312128"/>
      <w:bookmarkEnd w:id="400"/>
      <w:bookmarkStart w:id="401" w:name="_Toc184314418"/>
      <w:bookmarkEnd w:id="401"/>
      <w:bookmarkStart w:id="402" w:name="_Toc184313272"/>
      <w:bookmarkEnd w:id="402"/>
      <w:bookmarkStart w:id="403" w:name="_Toc184314413"/>
      <w:bookmarkEnd w:id="403"/>
      <w:bookmarkStart w:id="404" w:name="_Toc184313243"/>
      <w:bookmarkEnd w:id="404"/>
      <w:bookmarkStart w:id="405" w:name="_Toc184310277"/>
      <w:bookmarkEnd w:id="405"/>
      <w:bookmarkStart w:id="406" w:name="_Toc184314456"/>
      <w:bookmarkEnd w:id="406"/>
      <w:bookmarkStart w:id="407" w:name="_Toc184310309"/>
      <w:bookmarkEnd w:id="407"/>
      <w:bookmarkStart w:id="408" w:name="_Toc184314442"/>
      <w:bookmarkEnd w:id="408"/>
      <w:bookmarkStart w:id="409" w:name="_Toc184310340"/>
      <w:bookmarkEnd w:id="409"/>
      <w:bookmarkStart w:id="410" w:name="_Toc184314482"/>
      <w:bookmarkEnd w:id="410"/>
      <w:bookmarkStart w:id="411" w:name="_Toc184313255"/>
      <w:bookmarkEnd w:id="411"/>
      <w:bookmarkStart w:id="412" w:name="_Toc184312085"/>
      <w:bookmarkEnd w:id="412"/>
      <w:bookmarkStart w:id="413" w:name="_Toc184314468"/>
      <w:bookmarkEnd w:id="413"/>
      <w:bookmarkStart w:id="414" w:name="_Toc184312116"/>
      <w:bookmarkEnd w:id="414"/>
      <w:bookmarkStart w:id="415" w:name="_Toc184310280"/>
      <w:bookmarkEnd w:id="415"/>
      <w:bookmarkStart w:id="416" w:name="_Toc184308072"/>
      <w:bookmarkEnd w:id="416"/>
      <w:bookmarkStart w:id="417" w:name="_Toc184312134"/>
      <w:bookmarkEnd w:id="417"/>
      <w:bookmarkStart w:id="418" w:name="_Toc184314437"/>
      <w:bookmarkEnd w:id="418"/>
      <w:bookmarkStart w:id="419" w:name="_Toc184313269"/>
      <w:bookmarkEnd w:id="419"/>
      <w:bookmarkStart w:id="420" w:name="_Toc184312096"/>
      <w:bookmarkEnd w:id="420"/>
      <w:bookmarkStart w:id="421" w:name="_Toc184312121"/>
      <w:bookmarkEnd w:id="421"/>
      <w:bookmarkStart w:id="422" w:name="_Toc184314434"/>
      <w:bookmarkEnd w:id="422"/>
      <w:bookmarkStart w:id="423" w:name="_Toc184314463"/>
      <w:bookmarkEnd w:id="423"/>
      <w:bookmarkStart w:id="424" w:name="_Toc184312087"/>
      <w:bookmarkEnd w:id="424"/>
      <w:bookmarkStart w:id="425" w:name="_Toc184310337"/>
      <w:bookmarkEnd w:id="425"/>
      <w:bookmarkStart w:id="426" w:name="_Toc184312092"/>
      <w:bookmarkEnd w:id="426"/>
      <w:bookmarkStart w:id="427" w:name="_Toc184313287"/>
      <w:bookmarkEnd w:id="427"/>
      <w:bookmarkStart w:id="428" w:name="_Toc184314471"/>
      <w:bookmarkEnd w:id="428"/>
      <w:bookmarkStart w:id="429" w:name="_Toc184313303"/>
      <w:bookmarkEnd w:id="429"/>
      <w:bookmarkStart w:id="430" w:name="_Toc184308089"/>
      <w:bookmarkEnd w:id="430"/>
      <w:r>
        <w:rPr>
          <w:rFonts w:hint="eastAsia" w:ascii="仿宋_GB2312" w:hAnsi="仿宋_GB2312" w:eastAsia="仿宋_GB2312" w:cs="仿宋_GB2312"/>
          <w:b/>
          <w:color w:val="auto"/>
          <w:sz w:val="32"/>
        </w:rPr>
        <w:t>评标办法</w:t>
      </w:r>
      <w:bookmarkEnd w:id="63"/>
    </w:p>
    <w:p>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评标办法前附表</w:t>
      </w:r>
    </w:p>
    <w:tbl>
      <w:tblPr>
        <w:tblStyle w:val="73"/>
        <w:tblW w:w="9804"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2"/>
        <w:gridCol w:w="1349"/>
        <w:gridCol w:w="521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序号</w:t>
            </w:r>
          </w:p>
        </w:tc>
        <w:tc>
          <w:tcPr>
            <w:tcW w:w="1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评分内容</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评分细则</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评分细则内容</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分值</w:t>
            </w:r>
            <w:r>
              <w:rPr>
                <w:rFonts w:hint="eastAsia" w:ascii="仿宋_GB2312" w:hAnsi="仿宋_GB2312" w:eastAsia="仿宋_GB2312" w:cs="仿宋_GB2312"/>
                <w:b/>
                <w:color w:val="auto"/>
                <w:kern w:val="0"/>
                <w:sz w:val="24"/>
                <w:lang w:eastAsia="zh-CN"/>
              </w:rPr>
              <w:t>（</w:t>
            </w:r>
            <w:r>
              <w:rPr>
                <w:rFonts w:hint="eastAsia" w:ascii="仿宋_GB2312" w:hAnsi="仿宋_GB2312" w:eastAsia="仿宋_GB2312" w:cs="仿宋_GB2312"/>
                <w:b/>
                <w:color w:val="auto"/>
                <w:kern w:val="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1</w:t>
            </w:r>
          </w:p>
        </w:tc>
        <w:tc>
          <w:tcPr>
            <w:tcW w:w="1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价格分（30分）</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投标价格</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基准价为满足评标要求且投标价格最低的报价，投标报价得分=(基准价／投标报价)×30，四舍五入，保留两位小数。报价高于预算价的，为无效投标文件。</w:t>
            </w:r>
          </w:p>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w:t>
            </w:r>
          </w:p>
        </w:tc>
        <w:tc>
          <w:tcPr>
            <w:tcW w:w="12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技术分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(62分）</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制造商技术水平（客观分）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color w:val="auto"/>
                <w:sz w:val="24"/>
              </w:rPr>
            </w:pPr>
            <w:bookmarkStart w:id="431" w:name="OLE_LINK12"/>
            <w:r>
              <w:rPr>
                <w:rFonts w:hint="eastAsia" w:ascii="仿宋_GB2312" w:hAnsi="仿宋_GB2312" w:eastAsia="仿宋_GB2312" w:cs="仿宋_GB2312"/>
                <w:color w:val="auto"/>
                <w:kern w:val="0"/>
                <w:sz w:val="24"/>
              </w:rPr>
              <w:t>为保障本项目具备完善规范的体系管理水平，投标人或投标人所投</w:t>
            </w:r>
            <w:r>
              <w:rPr>
                <w:rFonts w:hint="eastAsia" w:ascii="仿宋_GB2312" w:hAnsi="仿宋_GB2312" w:eastAsia="仿宋_GB2312" w:cs="仿宋_GB2312"/>
                <w:color w:val="auto"/>
                <w:kern w:val="0"/>
                <w:sz w:val="24"/>
                <w:lang w:val="en-US" w:eastAsia="zh-CN"/>
              </w:rPr>
              <w:t>核心</w:t>
            </w:r>
            <w:r>
              <w:rPr>
                <w:rFonts w:hint="eastAsia" w:ascii="仿宋_GB2312" w:hAnsi="仿宋_GB2312" w:eastAsia="仿宋_GB2312" w:cs="仿宋_GB2312"/>
                <w:color w:val="auto"/>
                <w:kern w:val="0"/>
                <w:sz w:val="24"/>
              </w:rPr>
              <w:t>产品制造商提供</w:t>
            </w:r>
            <w:bookmarkStart w:id="432" w:name="OLE_LINK15"/>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供应链安全管理体系认证、</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人工智能管理体系认证、</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信息安全管理体系认证、</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隐私数据信息相关管理体系认证证书的，每具备一项得0.5分，本项最高得分2分，提供有效证明材料复印件并加盖厂家公章，未提供不得分。</w:t>
            </w:r>
            <w:bookmarkEnd w:id="431"/>
            <w:bookmarkEnd w:id="432"/>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3</w:t>
            </w: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业绩分（客观分）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color w:val="auto"/>
                <w:sz w:val="24"/>
              </w:rPr>
            </w:pPr>
            <w:bookmarkStart w:id="433" w:name="OLE_LINK16"/>
            <w:r>
              <w:rPr>
                <w:rFonts w:hint="eastAsia" w:ascii="仿宋_GB2312" w:hAnsi="仿宋_GB2312" w:eastAsia="仿宋_GB2312" w:cs="仿宋_GB2312"/>
                <w:color w:val="auto"/>
                <w:kern w:val="0"/>
                <w:sz w:val="24"/>
              </w:rPr>
              <w:t>投标人或投标人所投</w:t>
            </w:r>
            <w:r>
              <w:rPr>
                <w:rFonts w:hint="eastAsia" w:ascii="仿宋_GB2312" w:hAnsi="仿宋_GB2312" w:eastAsia="仿宋_GB2312" w:cs="仿宋_GB2312"/>
                <w:color w:val="auto"/>
                <w:kern w:val="0"/>
                <w:sz w:val="24"/>
                <w:lang w:val="en-US" w:eastAsia="zh-CN"/>
              </w:rPr>
              <w:t>核心</w:t>
            </w:r>
            <w:r>
              <w:rPr>
                <w:rFonts w:hint="eastAsia" w:ascii="仿宋_GB2312" w:hAnsi="仿宋_GB2312" w:eastAsia="仿宋_GB2312" w:cs="仿宋_GB2312"/>
                <w:color w:val="auto"/>
                <w:kern w:val="0"/>
                <w:sz w:val="24"/>
              </w:rPr>
              <w:t>产品制造商自2022年1月1日以来（以合同签订时间为准）具有此类项目业绩，提供有效证明材料复印件，每份有效业绩得1分，最高得3分。</w:t>
            </w:r>
            <w:bookmarkEnd w:id="433"/>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w:t>
            </w: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设备参数（客观分）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color w:val="auto"/>
                <w:kern w:val="0"/>
                <w:sz w:val="24"/>
              </w:rPr>
            </w:pPr>
            <w:bookmarkStart w:id="434" w:name="OLE_LINK17"/>
            <w:bookmarkStart w:id="435" w:name="OLE_LINK18"/>
            <w:r>
              <w:rPr>
                <w:rFonts w:hint="eastAsia" w:ascii="仿宋_GB2312" w:hAnsi="仿宋_GB2312" w:eastAsia="仿宋_GB2312" w:cs="仿宋_GB2312"/>
                <w:color w:val="auto"/>
                <w:kern w:val="0"/>
                <w:sz w:val="24"/>
              </w:rPr>
              <w:t>1.参数响应情况：标有“▲”指标为实质性要求，有负偏离将作为无效投标。其它指标由评委根据投标人提供设备的产品性能、配置等进行打分，全部满足得38分，标有“★”的重要技术参数条款负偏离每项扣1分，其它指标参数负偏离每项扣除0.5分。要求提供证明材料的若投标单位未提供，视为负偏离。</w:t>
            </w:r>
            <w:r>
              <w:rPr>
                <w:rFonts w:hint="eastAsia" w:ascii="仿宋_GB2312" w:hAnsi="仿宋_GB2312" w:eastAsia="仿宋_GB2312" w:cs="仿宋_GB2312"/>
                <w:color w:val="auto"/>
                <w:kern w:val="0"/>
                <w:sz w:val="24"/>
                <w:lang w:val="en-US" w:eastAsia="zh-CN"/>
              </w:rPr>
              <w:t>投标人负偏离</w:t>
            </w:r>
            <w:r>
              <w:rPr>
                <w:rFonts w:hint="eastAsia" w:ascii="仿宋_GB2312" w:hAnsi="仿宋_GB2312" w:eastAsia="仿宋_GB2312" w:cs="仿宋_GB2312"/>
                <w:color w:val="auto"/>
                <w:kern w:val="0"/>
                <w:sz w:val="24"/>
              </w:rPr>
              <w:t>参数20</w:t>
            </w:r>
            <w:r>
              <w:rPr>
                <w:rFonts w:hint="eastAsia" w:ascii="仿宋_GB2312" w:hAnsi="仿宋_GB2312" w:eastAsia="仿宋_GB2312" w:cs="仿宋_GB2312"/>
                <w:color w:val="auto"/>
                <w:kern w:val="0"/>
                <w:sz w:val="24"/>
                <w:lang w:val="en-US" w:eastAsia="zh-CN"/>
              </w:rPr>
              <w:t>项及</w:t>
            </w:r>
            <w:r>
              <w:rPr>
                <w:rFonts w:hint="eastAsia" w:ascii="仿宋_GB2312" w:hAnsi="仿宋_GB2312" w:eastAsia="仿宋_GB2312" w:cs="仿宋_GB2312"/>
                <w:color w:val="auto"/>
                <w:kern w:val="0"/>
                <w:sz w:val="24"/>
              </w:rPr>
              <w:t>以上视作做无效投标。</w:t>
            </w:r>
          </w:p>
          <w:p>
            <w:pPr>
              <w:pStyle w:val="62"/>
              <w:spacing w:line="400" w:lineRule="exact"/>
              <w:jc w:val="left"/>
              <w:rPr>
                <w:rFonts w:hint="eastAsia" w:ascii="仿宋_GB2312" w:hAnsi="仿宋_GB2312" w:eastAsia="仿宋_GB2312" w:cs="仿宋_GB2312"/>
                <w:b w:val="0"/>
                <w:color w:val="auto"/>
                <w:szCs w:val="24"/>
                <w:lang w:val="en-US"/>
              </w:rPr>
            </w:pPr>
            <w:r>
              <w:rPr>
                <w:rFonts w:hint="eastAsia" w:ascii="仿宋_GB2312" w:hAnsi="仿宋_GB2312" w:eastAsia="仿宋_GB2312" w:cs="仿宋_GB2312"/>
                <w:b w:val="0"/>
                <w:color w:val="auto"/>
                <w:szCs w:val="24"/>
                <w:lang w:val="en-US"/>
              </w:rPr>
              <w:t>2.参数正偏离：</w:t>
            </w:r>
          </w:p>
          <w:p>
            <w:pPr>
              <w:widowControl/>
              <w:spacing w:line="40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以下正偏离项目需提供</w:t>
            </w:r>
            <w:r>
              <w:rPr>
                <w:rFonts w:hint="eastAsia" w:ascii="仿宋_GB2312" w:hAnsi="仿宋_GB2312" w:eastAsia="仿宋_GB2312" w:cs="仿宋_GB2312"/>
                <w:color w:val="auto"/>
                <w:kern w:val="0"/>
                <w:sz w:val="24"/>
                <w:lang w:val="en-US" w:eastAsia="zh-CN"/>
              </w:rPr>
              <w:t>相关证明材料</w:t>
            </w:r>
            <w:r>
              <w:rPr>
                <w:rFonts w:hint="eastAsia" w:ascii="仿宋_GB2312" w:hAnsi="仿宋_GB2312" w:eastAsia="仿宋_GB2312" w:cs="仿宋_GB2312"/>
                <w:color w:val="auto"/>
                <w:kern w:val="0"/>
                <w:sz w:val="24"/>
              </w:rPr>
              <w:t>。未提供不得分。</w:t>
            </w:r>
          </w:p>
          <w:p>
            <w:pPr>
              <w:widowControl/>
              <w:spacing w:line="400" w:lineRule="exact"/>
              <w:jc w:val="left"/>
              <w:textAlignment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（1）</w:t>
            </w:r>
            <w:r>
              <w:rPr>
                <w:rFonts w:hint="eastAsia" w:ascii="仿宋_GB2312" w:hAnsi="仿宋_GB2312" w:eastAsia="仿宋_GB2312" w:cs="仿宋_GB2312"/>
                <w:color w:val="auto"/>
                <w:kern w:val="0"/>
                <w:sz w:val="24"/>
                <w:lang w:val="en-US" w:eastAsia="zh-CN"/>
              </w:rPr>
              <w:t>阳光跑和50米往返跑</w:t>
            </w:r>
            <w:r>
              <w:rPr>
                <w:rFonts w:hint="eastAsia" w:ascii="仿宋_GB2312" w:hAnsi="仿宋_GB2312" w:eastAsia="仿宋_GB2312" w:cs="仿宋_GB2312"/>
                <w:color w:val="auto"/>
                <w:kern w:val="0"/>
                <w:sz w:val="24"/>
                <w:lang w:val="en-US"/>
              </w:rPr>
              <w:t>配套的智能摄像机输出帧率大于30fps，加1分。</w:t>
            </w:r>
            <w:r>
              <w:rPr>
                <w:rFonts w:hint="eastAsia" w:ascii="仿宋_GB2312" w:hAnsi="仿宋_GB2312" w:eastAsia="仿宋_GB2312" w:cs="仿宋_GB2312"/>
                <w:color w:val="auto"/>
                <w:kern w:val="0"/>
                <w:sz w:val="24"/>
              </w:rPr>
              <w:t>（提供</w:t>
            </w:r>
            <w:r>
              <w:rPr>
                <w:rFonts w:hint="eastAsia" w:ascii="仿宋_GB2312" w:hAnsi="仿宋_GB2312" w:eastAsia="仿宋_GB2312" w:cs="仿宋_GB2312"/>
                <w:color w:val="auto"/>
                <w:kern w:val="0"/>
                <w:sz w:val="24"/>
                <w:lang w:val="en-US" w:eastAsia="zh-CN"/>
              </w:rPr>
              <w:t>此项功能完全满足的</w:t>
            </w:r>
            <w:r>
              <w:rPr>
                <w:rFonts w:hint="eastAsia" w:ascii="仿宋_GB2312" w:hAnsi="仿宋_GB2312" w:eastAsia="仿宋_GB2312" w:cs="仿宋_GB2312"/>
                <w:color w:val="auto"/>
                <w:kern w:val="0"/>
                <w:sz w:val="24"/>
              </w:rPr>
              <w:t>承诺函</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CA签章。中标后核验，经查实提供虚假承诺的，投标无效。</w:t>
            </w:r>
            <w:r>
              <w:rPr>
                <w:rFonts w:hint="eastAsia" w:ascii="仿宋_GB2312" w:hAnsi="仿宋_GB2312" w:eastAsia="仿宋_GB2312" w:cs="仿宋_GB2312"/>
                <w:color w:val="auto"/>
                <w:kern w:val="0"/>
                <w:sz w:val="24"/>
              </w:rPr>
              <w:t>）</w:t>
            </w:r>
          </w:p>
          <w:p>
            <w:pPr>
              <w:widowControl/>
              <w:spacing w:line="400" w:lineRule="exact"/>
              <w:jc w:val="left"/>
              <w:textAlignment w:val="center"/>
              <w:rPr>
                <w:rFonts w:hint="eastAsia" w:ascii="仿宋_GB2312" w:hAnsi="仿宋_GB2312" w:eastAsia="仿宋_GB2312" w:cs="仿宋_GB2312"/>
                <w:color w:val="auto"/>
                <w:sz w:val="24"/>
                <w:lang w:val="en-GB"/>
              </w:rPr>
            </w:pPr>
            <w:r>
              <w:rPr>
                <w:rFonts w:hint="eastAsia" w:ascii="仿宋_GB2312" w:hAnsi="仿宋_GB2312" w:eastAsia="仿宋_GB2312" w:cs="仿宋_GB2312"/>
                <w:color w:val="auto"/>
                <w:kern w:val="0"/>
                <w:sz w:val="24"/>
              </w:rPr>
              <w:t>（2）运动吧（室外）外壳防护能力等级高于IP54的，加1分。</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提供由第三方检测机构</w:t>
            </w:r>
            <w:bookmarkEnd w:id="434"/>
            <w:r>
              <w:rPr>
                <w:rFonts w:hint="eastAsia" w:ascii="仿宋_GB2312" w:hAnsi="仿宋_GB2312" w:eastAsia="仿宋_GB2312" w:cs="仿宋_GB2312"/>
                <w:color w:val="auto"/>
                <w:kern w:val="0"/>
                <w:sz w:val="24"/>
              </w:rPr>
              <w:t>出具的有CMA或CNAS标志检验检测报告。</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 xml:space="preserve"> </w:t>
            </w:r>
            <w:bookmarkEnd w:id="435"/>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w:t>
            </w: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实施方案</w:t>
            </w:r>
          </w:p>
          <w:p>
            <w:pPr>
              <w:pStyle w:val="62"/>
              <w:rPr>
                <w:rFonts w:hint="eastAsia" w:ascii="仿宋_GB2312" w:hAnsi="仿宋_GB2312" w:eastAsia="仿宋_GB2312" w:cs="仿宋_GB2312"/>
                <w:color w:val="auto"/>
                <w:szCs w:val="24"/>
                <w:lang w:val="en-US"/>
              </w:rPr>
            </w:pPr>
            <w:r>
              <w:rPr>
                <w:rFonts w:hint="eastAsia" w:ascii="仿宋_GB2312" w:hAnsi="仿宋_GB2312" w:eastAsia="仿宋_GB2312" w:cs="仿宋_GB2312"/>
                <w:b w:val="0"/>
                <w:color w:val="auto"/>
                <w:szCs w:val="24"/>
              </w:rPr>
              <w:t>（主观分）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b/>
                <w:color w:val="auto"/>
                <w:sz w:val="24"/>
              </w:rPr>
            </w:pPr>
            <w:r>
              <w:rPr>
                <w:rStyle w:val="314"/>
                <w:rFonts w:hint="eastAsia" w:ascii="仿宋_GB2312" w:hAnsi="仿宋_GB2312" w:eastAsia="仿宋_GB2312" w:cs="仿宋_GB2312"/>
                <w:color w:val="auto"/>
                <w:sz w:val="24"/>
                <w:szCs w:val="24"/>
              </w:rPr>
              <w:t>项目整体实施方案，包括</w:t>
            </w:r>
            <w:r>
              <w:rPr>
                <w:rStyle w:val="314"/>
                <w:rFonts w:hint="eastAsia" w:ascii="仿宋_GB2312" w:hAnsi="仿宋_GB2312" w:eastAsia="仿宋_GB2312" w:cs="仿宋_GB2312"/>
                <w:color w:val="auto"/>
                <w:sz w:val="24"/>
                <w:szCs w:val="24"/>
                <w:lang w:val="en-US"/>
              </w:rPr>
              <w:t>但不限于</w:t>
            </w:r>
            <w:r>
              <w:rPr>
                <w:rStyle w:val="314"/>
                <w:rFonts w:hint="eastAsia" w:ascii="仿宋_GB2312" w:hAnsi="仿宋_GB2312" w:eastAsia="仿宋_GB2312" w:cs="仿宋_GB2312"/>
                <w:color w:val="auto"/>
                <w:sz w:val="24"/>
                <w:szCs w:val="24"/>
              </w:rPr>
              <w:t>现场安装及调试等。根据投标人提供的</w:t>
            </w:r>
            <w:r>
              <w:rPr>
                <w:rStyle w:val="314"/>
                <w:rFonts w:hint="eastAsia" w:ascii="仿宋_GB2312" w:hAnsi="仿宋_GB2312" w:eastAsia="仿宋_GB2312" w:cs="仿宋_GB2312"/>
                <w:color w:val="auto"/>
                <w:sz w:val="24"/>
                <w:szCs w:val="24"/>
                <w:lang w:val="en-US"/>
              </w:rPr>
              <w:t>投标</w:t>
            </w:r>
            <w:r>
              <w:rPr>
                <w:rStyle w:val="314"/>
                <w:rFonts w:hint="eastAsia" w:ascii="仿宋_GB2312" w:hAnsi="仿宋_GB2312" w:eastAsia="仿宋_GB2312" w:cs="仿宋_GB2312"/>
                <w:color w:val="auto"/>
                <w:sz w:val="24"/>
                <w:szCs w:val="24"/>
              </w:rPr>
              <w:t>方案，覆盖全部学校的得基本分3分，方案针对性强、各校配置点位清晰的得5分。未提供或点位不全、不满足实际需求不得分。</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7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进度安排</w:t>
            </w:r>
          </w:p>
          <w:p>
            <w:pPr>
              <w:pStyle w:val="62"/>
              <w:rPr>
                <w:rFonts w:hint="eastAsia" w:ascii="仿宋_GB2312" w:hAnsi="仿宋_GB2312" w:eastAsia="仿宋_GB2312" w:cs="仿宋_GB2312"/>
                <w:color w:val="auto"/>
                <w:szCs w:val="24"/>
                <w:lang w:val="en-US"/>
              </w:rPr>
            </w:pPr>
            <w:r>
              <w:rPr>
                <w:rFonts w:hint="eastAsia" w:ascii="仿宋_GB2312" w:hAnsi="仿宋_GB2312" w:eastAsia="仿宋_GB2312" w:cs="仿宋_GB2312"/>
                <w:b w:val="0"/>
                <w:color w:val="auto"/>
                <w:szCs w:val="24"/>
              </w:rPr>
              <w:t>（主观分）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b/>
                <w:color w:val="auto"/>
                <w:sz w:val="24"/>
              </w:rPr>
            </w:pPr>
            <w:r>
              <w:rPr>
                <w:rStyle w:val="314"/>
                <w:rFonts w:hint="eastAsia" w:ascii="仿宋_GB2312" w:hAnsi="仿宋_GB2312" w:eastAsia="仿宋_GB2312" w:cs="仿宋_GB2312"/>
                <w:color w:val="auto"/>
                <w:sz w:val="24"/>
                <w:szCs w:val="24"/>
              </w:rPr>
              <w:t>含工作进度计划表、工作程序和步骤、管理和协调方法、关键节点的思路和要点等内容。内容一般或针对性差得基本分1分，内容完整、针对性强的得2分，内容缺失不完</w:t>
            </w:r>
            <w:r>
              <w:rPr>
                <w:rStyle w:val="314"/>
                <w:rFonts w:hint="eastAsia" w:ascii="仿宋_GB2312" w:hAnsi="仿宋_GB2312" w:eastAsia="仿宋_GB2312" w:cs="仿宋_GB2312"/>
                <w:color w:val="auto"/>
                <w:sz w:val="24"/>
                <w:szCs w:val="24"/>
                <w:lang w:val="en-US"/>
              </w:rPr>
              <w:t>整</w:t>
            </w:r>
            <w:r>
              <w:rPr>
                <w:rStyle w:val="314"/>
                <w:rFonts w:hint="eastAsia" w:ascii="仿宋_GB2312" w:hAnsi="仿宋_GB2312" w:eastAsia="仿宋_GB2312" w:cs="仿宋_GB2312"/>
                <w:color w:val="auto"/>
                <w:sz w:val="24"/>
                <w:szCs w:val="24"/>
              </w:rPr>
              <w:t>不得分。</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培训方案</w:t>
            </w:r>
          </w:p>
          <w:p>
            <w:pPr>
              <w:pStyle w:val="62"/>
              <w:rPr>
                <w:rFonts w:hint="eastAsia" w:ascii="仿宋_GB2312" w:hAnsi="仿宋_GB2312" w:eastAsia="仿宋_GB2312" w:cs="仿宋_GB2312"/>
                <w:color w:val="auto"/>
                <w:szCs w:val="24"/>
                <w:lang w:val="en-US"/>
              </w:rPr>
            </w:pPr>
            <w:r>
              <w:rPr>
                <w:rFonts w:hint="eastAsia" w:ascii="仿宋_GB2312" w:hAnsi="仿宋_GB2312" w:eastAsia="仿宋_GB2312" w:cs="仿宋_GB2312"/>
                <w:b w:val="0"/>
                <w:color w:val="auto"/>
                <w:szCs w:val="24"/>
              </w:rPr>
              <w:t>（主观分）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b/>
                <w:color w:val="auto"/>
                <w:sz w:val="24"/>
              </w:rPr>
            </w:pPr>
            <w:r>
              <w:rPr>
                <w:rStyle w:val="314"/>
                <w:rFonts w:hint="eastAsia" w:ascii="仿宋_GB2312" w:hAnsi="仿宋_GB2312" w:eastAsia="仿宋_GB2312" w:cs="仿宋_GB2312"/>
                <w:color w:val="auto"/>
                <w:sz w:val="24"/>
                <w:szCs w:val="24"/>
              </w:rPr>
              <w:t>包含但不限于培训对象、培训目标、培训内容、培训时间安排、培训师资、培训质量保障、培训考核、培训流程安排等内容，方案略有欠缺需完善后可实施得基本分1分，方案完整全面、可操作性强的得2分，方案不可行或不提供不得分。</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售后服务方案</w:t>
            </w:r>
          </w:p>
          <w:p>
            <w:pPr>
              <w:pStyle w:val="62"/>
              <w:rPr>
                <w:rFonts w:hint="eastAsia" w:ascii="仿宋_GB2312" w:hAnsi="仿宋_GB2312" w:eastAsia="仿宋_GB2312" w:cs="仿宋_GB2312"/>
                <w:b w:val="0"/>
                <w:color w:val="auto"/>
                <w:szCs w:val="24"/>
                <w:lang w:val="en-US"/>
              </w:rPr>
            </w:pPr>
            <w:r>
              <w:rPr>
                <w:rFonts w:hint="eastAsia" w:ascii="仿宋_GB2312" w:hAnsi="仿宋_GB2312" w:eastAsia="仿宋_GB2312" w:cs="仿宋_GB2312"/>
                <w:b w:val="0"/>
                <w:color w:val="auto"/>
                <w:szCs w:val="24"/>
              </w:rPr>
              <w:t>（主观分）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kern w:val="0"/>
                <w:sz w:val="24"/>
              </w:rPr>
              <w:t>提供详细的售后服务方案，包含但不限于售后服务流程、应急预案、响应速度等内容。</w:t>
            </w:r>
            <w:r>
              <w:rPr>
                <w:rStyle w:val="314"/>
                <w:rFonts w:hint="eastAsia" w:ascii="仿宋_GB2312" w:hAnsi="仿宋_GB2312" w:eastAsia="仿宋_GB2312" w:cs="仿宋_GB2312"/>
                <w:color w:val="auto"/>
                <w:sz w:val="24"/>
                <w:szCs w:val="24"/>
              </w:rPr>
              <w:t>方案一般或针对性差得基本分3分，内容完整、针对性强的得5分，内容缺失不完</w:t>
            </w:r>
            <w:r>
              <w:rPr>
                <w:rStyle w:val="314"/>
                <w:rFonts w:hint="eastAsia" w:ascii="仿宋_GB2312" w:hAnsi="仿宋_GB2312" w:eastAsia="仿宋_GB2312" w:cs="仿宋_GB2312"/>
                <w:color w:val="auto"/>
                <w:sz w:val="24"/>
                <w:szCs w:val="24"/>
                <w:lang w:val="en-US"/>
              </w:rPr>
              <w:t>整</w:t>
            </w:r>
            <w:r>
              <w:rPr>
                <w:rStyle w:val="314"/>
                <w:rFonts w:hint="eastAsia" w:ascii="仿宋_GB2312" w:hAnsi="仿宋_GB2312" w:eastAsia="仿宋_GB2312" w:cs="仿宋_GB2312"/>
                <w:color w:val="auto"/>
                <w:sz w:val="24"/>
                <w:szCs w:val="24"/>
              </w:rPr>
              <w:t>不得分。</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6</w:t>
            </w:r>
          </w:p>
        </w:tc>
        <w:tc>
          <w:tcPr>
            <w:tcW w:w="12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hAnsi="仿宋_GB2312" w:eastAsia="仿宋_GB2312" w:cs="仿宋_GB2312"/>
                <w:color w:val="auto"/>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质保承诺</w:t>
            </w:r>
            <w:r>
              <w:rPr>
                <w:rFonts w:hint="eastAsia" w:ascii="仿宋_GB2312" w:hAnsi="仿宋_GB2312" w:eastAsia="仿宋_GB2312" w:cs="仿宋_GB2312"/>
                <w:color w:val="auto"/>
                <w:kern w:val="0"/>
                <w:sz w:val="24"/>
              </w:rPr>
              <w:t>（客观分）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color w:val="auto"/>
                <w:kern w:val="0"/>
                <w:sz w:val="24"/>
              </w:rPr>
              <w:t>本项目质保期不少于三年，在质保期三年的基础上，投标人承诺每延长一年得1分，最高得3分。提供相关承诺函。</w:t>
            </w:r>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9</w:t>
            </w:r>
          </w:p>
        </w:tc>
        <w:tc>
          <w:tcPr>
            <w:tcW w:w="127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演示分</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(8分）</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视频演示（客观分）</w:t>
            </w:r>
          </w:p>
        </w:tc>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left"/>
              <w:rPr>
                <w:rFonts w:hint="eastAsia" w:ascii="仿宋_GB2312" w:hAnsi="仿宋_GB2312" w:eastAsia="仿宋_GB2312" w:cs="仿宋_GB2312"/>
                <w:color w:val="auto"/>
                <w:kern w:val="0"/>
                <w:sz w:val="24"/>
                <w:lang w:bidi="ar"/>
              </w:rPr>
            </w:pPr>
            <w:bookmarkStart w:id="436" w:name="OLE_LINK19"/>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val="en-US" w:eastAsia="zh-CN" w:bidi="ar"/>
              </w:rPr>
              <w:t>阳光跑</w:t>
            </w:r>
            <w:r>
              <w:rPr>
                <w:rFonts w:hint="eastAsia" w:ascii="仿宋_GB2312" w:hAnsi="仿宋_GB2312" w:eastAsia="仿宋_GB2312" w:cs="仿宋_GB2312"/>
                <w:color w:val="auto"/>
                <w:kern w:val="0"/>
                <w:sz w:val="24"/>
                <w:lang w:bidi="ar"/>
              </w:rPr>
              <w:t>（3分）</w:t>
            </w:r>
          </w:p>
          <w:p>
            <w:pPr>
              <w:widowControl/>
              <w:spacing w:line="400" w:lineRule="exact"/>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（1）支持跑步目标设定，并自动计算完成率。可设置学期目标公里数、日目标公里数、最高配速、最低配速等。功能展示完整、全面的得1分，否则不得分。（1分）</w:t>
            </w:r>
          </w:p>
          <w:p>
            <w:pPr>
              <w:widowControl/>
              <w:spacing w:line="400" w:lineRule="exact"/>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（2）任务结束后可查看每个班级已参与/未参与的学生名单，并且查看学生的运动里程。功能展示完整、全面的得1分，否则不得分。（1分）</w:t>
            </w:r>
          </w:p>
          <w:p>
            <w:pPr>
              <w:widowControl/>
              <w:spacing w:line="400" w:lineRule="exact"/>
              <w:jc w:val="left"/>
              <w:rPr>
                <w:rFonts w:hint="eastAsia" w:ascii="仿宋_GB2312" w:hAnsi="仿宋_GB2312" w:eastAsia="仿宋_GB2312" w:cs="仿宋_GB2312"/>
                <w:b/>
                <w:color w:val="auto"/>
                <w:sz w:val="24"/>
                <w:lang w:bidi="ar"/>
              </w:rPr>
            </w:pPr>
            <w:r>
              <w:rPr>
                <w:rFonts w:hint="eastAsia" w:ascii="仿宋_GB2312" w:hAnsi="仿宋_GB2312" w:eastAsia="仿宋_GB2312" w:cs="仿宋_GB2312"/>
                <w:color w:val="auto"/>
                <w:kern w:val="0"/>
                <w:sz w:val="24"/>
                <w:lang w:bidi="ar"/>
              </w:rPr>
              <w:t>（3）</w:t>
            </w:r>
            <w:r>
              <w:rPr>
                <w:rFonts w:hint="eastAsia" w:ascii="仿宋_GB2312" w:hAnsi="仿宋_GB2312" w:eastAsia="仿宋_GB2312" w:cs="仿宋_GB2312"/>
                <w:color w:val="auto"/>
                <w:kern w:val="0"/>
                <w:sz w:val="24"/>
              </w:rPr>
              <w:t>学生在</w:t>
            </w:r>
            <w:r>
              <w:rPr>
                <w:rFonts w:hint="eastAsia" w:ascii="仿宋_GB2312" w:hAnsi="仿宋_GB2312" w:eastAsia="仿宋_GB2312" w:cs="仿宋_GB2312"/>
                <w:color w:val="auto"/>
                <w:kern w:val="0"/>
                <w:sz w:val="24"/>
                <w:lang w:val="en-US" w:eastAsia="zh-CN"/>
              </w:rPr>
              <w:t>阳光跑屏</w:t>
            </w:r>
            <w:r>
              <w:rPr>
                <w:rFonts w:hint="eastAsia" w:ascii="仿宋_GB2312" w:hAnsi="仿宋_GB2312" w:eastAsia="仿宋_GB2312" w:cs="仿宋_GB2312"/>
                <w:color w:val="auto"/>
                <w:kern w:val="0"/>
                <w:sz w:val="24"/>
              </w:rPr>
              <w:t>前通过人脸识别后，大屏即可显示、查询到自己本期累计成绩</w:t>
            </w:r>
            <w:r>
              <w:rPr>
                <w:rFonts w:hint="eastAsia" w:ascii="仿宋_GB2312" w:hAnsi="仿宋_GB2312" w:eastAsia="仿宋_GB2312" w:cs="仿宋_GB2312"/>
                <w:color w:val="auto"/>
                <w:kern w:val="0"/>
                <w:sz w:val="24"/>
                <w:lang w:bidi="ar"/>
              </w:rPr>
              <w:t>，完成任务度成绩。功能展示完整、全面的得1分，否则不得分。（1分）</w:t>
            </w:r>
          </w:p>
          <w:p>
            <w:pPr>
              <w:widowControl/>
              <w:spacing w:line="400" w:lineRule="exact"/>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2.50米跑（2分）</w:t>
            </w:r>
          </w:p>
          <w:p>
            <w:pPr>
              <w:spacing w:line="400" w:lineRule="exact"/>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（1）起终点违规AI检测：演示起跑踩线、抢跑等违规行为，并给以智能提醒及智能判罚。逐项功能演示，完全满足得1分。否则不得分。（1分）</w:t>
            </w:r>
          </w:p>
          <w:p>
            <w:pPr>
              <w:spacing w:line="400" w:lineRule="exact"/>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（2）起终点争议点回放：演示起跑、冲刺等关键帧回放。逐项功能演示，完全满足得1分。否则不得分。（1分）</w:t>
            </w:r>
          </w:p>
          <w:p>
            <w:pPr>
              <w:spacing w:line="400" w:lineRule="exac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3.运动吧（3分）</w:t>
            </w:r>
          </w:p>
          <w:p>
            <w:pPr>
              <w:spacing w:line="400" w:lineRule="exac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（1）具备AI检测运动项目包括但不限于仰卧起坐、立定跳远、引体向上、跳绳等体测运动。（不借助任何穿戴设备的体测运动AI检测的演示，现场进行立定跳远、仰卧起坐实际操作示范。）</w:t>
            </w:r>
            <w:bookmarkStart w:id="437" w:name="OLE_LINK20"/>
            <w:r>
              <w:rPr>
                <w:rFonts w:hint="eastAsia" w:ascii="仿宋_GB2312" w:hAnsi="仿宋_GB2312" w:eastAsia="仿宋_GB2312" w:cs="仿宋_GB2312"/>
                <w:color w:val="auto"/>
                <w:kern w:val="0"/>
                <w:sz w:val="24"/>
                <w:lang w:bidi="ar"/>
              </w:rPr>
              <w:t>逐项功能演示，完全满足得1分。否则不得分。（1分）</w:t>
            </w:r>
            <w:bookmarkEnd w:id="437"/>
          </w:p>
          <w:p>
            <w:pPr>
              <w:spacing w:line="4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（2）采用AI视觉算法演示跳绳计数，体现违规动作分析及运动成绩实时计算，支持通过相关设备直接查看运动回放。逐项功能演示，完全满足得1分。否则不得分。（1分）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（3）采用AI视觉算法演示立定跳远计数，演示起跳踩线、单脚起跳、跳跃中途换人并实时进行语音违规提示。支持通过相关设备直接查看运动回放。逐项功能演示，完全满足得1分。否则不得分。（1分）</w:t>
            </w:r>
            <w:bookmarkEnd w:id="436"/>
          </w:p>
        </w:tc>
        <w:tc>
          <w:tcPr>
            <w:tcW w:w="12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8</w:t>
            </w:r>
          </w:p>
        </w:tc>
      </w:tr>
    </w:tbl>
    <w:p>
      <w:pPr>
        <w:rPr>
          <w:rFonts w:hint="eastAsia" w:ascii="仿宋_GB2312" w:hAnsi="仿宋_GB2312" w:eastAsia="仿宋_GB2312" w:cs="仿宋_GB2312"/>
          <w:color w:val="auto"/>
        </w:rPr>
      </w:pPr>
    </w:p>
    <w:p>
      <w:pPr>
        <w:snapToGrid w:val="0"/>
        <w:spacing w:line="360" w:lineRule="auto"/>
        <w:rPr>
          <w:rFonts w:hint="eastAsia" w:ascii="仿宋_GB2312" w:hAnsi="仿宋_GB2312" w:eastAsia="仿宋_GB2312" w:cs="仿宋_GB2312"/>
          <w:color w:val="auto"/>
          <w:sz w:val="20"/>
          <w:shd w:val="clear" w:color="auto" w:fill="FFFFFF"/>
        </w:rPr>
      </w:pPr>
      <w:r>
        <w:rPr>
          <w:rFonts w:hint="eastAsia" w:ascii="仿宋_GB2312" w:hAnsi="仿宋_GB2312" w:eastAsia="仿宋_GB2312" w:cs="仿宋_GB2312"/>
          <w:color w:val="auto"/>
          <w:sz w:val="20"/>
          <w:shd w:val="clear" w:color="auto" w:fill="FFFFFF"/>
        </w:rPr>
        <w:t> </w:t>
      </w:r>
    </w:p>
    <w:p>
      <w:pPr>
        <w:snapToGrid w:val="0"/>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p>
      <w:pPr>
        <w:snapToGrid w:val="0"/>
        <w:spacing w:line="360" w:lineRule="auto"/>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rPr>
        <w:t>1.投</w:t>
      </w:r>
      <w:r>
        <w:rPr>
          <w:rFonts w:hint="eastAsia" w:ascii="仿宋_GB2312" w:hAnsi="仿宋_GB2312" w:eastAsia="仿宋_GB2312" w:cs="仿宋_GB2312"/>
          <w:color w:val="auto"/>
          <w:sz w:val="24"/>
        </w:rPr>
        <w:t>标人编制投标文件（商务技术文件部分）时，建议按此目录（序号和内容）提供评标标准相应的商务技术资料。 </w:t>
      </w:r>
    </w:p>
    <w:p>
      <w:pPr>
        <w:adjustRightInd/>
        <w:spacing w:line="360" w:lineRule="auto"/>
        <w:ind w:firstLine="470"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2.采购人在评审结束后、合同签订前及时复核供应商材料，涉及得分的证件、证书、合同、报告等均需提供相关扫描件需在官网可查询，提供虚假扫描件的一经查实作虚假应标处理。</w:t>
      </w:r>
    </w:p>
    <w:p>
      <w:pPr>
        <w:adjustRightInd/>
        <w:spacing w:line="360" w:lineRule="auto"/>
        <w:ind w:firstLine="470" w:firstLineChars="196"/>
        <w:rPr>
          <w:rFonts w:hint="eastAsia" w:ascii="仿宋_GB2312" w:hAnsi="仿宋_GB2312" w:eastAsia="仿宋_GB2312" w:cs="仿宋_GB2312"/>
          <w:color w:val="auto"/>
          <w:lang w:val="en-US"/>
        </w:rPr>
      </w:pPr>
      <w:r>
        <w:rPr>
          <w:rFonts w:hint="eastAsia" w:ascii="仿宋_GB2312" w:hAnsi="仿宋_GB2312" w:eastAsia="仿宋_GB2312" w:cs="仿宋_GB2312"/>
          <w:color w:val="auto"/>
          <w:kern w:val="0"/>
          <w:sz w:val="24"/>
        </w:rPr>
        <w:t>3、演示视频以U盘形式在2025年</w:t>
      </w:r>
      <w:r>
        <w:rPr>
          <w:rFonts w:hint="eastAsia" w:ascii="仿宋_GB2312" w:hAnsi="仿宋_GB2312" w:eastAsia="仿宋_GB2312" w:cs="仿宋_GB2312"/>
          <w:color w:val="auto"/>
          <w:kern w:val="0"/>
          <w:sz w:val="24"/>
          <w:lang w:val="en-US" w:eastAsia="zh-CN"/>
        </w:rPr>
        <w:t>08</w:t>
      </w:r>
      <w:r>
        <w:rPr>
          <w:rFonts w:hint="eastAsia" w:ascii="仿宋_GB2312" w:hAnsi="仿宋_GB2312" w:eastAsia="仿宋_GB2312" w:cs="仿宋_GB2312"/>
          <w:color w:val="auto"/>
          <w:kern w:val="0"/>
          <w:sz w:val="24"/>
        </w:rPr>
        <w:t>月</w:t>
      </w:r>
      <w:r>
        <w:rPr>
          <w:rFonts w:hint="eastAsia" w:ascii="仿宋_GB2312" w:hAnsi="仿宋_GB2312" w:eastAsia="仿宋_GB2312" w:cs="仿宋_GB2312"/>
          <w:color w:val="auto"/>
          <w:kern w:val="0"/>
          <w:sz w:val="24"/>
          <w:lang w:val="en-US" w:eastAsia="zh-CN"/>
        </w:rPr>
        <w:t>06</w:t>
      </w:r>
      <w:r>
        <w:rPr>
          <w:rFonts w:hint="eastAsia" w:ascii="仿宋_GB2312" w:hAnsi="仿宋_GB2312" w:eastAsia="仿宋_GB2312" w:cs="仿宋_GB2312"/>
          <w:color w:val="auto"/>
          <w:kern w:val="0"/>
          <w:sz w:val="24"/>
        </w:rPr>
        <w:t>日17:00时前邮寄至江山惠捷信息技术咨询有限公司（地址：江山市双塔街道礼贤路80幢一单元227号，联系人：</w:t>
      </w:r>
      <w:r>
        <w:rPr>
          <w:rFonts w:hint="eastAsia" w:ascii="仿宋_GB2312" w:hAnsi="仿宋_GB2312" w:eastAsia="仿宋_GB2312" w:cs="仿宋_GB2312"/>
          <w:color w:val="auto"/>
          <w:kern w:val="0"/>
          <w:sz w:val="24"/>
          <w:lang w:val="en-US" w:eastAsia="zh-CN"/>
        </w:rPr>
        <w:t>刘</w:t>
      </w:r>
      <w:r>
        <w:rPr>
          <w:rFonts w:hint="eastAsia" w:ascii="仿宋_GB2312" w:hAnsi="仿宋_GB2312" w:eastAsia="仿宋_GB2312" w:cs="仿宋_GB2312"/>
          <w:color w:val="auto"/>
          <w:kern w:val="0"/>
          <w:sz w:val="24"/>
        </w:rPr>
        <w:t>女士，电话：</w:t>
      </w:r>
      <w:r>
        <w:rPr>
          <w:rFonts w:hint="eastAsia" w:ascii="仿宋_GB2312" w:hAnsi="仿宋_GB2312" w:eastAsia="仿宋_GB2312" w:cs="仿宋_GB2312"/>
          <w:color w:val="auto"/>
          <w:kern w:val="0"/>
          <w:sz w:val="24"/>
          <w:lang w:val="en-US" w:eastAsia="zh-CN"/>
        </w:rPr>
        <w:t>19817033225</w:t>
      </w:r>
      <w:r>
        <w:rPr>
          <w:rFonts w:hint="eastAsia" w:ascii="仿宋_GB2312" w:hAnsi="仿宋_GB2312" w:eastAsia="仿宋_GB2312" w:cs="仿宋_GB2312"/>
          <w:color w:val="auto"/>
          <w:kern w:val="0"/>
          <w:sz w:val="24"/>
        </w:rPr>
        <w:t>），演示视频需打包压缩并加密</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请自行检查视频是否能正常播放，如开标现场设备未能读取播放演示视频</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由投标人自行承担）</w:t>
      </w:r>
      <w:r>
        <w:rPr>
          <w:rFonts w:hint="eastAsia" w:ascii="仿宋_GB2312" w:hAnsi="仿宋_GB2312" w:eastAsia="仿宋_GB2312" w:cs="仿宋_GB2312"/>
          <w:color w:val="auto"/>
          <w:kern w:val="0"/>
          <w:sz w:val="24"/>
        </w:rPr>
        <w:t>U盘用信封密封好并填写好公司及项目名称</w:t>
      </w:r>
      <w:r>
        <w:rPr>
          <w:rFonts w:hint="eastAsia" w:ascii="仿宋_GB2312" w:hAnsi="仿宋_GB2312" w:eastAsia="仿宋_GB2312" w:cs="仿宋_GB2312"/>
          <w:color w:val="auto"/>
          <w:kern w:val="0"/>
          <w:sz w:val="24"/>
          <w:lang w:val="en-US" w:eastAsia="zh-CN"/>
        </w:rPr>
        <w:t>加盖投标单位公章</w:t>
      </w:r>
      <w:r>
        <w:rPr>
          <w:rFonts w:hint="eastAsia" w:ascii="仿宋_GB2312" w:hAnsi="仿宋_GB2312" w:eastAsia="仿宋_GB2312" w:cs="仿宋_GB2312"/>
          <w:color w:val="auto"/>
          <w:kern w:val="0"/>
          <w:sz w:val="24"/>
        </w:rPr>
        <w:t>，加密密码由供应商自行保管，请周一至周五快递到上述地址，开标当天根据询标获得密码，如在投标截止时间前未收到U盘将视作放弃视频演示。</w:t>
      </w:r>
    </w:p>
    <w:p>
      <w:pPr>
        <w:snapToGrid w:val="0"/>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rPr>
        <w:t>一、评标方法</w:t>
      </w:r>
    </w:p>
    <w:p>
      <w:pPr>
        <w:adjustRightInd/>
        <w:spacing w:line="360" w:lineRule="auto"/>
        <w:ind w:firstLine="472"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1.本项目采用综合评分法。</w:t>
      </w:r>
      <w:r>
        <w:rPr>
          <w:rFonts w:hint="eastAsia" w:ascii="仿宋_GB2312" w:hAnsi="仿宋_GB2312" w:eastAsia="仿宋_GB2312" w:cs="仿宋_GB2312"/>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sz w:val="32"/>
        </w:rPr>
        <w:t>二、评标标准</w:t>
      </w:r>
    </w:p>
    <w:p>
      <w:pPr>
        <w:spacing w:line="360" w:lineRule="auto"/>
        <w:ind w:firstLine="472" w:firstLineChars="196"/>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2.评标标准：</w:t>
      </w:r>
      <w:r>
        <w:rPr>
          <w:rFonts w:hint="eastAsia" w:ascii="仿宋_GB2312" w:hAnsi="仿宋_GB2312" w:eastAsia="仿宋_GB2312" w:cs="仿宋_GB2312"/>
          <w:color w:val="auto"/>
          <w:kern w:val="0"/>
          <w:sz w:val="24"/>
        </w:rPr>
        <w:t>见评标办法前附表。</w:t>
      </w:r>
    </w:p>
    <w:p>
      <w:pPr>
        <w:spacing w:line="360" w:lineRule="auto"/>
        <w:outlineLvl w:val="0"/>
        <w:rPr>
          <w:rFonts w:hint="eastAsia" w:ascii="仿宋_GB2312" w:hAnsi="仿宋_GB2312" w:eastAsia="仿宋_GB2312" w:cs="仿宋_GB2312"/>
          <w:b/>
          <w:color w:val="auto"/>
          <w:sz w:val="36"/>
          <w:szCs w:val="36"/>
        </w:rPr>
      </w:pPr>
      <w:bookmarkStart w:id="438" w:name="_Toc1576"/>
      <w:bookmarkStart w:id="439" w:name="_Toc27936"/>
      <w:r>
        <w:rPr>
          <w:rFonts w:hint="eastAsia" w:ascii="仿宋_GB2312" w:hAnsi="仿宋_GB2312" w:eastAsia="仿宋_GB2312" w:cs="仿宋_GB2312"/>
          <w:b/>
          <w:color w:val="auto"/>
          <w:sz w:val="36"/>
          <w:szCs w:val="36"/>
        </w:rPr>
        <w:t>三、评标程序</w:t>
      </w:r>
      <w:bookmarkEnd w:id="438"/>
      <w:bookmarkEnd w:id="439"/>
    </w:p>
    <w:p>
      <w:pPr>
        <w:spacing w:line="360" w:lineRule="auto"/>
        <w:ind w:firstLine="472"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3.1符合性审查。</w:t>
      </w:r>
      <w:r>
        <w:rPr>
          <w:rFonts w:hint="eastAsia" w:ascii="仿宋_GB2312" w:hAnsi="仿宋_GB2312" w:eastAsia="仿宋_GB2312" w:cs="仿宋_GB2312"/>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3.2 比较与评价。</w:t>
      </w:r>
      <w:r>
        <w:rPr>
          <w:rFonts w:hint="eastAsia" w:ascii="仿宋_GB2312" w:hAnsi="仿宋_GB2312" w:eastAsia="仿宋_GB2312" w:cs="仿宋_GB2312"/>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3.3汇总商务技术得分。</w:t>
      </w:r>
      <w:r>
        <w:rPr>
          <w:rFonts w:hint="eastAsia" w:ascii="仿宋_GB2312" w:hAnsi="仿宋_GB2312" w:eastAsia="仿宋_GB2312" w:cs="仿宋_GB2312"/>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3.4报价评审。</w:t>
      </w:r>
    </w:p>
    <w:p>
      <w:pPr>
        <w:pStyle w:val="131"/>
        <w:spacing w:before="0"/>
        <w:ind w:firstLine="508" w:firstLineChars="212"/>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3.4.1投标文件报价出现前后不一致的，按照下列规定修正：</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3.4.1.1投标文件中开标一览表(报价表)内容与投标文件中相应内容不一致的，以开标一览表(报价表)为准;</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3.4.1.2大写金额和小写金额不一致的，以大写金额为准;</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3.4.1.3单价金额小数点或者百分比有明显错位的，以开标一览表的总价为准，并修改单价;</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3.4.1.4总价金额与按单价汇总金额不一致的，以单价金额计算结果为准。</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3.4.2投标文件出现不是唯一的、有选择性投标报价的，投标无效。</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3.4.3投标报价超过招标文件中规定的预算金额或者最高限价的，投标无效。</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_GB2312" w:hAnsi="仿宋_GB2312" w:eastAsia="仿宋_GB2312" w:cs="仿宋_GB2312"/>
          <w:bCs/>
          <w:color w:val="auto"/>
          <w:kern w:val="0"/>
          <w:szCs w:val="24"/>
        </w:rPr>
      </w:pPr>
      <w:r>
        <w:rPr>
          <w:rFonts w:hint="eastAsia" w:ascii="仿宋_GB2312" w:hAnsi="仿宋_GB2312" w:eastAsia="仿宋_GB2312" w:cs="仿宋_GB2312"/>
          <w:bCs/>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3.5排序与推荐。</w:t>
      </w:r>
      <w:r>
        <w:rPr>
          <w:rFonts w:hint="eastAsia" w:ascii="仿宋_GB2312" w:hAnsi="仿宋_GB2312" w:eastAsia="仿宋_GB2312" w:cs="仿宋_GB2312"/>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非核心产品可以相同品牌。</w:t>
      </w:r>
    </w:p>
    <w:p>
      <w:pPr>
        <w:spacing w:line="420" w:lineRule="exact"/>
        <w:ind w:firstLine="472" w:firstLineChars="196"/>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3.6编写评标报告。</w:t>
      </w:r>
      <w:r>
        <w:rPr>
          <w:rFonts w:hint="eastAsia" w:ascii="仿宋_GB2312" w:hAnsi="仿宋_GB2312" w:eastAsia="仿宋_GB2312" w:cs="仿宋_GB2312"/>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四、评标中的其他事项</w:t>
      </w:r>
    </w:p>
    <w:p>
      <w:pPr>
        <w:pStyle w:val="131"/>
        <w:spacing w:before="0" w:line="420" w:lineRule="exact"/>
        <w:ind w:firstLine="472" w:firstLineChars="196"/>
        <w:rPr>
          <w:rFonts w:hint="eastAsia" w:ascii="仿宋_GB2312" w:hAnsi="仿宋_GB2312" w:eastAsia="仿宋_GB2312" w:cs="仿宋_GB2312"/>
          <w:color w:val="auto"/>
          <w:kern w:val="0"/>
          <w:szCs w:val="24"/>
        </w:rPr>
      </w:pPr>
      <w:r>
        <w:rPr>
          <w:rFonts w:hint="eastAsia" w:ascii="仿宋_GB2312" w:hAnsi="仿宋_GB2312" w:eastAsia="仿宋_GB2312" w:cs="仿宋_GB2312"/>
          <w:b/>
          <w:color w:val="auto"/>
          <w:kern w:val="0"/>
          <w:szCs w:val="24"/>
        </w:rPr>
        <w:t>4.1投标人澄清、说明或者补正。</w:t>
      </w:r>
      <w:r>
        <w:rPr>
          <w:rFonts w:hint="eastAsia" w:ascii="仿宋_GB2312" w:hAnsi="仿宋_GB2312" w:eastAsia="仿宋_GB2312" w:cs="仿宋_GB2312"/>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hint="eastAsia" w:ascii="仿宋_GB2312" w:hAnsi="仿宋_GB2312" w:eastAsia="仿宋_GB2312" w:cs="仿宋_GB2312"/>
          <w:color w:val="auto"/>
          <w:szCs w:val="21"/>
        </w:rPr>
      </w:pPr>
      <w:r>
        <w:rPr>
          <w:rFonts w:hint="eastAsia" w:ascii="仿宋_GB2312" w:hAnsi="仿宋_GB2312" w:eastAsia="仿宋_GB2312" w:cs="仿宋_GB2312"/>
          <w:b/>
          <w:color w:val="auto"/>
          <w:kern w:val="0"/>
        </w:rPr>
        <w:t>4.2投标无效。</w:t>
      </w:r>
      <w:r>
        <w:rPr>
          <w:rFonts w:hint="eastAsia" w:ascii="仿宋_GB2312" w:hAnsi="仿宋_GB2312" w:eastAsia="仿宋_GB2312" w:cs="仿宋_GB2312"/>
          <w:color w:val="auto"/>
          <w:szCs w:val="21"/>
        </w:rPr>
        <w:t>有下列情况之一的，投标无效：</w:t>
      </w:r>
    </w:p>
    <w:p>
      <w:pPr>
        <w:spacing w:line="4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4.2.1投标人对根据修正原则修正后的报价不确认的；</w:t>
      </w:r>
    </w:p>
    <w:p>
      <w:pPr>
        <w:spacing w:line="4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4.2.2投标人提供虚假材料投标的；</w:t>
      </w:r>
    </w:p>
    <w:p>
      <w:pPr>
        <w:spacing w:line="400" w:lineRule="exact"/>
        <w:ind w:firstLine="240" w:firstLineChars="1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4.2.3投标人有恶意串通、妨碍其他投标人的竞争行为、损害采购人或者其他投标人的合法权益情形的；</w:t>
      </w:r>
    </w:p>
    <w:p>
      <w:pPr>
        <w:spacing w:line="4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4.2.4投标人仅提交备份投标文件，没有在电子交易平台传输递交投标文件的，投标无效；</w:t>
      </w:r>
      <w:bookmarkStart w:id="440" w:name="_Toc10067"/>
      <w:bookmarkStart w:id="441" w:name="_Toc7813"/>
    </w:p>
    <w:p>
      <w:pPr>
        <w:spacing w:line="4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4.2.5 投标文件不满足招标文件的其它实质性要求的；</w:t>
      </w:r>
      <w:bookmarkEnd w:id="440"/>
      <w:bookmarkEnd w:id="441"/>
    </w:p>
    <w:p>
      <w:pPr>
        <w:spacing w:line="40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4.2.6法律、法规、规章（适用本市的）及省级以上规范性文件（适用本市的）规定的其他无效情形。</w:t>
      </w:r>
    </w:p>
    <w:p>
      <w:pPr>
        <w:spacing w:line="400" w:lineRule="exact"/>
        <w:rPr>
          <w:rFonts w:hint="eastAsia" w:ascii="仿宋_GB2312" w:hAnsi="仿宋_GB2312" w:eastAsia="仿宋_GB2312" w:cs="仿宋_GB2312"/>
          <w:color w:val="auto"/>
          <w:sz w:val="24"/>
        </w:rPr>
      </w:pPr>
    </w:p>
    <w:p>
      <w:pPr>
        <w:pStyle w:val="21"/>
        <w:snapToGrid w:val="0"/>
        <w:spacing w:line="400" w:lineRule="exact"/>
        <w:ind w:firstLine="472" w:firstLineChars="196"/>
        <w:rPr>
          <w:rFonts w:hint="eastAsia" w:ascii="仿宋_GB2312" w:hAnsi="仿宋_GB2312" w:eastAsia="仿宋_GB2312" w:cs="仿宋_GB2312"/>
          <w:color w:val="auto"/>
        </w:rPr>
      </w:pPr>
      <w:r>
        <w:rPr>
          <w:rFonts w:hint="eastAsia" w:ascii="仿宋_GB2312" w:hAnsi="仿宋_GB2312" w:eastAsia="仿宋_GB2312" w:cs="仿宋_GB2312"/>
          <w:b/>
          <w:color w:val="auto"/>
        </w:rPr>
        <w:t>5.废标。</w:t>
      </w:r>
      <w:r>
        <w:rPr>
          <w:rFonts w:hint="eastAsia" w:ascii="仿宋_GB2312" w:hAnsi="仿宋_GB2312" w:eastAsia="仿宋_GB2312" w:cs="仿宋_GB2312"/>
          <w:color w:val="auto"/>
        </w:rPr>
        <w:t>根据《中华人民共和国政府采购法》第三十六条之规定，在采购中，出现下列情形之一的，应予废标：</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5.1符合专业条件的供应商或者对招标文件作实质响应的供应商不足3家的；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5.2出现影响采购公正的违法、违规行为的；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5.3投标人的报价均超过了采购预算，采购人不能支付的；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5.4因重大变故，采购任务取消的；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5.5不同供应商的电子投标（响应）文件上传计算机的网卡MAC地址或硬盘序列号等硬件信息相同的；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5.6.上传的电子投标（响应）文件若出现使用本项目其他投标（响应）供应商的数字证书加密的，或者加盖本项目其他投标（响应）供应商的电子印章的；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5.7.不同供应商的投标（响应）文件的内容存在三处（含）以上错误一致的；</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5.8.不同供应商联系人为同一人或不同联系人的联系电话一致的。</w:t>
      </w:r>
    </w:p>
    <w:p>
      <w:pPr>
        <w:pStyle w:val="21"/>
        <w:snapToGrid w:val="0"/>
        <w:spacing w:line="400" w:lineRule="exact"/>
        <w:ind w:firstLine="590" w:firstLineChars="245"/>
        <w:rPr>
          <w:rFonts w:hint="eastAsia" w:ascii="仿宋_GB2312" w:hAnsi="仿宋_GB2312" w:eastAsia="仿宋_GB2312" w:cs="仿宋_GB2312"/>
          <w:color w:val="auto"/>
        </w:rPr>
      </w:pPr>
      <w:r>
        <w:rPr>
          <w:rFonts w:hint="eastAsia" w:ascii="仿宋_GB2312" w:hAnsi="仿宋_GB2312" w:eastAsia="仿宋_GB2312" w:cs="仿宋_GB2312"/>
          <w:b/>
          <w:color w:val="auto"/>
          <w:kern w:val="0"/>
        </w:rPr>
        <w:t>6.重新开展采购。</w:t>
      </w:r>
      <w:r>
        <w:rPr>
          <w:rFonts w:hint="eastAsia" w:ascii="仿宋_GB2312" w:hAnsi="仿宋_GB2312" w:eastAsia="仿宋_GB2312" w:cs="仿宋_GB2312"/>
          <w:color w:val="auto"/>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hint="eastAsia" w:ascii="仿宋_GB2312" w:hAnsi="仿宋_GB2312" w:eastAsia="仿宋_GB2312" w:cs="仿宋_GB2312"/>
          <w:color w:val="auto"/>
        </w:rPr>
      </w:pPr>
      <w:r>
        <w:rPr>
          <w:rFonts w:hint="eastAsia" w:ascii="仿宋_GB2312" w:hAnsi="仿宋_GB2312" w:eastAsia="仿宋_GB2312" w:cs="仿宋_GB2312"/>
          <w:color w:val="auto"/>
        </w:rPr>
        <w:t>6.1未确定中标或者中标人的，终止本次政府采购活动，重新开展政府采购活动。</w:t>
      </w:r>
    </w:p>
    <w:p>
      <w:pPr>
        <w:pStyle w:val="21"/>
        <w:snapToGrid w:val="0"/>
        <w:spacing w:line="400" w:lineRule="exact"/>
        <w:ind w:firstLine="600" w:firstLineChars="250"/>
        <w:rPr>
          <w:rFonts w:hint="eastAsia" w:ascii="仿宋_GB2312" w:hAnsi="仿宋_GB2312" w:eastAsia="仿宋_GB2312" w:cs="仿宋_GB2312"/>
          <w:color w:val="auto"/>
        </w:rPr>
      </w:pPr>
      <w:r>
        <w:rPr>
          <w:rFonts w:hint="eastAsia" w:ascii="仿宋_GB2312" w:hAnsi="仿宋_GB2312" w:eastAsia="仿宋_GB2312" w:cs="仿宋_GB2312"/>
          <w:color w:val="auto"/>
        </w:rPr>
        <w:t>6.2已确定中标或者中标人但尚未签订政府采购合同的，中标或者成交结果无效，从合格的中标或者成交候选人中另行确定中标或者中标人；没有合格的中标或者成交候选人的，重新开展政府采购活动。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hint="eastAsia" w:ascii="仿宋_GB2312" w:hAnsi="仿宋_GB2312" w:eastAsia="仿宋_GB2312" w:cs="仿宋_GB2312"/>
          <w:color w:val="auto"/>
        </w:rPr>
      </w:pPr>
      <w:r>
        <w:rPr>
          <w:rFonts w:hint="eastAsia" w:ascii="仿宋_GB2312" w:hAnsi="仿宋_GB2312" w:eastAsia="仿宋_GB2312" w:cs="仿宋_GB2312"/>
          <w:color w:val="auto"/>
        </w:rPr>
        <w:t>6.3政府采购合同已签订但尚未履行的，撤销合同，从合格的中标或者成交候选人中另行确定中标或者中标人；没有合格的中标或者成交候选人的，重新开展政府采购活动。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6.4政府采购合同已经履行，给采购人、供应商造成损失的，由责任人承担赔偿责任。</w:t>
      </w:r>
    </w:p>
    <w:p>
      <w:pPr>
        <w:pStyle w:val="21"/>
        <w:snapToGrid w:val="0"/>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6.5政府采购当事人有其他违反政府采购法</w:t>
      </w:r>
      <w:r>
        <w:rPr>
          <w:rFonts w:hint="eastAsia" w:ascii="仿宋_GB2312" w:hAnsi="仿宋_GB2312" w:eastAsia="仿宋_GB2312" w:cs="仿宋_GB2312"/>
          <w:color w:val="auto"/>
          <w:kern w:val="0"/>
        </w:rPr>
        <w:t>或者政府采购法实施条例等法律法规规定</w:t>
      </w:r>
      <w:r>
        <w:rPr>
          <w:rFonts w:hint="eastAsia" w:ascii="仿宋_GB2312" w:hAnsi="仿宋_GB2312" w:eastAsia="仿宋_GB2312" w:cs="仿宋_GB2312"/>
          <w:color w:val="auto"/>
        </w:rPr>
        <w:t>的行为，经改正后仍然影响或者可能影响中标、成交结果或者依法被认定为中标、成交无效的。</w:t>
      </w:r>
      <w:bookmarkEnd w:id="62"/>
      <w:bookmarkStart w:id="442" w:name="_Toc21773"/>
      <w:bookmarkStart w:id="443" w:name="_Toc11270"/>
      <w:bookmarkStart w:id="444" w:name="第五部分"/>
      <w:bookmarkStart w:id="445" w:name="_Toc86217003"/>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rPr>
          <w:rFonts w:hint="eastAsia" w:ascii="仿宋_GB2312" w:hAnsi="仿宋_GB2312" w:eastAsia="仿宋_GB2312" w:cs="仿宋_GB2312"/>
          <w:color w:val="auto"/>
        </w:rPr>
      </w:pPr>
    </w:p>
    <w:p>
      <w:pPr>
        <w:pStyle w:val="20"/>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pStyle w:val="21"/>
        <w:snapToGrid w:val="0"/>
        <w:spacing w:line="400" w:lineRule="exact"/>
        <w:rPr>
          <w:rFonts w:hint="eastAsia" w:ascii="仿宋_GB2312" w:hAnsi="仿宋_GB2312" w:eastAsia="仿宋_GB2312" w:cs="仿宋_GB2312"/>
          <w:color w:val="auto"/>
        </w:rPr>
      </w:pPr>
    </w:p>
    <w:p>
      <w:pPr>
        <w:spacing w:line="360" w:lineRule="auto"/>
        <w:ind w:left="720" w:leftChars="343" w:firstLine="723" w:firstLineChars="300"/>
        <w:jc w:val="center"/>
        <w:outlineLvl w:val="0"/>
        <w:rPr>
          <w:rFonts w:hint="eastAsia" w:ascii="仿宋_GB2312" w:hAnsi="仿宋_GB2312" w:eastAsia="仿宋_GB2312" w:cs="仿宋_GB2312"/>
          <w:b/>
          <w:color w:val="auto"/>
          <w:sz w:val="24"/>
        </w:rPr>
      </w:pPr>
    </w:p>
    <w:p>
      <w:pPr>
        <w:spacing w:line="360" w:lineRule="auto"/>
        <w:ind w:left="720" w:leftChars="343" w:firstLine="723" w:firstLineChars="300"/>
        <w:jc w:val="center"/>
        <w:outlineLvl w:val="0"/>
        <w:rPr>
          <w:rFonts w:hint="eastAsia" w:ascii="仿宋_GB2312" w:hAnsi="仿宋_GB2312" w:eastAsia="仿宋_GB2312" w:cs="仿宋_GB2312"/>
          <w:b/>
          <w:color w:val="auto"/>
          <w:sz w:val="24"/>
        </w:rPr>
      </w:pPr>
    </w:p>
    <w:p>
      <w:pPr>
        <w:spacing w:line="360" w:lineRule="auto"/>
        <w:ind w:left="720" w:leftChars="343" w:firstLine="723" w:firstLineChars="300"/>
        <w:jc w:val="center"/>
        <w:outlineLvl w:val="0"/>
        <w:rPr>
          <w:rFonts w:hint="eastAsia" w:ascii="仿宋_GB2312" w:hAnsi="仿宋_GB2312" w:eastAsia="仿宋_GB2312" w:cs="仿宋_GB2312"/>
          <w:b/>
          <w:color w:val="auto"/>
          <w:sz w:val="24"/>
        </w:rPr>
      </w:pPr>
    </w:p>
    <w:p>
      <w:pPr>
        <w:spacing w:line="360" w:lineRule="auto"/>
        <w:ind w:left="720" w:leftChars="343" w:firstLine="723" w:firstLineChars="300"/>
        <w:jc w:val="center"/>
        <w:outlineLvl w:val="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第五部分拟签订的合同文本</w:t>
      </w:r>
      <w:bookmarkEnd w:id="442"/>
      <w:bookmarkEnd w:id="443"/>
    </w:p>
    <w:p>
      <w:pPr>
        <w:spacing w:line="360" w:lineRule="auto"/>
        <w:ind w:left="720" w:leftChars="343" w:firstLine="723" w:firstLineChars="300"/>
        <w:jc w:val="center"/>
        <w:outlineLvl w:val="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(具体以正式签订合同为准)</w:t>
      </w:r>
    </w:p>
    <w:p>
      <w:pPr>
        <w:spacing w:line="480" w:lineRule="auto"/>
        <w:rPr>
          <w:rFonts w:hint="eastAsia" w:ascii="仿宋_GB2312" w:hAnsi="仿宋_GB2312" w:eastAsia="仿宋_GB2312" w:cs="仿宋_GB2312"/>
          <w:b/>
          <w:color w:val="auto"/>
          <w:sz w:val="24"/>
        </w:rPr>
      </w:pPr>
    </w:p>
    <w:p>
      <w:pPr>
        <w:spacing w:line="48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政府采购合同参考范本</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项目名称：</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项目编号：</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甲方：</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乙方：</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pPr>
      <w:r>
        <w:rPr>
          <w:rFonts w:hint="eastAsia" w:ascii="仿宋_GB2312" w:hAnsi="仿宋_GB2312" w:eastAsia="仿宋_GB2312" w:cs="仿宋_GB2312"/>
          <w:color w:val="auto"/>
          <w:kern w:val="1"/>
          <w:sz w:val="24"/>
          <w:szCs w:val="24"/>
          <w:lang w:val="zh-CN"/>
        </w:rPr>
        <w:t>签订日期：年月日</w:t>
      </w:r>
    </w:p>
    <w:p>
      <w:pPr>
        <w:pStyle w:val="36"/>
        <w:snapToGrid w:val="0"/>
        <w:spacing w:line="320" w:lineRule="exact"/>
        <w:ind w:firstLine="480" w:firstLineChars="200"/>
        <w:rPr>
          <w:rFonts w:hint="eastAsia" w:ascii="仿宋_GB2312" w:hAnsi="仿宋_GB2312" w:eastAsia="仿宋_GB2312" w:cs="仿宋_GB2312"/>
          <w:color w:val="auto"/>
          <w:kern w:val="1"/>
          <w:sz w:val="24"/>
          <w:szCs w:val="24"/>
          <w:lang w:val="zh-CN"/>
        </w:rPr>
        <w:sectPr>
          <w:pgSz w:w="11907" w:h="16840"/>
          <w:pgMar w:top="1474" w:right="1814" w:bottom="1474" w:left="1814" w:header="851" w:footer="851" w:gutter="0"/>
          <w:cols w:space="720" w:num="1"/>
        </w:sectPr>
      </w:pPr>
    </w:p>
    <w:p>
      <w:pPr>
        <w:pStyle w:val="36"/>
        <w:snapToGrid w:val="0"/>
        <w:spacing w:line="320" w:lineRule="exact"/>
        <w:ind w:firstLine="480" w:firstLineChars="200"/>
        <w:rPr>
          <w:rFonts w:hint="eastAsia" w:ascii="仿宋_GB2312" w:hAnsi="仿宋_GB2312" w:eastAsia="仿宋_GB2312" w:cs="仿宋_GB2312"/>
          <w:color w:val="auto"/>
          <w:kern w:val="1"/>
          <w:sz w:val="24"/>
        </w:rPr>
      </w:pPr>
      <w:r>
        <w:rPr>
          <w:rFonts w:hint="eastAsia" w:ascii="仿宋_GB2312" w:hAnsi="仿宋_GB2312" w:eastAsia="仿宋_GB2312" w:cs="仿宋_GB2312"/>
          <w:color w:val="auto"/>
          <w:kern w:val="1"/>
          <w:sz w:val="24"/>
          <w:lang w:val="zh-CN"/>
        </w:rPr>
        <w:t>年月日</w:t>
      </w:r>
      <w:r>
        <w:rPr>
          <w:rFonts w:hint="eastAsia" w:ascii="仿宋_GB2312" w:hAnsi="仿宋_GB2312" w:eastAsia="仿宋_GB2312" w:cs="仿宋_GB2312"/>
          <w:color w:val="auto"/>
          <w:kern w:val="1"/>
          <w:sz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6"/>
        <w:snapToGrid w:val="0"/>
        <w:spacing w:line="320" w:lineRule="exact"/>
        <w:ind w:firstLine="480" w:firstLineChars="200"/>
        <w:rPr>
          <w:rFonts w:hint="eastAsia" w:ascii="仿宋_GB2312" w:hAnsi="仿宋_GB2312" w:eastAsia="仿宋_GB2312" w:cs="仿宋_GB2312"/>
          <w:color w:val="auto"/>
          <w:kern w:val="1"/>
          <w:sz w:val="24"/>
        </w:rPr>
      </w:pPr>
      <w:r>
        <w:rPr>
          <w:rFonts w:hint="eastAsia" w:ascii="仿宋_GB2312" w:hAnsi="仿宋_GB2312" w:eastAsia="仿宋_GB2312" w:cs="仿宋_GB2312"/>
          <w:color w:val="auto"/>
          <w:kern w:val="1"/>
          <w:sz w:val="24"/>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kern w:val="1"/>
          <w:sz w:val="24"/>
        </w:rPr>
        <w:t>（采购人）</w:t>
      </w:r>
      <w:r>
        <w:rPr>
          <w:rFonts w:hint="eastAsia" w:ascii="仿宋_GB2312" w:hAnsi="仿宋_GB2312" w:eastAsia="仿宋_GB2312" w:cs="仿宋_GB2312"/>
          <w:color w:val="auto"/>
          <w:kern w:val="1"/>
          <w:sz w:val="24"/>
          <w:lang w:val="zh-CN"/>
        </w:rPr>
        <w:t>(以下简称：甲方)和</w:t>
      </w:r>
      <w:r>
        <w:rPr>
          <w:rFonts w:hint="eastAsia" w:ascii="仿宋_GB2312" w:hAnsi="仿宋_GB2312" w:eastAsia="仿宋_GB2312" w:cs="仿宋_GB2312"/>
          <w:color w:val="auto"/>
          <w:kern w:val="1"/>
          <w:sz w:val="24"/>
        </w:rPr>
        <w:t xml:space="preserve">   （中标供应商名称）   </w:t>
      </w:r>
      <w:r>
        <w:rPr>
          <w:rFonts w:hint="eastAsia" w:ascii="仿宋_GB2312" w:hAnsi="仿宋_GB2312" w:eastAsia="仿宋_GB2312" w:cs="仿宋_GB2312"/>
          <w:color w:val="auto"/>
          <w:kern w:val="1"/>
          <w:sz w:val="24"/>
          <w:lang w:val="zh-CN"/>
        </w:rPr>
        <w:t>(以下简称：乙方)协商一致，约定以下合同</w:t>
      </w:r>
      <w:r>
        <w:rPr>
          <w:rFonts w:hint="eastAsia" w:ascii="仿宋_GB2312" w:hAnsi="仿宋_GB2312" w:eastAsia="仿宋_GB2312" w:cs="仿宋_GB2312"/>
          <w:color w:val="auto"/>
          <w:kern w:val="1"/>
          <w:sz w:val="24"/>
        </w:rPr>
        <w:t>条款，以兹共同遵守、全面履行。</w:t>
      </w:r>
    </w:p>
    <w:p>
      <w:pPr>
        <w:ind w:firstLine="480" w:firstLineChars="200"/>
        <w:rPr>
          <w:rFonts w:hint="eastAsia" w:ascii="仿宋_GB2312" w:hAnsi="仿宋_GB2312" w:eastAsia="仿宋_GB2312" w:cs="仿宋_GB2312"/>
          <w:snapToGrid w:val="0"/>
          <w:color w:val="auto"/>
          <w:kern w:val="1"/>
          <w:sz w:val="24"/>
        </w:rPr>
      </w:pPr>
      <w:bookmarkStart w:id="446" w:name="_Toc2232"/>
      <w:bookmarkStart w:id="447" w:name="_Toc3029"/>
      <w:bookmarkStart w:id="448" w:name="_Toc24059"/>
      <w:r>
        <w:rPr>
          <w:rFonts w:hint="eastAsia" w:ascii="仿宋_GB2312" w:hAnsi="仿宋_GB2312" w:eastAsia="仿宋_GB2312" w:cs="仿宋_GB2312"/>
          <w:snapToGrid w:val="0"/>
          <w:color w:val="auto"/>
          <w:kern w:val="1"/>
          <w:sz w:val="24"/>
        </w:rPr>
        <w:t>合同组成部分</w:t>
      </w:r>
      <w:bookmarkEnd w:id="446"/>
      <w:bookmarkEnd w:id="447"/>
      <w:bookmarkEnd w:id="448"/>
    </w:p>
    <w:p>
      <w:pPr>
        <w:ind w:firstLine="480" w:firstLineChars="200"/>
        <w:rPr>
          <w:rFonts w:hint="eastAsia" w:ascii="仿宋_GB2312" w:hAnsi="仿宋_GB2312" w:eastAsia="仿宋_GB2312" w:cs="仿宋_GB2312"/>
          <w:snapToGrid w:val="0"/>
          <w:color w:val="auto"/>
          <w:kern w:val="1"/>
          <w:sz w:val="24"/>
        </w:rPr>
      </w:pPr>
      <w:r>
        <w:rPr>
          <w:rFonts w:hint="eastAsia" w:ascii="仿宋_GB2312" w:hAnsi="仿宋_GB2312" w:eastAsia="仿宋_GB2312" w:cs="仿宋_GB2312"/>
          <w:snapToGrid w:val="0"/>
          <w:color w:val="auto"/>
          <w:kern w:val="1"/>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ind w:firstLine="480" w:firstLineChars="200"/>
        <w:rPr>
          <w:rFonts w:hint="eastAsia" w:ascii="仿宋_GB2312" w:hAnsi="仿宋_GB2312" w:eastAsia="仿宋_GB2312" w:cs="仿宋_GB2312"/>
          <w:snapToGrid w:val="0"/>
          <w:color w:val="auto"/>
          <w:kern w:val="1"/>
          <w:sz w:val="24"/>
        </w:rPr>
      </w:pPr>
      <w:r>
        <w:rPr>
          <w:rFonts w:hint="eastAsia" w:ascii="仿宋_GB2312" w:hAnsi="仿宋_GB2312" w:eastAsia="仿宋_GB2312" w:cs="仿宋_GB2312"/>
          <w:snapToGrid w:val="0"/>
          <w:color w:val="auto"/>
          <w:kern w:val="1"/>
          <w:sz w:val="24"/>
        </w:rPr>
        <w:t>1.本合同及其补充合同、变更协议；</w:t>
      </w:r>
    </w:p>
    <w:p>
      <w:pPr>
        <w:ind w:firstLine="480" w:firstLineChars="200"/>
        <w:rPr>
          <w:rFonts w:hint="eastAsia" w:ascii="仿宋_GB2312" w:hAnsi="仿宋_GB2312" w:eastAsia="仿宋_GB2312" w:cs="仿宋_GB2312"/>
          <w:snapToGrid w:val="0"/>
          <w:color w:val="auto"/>
          <w:kern w:val="1"/>
          <w:sz w:val="24"/>
        </w:rPr>
      </w:pPr>
      <w:r>
        <w:rPr>
          <w:rFonts w:hint="eastAsia" w:ascii="仿宋_GB2312" w:hAnsi="仿宋_GB2312" w:eastAsia="仿宋_GB2312" w:cs="仿宋_GB2312"/>
          <w:snapToGrid w:val="0"/>
          <w:color w:val="auto"/>
          <w:kern w:val="1"/>
          <w:sz w:val="24"/>
        </w:rPr>
        <w:t>2.中标通知书；</w:t>
      </w:r>
    </w:p>
    <w:p>
      <w:pPr>
        <w:ind w:firstLine="480" w:firstLineChars="200"/>
        <w:rPr>
          <w:rFonts w:hint="eastAsia" w:ascii="仿宋_GB2312" w:hAnsi="仿宋_GB2312" w:eastAsia="仿宋_GB2312" w:cs="仿宋_GB2312"/>
          <w:snapToGrid w:val="0"/>
          <w:color w:val="auto"/>
          <w:kern w:val="1"/>
          <w:sz w:val="24"/>
        </w:rPr>
      </w:pPr>
      <w:r>
        <w:rPr>
          <w:rFonts w:hint="eastAsia" w:ascii="仿宋_GB2312" w:hAnsi="仿宋_GB2312" w:eastAsia="仿宋_GB2312" w:cs="仿宋_GB2312"/>
          <w:snapToGrid w:val="0"/>
          <w:color w:val="auto"/>
          <w:kern w:val="1"/>
          <w:sz w:val="24"/>
        </w:rPr>
        <w:t>3.投标文件（含澄清或者说明文件）；</w:t>
      </w:r>
    </w:p>
    <w:p>
      <w:pPr>
        <w:ind w:firstLine="480" w:firstLineChars="200"/>
        <w:rPr>
          <w:rFonts w:hint="eastAsia" w:ascii="仿宋_GB2312" w:hAnsi="仿宋_GB2312" w:eastAsia="仿宋_GB2312" w:cs="仿宋_GB2312"/>
          <w:snapToGrid w:val="0"/>
          <w:color w:val="auto"/>
          <w:kern w:val="1"/>
          <w:sz w:val="24"/>
        </w:rPr>
      </w:pPr>
      <w:r>
        <w:rPr>
          <w:rFonts w:hint="eastAsia" w:ascii="仿宋_GB2312" w:hAnsi="仿宋_GB2312" w:eastAsia="仿宋_GB2312" w:cs="仿宋_GB2312"/>
          <w:snapToGrid w:val="0"/>
          <w:color w:val="auto"/>
          <w:kern w:val="1"/>
          <w:sz w:val="24"/>
        </w:rPr>
        <w:t>4.招标文件（含澄清或者修改文件）；</w:t>
      </w:r>
    </w:p>
    <w:p>
      <w:pPr>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snapToGrid w:val="0"/>
          <w:color w:val="auto"/>
          <w:kern w:val="1"/>
          <w:sz w:val="24"/>
        </w:rPr>
        <w:t>5.其他相关采购文件。</w:t>
      </w:r>
    </w:p>
    <w:p>
      <w:pPr>
        <w:spacing w:line="32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 xml:space="preserve">一、服务内容                              </w:t>
      </w:r>
    </w:p>
    <w:p>
      <w:pPr>
        <w:pStyle w:val="36"/>
        <w:snapToGrid w:val="0"/>
        <w:spacing w:line="32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rPr>
        <w:t>按第三章采购内容及要求确定。</w:t>
      </w:r>
    </w:p>
    <w:p>
      <w:pPr>
        <w:pStyle w:val="15"/>
        <w:autoSpaceDE/>
        <w:autoSpaceDN/>
        <w:adjustRightInd/>
        <w:rPr>
          <w:rFonts w:hint="eastAsia" w:ascii="仿宋_GB2312" w:hAnsi="仿宋_GB2312" w:eastAsia="仿宋_GB2312" w:cs="仿宋_GB2312"/>
          <w:b/>
          <w:color w:val="auto"/>
        </w:rPr>
      </w:pPr>
      <w:r>
        <w:rPr>
          <w:rFonts w:hint="eastAsia" w:ascii="仿宋_GB2312" w:hAnsi="仿宋_GB2312" w:eastAsia="仿宋_GB2312" w:cs="仿宋_GB2312"/>
          <w:b/>
          <w:color w:val="auto"/>
        </w:rPr>
        <w:t>二、合同金额</w:t>
      </w:r>
    </w:p>
    <w:p>
      <w:pPr>
        <w:pStyle w:val="45"/>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本合同金额为人民币（大写）：元整；（￥元）。（包括项目建设中系统集成、硬件设备、技术培训和质保期内的运行维护、税金、项目验收等一切费用。）</w:t>
      </w:r>
    </w:p>
    <w:p>
      <w:pPr>
        <w:spacing w:line="36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三、技术资料</w:t>
      </w:r>
    </w:p>
    <w:p>
      <w:pPr>
        <w:pStyle w:val="36"/>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乙方应按采购文件规定的时间向甲方提供有关技术方案。</w:t>
      </w:r>
    </w:p>
    <w:p>
      <w:pPr>
        <w:pStyle w:val="36"/>
        <w:snapToGrid w:val="0"/>
        <w:spacing w:line="30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四、知识产权</w:t>
      </w:r>
    </w:p>
    <w:p>
      <w:pPr>
        <w:pStyle w:val="36"/>
        <w:snapToGrid w:val="0"/>
        <w:spacing w:line="300" w:lineRule="exact"/>
        <w:ind w:firstLine="480" w:firstLineChars="20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本项目开发过程中产生的程序代码、数据库设计等知识产权归甲方所有，乙方应保证提供服务过程中不会侵犯任何第三方的知识产权。</w:t>
      </w:r>
    </w:p>
    <w:p>
      <w:pPr>
        <w:snapToGrid w:val="0"/>
        <w:spacing w:line="36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五、履约保证金</w:t>
      </w:r>
    </w:p>
    <w:p>
      <w:pPr>
        <w:snapToGrid w:val="0"/>
        <w:spacing w:line="300" w:lineRule="exact"/>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本项目无履约保证金。</w:t>
      </w:r>
    </w:p>
    <w:p>
      <w:pPr>
        <w:snapToGrid w:val="0"/>
        <w:spacing w:line="30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六、转</w:t>
      </w:r>
      <w:r>
        <w:rPr>
          <w:rFonts w:hint="eastAsia" w:ascii="仿宋_GB2312" w:hAnsi="仿宋_GB2312" w:eastAsia="仿宋_GB2312" w:cs="仿宋_GB2312"/>
          <w:b/>
          <w:color w:val="auto"/>
          <w:sz w:val="24"/>
          <w:lang w:val="en-US" w:eastAsia="zh-CN"/>
        </w:rPr>
        <w:t>让</w:t>
      </w:r>
      <w:r>
        <w:rPr>
          <w:rFonts w:hint="eastAsia" w:ascii="仿宋_GB2312" w:hAnsi="仿宋_GB2312" w:eastAsia="仿宋_GB2312" w:cs="仿宋_GB2312"/>
          <w:b/>
          <w:color w:val="auto"/>
          <w:sz w:val="24"/>
        </w:rPr>
        <w:t>或分包</w:t>
      </w:r>
    </w:p>
    <w:p>
      <w:pPr>
        <w:snapToGrid w:val="0"/>
        <w:spacing w:line="3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1.本合同范围的采购内容，应由乙方直接供应，不得转让他人供应；</w:t>
      </w:r>
    </w:p>
    <w:p>
      <w:pPr>
        <w:spacing w:line="3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七、服务质量保证期</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1.服务质量保证期</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rPr>
        <w:t>年（验收合格之日起计）。</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八、合同履行时间、履行方式及履行地点</w:t>
      </w:r>
    </w:p>
    <w:p>
      <w:pPr>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1.履行时间：按甲方要求。</w:t>
      </w:r>
    </w:p>
    <w:p>
      <w:pPr>
        <w:pStyle w:val="36"/>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2.履行方式：按甲方要求。</w:t>
      </w:r>
    </w:p>
    <w:p>
      <w:pPr>
        <w:widowControl/>
        <w:spacing w:line="30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3.履行地点：按甲方指定地点。</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九、款项支付</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付款方式: </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乙方收款银行：</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乙方收款账号：</w:t>
      </w:r>
    </w:p>
    <w:p>
      <w:pPr>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十、税费</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本合同执行中相关的一切税费均由乙方承担。</w:t>
      </w:r>
    </w:p>
    <w:p>
      <w:pPr>
        <w:pStyle w:val="36"/>
        <w:snapToGrid w:val="0"/>
        <w:spacing w:line="300" w:lineRule="exact"/>
        <w:ind w:firstLine="482" w:firstLineChars="200"/>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十一、质量保证及后续服务</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1.乙方应按采购文件规定的时间向甲方提供使用货物的有关技术资料。</w:t>
      </w:r>
    </w:p>
    <w:p>
      <w:pPr>
        <w:snapToGrid w:val="0"/>
        <w:spacing w:line="300" w:lineRule="exact"/>
        <w:ind w:left="239" w:leftChars="114" w:firstLine="240" w:firstLineChars="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2.乙方提供的服务成果在服务质量保证期内发生问题，乙方应负责免费提供后</w:t>
      </w:r>
    </w:p>
    <w:p>
      <w:pPr>
        <w:snapToGrid w:val="0"/>
        <w:spacing w:line="3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续服务。对达不到要求者，根据实际情况，经双方协商，可按以下办法处理：</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⑴重做：由乙方承担所发生的全部费用。</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⑵贬值处理：由甲乙双方合议定价。</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⑶解除合同。</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3.如在使用过程中发生问题，乙方在接到甲方通知后在</w:t>
      </w:r>
      <w:r>
        <w:rPr>
          <w:rFonts w:hint="eastAsia" w:ascii="仿宋_GB2312" w:hAnsi="仿宋_GB2312" w:eastAsia="仿宋_GB2312" w:cs="仿宋_GB2312"/>
          <w:color w:val="auto"/>
          <w:sz w:val="24"/>
          <w:u w:val="none"/>
        </w:rPr>
        <w:t>2</w:t>
      </w:r>
      <w:r>
        <w:rPr>
          <w:rFonts w:hint="eastAsia" w:ascii="仿宋_GB2312" w:hAnsi="仿宋_GB2312" w:eastAsia="仿宋_GB2312" w:cs="仿宋_GB2312"/>
          <w:color w:val="auto"/>
          <w:sz w:val="24"/>
        </w:rPr>
        <w:t>小时内对相关问题进行指导。</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4.在服务质量保证期内，乙方应对出现的质量及安全问题负责处理解决并承担一切费用。</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十二、违约责任</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1.甲方无正当理由拒绝接受服务的，甲方向乙方偿付合同款项百分之五作为违约金。</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十三、不可抗力事件处理</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2.不可抗力事件发生后，应立即通知对方，并寄送有关权威机构出具的证明。</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3.不可抗力事件延续120天以上，双方应通过友好协商，确定是否继续履行合同。</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十四、诉讼</w:t>
      </w:r>
    </w:p>
    <w:p>
      <w:pPr>
        <w:snapToGrid w:val="0"/>
        <w:spacing w:line="3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双方在执行合同中所发生的一切争议，应通过协商解决。如协商不成，可向甲方所在地法院起诉。</w:t>
      </w:r>
    </w:p>
    <w:p>
      <w:pPr>
        <w:pStyle w:val="36"/>
        <w:snapToGrid w:val="0"/>
        <w:spacing w:line="30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十五、合同生效及其它</w:t>
      </w:r>
    </w:p>
    <w:p>
      <w:pPr>
        <w:snapToGrid w:val="0"/>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1．合同经双方法定代表人或授权代表</w:t>
      </w:r>
      <w:r>
        <w:rPr>
          <w:rFonts w:hint="eastAsia" w:ascii="仿宋_GB2312" w:hAnsi="仿宋_GB2312" w:eastAsia="仿宋_GB2312" w:cs="仿宋_GB2312"/>
          <w:color w:val="auto"/>
          <w:sz w:val="24"/>
          <w:lang w:val="en-US" w:eastAsia="zh-CN"/>
        </w:rPr>
        <w:t>人</w:t>
      </w:r>
      <w:r>
        <w:rPr>
          <w:rFonts w:hint="eastAsia" w:ascii="仿宋_GB2312" w:hAnsi="仿宋_GB2312" w:eastAsia="仿宋_GB2312" w:cs="仿宋_GB2312"/>
          <w:color w:val="auto"/>
          <w:sz w:val="24"/>
        </w:rPr>
        <w:t>签字、加盖单位公章,财政局备案（备案前必须公示）后生效。</w:t>
      </w:r>
    </w:p>
    <w:p>
      <w:pPr>
        <w:snapToGrid w:val="0"/>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2.合同执行中涉及采购资金和采购内容修改或补充的，须经财政局审批，并签书面补充协议报市财政局备案，方可作为主合同不可分割的一部分。</w:t>
      </w:r>
    </w:p>
    <w:p>
      <w:pPr>
        <w:pStyle w:val="36"/>
        <w:snapToGrid w:val="0"/>
        <w:spacing w:line="3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3．本合同未尽事宜，遵照《中华人民共和国政府采购法》《中华人民共和国民法典》有关条文进行解释执行。</w:t>
      </w:r>
    </w:p>
    <w:p>
      <w:pPr>
        <w:pStyle w:val="36"/>
        <w:snapToGrid w:val="0"/>
        <w:spacing w:line="300" w:lineRule="exact"/>
        <w:ind w:firstLine="480" w:firstLineChars="200"/>
        <w:rPr>
          <w:rStyle w:val="965"/>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4．本合同正本一式五份，具有同等法律效力，甲方执二份、乙方执二份、代理机构执一份</w:t>
      </w:r>
      <w:r>
        <w:rPr>
          <w:rStyle w:val="965"/>
          <w:rFonts w:hint="eastAsia" w:ascii="仿宋_GB2312" w:hAnsi="仿宋_GB2312" w:eastAsia="仿宋_GB2312" w:cs="仿宋_GB2312"/>
          <w:color w:val="auto"/>
          <w:sz w:val="24"/>
        </w:rPr>
        <w:t>。</w:t>
      </w:r>
    </w:p>
    <w:p>
      <w:pPr>
        <w:pStyle w:val="36"/>
        <w:snapToGrid w:val="0"/>
        <w:spacing w:line="300" w:lineRule="exact"/>
        <w:ind w:firstLine="480" w:firstLineChars="200"/>
        <w:rPr>
          <w:rFonts w:hint="eastAsia" w:ascii="仿宋_GB2312" w:hAnsi="仿宋_GB2312" w:eastAsia="仿宋_GB2312" w:cs="仿宋_GB2312"/>
          <w:color w:val="auto"/>
          <w:sz w:val="24"/>
        </w:rPr>
      </w:pPr>
    </w:p>
    <w:p>
      <w:pPr>
        <w:tabs>
          <w:tab w:val="left" w:pos="10440"/>
        </w:tabs>
        <w:spacing w:line="300" w:lineRule="exact"/>
        <w:ind w:firstLine="480" w:firstLineChars="200"/>
        <w:rPr>
          <w:rFonts w:hint="eastAsia" w:ascii="仿宋_GB2312" w:hAnsi="仿宋_GB2312" w:eastAsia="仿宋_GB2312" w:cs="仿宋_GB2312"/>
          <w:color w:val="auto"/>
          <w:sz w:val="24"/>
        </w:rPr>
      </w:pPr>
    </w:p>
    <w:p>
      <w:pPr>
        <w:tabs>
          <w:tab w:val="left" w:pos="10440"/>
        </w:tabs>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甲方：江山市教育技术中心              乙方： </w:t>
      </w:r>
    </w:p>
    <w:p>
      <w:pPr>
        <w:tabs>
          <w:tab w:val="left" w:pos="10440"/>
        </w:tabs>
        <w:spacing w:line="400" w:lineRule="exact"/>
        <w:ind w:left="5519" w:leftChars="228" w:hanging="5040" w:hangingChars="2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地址：                          地址： </w:t>
      </w:r>
    </w:p>
    <w:p>
      <w:pPr>
        <w:tabs>
          <w:tab w:val="left" w:pos="10440"/>
        </w:tabs>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法定（授权）代表人：                法定（授权）代表人：</w:t>
      </w:r>
    </w:p>
    <w:p>
      <w:pPr>
        <w:tabs>
          <w:tab w:val="left" w:pos="10440"/>
        </w:tabs>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                          联系电话：</w:t>
      </w:r>
    </w:p>
    <w:p>
      <w:pPr>
        <w:tabs>
          <w:tab w:val="left" w:pos="10440"/>
        </w:tabs>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签字日期：    年   月   日          签字日期：    年   月   日</w:t>
      </w:r>
    </w:p>
    <w:p>
      <w:pPr>
        <w:tabs>
          <w:tab w:val="left" w:pos="10440"/>
        </w:tabs>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合同鉴证方:</w:t>
      </w:r>
    </w:p>
    <w:p>
      <w:pPr>
        <w:tabs>
          <w:tab w:val="left" w:pos="10440"/>
        </w:tabs>
        <w:spacing w:line="400" w:lineRule="exact"/>
        <w:ind w:left="5519" w:leftChars="228" w:hanging="5040" w:hangingChars="2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经办人:</w:t>
      </w:r>
    </w:p>
    <w:p>
      <w:pPr>
        <w:tabs>
          <w:tab w:val="left" w:pos="10440"/>
        </w:tabs>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鉴证日期：年   月   日</w:t>
      </w:r>
    </w:p>
    <w:p>
      <w:pPr>
        <w:pStyle w:val="14"/>
        <w:ind w:firstLine="0"/>
        <w:rPr>
          <w:rFonts w:hint="eastAsia" w:ascii="仿宋_GB2312" w:hAnsi="仿宋_GB2312" w:eastAsia="仿宋_GB2312" w:cs="仿宋_GB2312"/>
          <w:color w:val="auto"/>
        </w:rPr>
      </w:pPr>
    </w:p>
    <w:p>
      <w:pPr>
        <w:spacing w:line="360" w:lineRule="auto"/>
        <w:ind w:left="720" w:firstLine="482" w:firstLineChars="200"/>
        <w:jc w:val="center"/>
        <w:outlineLvl w:val="0"/>
        <w:rPr>
          <w:rFonts w:hint="eastAsia" w:ascii="仿宋_GB2312" w:hAnsi="仿宋_GB2312" w:eastAsia="仿宋_GB2312" w:cs="仿宋_GB2312"/>
          <w:b/>
          <w:color w:val="auto"/>
          <w:sz w:val="24"/>
        </w:rPr>
      </w:pPr>
      <w:bookmarkStart w:id="449" w:name="_Toc11460"/>
      <w:bookmarkStart w:id="450" w:name="_Toc1098"/>
      <w:r>
        <w:rPr>
          <w:rFonts w:hint="eastAsia" w:ascii="仿宋_GB2312" w:hAnsi="仿宋_GB2312" w:eastAsia="仿宋_GB2312" w:cs="仿宋_GB2312"/>
          <w:b/>
          <w:color w:val="auto"/>
          <w:sz w:val="24"/>
        </w:rPr>
        <w:t>第六部分</w:t>
      </w:r>
      <w:bookmarkEnd w:id="444"/>
      <w:bookmarkEnd w:id="445"/>
      <w:r>
        <w:rPr>
          <w:rFonts w:hint="eastAsia" w:ascii="仿宋_GB2312" w:hAnsi="仿宋_GB2312" w:eastAsia="仿宋_GB2312" w:cs="仿宋_GB2312"/>
          <w:b/>
          <w:color w:val="auto"/>
          <w:sz w:val="24"/>
        </w:rPr>
        <w:t>应提交的有关格式范例</w:t>
      </w:r>
      <w:bookmarkEnd w:id="449"/>
      <w:bookmarkEnd w:id="450"/>
    </w:p>
    <w:p>
      <w:pPr>
        <w:spacing w:line="360" w:lineRule="auto"/>
        <w:jc w:val="center"/>
        <w:outlineLvl w:val="0"/>
        <w:rPr>
          <w:rFonts w:hint="eastAsia" w:ascii="仿宋_GB2312" w:hAnsi="仿宋_GB2312" w:eastAsia="仿宋_GB2312" w:cs="仿宋_GB2312"/>
          <w:b/>
          <w:color w:val="auto"/>
          <w:kern w:val="0"/>
          <w:sz w:val="24"/>
        </w:rPr>
      </w:pPr>
      <w:bookmarkStart w:id="451" w:name="_Toc22552"/>
      <w:bookmarkStart w:id="452" w:name="_Toc15249"/>
      <w:r>
        <w:rPr>
          <w:rFonts w:hint="eastAsia" w:ascii="仿宋_GB2312" w:hAnsi="仿宋_GB2312" w:eastAsia="仿宋_GB2312" w:cs="仿宋_GB2312"/>
          <w:b/>
          <w:color w:val="auto"/>
          <w:kern w:val="0"/>
          <w:sz w:val="24"/>
        </w:rPr>
        <w:t>资格文件部分</w:t>
      </w:r>
      <w:bookmarkEnd w:id="451"/>
      <w:bookmarkEnd w:id="452"/>
    </w:p>
    <w:p>
      <w:pPr>
        <w:spacing w:line="360" w:lineRule="auto"/>
        <w:jc w:val="center"/>
        <w:outlineLvl w:val="0"/>
        <w:rPr>
          <w:rFonts w:hint="eastAsia" w:ascii="仿宋_GB2312" w:hAnsi="仿宋_GB2312" w:eastAsia="仿宋_GB2312" w:cs="仿宋_GB2312"/>
          <w:b/>
          <w:color w:val="auto"/>
          <w:kern w:val="0"/>
          <w:sz w:val="24"/>
        </w:rPr>
      </w:pPr>
      <w:bookmarkStart w:id="453" w:name="_Toc32278"/>
      <w:bookmarkStart w:id="454" w:name="_Toc3751"/>
      <w:r>
        <w:rPr>
          <w:rFonts w:hint="eastAsia" w:ascii="仿宋_GB2312" w:hAnsi="仿宋_GB2312" w:eastAsia="仿宋_GB2312" w:cs="仿宋_GB2312"/>
          <w:b/>
          <w:color w:val="auto"/>
          <w:kern w:val="0"/>
          <w:sz w:val="24"/>
        </w:rPr>
        <w:t>目录</w:t>
      </w:r>
      <w:bookmarkEnd w:id="453"/>
      <w:bookmarkEnd w:id="454"/>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1.资格文件封面；</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3.落实政府采购政策需满足的资格要求；</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4.有效的《企业法人营业执照》副本扫描件；</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6.投标函；</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7.信用中国等网站信用查询结果；</w:t>
      </w:r>
    </w:p>
    <w:p>
      <w:pPr>
        <w:snapToGrid w:val="0"/>
        <w:spacing w:line="360" w:lineRule="auto"/>
        <w:ind w:firstLine="960" w:firstLineChars="40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8.</w:t>
      </w:r>
      <w:r>
        <w:rPr>
          <w:rFonts w:hint="eastAsia" w:ascii="仿宋_GB2312" w:hAnsi="仿宋_GB2312" w:eastAsia="仿宋_GB2312" w:cs="仿宋_GB2312"/>
          <w:color w:val="auto"/>
          <w:sz w:val="24"/>
          <w:lang w:val="zh-CN"/>
        </w:rPr>
        <w:t>政府采购活动现场确认声明书；</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w:t>
      </w:r>
      <w:r>
        <w:rPr>
          <w:rFonts w:hint="eastAsia" w:ascii="仿宋_GB2312" w:hAnsi="仿宋_GB2312" w:eastAsia="仿宋_GB2312" w:cs="仿宋_GB2312"/>
          <w:color w:val="auto"/>
          <w:sz w:val="24"/>
          <w:lang w:val="zh-CN"/>
        </w:rPr>
        <w:t>政府采购供应商廉洁自律承诺书；</w:t>
      </w:r>
    </w:p>
    <w:p>
      <w:pPr>
        <w:snapToGrid w:val="0"/>
        <w:spacing w:line="360" w:lineRule="auto"/>
        <w:rPr>
          <w:rFonts w:hint="eastAsia" w:ascii="仿宋_GB2312" w:hAnsi="仿宋_GB2312" w:eastAsia="仿宋_GB2312" w:cs="仿宋_GB2312"/>
          <w:color w:val="auto"/>
          <w:sz w:val="24"/>
        </w:rPr>
      </w:pPr>
    </w:p>
    <w:p>
      <w:pPr>
        <w:snapToGrid w:val="0"/>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snapToGrid w:val="0"/>
        <w:spacing w:line="360" w:lineRule="auto"/>
        <w:ind w:right="48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rPr>
        <w:br w:type="page"/>
      </w:r>
      <w:r>
        <w:rPr>
          <w:rFonts w:hint="eastAsia" w:ascii="仿宋_GB2312" w:hAnsi="仿宋_GB2312" w:eastAsia="仿宋_GB2312" w:cs="仿宋_GB2312"/>
          <w:b/>
          <w:color w:val="auto"/>
          <w:kern w:val="0"/>
          <w:sz w:val="24"/>
        </w:rPr>
        <w:t xml:space="preserve">  一、 符合参加政府采购活动应当具备的一般条件的承诺函</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（采购人）、（采购代理机构）：</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1、具有独立承担民事责任的能力；</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3、具有履行合同所必需的设备和专业技术能力；</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4、有依法缴纳税收和社会保障资金的良好记录；</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6、具有法律、行政法规规定的其他条件。</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（三）不存在以下情况：</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投标人名称(电子签名)：</w:t>
      </w:r>
    </w:p>
    <w:p>
      <w:pPr>
        <w:snapToGrid w:val="0"/>
        <w:spacing w:line="360" w:lineRule="auto"/>
        <w:jc w:val="right"/>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 xml:space="preserve">：  年  </w:t>
      </w:r>
      <w:r>
        <w:rPr>
          <w:rFonts w:hint="eastAsia" w:ascii="仿宋_GB2312" w:hAnsi="仿宋_GB2312" w:eastAsia="仿宋_GB2312" w:cs="仿宋_GB2312"/>
          <w:color w:val="auto"/>
          <w:kern w:val="0"/>
          <w:sz w:val="24"/>
          <w:lang w:val="zh-CN"/>
        </w:rPr>
        <w:t>月日</w:t>
      </w:r>
    </w:p>
    <w:p>
      <w:pPr>
        <w:snapToGrid w:val="0"/>
        <w:spacing w:line="360" w:lineRule="auto"/>
        <w:ind w:right="480"/>
        <w:jc w:val="center"/>
        <w:rPr>
          <w:rFonts w:hint="eastAsia" w:ascii="仿宋_GB2312" w:hAnsi="仿宋_GB2312" w:eastAsia="仿宋_GB2312" w:cs="仿宋_GB2312"/>
          <w:b/>
          <w:color w:val="auto"/>
          <w:kern w:val="0"/>
          <w:sz w:val="24"/>
        </w:rPr>
      </w:pPr>
    </w:p>
    <w:p>
      <w:pPr>
        <w:snapToGrid w:val="0"/>
        <w:spacing w:line="360" w:lineRule="auto"/>
        <w:ind w:right="480"/>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二、落实政府采购政策需满足的资格要求</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A</w:t>
      </w:r>
      <w:r>
        <w:rPr>
          <w:rFonts w:hint="eastAsia" w:ascii="仿宋_GB2312" w:hAnsi="仿宋_GB2312"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color w:val="auto"/>
          <w:sz w:val="24"/>
        </w:rPr>
      </w:pPr>
    </w:p>
    <w:p>
      <w:pPr>
        <w:widowControl/>
        <w:spacing w:line="360" w:lineRule="auto"/>
        <w:ind w:firstLine="472" w:firstLineChars="196"/>
        <w:jc w:val="left"/>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b/>
          <w:color w:val="auto"/>
          <w:sz w:val="24"/>
        </w:rPr>
        <w:t>B.</w:t>
      </w:r>
      <w:r>
        <w:rPr>
          <w:rFonts w:hint="eastAsia" w:ascii="仿宋_GB2312" w:hAnsi="仿宋_GB2312" w:eastAsia="仿宋_GB2312" w:cs="仿宋_GB2312"/>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_GB2312" w:hAnsi="仿宋_GB2312" w:eastAsia="仿宋_GB2312" w:cs="仿宋_GB2312"/>
          <w:b/>
          <w:color w:val="auto"/>
          <w:kern w:val="0"/>
          <w:sz w:val="24"/>
          <w:lang w:val="zh-CN"/>
        </w:rPr>
      </w:pPr>
    </w:p>
    <w:p>
      <w:pPr>
        <w:jc w:val="both"/>
        <w:rPr>
          <w:rFonts w:hint="eastAsia" w:ascii="仿宋_GB2312" w:hAnsi="仿宋_GB2312" w:eastAsia="仿宋_GB2312" w:cs="仿宋_GB2312"/>
          <w:color w:val="auto"/>
          <w:sz w:val="24"/>
        </w:rPr>
      </w:pPr>
      <w:r>
        <w:rPr>
          <w:rFonts w:hint="eastAsia" w:ascii="仿宋_GB2312" w:hAnsi="仿宋_GB2312" w:eastAsia="仿宋_GB2312" w:cs="仿宋_GB2312"/>
          <w:b/>
          <w:color w:val="auto"/>
          <w:kern w:val="0"/>
          <w:sz w:val="24"/>
          <w:lang w:val="zh-CN"/>
        </w:rPr>
        <w:t>三、有效的《企业法人营业执照》副本；</w:t>
      </w:r>
    </w:p>
    <w:p>
      <w:pPr>
        <w:jc w:val="center"/>
        <w:rPr>
          <w:rFonts w:hint="eastAsia" w:ascii="仿宋_GB2312" w:hAnsi="仿宋_GB2312" w:eastAsia="仿宋_GB2312" w:cs="仿宋_GB2312"/>
          <w:color w:val="auto"/>
          <w:sz w:val="24"/>
        </w:rPr>
      </w:pPr>
    </w:p>
    <w:p>
      <w:pPr>
        <w:jc w:val="both"/>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b/>
          <w:color w:val="auto"/>
          <w:kern w:val="0"/>
          <w:sz w:val="24"/>
          <w:lang w:val="zh-CN"/>
        </w:rPr>
        <w:t>四、授权委托书或法定代表人（单位负责人、自然人本人）身份证明</w:t>
      </w:r>
    </w:p>
    <w:p>
      <w:pPr>
        <w:snapToGrid w:val="0"/>
        <w:spacing w:line="360" w:lineRule="auto"/>
        <w:rPr>
          <w:rFonts w:hint="eastAsia" w:ascii="仿宋_GB2312" w:hAnsi="仿宋_GB2312" w:eastAsia="仿宋_GB2312" w:cs="仿宋_GB2312"/>
          <w:color w:val="auto"/>
          <w:sz w:val="24"/>
        </w:rPr>
      </w:pPr>
    </w:p>
    <w:p>
      <w:pPr>
        <w:snapToGrid w:val="0"/>
        <w:spacing w:line="360" w:lineRule="auto"/>
        <w:ind w:firstLine="2154" w:firstLineChars="894"/>
        <w:rPr>
          <w:rFonts w:hint="eastAsia" w:ascii="仿宋_GB2312" w:hAnsi="仿宋_GB2312" w:eastAsia="仿宋_GB2312" w:cs="仿宋_GB2312"/>
          <w:color w:val="auto"/>
          <w:sz w:val="24"/>
        </w:rPr>
      </w:pPr>
      <w:r>
        <w:rPr>
          <w:rFonts w:hint="eastAsia" w:ascii="仿宋_GB2312" w:hAnsi="仿宋_GB2312" w:eastAsia="仿宋_GB2312" w:cs="仿宋_GB2312"/>
          <w:b/>
          <w:color w:val="auto"/>
          <w:kern w:val="0"/>
          <w:sz w:val="24"/>
          <w:lang w:val="zh-CN"/>
        </w:rPr>
        <w:t>授权委托书（适用于非联合体投标）</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（采购人）、（采购代理机构）</w:t>
      </w:r>
      <w:r>
        <w:rPr>
          <w:rFonts w:hint="eastAsia" w:ascii="仿宋_GB2312" w:hAnsi="仿宋_GB2312" w:eastAsia="仿宋_GB2312" w:cs="仿宋_GB2312"/>
          <w:color w:val="auto"/>
          <w:kern w:val="0"/>
          <w:sz w:val="24"/>
          <w:lang w:val="zh-CN"/>
        </w:rPr>
        <w:t>：</w:t>
      </w:r>
    </w:p>
    <w:p>
      <w:pPr>
        <w:snapToGrid w:val="0"/>
        <w:spacing w:line="360" w:lineRule="auto"/>
        <w:ind w:firstLine="576"/>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现</w:t>
      </w:r>
      <w:r>
        <w:rPr>
          <w:rFonts w:hint="eastAsia" w:ascii="仿宋_GB2312" w:hAnsi="仿宋_GB2312" w:eastAsia="仿宋_GB2312" w:cs="仿宋_GB2312"/>
          <w:color w:val="auto"/>
          <w:kern w:val="0"/>
          <w:sz w:val="24"/>
          <w:lang w:val="zh-CN"/>
        </w:rPr>
        <w:t>委托（姓名）为我方代理人（身份证号码：，手机：），以我方名义处理</w:t>
      </w:r>
      <w:r>
        <w:rPr>
          <w:rFonts w:hint="eastAsia" w:ascii="仿宋_GB2312" w:hAnsi="仿宋_GB2312" w:eastAsia="仿宋_GB2312" w:cs="仿宋_GB2312"/>
          <w:color w:val="auto"/>
          <w:sz w:val="24"/>
        </w:rPr>
        <w:t>（项目名称）【招标编号：（采购编号）】</w:t>
      </w:r>
      <w:r>
        <w:rPr>
          <w:rFonts w:hint="eastAsia" w:ascii="仿宋_GB2312" w:hAnsi="仿宋_GB2312" w:eastAsia="仿宋_GB2312" w:cs="仿宋_GB2312"/>
          <w:color w:val="auto"/>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委托期限</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自年月日起至年月日止。</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特此告知。</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 xml:space="preserve">                                                 投标人名称(电子签名)：</w:t>
      </w:r>
    </w:p>
    <w:p>
      <w:pPr>
        <w:snapToGrid w:val="0"/>
        <w:spacing w:line="360" w:lineRule="auto"/>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color w:val="auto"/>
          <w:kern w:val="0"/>
          <w:sz w:val="24"/>
          <w:lang w:val="zh-CN"/>
        </w:rPr>
        <w:t xml:space="preserve">                                                 签发日期：  年  月   日</w:t>
      </w:r>
    </w:p>
    <w:p>
      <w:pPr>
        <w:jc w:val="center"/>
        <w:rPr>
          <w:rFonts w:hint="eastAsia" w:ascii="仿宋_GB2312" w:hAnsi="仿宋_GB2312" w:eastAsia="仿宋_GB2312" w:cs="仿宋_GB2312"/>
          <w:b/>
          <w:color w:val="auto"/>
          <w:kern w:val="0"/>
          <w:sz w:val="24"/>
          <w:lang w:val="zh-CN"/>
        </w:rPr>
      </w:pP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val="zh-CN"/>
        </w:rPr>
        <w:t>授权委托书（适用于联合体投标）</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（采购人）、（采购代理机构）</w:t>
      </w:r>
      <w:r>
        <w:rPr>
          <w:rFonts w:hint="eastAsia" w:ascii="仿宋_GB2312" w:hAnsi="仿宋_GB2312" w:eastAsia="仿宋_GB2312" w:cs="仿宋_GB2312"/>
          <w:color w:val="auto"/>
          <w:kern w:val="0"/>
          <w:sz w:val="24"/>
          <w:lang w:val="zh-CN"/>
        </w:rPr>
        <w:t>：</w:t>
      </w:r>
    </w:p>
    <w:p>
      <w:pPr>
        <w:snapToGrid w:val="0"/>
        <w:spacing w:line="360" w:lineRule="auto"/>
        <w:ind w:firstLine="576"/>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现</w:t>
      </w:r>
      <w:r>
        <w:rPr>
          <w:rFonts w:hint="eastAsia" w:ascii="仿宋_GB2312" w:hAnsi="仿宋_GB2312" w:eastAsia="仿宋_GB2312" w:cs="仿宋_GB2312"/>
          <w:color w:val="auto"/>
          <w:kern w:val="0"/>
          <w:sz w:val="24"/>
          <w:lang w:val="zh-CN"/>
        </w:rPr>
        <w:t>委托（姓名）为我方代理人（身份证号码：，手机：），以我方名义处理</w:t>
      </w:r>
      <w:r>
        <w:rPr>
          <w:rFonts w:hint="eastAsia" w:ascii="仿宋_GB2312" w:hAnsi="仿宋_GB2312" w:eastAsia="仿宋_GB2312" w:cs="仿宋_GB2312"/>
          <w:color w:val="auto"/>
          <w:sz w:val="24"/>
        </w:rPr>
        <w:t>（项目名称）【招标编号：（采购编号）】</w:t>
      </w:r>
      <w:r>
        <w:rPr>
          <w:rFonts w:hint="eastAsia" w:ascii="仿宋_GB2312" w:hAnsi="仿宋_GB2312" w:eastAsia="仿宋_GB2312" w:cs="仿宋_GB2312"/>
          <w:color w:val="auto"/>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委托期限</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自年月日起至年月日止。</w:t>
      </w: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特此告知。</w:t>
      </w:r>
    </w:p>
    <w:p>
      <w:pPr>
        <w:rPr>
          <w:rFonts w:hint="eastAsia" w:ascii="仿宋_GB2312" w:hAnsi="仿宋_GB2312" w:eastAsia="仿宋_GB2312" w:cs="仿宋_GB2312"/>
          <w:color w:val="auto"/>
          <w:sz w:val="24"/>
        </w:rPr>
      </w:pPr>
    </w:p>
    <w:p>
      <w:pPr>
        <w:snapToGrid w:val="0"/>
        <w:spacing w:line="360" w:lineRule="auto"/>
        <w:ind w:firstLine="5040" w:firstLineChars="21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w:t>
      </w:r>
    </w:p>
    <w:p>
      <w:pPr>
        <w:snapToGrid w:val="0"/>
        <w:spacing w:line="360" w:lineRule="auto"/>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                                               日期：  年  月   日</w:t>
      </w:r>
    </w:p>
    <w:p>
      <w:pPr>
        <w:autoSpaceDE w:val="0"/>
        <w:autoSpaceDN w:val="0"/>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kern w:val="0"/>
          <w:sz w:val="24"/>
          <w:lang w:val="zh-CN"/>
        </w:rPr>
        <w:t>法定代表人、单位负责人或自然人本人</w:t>
      </w:r>
      <w:r>
        <w:rPr>
          <w:rFonts w:hint="eastAsia" w:ascii="仿宋_GB2312" w:hAnsi="仿宋_GB2312" w:eastAsia="仿宋_GB2312" w:cs="仿宋_GB2312"/>
          <w:b/>
          <w:color w:val="auto"/>
          <w:sz w:val="24"/>
        </w:rPr>
        <w:t>的身份证明（适用于法定代表人、单位负责人或者自然人本人代表投标人参加投标）</w:t>
      </w:r>
    </w:p>
    <w:p>
      <w:pPr>
        <w:pStyle w:val="149"/>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9207" w:type="dxa"/>
          </w:tcPr>
          <w:p>
            <w:pPr>
              <w:pStyle w:val="149"/>
              <w:adjustRightInd w:val="0"/>
              <w:spacing w:line="360"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正面：反面：</w:t>
            </w:r>
          </w:p>
        </w:tc>
      </w:tr>
    </w:tbl>
    <w:p>
      <w:pPr>
        <w:snapToGrid w:val="0"/>
        <w:spacing w:line="360" w:lineRule="auto"/>
        <w:ind w:firstLine="576"/>
        <w:jc w:val="center"/>
        <w:rPr>
          <w:rFonts w:hint="eastAsia" w:ascii="仿宋_GB2312" w:hAnsi="仿宋_GB2312" w:eastAsia="仿宋_GB2312" w:cs="仿宋_GB2312"/>
          <w:color w:val="auto"/>
          <w:kern w:val="0"/>
          <w:sz w:val="24"/>
          <w:lang w:val="zh-CN"/>
        </w:rPr>
      </w:pPr>
    </w:p>
    <w:p>
      <w:pPr>
        <w:snapToGrid w:val="0"/>
        <w:spacing w:line="360" w:lineRule="auto"/>
        <w:ind w:firstLine="576"/>
        <w:jc w:val="center"/>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                  投标人名称(电子签名)：                              </w:t>
      </w:r>
    </w:p>
    <w:p>
      <w:pPr>
        <w:spacing w:line="360" w:lineRule="auto"/>
        <w:jc w:val="center"/>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                   日期：  年  月  日</w:t>
      </w:r>
    </w:p>
    <w:p>
      <w:pPr>
        <w:snapToGrid w:val="0"/>
        <w:spacing w:line="360" w:lineRule="auto"/>
        <w:jc w:val="center"/>
        <w:outlineLvl w:val="0"/>
        <w:rPr>
          <w:rFonts w:hint="eastAsia" w:ascii="仿宋_GB2312" w:hAnsi="仿宋_GB2312" w:eastAsia="仿宋_GB2312" w:cs="仿宋_GB2312"/>
          <w:b/>
          <w:color w:val="auto"/>
          <w:kern w:val="0"/>
          <w:sz w:val="24"/>
        </w:rPr>
      </w:pPr>
    </w:p>
    <w:p>
      <w:pPr>
        <w:snapToGrid w:val="0"/>
        <w:spacing w:line="360" w:lineRule="auto"/>
        <w:jc w:val="center"/>
        <w:outlineLvl w:val="0"/>
        <w:rPr>
          <w:rFonts w:hint="eastAsia" w:ascii="仿宋_GB2312" w:hAnsi="仿宋_GB2312" w:eastAsia="仿宋_GB2312" w:cs="仿宋_GB2312"/>
          <w:b/>
          <w:color w:val="auto"/>
          <w:sz w:val="24"/>
        </w:rPr>
      </w:pPr>
      <w:bookmarkStart w:id="455" w:name="_Toc29790"/>
      <w:bookmarkStart w:id="456" w:name="_Toc9811"/>
      <w:r>
        <w:rPr>
          <w:rFonts w:hint="eastAsia" w:ascii="仿宋_GB2312" w:hAnsi="仿宋_GB2312" w:eastAsia="仿宋_GB2312" w:cs="仿宋_GB2312"/>
          <w:b/>
          <w:color w:val="auto"/>
          <w:kern w:val="0"/>
          <w:sz w:val="24"/>
        </w:rPr>
        <w:t>五、投标</w:t>
      </w:r>
      <w:r>
        <w:rPr>
          <w:rFonts w:hint="eastAsia" w:ascii="仿宋_GB2312" w:hAnsi="仿宋_GB2312" w:eastAsia="仿宋_GB2312" w:cs="仿宋_GB2312"/>
          <w:b/>
          <w:color w:val="auto"/>
          <w:sz w:val="24"/>
        </w:rPr>
        <w:t>函</w:t>
      </w:r>
      <w:bookmarkEnd w:id="455"/>
      <w:bookmarkEnd w:id="456"/>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（采购人）、（采购代理机构）：</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1、我方承诺投标有效期从提交投标文件的截止之日起</w:t>
      </w:r>
      <w:r>
        <w:rPr>
          <w:rFonts w:hint="eastAsia" w:ascii="仿宋_GB2312" w:hAnsi="仿宋_GB2312" w:eastAsia="仿宋_GB2312" w:cs="仿宋_GB2312"/>
          <w:color w:val="auto"/>
          <w:sz w:val="24"/>
          <w:u w:val="single"/>
        </w:rPr>
        <w:t>90</w:t>
      </w:r>
      <w:r>
        <w:rPr>
          <w:rFonts w:hint="eastAsia" w:ascii="仿宋_GB2312" w:hAnsi="仿宋_GB2312" w:eastAsia="仿宋_GB2312" w:cs="仿宋_GB2312"/>
          <w:color w:val="auto"/>
          <w:sz w:val="24"/>
        </w:rPr>
        <w:t>天，本投标文件在投标有效期满之前均具有约束力。</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3、如我方中标，我方承诺：</w:t>
      </w:r>
    </w:p>
    <w:p>
      <w:pPr>
        <w:snapToGrid w:val="0"/>
        <w:spacing w:line="360" w:lineRule="auto"/>
        <w:ind w:left="210" w:leftChars="1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4.4在合同约定的期限内完成合同规定的全部义务。 </w:t>
      </w:r>
    </w:p>
    <w:p>
      <w:pPr>
        <w:numPr>
          <w:ilvl w:val="0"/>
          <w:numId w:val="3"/>
        </w:num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银行帐号：</w:t>
      </w:r>
    </w:p>
    <w:p>
      <w:pPr>
        <w:spacing w:line="360" w:lineRule="auto"/>
        <w:ind w:firstLine="3600" w:firstLineChars="15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投标人名称（电子签名）：</w:t>
      </w:r>
    </w:p>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日期：  年   月   日</w:t>
      </w:r>
    </w:p>
    <w:p>
      <w:pPr>
        <w:spacing w:line="360" w:lineRule="auto"/>
        <w:jc w:val="left"/>
        <w:rPr>
          <w:rFonts w:hint="eastAsia" w:ascii="仿宋_GB2312" w:hAnsi="仿宋_GB2312" w:eastAsia="仿宋_GB2312" w:cs="仿宋_GB2312"/>
          <w:b/>
          <w:bCs/>
          <w:color w:val="auto"/>
          <w:sz w:val="24"/>
        </w:rPr>
      </w:pPr>
    </w:p>
    <w:p>
      <w:pPr>
        <w:spacing w:line="360" w:lineRule="auto"/>
        <w:jc w:val="left"/>
        <w:rPr>
          <w:rFonts w:hint="eastAsia" w:ascii="仿宋_GB2312" w:hAnsi="仿宋_GB2312" w:eastAsia="仿宋_GB2312" w:cs="仿宋_GB2312"/>
          <w:b/>
          <w:bCs/>
          <w:color w:val="auto"/>
          <w:sz w:val="24"/>
        </w:rPr>
      </w:pPr>
    </w:p>
    <w:p>
      <w:pPr>
        <w:spacing w:line="360" w:lineRule="auto"/>
        <w:ind w:firstLine="1687" w:firstLineChars="700"/>
        <w:jc w:val="center"/>
        <w:rPr>
          <w:rFonts w:hint="eastAsia" w:ascii="仿宋_GB2312" w:hAnsi="仿宋_GB2312" w:eastAsia="仿宋_GB2312" w:cs="仿宋_GB2312"/>
          <w:b/>
          <w:bCs/>
          <w:color w:val="auto"/>
          <w:sz w:val="24"/>
        </w:rPr>
      </w:pPr>
    </w:p>
    <w:p>
      <w:pPr>
        <w:spacing w:line="360" w:lineRule="auto"/>
        <w:jc w:val="both"/>
        <w:rPr>
          <w:rFonts w:hint="eastAsia" w:ascii="仿宋_GB2312" w:hAnsi="仿宋_GB2312" w:eastAsia="仿宋_GB2312" w:cs="仿宋_GB2312"/>
          <w:b/>
          <w:color w:val="auto"/>
          <w:kern w:val="0"/>
          <w:sz w:val="24"/>
        </w:rPr>
      </w:pPr>
      <w:r>
        <w:rPr>
          <w:rFonts w:hint="eastAsia" w:ascii="仿宋_GB2312" w:hAnsi="仿宋_GB2312" w:eastAsia="仿宋_GB2312" w:cs="仿宋_GB2312"/>
          <w:b/>
          <w:bCs/>
          <w:color w:val="auto"/>
          <w:sz w:val="24"/>
        </w:rPr>
        <w:t>六、</w:t>
      </w:r>
      <w:r>
        <w:rPr>
          <w:rFonts w:hint="eastAsia" w:ascii="仿宋_GB2312" w:hAnsi="仿宋_GB2312" w:eastAsia="仿宋_GB2312" w:cs="仿宋_GB2312"/>
          <w:b/>
          <w:color w:val="auto"/>
          <w:kern w:val="0"/>
          <w:sz w:val="24"/>
        </w:rPr>
        <w:t>信用中国等网站信用查询结果</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lang w:val="en-US" w:eastAsia="zh-CN" w:bidi="ar-SA"/>
        </w:rPr>
        <w:t>公告发布之日起到开标截止时间之间“信用中国”（www.creditchina.gov.cn）、中国政府采购网（www.ccgp.gov.cn）失信被执行人、重大税收违法案件当事人名单、政府采购严重违法失信行为记录名查询结果截图。</w:t>
      </w:r>
    </w:p>
    <w:p>
      <w:pPr>
        <w:spacing w:line="360" w:lineRule="auto"/>
        <w:jc w:val="both"/>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七、政府采购活动现场确认声明书</w:t>
      </w:r>
    </w:p>
    <w:p>
      <w:pPr>
        <w:pStyle w:val="966"/>
        <w:widowControl w:val="0"/>
        <w:snapToGrid w:val="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rPr>
        <w:t xml:space="preserve"> 江山惠捷信息技术咨询有限公司</w:t>
      </w:r>
      <w:r>
        <w:rPr>
          <w:rFonts w:hint="eastAsia" w:ascii="仿宋_GB2312" w:hAnsi="仿宋_GB2312" w:eastAsia="仿宋_GB2312" w:cs="仿宋_GB2312"/>
          <w:bCs/>
          <w:color w:val="auto"/>
          <w:kern w:val="0"/>
          <w:sz w:val="24"/>
          <w:szCs w:val="24"/>
        </w:rPr>
        <w:t>：</w:t>
      </w:r>
    </w:p>
    <w:p>
      <w:pPr>
        <w:snapToGrid w:val="0"/>
        <w:spacing w:line="380" w:lineRule="exact"/>
        <w:ind w:left="239" w:leftChars="114" w:firstLine="252" w:firstLineChars="100"/>
        <w:rPr>
          <w:rFonts w:hint="eastAsia" w:ascii="仿宋_GB2312" w:hAnsi="仿宋_GB2312" w:eastAsia="仿宋_GB2312" w:cs="仿宋_GB2312"/>
          <w:bCs/>
          <w:color w:val="auto"/>
          <w:spacing w:val="6"/>
          <w:sz w:val="24"/>
        </w:rPr>
      </w:pPr>
      <w:r>
        <w:rPr>
          <w:rFonts w:hint="eastAsia" w:ascii="仿宋_GB2312" w:hAnsi="仿宋_GB2312" w:eastAsia="仿宋_GB2312" w:cs="仿宋_GB2312"/>
          <w:bCs/>
          <w:color w:val="auto"/>
          <w:spacing w:val="6"/>
          <w:sz w:val="24"/>
        </w:rPr>
        <w:t>本人经由（供应商名称）法定代表人合法授权</w:t>
      </w:r>
      <w:r>
        <w:rPr>
          <w:rFonts w:hint="eastAsia" w:ascii="仿宋_GB2312" w:hAnsi="仿宋_GB2312" w:eastAsia="仿宋_GB2312" w:cs="仿宋_GB2312"/>
          <w:bCs/>
          <w:color w:val="auto"/>
          <w:kern w:val="0"/>
          <w:sz w:val="24"/>
        </w:rPr>
        <w:t>参加</w:t>
      </w:r>
      <w:r>
        <w:rPr>
          <w:rFonts w:hint="eastAsia" w:ascii="仿宋_GB2312" w:hAnsi="仿宋_GB2312" w:eastAsia="仿宋_GB2312" w:cs="仿宋_GB2312"/>
          <w:bCs/>
          <w:color w:val="auto"/>
          <w:kern w:val="0"/>
          <w:sz w:val="24"/>
          <w:u w:val="single"/>
        </w:rPr>
        <w:t>江山市中小学AI智慧体育设备采购项目</w:t>
      </w:r>
      <w:r>
        <w:rPr>
          <w:rFonts w:hint="eastAsia" w:ascii="仿宋_GB2312" w:hAnsi="仿宋_GB2312" w:eastAsia="仿宋_GB2312" w:cs="仿宋_GB2312"/>
          <w:bCs/>
          <w:color w:val="auto"/>
          <w:kern w:val="0"/>
          <w:sz w:val="24"/>
        </w:rPr>
        <w:t>（编号：）</w:t>
      </w:r>
      <w:r>
        <w:rPr>
          <w:rFonts w:hint="eastAsia" w:ascii="仿宋_GB2312" w:hAnsi="仿宋_GB2312" w:eastAsia="仿宋_GB2312" w:cs="仿宋_GB2312"/>
          <w:bCs/>
          <w:color w:val="auto"/>
          <w:sz w:val="24"/>
        </w:rPr>
        <w:t>招标</w:t>
      </w:r>
      <w:r>
        <w:rPr>
          <w:rFonts w:hint="eastAsia" w:ascii="仿宋_GB2312" w:hAnsi="仿宋_GB2312" w:eastAsia="仿宋_GB2312" w:cs="仿宋_GB2312"/>
          <w:bCs/>
          <w:color w:val="auto"/>
          <w:kern w:val="0"/>
          <w:sz w:val="24"/>
        </w:rPr>
        <w:t>活</w:t>
      </w:r>
      <w:r>
        <w:rPr>
          <w:rFonts w:hint="eastAsia" w:ascii="仿宋_GB2312" w:hAnsi="仿宋_GB2312" w:eastAsia="仿宋_GB2312" w:cs="仿宋_GB2312"/>
          <w:bCs/>
          <w:color w:val="auto"/>
          <w:spacing w:val="6"/>
          <w:sz w:val="24"/>
        </w:rPr>
        <w:t xml:space="preserve">动，现就有关公平竞争事项郑重声明如下： </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一、本</w:t>
      </w:r>
      <w:r>
        <w:rPr>
          <w:rFonts w:hint="eastAsia" w:ascii="仿宋_GB2312" w:hAnsi="仿宋_GB2312" w:eastAsia="仿宋_GB2312" w:cs="仿宋_GB2312"/>
          <w:bCs/>
          <w:color w:val="auto"/>
          <w:spacing w:val="6"/>
          <w:sz w:val="24"/>
          <w:szCs w:val="24"/>
        </w:rPr>
        <w:t>公司</w:t>
      </w:r>
      <w:r>
        <w:rPr>
          <w:rFonts w:hint="eastAsia" w:ascii="仿宋_GB2312" w:hAnsi="仿宋_GB2312" w:eastAsia="仿宋_GB2312" w:cs="仿宋_GB2312"/>
          <w:bCs/>
          <w:color w:val="auto"/>
          <w:kern w:val="0"/>
          <w:sz w:val="24"/>
          <w:szCs w:val="24"/>
        </w:rPr>
        <w:t xml:space="preserve">与采购人之间    </w:t>
      </w:r>
      <w:r>
        <w:rPr>
          <w:rFonts w:hint="eastAsia" w:ascii="仿宋_GB2312" w:hAnsi="仿宋_GB2312" w:eastAsia="仿宋_GB2312" w:cs="仿宋_GB2312"/>
          <w:bCs/>
          <w:color w:val="auto"/>
          <w:kern w:val="0"/>
          <w:sz w:val="24"/>
          <w:szCs w:val="24"/>
        </w:rPr>
        <w:fldChar w:fldCharType="begin"/>
      </w:r>
      <w:r>
        <w:rPr>
          <w:rFonts w:hint="eastAsia" w:ascii="仿宋_GB2312" w:hAnsi="仿宋_GB2312" w:eastAsia="仿宋_GB2312" w:cs="仿宋_GB2312"/>
          <w:bCs/>
          <w:color w:val="auto"/>
          <w:kern w:val="0"/>
          <w:sz w:val="24"/>
          <w:szCs w:val="24"/>
        </w:rPr>
        <w:instrText xml:space="preserve"> eq \o\ac(</w:instrText>
      </w:r>
      <w:r>
        <w:rPr>
          <w:rFonts w:hint="eastAsia" w:ascii="仿宋_GB2312" w:hAnsi="仿宋_GB2312" w:eastAsia="仿宋_GB2312" w:cs="仿宋_GB2312"/>
          <w:bCs/>
          <w:color w:val="auto"/>
          <w:kern w:val="0"/>
          <w:position w:val="-4"/>
          <w:sz w:val="36"/>
          <w:szCs w:val="24"/>
        </w:rPr>
        <w:instrText xml:space="preserve">□</w:instrText>
      </w:r>
      <w:r>
        <w:rPr>
          <w:rFonts w:hint="eastAsia" w:ascii="仿宋_GB2312" w:hAnsi="仿宋_GB2312" w:eastAsia="仿宋_GB2312" w:cs="仿宋_GB2312"/>
          <w:bCs/>
          <w:color w:val="auto"/>
          <w:kern w:val="0"/>
          <w:sz w:val="24"/>
          <w:szCs w:val="24"/>
        </w:rPr>
        <w:instrText xml:space="preserve">,√)</w:instrText>
      </w:r>
      <w:r>
        <w:rPr>
          <w:rFonts w:hint="eastAsia" w:ascii="仿宋_GB2312" w:hAnsi="仿宋_GB2312" w:eastAsia="仿宋_GB2312" w:cs="仿宋_GB2312"/>
          <w:bCs/>
          <w:color w:val="auto"/>
          <w:kern w:val="0"/>
          <w:sz w:val="24"/>
          <w:szCs w:val="24"/>
        </w:rPr>
        <w:fldChar w:fldCharType="end"/>
      </w:r>
      <w:r>
        <w:rPr>
          <w:rFonts w:hint="eastAsia" w:ascii="仿宋_GB2312" w:hAnsi="仿宋_GB2312" w:eastAsia="仿宋_GB2312" w:cs="仿宋_GB2312"/>
          <w:bCs/>
          <w:color w:val="auto"/>
          <w:kern w:val="0"/>
          <w:sz w:val="24"/>
          <w:szCs w:val="24"/>
        </w:rPr>
        <w:t>不存在利害关系     □存在下列利害关系：</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A.投资关系    B.行政隶属关系    C.业务指导关系</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D.其他可能</w:t>
      </w:r>
      <w:r>
        <w:rPr>
          <w:rFonts w:hint="eastAsia" w:ascii="仿宋_GB2312" w:hAnsi="仿宋_GB2312" w:eastAsia="仿宋_GB2312" w:cs="仿宋_GB2312"/>
          <w:bCs/>
          <w:color w:val="auto"/>
          <w:sz w:val="24"/>
          <w:szCs w:val="24"/>
        </w:rPr>
        <w:t>影响招标公正的</w:t>
      </w:r>
      <w:r>
        <w:rPr>
          <w:rFonts w:hint="eastAsia" w:ascii="仿宋_GB2312" w:hAnsi="仿宋_GB2312" w:eastAsia="仿宋_GB2312" w:cs="仿宋_GB2312"/>
          <w:bCs/>
          <w:color w:val="auto"/>
          <w:kern w:val="0"/>
          <w:sz w:val="24"/>
          <w:szCs w:val="24"/>
        </w:rPr>
        <w:t>利害关系</w:t>
      </w:r>
      <w:r>
        <w:rPr>
          <w:rFonts w:hint="eastAsia" w:ascii="仿宋_GB2312" w:hAnsi="仿宋_GB2312" w:eastAsia="仿宋_GB2312" w:cs="仿宋_GB2312"/>
          <w:bCs/>
          <w:color w:val="auto"/>
          <w:kern w:val="0"/>
          <w:sz w:val="24"/>
          <w:szCs w:val="24"/>
          <w:u w:val="single"/>
        </w:rPr>
        <w:t xml:space="preserve">（如有，请如实说明）             </w:t>
      </w:r>
      <w:r>
        <w:rPr>
          <w:rFonts w:hint="eastAsia" w:ascii="仿宋_GB2312" w:hAnsi="仿宋_GB2312" w:eastAsia="仿宋_GB2312" w:cs="仿宋_GB2312"/>
          <w:bCs/>
          <w:color w:val="auto"/>
          <w:kern w:val="0"/>
          <w:sz w:val="24"/>
          <w:szCs w:val="24"/>
        </w:rPr>
        <w:t>。</w:t>
      </w:r>
    </w:p>
    <w:p>
      <w:pPr>
        <w:pStyle w:val="967"/>
        <w:widowControl/>
        <w:snapToGrid w:val="0"/>
        <w:spacing w:line="380" w:lineRule="exact"/>
        <w:ind w:firstLine="504"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pacing w:val="6"/>
          <w:sz w:val="24"/>
          <w:szCs w:val="24"/>
        </w:rPr>
        <w:t>二、</w:t>
      </w:r>
      <w:r>
        <w:rPr>
          <w:rFonts w:hint="eastAsia" w:ascii="仿宋_GB2312" w:hAnsi="仿宋_GB2312" w:eastAsia="仿宋_GB2312" w:cs="仿宋_GB2312"/>
          <w:bCs/>
          <w:color w:val="auto"/>
          <w:kern w:val="0"/>
          <w:sz w:val="24"/>
          <w:szCs w:val="24"/>
        </w:rPr>
        <w:t>现已清楚知道参加本项目</w:t>
      </w:r>
      <w:r>
        <w:rPr>
          <w:rFonts w:hint="eastAsia" w:ascii="仿宋_GB2312" w:hAnsi="仿宋_GB2312" w:eastAsia="仿宋_GB2312" w:cs="仿宋_GB2312"/>
          <w:bCs/>
          <w:color w:val="auto"/>
          <w:sz w:val="24"/>
          <w:szCs w:val="24"/>
        </w:rPr>
        <w:t>招标</w:t>
      </w:r>
      <w:r>
        <w:rPr>
          <w:rFonts w:hint="eastAsia" w:ascii="仿宋_GB2312" w:hAnsi="仿宋_GB2312" w:eastAsia="仿宋_GB2312" w:cs="仿宋_GB2312"/>
          <w:bCs/>
          <w:color w:val="auto"/>
          <w:kern w:val="0"/>
          <w:sz w:val="24"/>
          <w:szCs w:val="24"/>
        </w:rPr>
        <w:t>活动的其他所有供应商名称，本</w:t>
      </w:r>
      <w:r>
        <w:rPr>
          <w:rFonts w:hint="eastAsia" w:ascii="仿宋_GB2312" w:hAnsi="仿宋_GB2312" w:eastAsia="仿宋_GB2312" w:cs="仿宋_GB2312"/>
          <w:bCs/>
          <w:color w:val="auto"/>
          <w:spacing w:val="6"/>
          <w:sz w:val="24"/>
          <w:szCs w:val="24"/>
        </w:rPr>
        <w:t>公司</w:t>
      </w:r>
      <w:r>
        <w:rPr>
          <w:rFonts w:hint="eastAsia" w:ascii="仿宋_GB2312" w:hAnsi="仿宋_GB2312" w:eastAsia="仿宋_GB2312" w:cs="仿宋_GB2312"/>
          <w:bCs/>
          <w:color w:val="auto"/>
          <w:kern w:val="0"/>
          <w:sz w:val="24"/>
          <w:szCs w:val="24"/>
        </w:rPr>
        <w:fldChar w:fldCharType="begin"/>
      </w:r>
      <w:r>
        <w:rPr>
          <w:rFonts w:hint="eastAsia" w:ascii="仿宋_GB2312" w:hAnsi="仿宋_GB2312" w:eastAsia="仿宋_GB2312" w:cs="仿宋_GB2312"/>
          <w:bCs/>
          <w:color w:val="auto"/>
          <w:kern w:val="0"/>
          <w:sz w:val="24"/>
          <w:szCs w:val="24"/>
        </w:rPr>
        <w:instrText xml:space="preserve"> eq \o\ac(</w:instrText>
      </w:r>
      <w:r>
        <w:rPr>
          <w:rFonts w:hint="eastAsia" w:ascii="仿宋_GB2312" w:hAnsi="仿宋_GB2312" w:eastAsia="仿宋_GB2312" w:cs="仿宋_GB2312"/>
          <w:bCs/>
          <w:color w:val="auto"/>
          <w:kern w:val="0"/>
          <w:position w:val="-4"/>
          <w:sz w:val="36"/>
          <w:szCs w:val="24"/>
        </w:rPr>
        <w:instrText xml:space="preserve">□</w:instrText>
      </w:r>
      <w:r>
        <w:rPr>
          <w:rFonts w:hint="eastAsia" w:ascii="仿宋_GB2312" w:hAnsi="仿宋_GB2312" w:eastAsia="仿宋_GB2312" w:cs="仿宋_GB2312"/>
          <w:bCs/>
          <w:color w:val="auto"/>
          <w:kern w:val="0"/>
          <w:sz w:val="24"/>
          <w:szCs w:val="24"/>
        </w:rPr>
        <w:instrText xml:space="preserve">,√)</w:instrText>
      </w:r>
      <w:r>
        <w:rPr>
          <w:rFonts w:hint="eastAsia" w:ascii="仿宋_GB2312" w:hAnsi="仿宋_GB2312" w:eastAsia="仿宋_GB2312" w:cs="仿宋_GB2312"/>
          <w:bCs/>
          <w:color w:val="auto"/>
          <w:kern w:val="0"/>
          <w:sz w:val="24"/>
          <w:szCs w:val="24"/>
        </w:rPr>
        <w:fldChar w:fldCharType="end"/>
      </w:r>
      <w:r>
        <w:rPr>
          <w:rFonts w:hint="eastAsia" w:ascii="仿宋_GB2312" w:hAnsi="仿宋_GB2312" w:eastAsia="仿宋_GB2312" w:cs="仿宋_GB2312"/>
          <w:bCs/>
          <w:color w:val="auto"/>
          <w:kern w:val="0"/>
          <w:sz w:val="24"/>
          <w:szCs w:val="24"/>
        </w:rPr>
        <w:t>与其他所有供应商之间均不存在利害关系</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□与</w:t>
      </w:r>
      <w:r>
        <w:rPr>
          <w:rFonts w:hint="eastAsia" w:ascii="仿宋_GB2312" w:hAnsi="仿宋_GB2312" w:eastAsia="仿宋_GB2312" w:cs="仿宋_GB2312"/>
          <w:bCs/>
          <w:color w:val="auto"/>
          <w:kern w:val="0"/>
          <w:sz w:val="24"/>
          <w:szCs w:val="24"/>
          <w:u w:val="single"/>
        </w:rPr>
        <w:t xml:space="preserve">                        （供应商名称）</w:t>
      </w:r>
      <w:r>
        <w:rPr>
          <w:rFonts w:hint="eastAsia" w:ascii="仿宋_GB2312" w:hAnsi="仿宋_GB2312" w:eastAsia="仿宋_GB2312" w:cs="仿宋_GB2312"/>
          <w:bCs/>
          <w:color w:val="auto"/>
          <w:kern w:val="0"/>
          <w:sz w:val="24"/>
          <w:szCs w:val="24"/>
        </w:rPr>
        <w:t>之间存在下列利害关系：</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A.法定代表人或负责人或实际控制人是同一人</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kern w:val="0"/>
          <w:sz w:val="24"/>
          <w:szCs w:val="24"/>
        </w:rPr>
        <w:t>B.法定代表人或负责人或实际控制人是夫妻关系</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kern w:val="0"/>
          <w:sz w:val="24"/>
          <w:szCs w:val="24"/>
        </w:rPr>
        <w:t>C.法定代表人或负责人或实际控制人是直系血亲关系</w:t>
      </w:r>
    </w:p>
    <w:p>
      <w:pPr>
        <w:pStyle w:val="966"/>
        <w:widowControl w:val="0"/>
        <w:snapToGrid w:val="0"/>
        <w:spacing w:line="380" w:lineRule="exact"/>
        <w:ind w:firstLine="464" w:firstLineChars="200"/>
        <w:jc w:val="both"/>
        <w:rPr>
          <w:rFonts w:hint="eastAsia" w:ascii="仿宋_GB2312" w:hAnsi="仿宋_GB2312" w:eastAsia="仿宋_GB2312" w:cs="仿宋_GB2312"/>
          <w:bCs/>
          <w:color w:val="auto"/>
          <w:spacing w:val="-4"/>
          <w:sz w:val="24"/>
          <w:szCs w:val="24"/>
        </w:rPr>
      </w:pPr>
      <w:r>
        <w:rPr>
          <w:rFonts w:hint="eastAsia" w:ascii="仿宋_GB2312" w:hAnsi="仿宋_GB2312" w:eastAsia="仿宋_GB2312" w:cs="仿宋_GB2312"/>
          <w:bCs/>
          <w:color w:val="auto"/>
          <w:spacing w:val="-4"/>
          <w:kern w:val="0"/>
          <w:sz w:val="24"/>
          <w:szCs w:val="24"/>
        </w:rPr>
        <w:t>D.法定代表人或负责人或实际控制人存在三代以内旁系血亲关系</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E.法定代表人或负责人或实际控制人存在近姻亲关系</w:t>
      </w:r>
    </w:p>
    <w:p>
      <w:pPr>
        <w:pStyle w:val="966"/>
        <w:widowControl w:val="0"/>
        <w:snapToGrid w:val="0"/>
        <w:spacing w:line="380" w:lineRule="exact"/>
        <w:ind w:right="-380" w:rightChars="-181" w:firstLine="480" w:firstLineChars="200"/>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F.法定代表人或负责人或实际控制人存在股份控制或实际控制关系</w:t>
      </w:r>
    </w:p>
    <w:p>
      <w:pPr>
        <w:pStyle w:val="966"/>
        <w:widowControl w:val="0"/>
        <w:snapToGrid w:val="0"/>
        <w:spacing w:line="380" w:lineRule="exact"/>
        <w:ind w:firstLine="456" w:firstLineChars="200"/>
        <w:jc w:val="both"/>
        <w:outlineLvl w:val="0"/>
        <w:rPr>
          <w:rFonts w:hint="eastAsia" w:ascii="仿宋_GB2312" w:hAnsi="仿宋_GB2312" w:eastAsia="仿宋_GB2312" w:cs="仿宋_GB2312"/>
          <w:bCs/>
          <w:color w:val="auto"/>
          <w:spacing w:val="-6"/>
          <w:kern w:val="0"/>
          <w:sz w:val="24"/>
          <w:szCs w:val="24"/>
        </w:rPr>
      </w:pPr>
      <w:bookmarkStart w:id="457" w:name="_Toc30769"/>
      <w:bookmarkStart w:id="458" w:name="_Toc31091"/>
      <w:bookmarkStart w:id="459" w:name="_Toc31327"/>
      <w:r>
        <w:rPr>
          <w:rFonts w:hint="eastAsia" w:ascii="仿宋_GB2312" w:hAnsi="仿宋_GB2312" w:eastAsia="仿宋_GB2312" w:cs="仿宋_GB2312"/>
          <w:bCs/>
          <w:color w:val="auto"/>
          <w:spacing w:val="-6"/>
          <w:kern w:val="0"/>
          <w:sz w:val="24"/>
          <w:szCs w:val="24"/>
        </w:rPr>
        <w:t>G.存在共同直接或间接投资设立子公司、联营企业和合营企业情况</w:t>
      </w:r>
      <w:bookmarkEnd w:id="457"/>
      <w:bookmarkEnd w:id="458"/>
      <w:bookmarkEnd w:id="459"/>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kern w:val="0"/>
          <w:sz w:val="24"/>
          <w:szCs w:val="24"/>
        </w:rPr>
        <w:t>H.存在分级代理或代销关系、同一生产制造商关系、</w:t>
      </w:r>
      <w:r>
        <w:rPr>
          <w:rFonts w:hint="eastAsia" w:ascii="仿宋_GB2312" w:hAnsi="仿宋_GB2312" w:eastAsia="仿宋_GB2312" w:cs="仿宋_GB2312"/>
          <w:bCs/>
          <w:color w:val="auto"/>
          <w:sz w:val="24"/>
          <w:szCs w:val="24"/>
        </w:rPr>
        <w:t>管理关系、重要业务（占主营业务收入50%以上）或重要财务往来关系（如融资）等其他实质性控制关系</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pacing w:val="6"/>
          <w:sz w:val="24"/>
          <w:szCs w:val="24"/>
        </w:rPr>
      </w:pPr>
      <w:r>
        <w:rPr>
          <w:rFonts w:hint="eastAsia" w:ascii="仿宋_GB2312" w:hAnsi="仿宋_GB2312" w:eastAsia="仿宋_GB2312" w:cs="仿宋_GB2312"/>
          <w:bCs/>
          <w:color w:val="auto"/>
          <w:sz w:val="24"/>
          <w:szCs w:val="24"/>
        </w:rPr>
        <w:t>I</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sz w:val="24"/>
          <w:szCs w:val="24"/>
        </w:rPr>
        <w:t>其他利害关系情况</w:t>
      </w:r>
      <w:r>
        <w:rPr>
          <w:rFonts w:hint="eastAsia" w:ascii="仿宋_GB2312" w:hAnsi="仿宋_GB2312" w:eastAsia="仿宋_GB2312" w:cs="仿宋_GB2312"/>
          <w:bCs/>
          <w:color w:val="auto"/>
          <w:sz w:val="24"/>
          <w:szCs w:val="24"/>
          <w:u w:val="single"/>
        </w:rPr>
        <w:t xml:space="preserve">             /                 </w:t>
      </w:r>
      <w:r>
        <w:rPr>
          <w:rFonts w:hint="eastAsia" w:ascii="仿宋_GB2312" w:hAnsi="仿宋_GB2312" w:eastAsia="仿宋_GB2312" w:cs="仿宋_GB2312"/>
          <w:bCs/>
          <w:color w:val="auto"/>
          <w:kern w:val="0"/>
          <w:sz w:val="24"/>
          <w:szCs w:val="24"/>
        </w:rPr>
        <w:t>。</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三、现已清楚知道并</w:t>
      </w:r>
      <w:r>
        <w:rPr>
          <w:rFonts w:hint="eastAsia" w:ascii="仿宋_GB2312" w:hAnsi="仿宋_GB2312" w:eastAsia="仿宋_GB2312" w:cs="仿宋_GB2312"/>
          <w:bCs/>
          <w:color w:val="auto"/>
          <w:kern w:val="0"/>
          <w:sz w:val="24"/>
          <w:szCs w:val="24"/>
        </w:rPr>
        <w:t>严格遵守</w:t>
      </w:r>
      <w:r>
        <w:rPr>
          <w:rFonts w:hint="eastAsia" w:ascii="仿宋_GB2312" w:hAnsi="仿宋_GB2312" w:eastAsia="仿宋_GB2312" w:cs="仿宋_GB2312"/>
          <w:bCs/>
          <w:color w:val="auto"/>
          <w:sz w:val="24"/>
          <w:szCs w:val="24"/>
        </w:rPr>
        <w:t>招标</w:t>
      </w:r>
      <w:r>
        <w:rPr>
          <w:rFonts w:hint="eastAsia" w:ascii="仿宋_GB2312" w:hAnsi="仿宋_GB2312" w:eastAsia="仿宋_GB2312" w:cs="仿宋_GB2312"/>
          <w:bCs/>
          <w:color w:val="auto"/>
          <w:kern w:val="0"/>
          <w:sz w:val="24"/>
          <w:szCs w:val="24"/>
        </w:rPr>
        <w:t>法律法规和现场纪律。</w:t>
      </w:r>
    </w:p>
    <w:p>
      <w:pPr>
        <w:pStyle w:val="967"/>
        <w:widowControl/>
        <w:snapToGrid w:val="0"/>
        <w:spacing w:line="380" w:lineRule="exact"/>
        <w:ind w:firstLine="480"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四、我发现</w:t>
      </w:r>
      <w:r>
        <w:rPr>
          <w:rFonts w:hint="eastAsia" w:ascii="仿宋_GB2312" w:hAnsi="仿宋_GB2312" w:eastAsia="仿宋_GB2312" w:cs="仿宋_GB2312"/>
          <w:bCs/>
          <w:color w:val="auto"/>
          <w:kern w:val="0"/>
          <w:sz w:val="24"/>
          <w:szCs w:val="24"/>
          <w:u w:val="single"/>
        </w:rPr>
        <w:t xml:space="preserve">    /    </w:t>
      </w:r>
      <w:r>
        <w:rPr>
          <w:rFonts w:hint="eastAsia" w:ascii="仿宋_GB2312" w:hAnsi="仿宋_GB2312" w:eastAsia="仿宋_GB2312" w:cs="仿宋_GB2312"/>
          <w:bCs/>
          <w:color w:val="auto"/>
          <w:kern w:val="0"/>
          <w:sz w:val="24"/>
          <w:szCs w:val="24"/>
        </w:rPr>
        <w:t>供应商之间存在或可能存在上述第二条第</w:t>
      </w:r>
      <w:r>
        <w:rPr>
          <w:rFonts w:hint="eastAsia" w:ascii="仿宋_GB2312" w:hAnsi="仿宋_GB2312" w:eastAsia="仿宋_GB2312" w:cs="仿宋_GB2312"/>
          <w:bCs/>
          <w:color w:val="auto"/>
          <w:kern w:val="0"/>
          <w:sz w:val="24"/>
          <w:szCs w:val="24"/>
          <w:u w:val="single"/>
        </w:rPr>
        <w:t xml:space="preserve">    /    </w:t>
      </w:r>
      <w:r>
        <w:rPr>
          <w:rFonts w:hint="eastAsia" w:ascii="仿宋_GB2312" w:hAnsi="仿宋_GB2312" w:eastAsia="仿宋_GB2312" w:cs="仿宋_GB2312"/>
          <w:bCs/>
          <w:color w:val="auto"/>
          <w:kern w:val="0"/>
          <w:sz w:val="24"/>
          <w:szCs w:val="24"/>
        </w:rPr>
        <w:t>项利害关系。</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pStyle w:val="966"/>
        <w:widowControl w:val="0"/>
        <w:snapToGrid w:val="0"/>
        <w:spacing w:line="380" w:lineRule="exact"/>
        <w:ind w:firstLine="4800" w:firstLineChars="20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供应商代表（签字并按手印）：</w:t>
      </w:r>
    </w:p>
    <w:p>
      <w:pPr>
        <w:pStyle w:val="966"/>
        <w:widowControl w:val="0"/>
        <w:snapToGrid w:val="0"/>
        <w:spacing w:line="380" w:lineRule="exact"/>
        <w:ind w:firstLine="480" w:firstLineChars="200"/>
        <w:jc w:val="both"/>
        <w:rPr>
          <w:rFonts w:hint="eastAsia" w:ascii="仿宋_GB2312" w:hAnsi="仿宋_GB2312" w:eastAsia="仿宋_GB2312" w:cs="仿宋_GB2312"/>
          <w:bCs/>
          <w:color w:val="auto"/>
          <w:sz w:val="24"/>
          <w:szCs w:val="24"/>
        </w:rPr>
      </w:pPr>
    </w:p>
    <w:p>
      <w:pPr>
        <w:tabs>
          <w:tab w:val="left" w:pos="465"/>
        </w:tabs>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bCs/>
          <w:color w:val="auto"/>
          <w:kern w:val="0"/>
          <w:sz w:val="24"/>
        </w:rPr>
        <w:t xml:space="preserve">                                            年  月  日</w:t>
      </w:r>
    </w:p>
    <w:p>
      <w:pPr>
        <w:autoSpaceDE w:val="0"/>
        <w:autoSpaceDN w:val="0"/>
        <w:rPr>
          <w:rFonts w:hint="eastAsia" w:ascii="仿宋_GB2312" w:hAnsi="仿宋_GB2312" w:eastAsia="仿宋_GB2312" w:cs="仿宋_GB2312"/>
          <w:color w:val="auto"/>
          <w:sz w:val="24"/>
          <w:u w:val="single"/>
        </w:rPr>
      </w:pPr>
    </w:p>
    <w:p>
      <w:pPr>
        <w:pStyle w:val="46"/>
        <w:rPr>
          <w:rFonts w:hint="eastAsia" w:ascii="仿宋_GB2312" w:hAnsi="仿宋_GB2312" w:eastAsia="仿宋_GB2312" w:cs="仿宋_GB2312"/>
          <w:color w:val="auto"/>
          <w:sz w:val="24"/>
          <w:szCs w:val="24"/>
        </w:rPr>
      </w:pPr>
    </w:p>
    <w:p>
      <w:pPr>
        <w:snapToGrid w:val="0"/>
        <w:spacing w:before="50" w:after="50" w:line="360" w:lineRule="auto"/>
        <w:jc w:val="center"/>
        <w:rPr>
          <w:rFonts w:hint="eastAsia" w:ascii="仿宋_GB2312" w:hAnsi="仿宋_GB2312" w:eastAsia="仿宋_GB2312" w:cs="仿宋_GB2312"/>
          <w:b/>
          <w:color w:val="auto"/>
          <w:sz w:val="24"/>
        </w:rPr>
      </w:pPr>
    </w:p>
    <w:p>
      <w:pPr>
        <w:rPr>
          <w:rFonts w:hint="eastAsia" w:ascii="仿宋_GB2312" w:hAnsi="仿宋_GB2312" w:eastAsia="仿宋_GB2312" w:cs="仿宋_GB2312"/>
          <w:b/>
          <w:color w:val="auto"/>
          <w:kern w:val="0"/>
          <w:sz w:val="24"/>
        </w:rPr>
      </w:pPr>
    </w:p>
    <w:p>
      <w:pPr>
        <w:rPr>
          <w:rFonts w:hint="eastAsia" w:ascii="仿宋_GB2312" w:hAnsi="仿宋_GB2312" w:eastAsia="仿宋_GB2312" w:cs="仿宋_GB2312"/>
          <w:b/>
          <w:color w:val="auto"/>
          <w:kern w:val="0"/>
          <w:sz w:val="24"/>
        </w:rPr>
      </w:pPr>
    </w:p>
    <w:p>
      <w:pPr>
        <w:jc w:val="both"/>
        <w:rPr>
          <w:rFonts w:hint="eastAsia" w:ascii="仿宋_GB2312" w:hAnsi="仿宋_GB2312" w:eastAsia="仿宋_GB2312" w:cs="仿宋_GB2312"/>
          <w:b/>
          <w:color w:val="auto"/>
          <w:kern w:val="0"/>
          <w:sz w:val="24"/>
        </w:rPr>
      </w:pPr>
    </w:p>
    <w:p>
      <w:pPr>
        <w:jc w:val="both"/>
        <w:rPr>
          <w:rFonts w:hint="eastAsia" w:ascii="仿宋_GB2312" w:hAnsi="仿宋_GB2312" w:eastAsia="仿宋_GB2312" w:cs="仿宋_GB2312"/>
          <w:b/>
          <w:color w:val="auto"/>
          <w:kern w:val="0"/>
          <w:sz w:val="24"/>
        </w:rPr>
      </w:pPr>
    </w:p>
    <w:p>
      <w:pPr>
        <w:jc w:val="both"/>
        <w:rPr>
          <w:rFonts w:hint="eastAsia" w:ascii="仿宋_GB2312" w:hAnsi="仿宋_GB2312" w:eastAsia="仿宋_GB2312" w:cs="仿宋_GB2312"/>
          <w:b/>
          <w:color w:val="auto"/>
          <w:kern w:val="0"/>
          <w:sz w:val="24"/>
        </w:rPr>
      </w:pPr>
    </w:p>
    <w:p>
      <w:pPr>
        <w:jc w:val="both"/>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八、</w:t>
      </w:r>
      <w:r>
        <w:rPr>
          <w:rFonts w:hint="eastAsia" w:ascii="仿宋_GB2312" w:hAnsi="仿宋_GB2312" w:eastAsia="仿宋_GB2312" w:cs="仿宋_GB2312"/>
          <w:b/>
          <w:color w:val="auto"/>
          <w:kern w:val="0"/>
          <w:sz w:val="24"/>
          <w:lang w:val="zh-CN"/>
        </w:rPr>
        <w:t>政府采购供应商廉洁自律承诺书</w:t>
      </w:r>
    </w:p>
    <w:p>
      <w:pPr>
        <w:snapToGrid w:val="0"/>
        <w:spacing w:line="360" w:lineRule="auto"/>
        <w:rPr>
          <w:rFonts w:hint="eastAsia" w:ascii="仿宋_GB2312" w:hAnsi="仿宋_GB2312" w:eastAsia="仿宋_GB2312" w:cs="仿宋_GB2312"/>
          <w:color w:val="auto"/>
          <w:sz w:val="24"/>
        </w:rPr>
      </w:pPr>
    </w:p>
    <w:p>
      <w:pPr>
        <w:snapToGrid w:val="0"/>
        <w:spacing w:line="360" w:lineRule="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（采购人）、（采购代理机构）</w:t>
      </w:r>
      <w:r>
        <w:rPr>
          <w:rFonts w:hint="eastAsia" w:ascii="仿宋_GB2312" w:hAnsi="仿宋_GB2312" w:eastAsia="仿宋_GB2312" w:cs="仿宋_GB2312"/>
          <w:color w:val="auto"/>
          <w:kern w:val="0"/>
          <w:sz w:val="24"/>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仿宋_GB2312" w:eastAsia="仿宋_GB2312" w:cs="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仿宋_GB2312" w:eastAsia="仿宋_GB2312" w:cs="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仿宋_GB2312" w:eastAsia="仿宋_GB2312" w:cs="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lang w:val="zh-CN"/>
        </w:rPr>
      </w:pPr>
    </w:p>
    <w:p>
      <w:pPr>
        <w:autoSpaceDE w:val="0"/>
        <w:autoSpaceDN w:val="0"/>
        <w:spacing w:line="360" w:lineRule="auto"/>
        <w:ind w:left="2"/>
        <w:jc w:val="left"/>
        <w:rPr>
          <w:rFonts w:hint="eastAsia" w:ascii="仿宋_GB2312" w:hAnsi="仿宋_GB2312" w:eastAsia="仿宋_GB2312" w:cs="仿宋_GB2312"/>
          <w:color w:val="auto"/>
          <w:kern w:val="0"/>
          <w:sz w:val="24"/>
          <w:lang w:val="zh-CN"/>
        </w:rPr>
      </w:pPr>
    </w:p>
    <w:p>
      <w:pPr>
        <w:autoSpaceDE w:val="0"/>
        <w:autoSpaceDN w:val="0"/>
        <w:spacing w:line="360" w:lineRule="auto"/>
        <w:ind w:left="2"/>
        <w:jc w:val="left"/>
        <w:rPr>
          <w:rFonts w:hint="eastAsia"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_GB2312" w:eastAsia="仿宋_GB2312" w:cs="仿宋_GB2312"/>
          <w:color w:val="auto"/>
          <w:sz w:val="24"/>
        </w:rPr>
        <w:t>电子签名</w:t>
      </w:r>
      <w:r>
        <w:rPr>
          <w:rFonts w:hint="eastAsia" w:ascii="仿宋_GB2312" w:hAnsi="仿宋_GB2312" w:eastAsia="仿宋_GB2312" w:cs="仿宋_GB2312"/>
          <w:color w:val="auto"/>
          <w:kern w:val="0"/>
          <w:sz w:val="24"/>
          <w:lang w:val="zh-CN"/>
        </w:rPr>
        <w:t>）：</w:t>
      </w:r>
    </w:p>
    <w:p>
      <w:pPr>
        <w:spacing w:line="360" w:lineRule="auto"/>
        <w:ind w:left="4620" w:leftChars="2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 xml:space="preserve">   年   月   日</w:t>
      </w:r>
    </w:p>
    <w:p>
      <w:pPr>
        <w:snapToGrid w:val="0"/>
        <w:spacing w:before="50" w:after="50" w:line="360" w:lineRule="auto"/>
        <w:jc w:val="center"/>
        <w:rPr>
          <w:rFonts w:hint="eastAsia" w:ascii="仿宋_GB2312" w:hAnsi="仿宋_GB2312" w:eastAsia="仿宋_GB2312" w:cs="仿宋_GB2312"/>
          <w:b/>
          <w:color w:val="auto"/>
          <w:sz w:val="24"/>
        </w:rPr>
      </w:pPr>
    </w:p>
    <w:p>
      <w:pPr>
        <w:spacing w:line="360" w:lineRule="auto"/>
        <w:ind w:right="420"/>
        <w:rPr>
          <w:rFonts w:hint="eastAsia" w:ascii="仿宋_GB2312" w:hAnsi="仿宋_GB2312" w:eastAsia="仿宋_GB2312" w:cs="仿宋_GB2312"/>
          <w:b/>
          <w:color w:val="auto"/>
          <w:kern w:val="0"/>
          <w:sz w:val="24"/>
        </w:rPr>
      </w:pPr>
    </w:p>
    <w:p>
      <w:pPr>
        <w:spacing w:line="360" w:lineRule="auto"/>
        <w:ind w:right="420" w:firstLine="2409" w:firstLineChars="1000"/>
        <w:rPr>
          <w:rFonts w:hint="eastAsia" w:ascii="仿宋_GB2312" w:hAnsi="仿宋_GB2312" w:eastAsia="仿宋_GB2312" w:cs="仿宋_GB2312"/>
          <w:b/>
          <w:color w:val="auto"/>
          <w:kern w:val="0"/>
          <w:sz w:val="24"/>
        </w:rPr>
      </w:pPr>
    </w:p>
    <w:p>
      <w:pPr>
        <w:spacing w:line="360" w:lineRule="auto"/>
        <w:ind w:right="420" w:firstLine="2409" w:firstLineChars="1000"/>
        <w:rPr>
          <w:rFonts w:hint="eastAsia" w:ascii="仿宋_GB2312" w:hAnsi="仿宋_GB2312" w:eastAsia="仿宋_GB2312" w:cs="仿宋_GB2312"/>
          <w:b/>
          <w:color w:val="auto"/>
          <w:kern w:val="0"/>
          <w:sz w:val="24"/>
        </w:rPr>
      </w:pPr>
    </w:p>
    <w:p>
      <w:pPr>
        <w:pStyle w:val="2"/>
        <w:rPr>
          <w:rFonts w:hint="eastAsia"/>
        </w:rPr>
      </w:pPr>
    </w:p>
    <w:p>
      <w:pPr>
        <w:spacing w:line="360" w:lineRule="auto"/>
        <w:ind w:right="420" w:firstLine="2409" w:firstLineChars="1000"/>
        <w:rPr>
          <w:rFonts w:hint="eastAsia" w:ascii="仿宋_GB2312" w:hAnsi="仿宋_GB2312" w:eastAsia="仿宋_GB2312" w:cs="仿宋_GB2312"/>
          <w:b/>
          <w:color w:val="auto"/>
          <w:kern w:val="0"/>
          <w:sz w:val="24"/>
        </w:rPr>
      </w:pPr>
    </w:p>
    <w:p>
      <w:pPr>
        <w:spacing w:line="360" w:lineRule="auto"/>
        <w:ind w:right="420" w:firstLine="3614" w:firstLineChars="1500"/>
        <w:jc w:val="both"/>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商务技术文件部分</w:t>
      </w:r>
    </w:p>
    <w:p>
      <w:pPr>
        <w:spacing w:line="360" w:lineRule="auto"/>
        <w:jc w:val="center"/>
        <w:outlineLvl w:val="0"/>
        <w:rPr>
          <w:rFonts w:hint="eastAsia" w:ascii="仿宋_GB2312" w:hAnsi="仿宋_GB2312" w:eastAsia="仿宋_GB2312" w:cs="仿宋_GB2312"/>
          <w:b/>
          <w:color w:val="auto"/>
          <w:kern w:val="0"/>
          <w:sz w:val="24"/>
        </w:rPr>
      </w:pPr>
    </w:p>
    <w:p>
      <w:pPr>
        <w:spacing w:line="360" w:lineRule="auto"/>
        <w:jc w:val="center"/>
        <w:outlineLvl w:val="0"/>
        <w:rPr>
          <w:rFonts w:hint="eastAsia" w:ascii="仿宋_GB2312" w:hAnsi="仿宋_GB2312" w:eastAsia="仿宋_GB2312" w:cs="仿宋_GB2312"/>
          <w:b/>
          <w:color w:val="auto"/>
          <w:kern w:val="0"/>
          <w:sz w:val="24"/>
        </w:rPr>
      </w:pPr>
      <w:bookmarkStart w:id="460" w:name="_Toc2774"/>
      <w:bookmarkStart w:id="461" w:name="_Toc6754"/>
      <w:r>
        <w:rPr>
          <w:rFonts w:hint="eastAsia" w:ascii="仿宋_GB2312" w:hAnsi="仿宋_GB2312" w:eastAsia="仿宋_GB2312" w:cs="仿宋_GB2312"/>
          <w:b/>
          <w:color w:val="auto"/>
          <w:kern w:val="0"/>
          <w:sz w:val="24"/>
        </w:rPr>
        <w:t>目录</w:t>
      </w:r>
      <w:bookmarkEnd w:id="460"/>
      <w:bookmarkEnd w:id="461"/>
    </w:p>
    <w:p>
      <w:pPr>
        <w:snapToGrid w:val="0"/>
        <w:spacing w:line="360" w:lineRule="auto"/>
        <w:ind w:firstLine="960" w:firstLineChars="400"/>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1.商务技术</w:t>
      </w:r>
      <w:r>
        <w:rPr>
          <w:rFonts w:hint="eastAsia" w:ascii="仿宋_GB2312" w:hAnsi="仿宋_GB2312" w:eastAsia="仿宋_GB2312" w:cs="仿宋_GB2312"/>
          <w:color w:val="auto"/>
          <w:sz w:val="24"/>
          <w:lang w:val="zh-CN"/>
        </w:rPr>
        <w:t>文件封面；</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2.符合性审查资料；</w:t>
      </w:r>
    </w:p>
    <w:p>
      <w:pPr>
        <w:snapToGrid w:val="0"/>
        <w:spacing w:line="360" w:lineRule="auto"/>
        <w:ind w:firstLine="960" w:firstLineChars="4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3.评标标准相应的商务技术资料；</w:t>
      </w:r>
    </w:p>
    <w:p>
      <w:pPr>
        <w:snapToGrid w:val="0"/>
        <w:spacing w:line="360" w:lineRule="auto"/>
        <w:ind w:firstLine="960" w:firstLineChars="400"/>
        <w:rPr>
          <w:rFonts w:hint="eastAsia" w:ascii="仿宋_GB2312" w:hAnsi="仿宋_GB2312" w:eastAsia="仿宋_GB2312" w:cs="仿宋_GB2312"/>
          <w:b/>
          <w:color w:val="auto"/>
          <w:kern w:val="0"/>
          <w:sz w:val="24"/>
          <w:lang w:val="zh-CN"/>
        </w:rPr>
      </w:pPr>
      <w:r>
        <w:rPr>
          <w:rFonts w:hint="eastAsia" w:ascii="仿宋_GB2312" w:hAnsi="仿宋_GB2312" w:eastAsia="仿宋_GB2312" w:cs="仿宋_GB2312"/>
          <w:color w:val="auto"/>
          <w:sz w:val="24"/>
        </w:rPr>
        <w:t>4.商务技术偏离表；</w:t>
      </w:r>
    </w:p>
    <w:p>
      <w:pP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val="en-US" w:eastAsia="zh-CN"/>
        </w:rPr>
        <w:t>一</w:t>
      </w:r>
      <w:r>
        <w:rPr>
          <w:rFonts w:hint="eastAsia" w:ascii="仿宋_GB2312" w:hAnsi="仿宋_GB2312" w:eastAsia="仿宋_GB2312" w:cs="仿宋_GB2312"/>
          <w:b/>
          <w:color w:val="auto"/>
          <w:kern w:val="0"/>
          <w:sz w:val="24"/>
        </w:rPr>
        <w:t>、符合性审查资料</w:t>
      </w:r>
    </w:p>
    <w:p>
      <w:pPr>
        <w:jc w:val="center"/>
        <w:rPr>
          <w:rFonts w:hint="eastAsia" w:ascii="仿宋_GB2312" w:hAnsi="仿宋_GB2312" w:eastAsia="仿宋_GB2312" w:cs="仿宋_GB2312"/>
          <w:b/>
          <w:color w:val="auto"/>
          <w:kern w:val="0"/>
          <w:sz w:val="24"/>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4991" w:type="dxa"/>
            <w:vAlign w:val="center"/>
          </w:tcPr>
          <w:p>
            <w:pPr>
              <w:snapToGrid w:val="0"/>
              <w:spacing w:line="240" w:lineRule="atLeas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实质性要求</w:t>
            </w:r>
          </w:p>
        </w:tc>
        <w:tc>
          <w:tcPr>
            <w:tcW w:w="2551" w:type="dxa"/>
            <w:vAlign w:val="center"/>
          </w:tcPr>
          <w:p>
            <w:pPr>
              <w:snapToGrid w:val="0"/>
              <w:spacing w:line="240" w:lineRule="atLeas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投标文件中的</w:t>
            </w:r>
          </w:p>
          <w:p>
            <w:pPr>
              <w:snapToGrid w:val="0"/>
              <w:spacing w:line="240" w:lineRule="atLeas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4991" w:type="dxa"/>
          </w:tcPr>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投标文件按照招标文件要求签署、盖章。</w:t>
            </w:r>
          </w:p>
        </w:tc>
        <w:tc>
          <w:tcPr>
            <w:tcW w:w="2551"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需要使用电子签名或者签字盖章的投标文件的组成部分</w:t>
            </w:r>
          </w:p>
        </w:tc>
        <w:tc>
          <w:tcPr>
            <w:tcW w:w="1418" w:type="dxa"/>
          </w:tcPr>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见投标文件</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4991" w:type="dxa"/>
          </w:tcPr>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投标函</w:t>
            </w:r>
          </w:p>
        </w:tc>
        <w:tc>
          <w:tcPr>
            <w:tcW w:w="1418" w:type="dxa"/>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4991" w:type="dxa"/>
          </w:tcPr>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投标文件满足招标文件的其它实质性要求。</w:t>
            </w:r>
          </w:p>
        </w:tc>
        <w:tc>
          <w:tcPr>
            <w:tcW w:w="2551"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招标文件其它实质性要求相应的材料（“▲”系指实质性要求条款，招标文件无其它实质性要求的，无需提供）</w:t>
            </w:r>
          </w:p>
        </w:tc>
        <w:tc>
          <w:tcPr>
            <w:tcW w:w="1418" w:type="dxa"/>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见投标文件第页</w:t>
            </w:r>
          </w:p>
        </w:tc>
      </w:tr>
    </w:tbl>
    <w:p>
      <w:pPr>
        <w:jc w:val="both"/>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kern w:val="0"/>
          <w:sz w:val="24"/>
          <w:lang w:val="en-US" w:eastAsia="zh-CN"/>
        </w:rPr>
        <w:t>二</w:t>
      </w:r>
      <w:r>
        <w:rPr>
          <w:rFonts w:hint="eastAsia" w:ascii="仿宋_GB2312" w:hAnsi="仿宋_GB2312" w:eastAsia="仿宋_GB2312" w:cs="仿宋_GB2312"/>
          <w:b/>
          <w:color w:val="auto"/>
          <w:kern w:val="0"/>
          <w:sz w:val="24"/>
        </w:rPr>
        <w:t>、评标标准相应的商务技术资料</w:t>
      </w:r>
    </w:p>
    <w:p>
      <w:pPr>
        <w:snapToGrid w:val="0"/>
        <w:spacing w:line="360" w:lineRule="auto"/>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（按招标文件第四部分评标办法前附表中“投标文件中评标标准相应的商务技术资料目录”提供资料）</w:t>
      </w:r>
    </w:p>
    <w:p>
      <w:pPr>
        <w:jc w:val="both"/>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val="en-US" w:eastAsia="zh-CN"/>
        </w:rPr>
        <w:t>三</w:t>
      </w:r>
      <w:r>
        <w:rPr>
          <w:rFonts w:hint="eastAsia" w:ascii="仿宋_GB2312" w:hAnsi="仿宋_GB2312" w:eastAsia="仿宋_GB2312" w:cs="仿宋_GB2312"/>
          <w:b/>
          <w:color w:val="auto"/>
          <w:kern w:val="0"/>
          <w:sz w:val="24"/>
        </w:rPr>
        <w:t>、商务技术偏离表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3683" w:type="dxa"/>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招标文件章节及具体内容</w:t>
            </w:r>
          </w:p>
        </w:tc>
        <w:tc>
          <w:tcPr>
            <w:tcW w:w="3546" w:type="dxa"/>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投标文件章节及具体内容</w:t>
            </w:r>
          </w:p>
        </w:tc>
        <w:tc>
          <w:tcPr>
            <w:tcW w:w="1276" w:type="dxa"/>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3683" w:type="dxa"/>
          </w:tcPr>
          <w:p>
            <w:pPr>
              <w:jc w:val="center"/>
              <w:rPr>
                <w:rFonts w:hint="eastAsia" w:ascii="仿宋_GB2312" w:hAnsi="仿宋_GB2312" w:eastAsia="仿宋_GB2312" w:cs="仿宋_GB2312"/>
                <w:b/>
                <w:color w:val="auto"/>
                <w:kern w:val="0"/>
                <w:sz w:val="24"/>
              </w:rPr>
            </w:pPr>
          </w:p>
        </w:tc>
        <w:tc>
          <w:tcPr>
            <w:tcW w:w="3546" w:type="dxa"/>
          </w:tcPr>
          <w:p>
            <w:pPr>
              <w:jc w:val="center"/>
              <w:rPr>
                <w:rFonts w:hint="eastAsia" w:ascii="仿宋_GB2312" w:hAnsi="仿宋_GB2312" w:eastAsia="仿宋_GB2312" w:cs="仿宋_GB2312"/>
                <w:b/>
                <w:color w:val="auto"/>
                <w:kern w:val="0"/>
                <w:sz w:val="24"/>
              </w:rPr>
            </w:pPr>
          </w:p>
        </w:tc>
        <w:tc>
          <w:tcPr>
            <w:tcW w:w="1276" w:type="dxa"/>
          </w:tcPr>
          <w:p>
            <w:pPr>
              <w:jc w:val="center"/>
              <w:rPr>
                <w:rFonts w:hint="eastAsia" w:ascii="仿宋_GB2312" w:hAnsi="仿宋_GB2312" w:eastAsia="仿宋_GB2312"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3683" w:type="dxa"/>
          </w:tcPr>
          <w:p>
            <w:pPr>
              <w:jc w:val="center"/>
              <w:rPr>
                <w:rFonts w:hint="eastAsia" w:ascii="仿宋_GB2312" w:hAnsi="仿宋_GB2312" w:eastAsia="仿宋_GB2312" w:cs="仿宋_GB2312"/>
                <w:b/>
                <w:color w:val="auto"/>
                <w:kern w:val="0"/>
                <w:sz w:val="24"/>
              </w:rPr>
            </w:pPr>
          </w:p>
        </w:tc>
        <w:tc>
          <w:tcPr>
            <w:tcW w:w="3546" w:type="dxa"/>
          </w:tcPr>
          <w:p>
            <w:pPr>
              <w:jc w:val="center"/>
              <w:rPr>
                <w:rFonts w:hint="eastAsia" w:ascii="仿宋_GB2312" w:hAnsi="仿宋_GB2312" w:eastAsia="仿宋_GB2312" w:cs="仿宋_GB2312"/>
                <w:b/>
                <w:color w:val="auto"/>
                <w:kern w:val="0"/>
                <w:sz w:val="24"/>
              </w:rPr>
            </w:pPr>
          </w:p>
        </w:tc>
        <w:tc>
          <w:tcPr>
            <w:tcW w:w="1276" w:type="dxa"/>
          </w:tcPr>
          <w:p>
            <w:pPr>
              <w:jc w:val="center"/>
              <w:rPr>
                <w:rFonts w:hint="eastAsia" w:ascii="仿宋_GB2312" w:hAnsi="仿宋_GB2312" w:eastAsia="仿宋_GB2312"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3683" w:type="dxa"/>
          </w:tcPr>
          <w:p>
            <w:pPr>
              <w:jc w:val="center"/>
              <w:rPr>
                <w:rFonts w:hint="eastAsia" w:ascii="仿宋_GB2312" w:hAnsi="仿宋_GB2312" w:eastAsia="仿宋_GB2312" w:cs="仿宋_GB2312"/>
                <w:b/>
                <w:color w:val="auto"/>
                <w:kern w:val="0"/>
                <w:sz w:val="24"/>
              </w:rPr>
            </w:pPr>
          </w:p>
        </w:tc>
        <w:tc>
          <w:tcPr>
            <w:tcW w:w="3546" w:type="dxa"/>
          </w:tcPr>
          <w:p>
            <w:pPr>
              <w:jc w:val="center"/>
              <w:rPr>
                <w:rFonts w:hint="eastAsia" w:ascii="仿宋_GB2312" w:hAnsi="仿宋_GB2312" w:eastAsia="仿宋_GB2312" w:cs="仿宋_GB2312"/>
                <w:b/>
                <w:color w:val="auto"/>
                <w:kern w:val="0"/>
                <w:sz w:val="24"/>
              </w:rPr>
            </w:pPr>
          </w:p>
        </w:tc>
        <w:tc>
          <w:tcPr>
            <w:tcW w:w="1276" w:type="dxa"/>
          </w:tcPr>
          <w:p>
            <w:pPr>
              <w:jc w:val="center"/>
              <w:rPr>
                <w:rFonts w:hint="eastAsia" w:ascii="仿宋_GB2312" w:hAnsi="仿宋_GB2312" w:eastAsia="仿宋_GB2312" w:cs="仿宋_GB2312"/>
                <w:b/>
                <w:color w:val="auto"/>
                <w:kern w:val="0"/>
                <w:sz w:val="24"/>
              </w:rPr>
            </w:pPr>
          </w:p>
        </w:tc>
      </w:tr>
    </w:tbl>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投标人保证：除商务技术偏离表列出的偏离外，投标人响应招标文件的全部要求</w:t>
      </w: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p>
    <w:p>
      <w:pPr>
        <w:jc w:val="center"/>
        <w:rPr>
          <w:rFonts w:hint="eastAsia" w:ascii="仿宋_GB2312" w:hAnsi="仿宋_GB2312" w:eastAsia="仿宋_GB2312" w:cs="仿宋_GB2312"/>
          <w:b/>
          <w:color w:val="auto"/>
          <w:kern w:val="0"/>
          <w:sz w:val="24"/>
        </w:rPr>
      </w:pPr>
    </w:p>
    <w:p>
      <w:pPr>
        <w:spacing w:line="360" w:lineRule="auto"/>
        <w:jc w:val="both"/>
        <w:outlineLvl w:val="0"/>
        <w:rPr>
          <w:rFonts w:hint="eastAsia" w:ascii="仿宋_GB2312" w:hAnsi="仿宋_GB2312" w:eastAsia="仿宋_GB2312" w:cs="仿宋_GB2312"/>
          <w:b/>
          <w:color w:val="auto"/>
          <w:kern w:val="0"/>
          <w:sz w:val="24"/>
        </w:rPr>
      </w:pPr>
    </w:p>
    <w:p>
      <w:pPr>
        <w:spacing w:line="360" w:lineRule="auto"/>
        <w:jc w:val="center"/>
        <w:outlineLvl w:val="0"/>
        <w:rPr>
          <w:rFonts w:hint="eastAsia" w:ascii="仿宋_GB2312" w:hAnsi="仿宋_GB2312" w:eastAsia="仿宋_GB2312" w:cs="仿宋_GB2312"/>
          <w:b/>
          <w:color w:val="auto"/>
          <w:kern w:val="0"/>
          <w:sz w:val="24"/>
        </w:rPr>
      </w:pPr>
    </w:p>
    <w:p>
      <w:pPr>
        <w:spacing w:line="360" w:lineRule="auto"/>
        <w:jc w:val="center"/>
        <w:outlineLvl w:val="0"/>
        <w:rPr>
          <w:rFonts w:hint="eastAsia" w:ascii="仿宋_GB2312" w:hAnsi="仿宋_GB2312" w:eastAsia="仿宋_GB2312" w:cs="仿宋_GB2312"/>
          <w:b/>
          <w:color w:val="auto"/>
          <w:kern w:val="0"/>
          <w:sz w:val="24"/>
        </w:rPr>
      </w:pPr>
      <w:bookmarkStart w:id="462" w:name="_Toc20774"/>
      <w:bookmarkStart w:id="463" w:name="_Toc21497"/>
    </w:p>
    <w:p>
      <w:pPr>
        <w:spacing w:line="360" w:lineRule="auto"/>
        <w:jc w:val="center"/>
        <w:outlineLvl w:val="0"/>
        <w:rPr>
          <w:rFonts w:hint="eastAsia" w:ascii="仿宋_GB2312" w:hAnsi="仿宋_GB2312" w:eastAsia="仿宋_GB2312" w:cs="仿宋_GB2312"/>
          <w:b/>
          <w:color w:val="auto"/>
          <w:kern w:val="0"/>
          <w:sz w:val="24"/>
        </w:rPr>
      </w:pPr>
    </w:p>
    <w:p>
      <w:pPr>
        <w:spacing w:line="360" w:lineRule="auto"/>
        <w:jc w:val="center"/>
        <w:outlineLvl w:val="0"/>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报价文件部分</w:t>
      </w:r>
      <w:bookmarkEnd w:id="462"/>
      <w:bookmarkEnd w:id="463"/>
    </w:p>
    <w:p>
      <w:pPr>
        <w:spacing w:line="360" w:lineRule="auto"/>
        <w:jc w:val="center"/>
        <w:outlineLvl w:val="0"/>
        <w:rPr>
          <w:rFonts w:hint="eastAsia" w:ascii="仿宋_GB2312" w:hAnsi="仿宋_GB2312" w:eastAsia="仿宋_GB2312" w:cs="仿宋_GB2312"/>
          <w:b/>
          <w:color w:val="auto"/>
          <w:kern w:val="0"/>
          <w:sz w:val="24"/>
        </w:rPr>
      </w:pPr>
      <w:bookmarkStart w:id="464" w:name="_Toc8676"/>
      <w:bookmarkStart w:id="465" w:name="_Toc31761"/>
      <w:r>
        <w:rPr>
          <w:rFonts w:hint="eastAsia" w:ascii="仿宋_GB2312" w:hAnsi="仿宋_GB2312" w:eastAsia="仿宋_GB2312" w:cs="仿宋_GB2312"/>
          <w:b/>
          <w:color w:val="auto"/>
          <w:kern w:val="0"/>
          <w:sz w:val="24"/>
        </w:rPr>
        <w:t>目录</w:t>
      </w:r>
      <w:bookmarkEnd w:id="464"/>
      <w:bookmarkEnd w:id="465"/>
    </w:p>
    <w:p>
      <w:pPr>
        <w:snapToGrid w:val="0"/>
        <w:spacing w:line="360" w:lineRule="auto"/>
        <w:ind w:firstLine="480" w:firstLineChars="200"/>
        <w:rPr>
          <w:rFonts w:hint="eastAsia" w:ascii="仿宋_GB2312" w:hAnsi="仿宋_GB2312" w:eastAsia="仿宋_GB2312" w:cs="仿宋_GB2312"/>
          <w:color w:val="auto"/>
          <w:sz w:val="24"/>
        </w:rPr>
      </w:pP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1.报价文件封面</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格式自拟）</w:t>
      </w:r>
      <w:r>
        <w:rPr>
          <w:rFonts w:hint="eastAsia" w:ascii="仿宋_GB2312" w:hAnsi="仿宋_GB2312" w:eastAsia="仿宋_GB2312" w:cs="仿宋_GB2312"/>
          <w:color w:val="auto"/>
          <w:sz w:val="24"/>
        </w:rPr>
        <w:t>；</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2.开标一览表；</w:t>
      </w:r>
    </w:p>
    <w:p>
      <w:pPr>
        <w:snapToGrid w:val="0"/>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3.报价明细表；</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3.中小企业声明函；</w:t>
      </w:r>
    </w:p>
    <w:p>
      <w:pPr>
        <w:snapToGrid w:val="0"/>
        <w:spacing w:line="360" w:lineRule="auto"/>
        <w:ind w:right="480"/>
        <w:jc w:val="center"/>
        <w:rPr>
          <w:rFonts w:hint="eastAsia" w:ascii="仿宋_GB2312" w:hAnsi="仿宋_GB2312" w:eastAsia="仿宋_GB2312" w:cs="仿宋_GB2312"/>
          <w:b/>
          <w:color w:val="auto"/>
          <w:kern w:val="0"/>
          <w:sz w:val="24"/>
        </w:rPr>
      </w:pPr>
    </w:p>
    <w:p>
      <w:pPr>
        <w:snapToGrid w:val="0"/>
        <w:spacing w:line="360" w:lineRule="auto"/>
        <w:ind w:right="480"/>
        <w:jc w:val="center"/>
        <w:rPr>
          <w:rFonts w:hint="eastAsia" w:ascii="仿宋_GB2312" w:hAnsi="仿宋_GB2312" w:eastAsia="仿宋_GB2312" w:cs="仿宋_GB2312"/>
          <w:b/>
          <w:color w:val="auto"/>
          <w:kern w:val="0"/>
          <w:sz w:val="24"/>
        </w:rPr>
      </w:pPr>
    </w:p>
    <w:p>
      <w:pPr>
        <w:ind w:firstLine="3132" w:firstLineChars="13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 xml:space="preserve">   1.开标一览表</w:t>
      </w:r>
    </w:p>
    <w:p>
      <w:pPr>
        <w:snapToGrid w:val="0"/>
        <w:spacing w:line="500" w:lineRule="exact"/>
        <w:ind w:right="-153" w:rightChars="-7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项目名称：江山市中小学AI智慧体育设备采购项目</w:t>
      </w:r>
    </w:p>
    <w:p>
      <w:pPr>
        <w:snapToGrid w:val="0"/>
        <w:spacing w:line="500" w:lineRule="exact"/>
        <w:ind w:right="-153" w:rightChars="-73"/>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项目编号：jshjzf-20250707                            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856"/>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443" w:type="dxa"/>
            <w:gridSpan w:val="2"/>
            <w:tcBorders>
              <w:top w:val="thinThickSmallGap" w:color="auto" w:sz="12" w:space="0"/>
              <w:left w:val="thinThickSmallGap" w:color="auto" w:sz="12" w:space="0"/>
              <w:right w:val="single" w:color="auto" w:sz="4" w:space="0"/>
            </w:tcBorders>
            <w:vAlign w:val="center"/>
          </w:tcPr>
          <w:p>
            <w:pPr>
              <w:snapToGrid w:val="0"/>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4598" w:type="dxa"/>
            <w:tcBorders>
              <w:top w:val="thinThickSmallGap" w:color="auto" w:sz="12" w:space="0"/>
              <w:right w:val="thickThinSmallGap" w:color="auto" w:sz="12" w:space="0"/>
            </w:tcBorders>
            <w:vAlign w:val="center"/>
          </w:tcPr>
          <w:p>
            <w:pPr>
              <w:widowControl/>
              <w:spacing w:line="30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数量</w:t>
            </w:r>
          </w:p>
          <w:p>
            <w:pPr>
              <w:snapToGrid w:val="0"/>
              <w:spacing w:line="36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4443" w:type="dxa"/>
            <w:gridSpan w:val="2"/>
            <w:tcBorders>
              <w:left w:val="thinThickSmallGap" w:color="auto" w:sz="12" w:space="0"/>
              <w:right w:val="single" w:color="auto" w:sz="4" w:space="0"/>
            </w:tcBorders>
            <w:vAlign w:val="center"/>
          </w:tcPr>
          <w:p>
            <w:pPr>
              <w:snapToGrid w:val="0"/>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江山市中小学AI智慧体育设备采购项目</w:t>
            </w:r>
          </w:p>
        </w:tc>
        <w:tc>
          <w:tcPr>
            <w:tcW w:w="4598" w:type="dxa"/>
            <w:tcBorders>
              <w:right w:val="thickThinSmallGap" w:color="auto" w:sz="12" w:space="0"/>
            </w:tcBorders>
            <w:vAlign w:val="center"/>
          </w:tcPr>
          <w:p>
            <w:pPr>
              <w:snapToGrid w:val="0"/>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587" w:type="dxa"/>
            <w:tcBorders>
              <w:top w:val="single" w:color="auto" w:sz="4" w:space="0"/>
              <w:left w:val="thinThickSmallGap" w:color="auto" w:sz="12" w:space="0"/>
              <w:bottom w:val="thickThinSmallGap" w:color="auto" w:sz="12" w:space="0"/>
              <w:right w:val="single" w:color="auto" w:sz="4" w:space="0"/>
            </w:tcBorders>
            <w:vAlign w:val="center"/>
          </w:tcPr>
          <w:p>
            <w:pPr>
              <w:snapToGrid w:val="0"/>
              <w:spacing w:line="360" w:lineRule="exact"/>
              <w:jc w:val="center"/>
              <w:rPr>
                <w:rFonts w:hint="eastAsia" w:ascii="仿宋_GB2312" w:hAnsi="仿宋_GB2312" w:eastAsia="仿宋_GB2312" w:cs="仿宋_GB2312"/>
                <w:color w:val="auto"/>
                <w:sz w:val="24"/>
              </w:rPr>
            </w:pPr>
          </w:p>
          <w:p>
            <w:pPr>
              <w:snapToGrid w:val="0"/>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 标 总 价</w:t>
            </w:r>
          </w:p>
        </w:tc>
        <w:tc>
          <w:tcPr>
            <w:tcW w:w="7454" w:type="dxa"/>
            <w:gridSpan w:val="2"/>
            <w:tcBorders>
              <w:top w:val="single" w:color="auto" w:sz="4" w:space="0"/>
              <w:left w:val="single" w:color="auto" w:sz="4" w:space="0"/>
              <w:bottom w:val="thickThinSmallGap" w:color="auto" w:sz="12" w:space="0"/>
              <w:right w:val="thickThinSmallGap" w:color="auto" w:sz="12" w:space="0"/>
            </w:tcBorders>
            <w:vAlign w:val="center"/>
          </w:tcPr>
          <w:p>
            <w:pPr>
              <w:wordWrap w:val="0"/>
              <w:overflowPunct w:val="0"/>
              <w:autoSpaceDE w:val="0"/>
              <w:autoSpaceDN w:val="0"/>
              <w:snapToGrid w:val="0"/>
              <w:spacing w:line="360" w:lineRule="exact"/>
              <w:rPr>
                <w:rFonts w:hint="eastAsia" w:ascii="仿宋_GB2312" w:hAnsi="仿宋_GB2312" w:eastAsia="仿宋_GB2312" w:cs="仿宋_GB2312"/>
                <w:color w:val="auto"/>
                <w:sz w:val="24"/>
              </w:rPr>
            </w:pPr>
          </w:p>
          <w:p>
            <w:pPr>
              <w:wordWrap w:val="0"/>
              <w:overflowPunct w:val="0"/>
              <w:autoSpaceDE w:val="0"/>
              <w:autoSpaceDN w:val="0"/>
              <w:snapToGrid w:val="0"/>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大写：  （小写：￥              ）</w:t>
            </w:r>
          </w:p>
        </w:tc>
      </w:tr>
    </w:tbl>
    <w:p>
      <w:pPr>
        <w:rPr>
          <w:rFonts w:hint="eastAsia" w:ascii="仿宋_GB2312" w:hAnsi="仿宋_GB2312" w:eastAsia="仿宋_GB2312" w:cs="仿宋_GB2312"/>
          <w:color w:val="auto"/>
          <w:sz w:val="24"/>
        </w:rPr>
      </w:pPr>
    </w:p>
    <w:p>
      <w:pPr>
        <w:spacing w:line="360" w:lineRule="auto"/>
        <w:ind w:firstLine="361" w:firstLineChars="15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lang w:val="zh-CN"/>
        </w:rPr>
        <w:t>注：</w:t>
      </w:r>
      <w:r>
        <w:rPr>
          <w:rFonts w:hint="eastAsia" w:ascii="仿宋_GB2312" w:hAnsi="仿宋_GB2312" w:eastAsia="仿宋_GB2312" w:cs="仿宋_GB2312"/>
          <w:bCs/>
          <w:color w:val="auto"/>
          <w:sz w:val="24"/>
          <w:lang w:val="zh-CN"/>
        </w:rPr>
        <w:t>报价应包括完成该项目的所有费用。</w:t>
      </w:r>
    </w:p>
    <w:p>
      <w:pPr>
        <w:spacing w:line="360" w:lineRule="auto"/>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投标人名称（</w:t>
      </w:r>
      <w:r>
        <w:rPr>
          <w:rStyle w:val="968"/>
          <w:rFonts w:hint="eastAsia" w:ascii="仿宋_GB2312" w:hAnsi="仿宋_GB2312" w:eastAsia="仿宋_GB2312" w:cs="仿宋_GB2312"/>
          <w:color w:val="auto"/>
          <w:sz w:val="24"/>
          <w:szCs w:val="24"/>
        </w:rPr>
        <w:t>CA签章</w:t>
      </w:r>
      <w:r>
        <w:rPr>
          <w:rFonts w:hint="eastAsia" w:ascii="仿宋_GB2312" w:hAnsi="仿宋_GB2312" w:eastAsia="仿宋_GB2312" w:cs="仿宋_GB2312"/>
          <w:color w:val="auto"/>
          <w:sz w:val="24"/>
        </w:rPr>
        <w:t>）：</w:t>
      </w:r>
    </w:p>
    <w:p>
      <w:pPr>
        <w:snapToGrid w:val="0"/>
        <w:spacing w:line="360" w:lineRule="auto"/>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法定代表人或其授权代表人（签字）：</w:t>
      </w:r>
    </w:p>
    <w:p>
      <w:pPr>
        <w:snapToGrid w:val="0"/>
        <w:spacing w:line="360" w:lineRule="auto"/>
        <w:ind w:firstLine="360" w:firstLineChars="150"/>
        <w:rPr>
          <w:rStyle w:val="166"/>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日期：</w:t>
      </w:r>
    </w:p>
    <w:p>
      <w:pPr>
        <w:pStyle w:val="693"/>
        <w:keepNext w:val="0"/>
        <w:pageBreakBefore w:val="0"/>
        <w:tabs>
          <w:tab w:val="clear" w:pos="720"/>
        </w:tabs>
        <w:snapToGrid w:val="0"/>
        <w:spacing w:before="120" w:after="120"/>
        <w:jc w:val="both"/>
        <w:outlineLvl w:val="9"/>
        <w:rPr>
          <w:rFonts w:hint="eastAsia" w:ascii="仿宋_GB2312" w:hAnsi="仿宋_GB2312" w:eastAsia="仿宋_GB2312" w:cs="仿宋_GB2312"/>
          <w:color w:val="auto"/>
          <w:kern w:val="2"/>
          <w:sz w:val="24"/>
          <w:szCs w:val="24"/>
        </w:rPr>
      </w:pPr>
      <w:bookmarkStart w:id="466" w:name="_Toc22910"/>
      <w:bookmarkStart w:id="467" w:name="_Toc30141"/>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numPr>
          <w:ilvl w:val="0"/>
          <w:numId w:val="4"/>
        </w:numPr>
        <w:tabs>
          <w:tab w:val="clear" w:pos="720"/>
        </w:tabs>
        <w:snapToGrid w:val="0"/>
        <w:spacing w:before="120" w:after="120"/>
        <w:jc w:val="center"/>
        <w:outlineLvl w:val="9"/>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报价明细表</w:t>
      </w:r>
    </w:p>
    <w:p>
      <w:pPr>
        <w:pStyle w:val="693"/>
        <w:keepNext w:val="0"/>
        <w:pageBreakBefore w:val="0"/>
        <w:numPr>
          <w:ilvl w:val="0"/>
          <w:numId w:val="0"/>
        </w:numPr>
        <w:tabs>
          <w:tab w:val="clear" w:pos="720"/>
        </w:tabs>
        <w:snapToGrid w:val="0"/>
        <w:spacing w:before="120" w:after="120"/>
        <w:ind w:firstLine="7469" w:firstLineChars="3100"/>
        <w:jc w:val="both"/>
        <w:outlineLvl w:val="9"/>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金额单位：元</w:t>
      </w:r>
    </w:p>
    <w:tbl>
      <w:tblPr>
        <w:tblStyle w:val="73"/>
        <w:tblW w:w="9576" w:type="dxa"/>
        <w:tblInd w:w="-318" w:type="dxa"/>
        <w:tblLayout w:type="fixed"/>
        <w:tblCellMar>
          <w:top w:w="0" w:type="dxa"/>
          <w:left w:w="108" w:type="dxa"/>
          <w:bottom w:w="0" w:type="dxa"/>
          <w:right w:w="108" w:type="dxa"/>
        </w:tblCellMar>
      </w:tblPr>
      <w:tblGrid>
        <w:gridCol w:w="798"/>
        <w:gridCol w:w="3260"/>
        <w:gridCol w:w="1029"/>
        <w:gridCol w:w="915"/>
        <w:gridCol w:w="1229"/>
        <w:gridCol w:w="1179"/>
        <w:gridCol w:w="1166"/>
      </w:tblGrid>
      <w:tr>
        <w:tblPrEx>
          <w:tblLayout w:type="fixed"/>
          <w:tblCellMar>
            <w:top w:w="0" w:type="dxa"/>
            <w:left w:w="108" w:type="dxa"/>
            <w:bottom w:w="0" w:type="dxa"/>
            <w:right w:w="108" w:type="dxa"/>
          </w:tblCellMar>
        </w:tblPrEx>
        <w:trPr>
          <w:trHeight w:val="480" w:hRule="atLeast"/>
        </w:trPr>
        <w:tc>
          <w:tcPr>
            <w:tcW w:w="798" w:type="dxa"/>
            <w:tcBorders>
              <w:top w:val="single" w:color="auto" w:sz="4" w:space="0"/>
              <w:left w:val="single" w:color="auto" w:sz="4" w:space="0"/>
              <w:bottom w:val="nil"/>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序号</w:t>
            </w:r>
          </w:p>
        </w:tc>
        <w:tc>
          <w:tcPr>
            <w:tcW w:w="3260" w:type="dxa"/>
            <w:tcBorders>
              <w:top w:val="single" w:color="auto" w:sz="4" w:space="0"/>
              <w:left w:val="nil"/>
              <w:bottom w:val="nil"/>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项目</w:t>
            </w:r>
          </w:p>
        </w:tc>
        <w:tc>
          <w:tcPr>
            <w:tcW w:w="1029" w:type="dxa"/>
            <w:tcBorders>
              <w:top w:val="single" w:color="auto" w:sz="4" w:space="0"/>
              <w:left w:val="nil"/>
              <w:bottom w:val="single" w:color="auto" w:sz="4" w:space="0"/>
              <w:right w:val="single" w:color="auto" w:sz="4" w:space="0"/>
            </w:tcBorders>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数量</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单位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单价</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金额</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品牌</w:t>
            </w:r>
          </w:p>
        </w:tc>
      </w:tr>
      <w:tr>
        <w:tblPrEx>
          <w:tblLayout w:type="fixed"/>
          <w:tblCellMar>
            <w:top w:w="0" w:type="dxa"/>
            <w:left w:w="108" w:type="dxa"/>
            <w:bottom w:w="0" w:type="dxa"/>
            <w:right w:w="108" w:type="dxa"/>
          </w:tblCellMar>
        </w:tblPrEx>
        <w:trPr>
          <w:trHeight w:val="468"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1</w:t>
            </w:r>
          </w:p>
        </w:tc>
        <w:tc>
          <w:tcPr>
            <w:tcW w:w="326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智慧体育数据管理系统平台</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套</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45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2</w:t>
            </w:r>
          </w:p>
        </w:tc>
        <w:tc>
          <w:tcPr>
            <w:tcW w:w="32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阳光跑</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套</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428"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3</w:t>
            </w:r>
          </w:p>
        </w:tc>
        <w:tc>
          <w:tcPr>
            <w:tcW w:w="32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50米及往返跑（50，50×8，100）</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套</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474"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4</w:t>
            </w:r>
          </w:p>
        </w:tc>
        <w:tc>
          <w:tcPr>
            <w:tcW w:w="3260" w:type="dxa"/>
            <w:tcBorders>
              <w:top w:val="nil"/>
              <w:left w:val="nil"/>
              <w:bottom w:val="nil"/>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运动吧（室外）</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套</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54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5</w:t>
            </w:r>
          </w:p>
        </w:tc>
        <w:tc>
          <w:tcPr>
            <w:tcW w:w="326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趣味游戏与考试、训练一体机（室内）</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套</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54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6</w:t>
            </w:r>
          </w:p>
        </w:tc>
        <w:tc>
          <w:tcPr>
            <w:tcW w:w="326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自动计分篮筐</w:t>
            </w:r>
          </w:p>
        </w:tc>
        <w:tc>
          <w:tcPr>
            <w:tcW w:w="102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台</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474"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7</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施工及服务</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color w:val="auto"/>
                <w:kern w:val="0"/>
                <w:sz w:val="24"/>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批</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r>
        <w:tblPrEx>
          <w:tblLayout w:type="fixed"/>
          <w:tblCellMar>
            <w:top w:w="0" w:type="dxa"/>
            <w:left w:w="108" w:type="dxa"/>
            <w:bottom w:w="0" w:type="dxa"/>
            <w:right w:w="108" w:type="dxa"/>
          </w:tblCellMar>
        </w:tblPrEx>
        <w:trPr>
          <w:trHeight w:val="474" w:hRule="atLeast"/>
        </w:trPr>
        <w:tc>
          <w:tcPr>
            <w:tcW w:w="8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r>
              <w:rPr>
                <w:rFonts w:hint="eastAsia" w:ascii="仿宋_GB2312" w:hAnsi="仿宋_GB2312" w:eastAsia="仿宋_GB2312" w:cs="仿宋_GB2312"/>
                <w:b w:val="0"/>
                <w:bCs/>
                <w:color w:val="auto"/>
                <w:kern w:val="2"/>
                <w:sz w:val="24"/>
                <w:szCs w:val="24"/>
                <w:lang w:val="en-US" w:eastAsia="zh-CN"/>
              </w:rPr>
              <w:t>总计金额:大写                小写:</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b w:val="0"/>
                <w:bCs/>
                <w:color w:val="auto"/>
                <w:kern w:val="2"/>
                <w:sz w:val="24"/>
                <w:szCs w:val="24"/>
                <w:lang w:val="en-US" w:eastAsia="zh-CN"/>
              </w:rPr>
            </w:pPr>
          </w:p>
        </w:tc>
      </w:tr>
    </w:tbl>
    <w:p>
      <w:pPr>
        <w:pStyle w:val="693"/>
        <w:keepNext w:val="0"/>
        <w:pageBreakBefore w:val="0"/>
        <w:numPr>
          <w:ilvl w:val="0"/>
          <w:numId w:val="0"/>
        </w:numPr>
        <w:tabs>
          <w:tab w:val="clear" w:pos="720"/>
        </w:tabs>
        <w:snapToGrid w:val="0"/>
        <w:spacing w:before="120" w:after="120"/>
        <w:jc w:val="both"/>
        <w:outlineLvl w:val="9"/>
        <w:rPr>
          <w:rFonts w:hint="eastAsia" w:ascii="仿宋_GB2312" w:hAnsi="仿宋_GB2312" w:eastAsia="仿宋_GB2312" w:cs="仿宋_GB2312"/>
          <w:color w:val="auto"/>
          <w:kern w:val="2"/>
          <w:sz w:val="24"/>
          <w:szCs w:val="24"/>
          <w:lang w:val="en-US" w:eastAsia="zh-CN"/>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jc w:val="both"/>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kern w:val="2"/>
          <w:sz w:val="24"/>
          <w:szCs w:val="24"/>
        </w:rPr>
      </w:pPr>
    </w:p>
    <w:p>
      <w:pPr>
        <w:pStyle w:val="693"/>
        <w:keepNext w:val="0"/>
        <w:pageBreakBefore w:val="0"/>
        <w:tabs>
          <w:tab w:val="clear" w:pos="720"/>
        </w:tabs>
        <w:snapToGrid w:val="0"/>
        <w:spacing w:before="120" w:after="120"/>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二、</w:t>
      </w:r>
      <w:r>
        <w:rPr>
          <w:rFonts w:hint="eastAsia" w:ascii="仿宋_GB2312" w:hAnsi="仿宋_GB2312" w:eastAsia="仿宋_GB2312" w:cs="仿宋_GB2312"/>
          <w:color w:val="auto"/>
          <w:sz w:val="24"/>
          <w:szCs w:val="24"/>
        </w:rPr>
        <w:t>中小企业声明函</w:t>
      </w:r>
      <w:bookmarkEnd w:id="466"/>
      <w:bookmarkEnd w:id="467"/>
    </w:p>
    <w:p>
      <w:pPr>
        <w:widowControl/>
        <w:spacing w:line="360" w:lineRule="auto"/>
        <w:ind w:firstLine="120" w:firstLineChars="5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b w:val="0"/>
          <w:color w:val="auto"/>
          <w:sz w:val="24"/>
          <w:szCs w:val="24"/>
        </w:rPr>
      </w:pPr>
    </w:p>
    <w:p>
      <w:pPr>
        <w:spacing w:line="360" w:lineRule="auto"/>
        <w:ind w:right="420" w:firstLine="2409" w:firstLineChars="1000"/>
        <w:rPr>
          <w:rFonts w:hint="eastAsia" w:ascii="仿宋_GB2312" w:hAnsi="仿宋_GB2312" w:eastAsia="仿宋_GB2312" w:cs="仿宋_GB2312"/>
          <w:b/>
          <w:color w:val="auto"/>
          <w:kern w:val="0"/>
          <w:sz w:val="24"/>
        </w:rPr>
      </w:pPr>
    </w:p>
    <w:p>
      <w:pPr>
        <w:spacing w:line="360" w:lineRule="auto"/>
        <w:ind w:right="420" w:firstLine="2409" w:firstLineChars="1000"/>
        <w:rPr>
          <w:rFonts w:hint="eastAsia" w:ascii="仿宋_GB2312" w:hAnsi="仿宋_GB2312" w:eastAsia="仿宋_GB2312" w:cs="仿宋_GB2312"/>
          <w:b/>
          <w:color w:val="auto"/>
          <w:kern w:val="0"/>
          <w:sz w:val="24"/>
        </w:rPr>
      </w:pPr>
    </w:p>
    <w:p>
      <w:pPr>
        <w:spacing w:line="360" w:lineRule="auto"/>
        <w:ind w:right="420"/>
        <w:rPr>
          <w:rFonts w:hint="eastAsia" w:ascii="仿宋_GB2312" w:hAnsi="仿宋_GB2312" w:eastAsia="仿宋_GB2312" w:cs="仿宋_GB2312"/>
          <w:b/>
          <w:color w:val="auto"/>
          <w:kern w:val="0"/>
          <w:sz w:val="24"/>
        </w:rPr>
      </w:pPr>
    </w:p>
    <w:p>
      <w:pPr>
        <w:spacing w:line="360" w:lineRule="auto"/>
        <w:ind w:right="420"/>
        <w:rPr>
          <w:rFonts w:hint="eastAsia" w:ascii="仿宋_GB2312" w:hAnsi="仿宋_GB2312" w:eastAsia="仿宋_GB2312" w:cs="仿宋_GB2312"/>
          <w:b/>
          <w:color w:val="auto"/>
          <w:kern w:val="0"/>
          <w:sz w:val="24"/>
        </w:rPr>
      </w:pPr>
    </w:p>
    <w:p>
      <w:pPr>
        <w:pStyle w:val="2"/>
        <w:keepNext w:val="0"/>
        <w:keepLines w:val="0"/>
        <w:pageBreakBefore/>
        <w:widowControl/>
        <w:spacing w:before="100" w:beforeAutospacing="1" w:after="100" w:afterAutospacing="1" w:line="360" w:lineRule="auto"/>
        <w:ind w:left="0" w:firstLine="0"/>
        <w:rPr>
          <w:rFonts w:hint="eastAsia" w:ascii="仿宋_GB2312" w:hAnsi="仿宋_GB2312" w:eastAsia="仿宋_GB2312" w:cs="仿宋_GB2312"/>
          <w:color w:val="auto"/>
          <w:sz w:val="24"/>
          <w:szCs w:val="24"/>
        </w:rPr>
      </w:pPr>
      <w:bookmarkStart w:id="468" w:name="_Toc5209"/>
      <w:bookmarkStart w:id="469" w:name="_Toc465665161"/>
      <w:bookmarkStart w:id="470" w:name="_Toc23579"/>
      <w:r>
        <w:rPr>
          <w:rFonts w:hint="eastAsia" w:ascii="仿宋_GB2312" w:hAnsi="仿宋_GB2312" w:eastAsia="仿宋_GB2312" w:cs="仿宋_GB2312"/>
          <w:color w:val="auto"/>
          <w:sz w:val="24"/>
          <w:szCs w:val="24"/>
        </w:rPr>
        <w:t>附件</w:t>
      </w:r>
      <w:bookmarkEnd w:id="468"/>
      <w:bookmarkEnd w:id="469"/>
      <w:bookmarkEnd w:id="470"/>
    </w:p>
    <w:p>
      <w:pPr>
        <w:spacing w:line="360" w:lineRule="auto"/>
        <w:rPr>
          <w:rFonts w:hint="eastAsia" w:ascii="仿宋_GB2312" w:hAnsi="仿宋_GB2312" w:eastAsia="仿宋_GB2312" w:cs="仿宋_GB2312"/>
          <w:b/>
          <w:color w:val="auto"/>
          <w:spacing w:val="6"/>
          <w:sz w:val="24"/>
        </w:rPr>
      </w:pPr>
      <w:r>
        <w:rPr>
          <w:rFonts w:hint="eastAsia" w:ascii="仿宋_GB2312" w:hAnsi="仿宋_GB2312" w:eastAsia="仿宋_GB2312" w:cs="仿宋_GB2312"/>
          <w:b/>
          <w:color w:val="auto"/>
          <w:spacing w:val="6"/>
          <w:sz w:val="24"/>
        </w:rPr>
        <w:t>附件1：</w:t>
      </w:r>
    </w:p>
    <w:p>
      <w:pPr>
        <w:spacing w:line="360" w:lineRule="auto"/>
        <w:jc w:val="center"/>
        <w:rPr>
          <w:rFonts w:hint="eastAsia" w:ascii="仿宋_GB2312" w:hAnsi="仿宋_GB2312" w:eastAsia="仿宋_GB2312" w:cs="仿宋_GB2312"/>
          <w:b/>
          <w:color w:val="auto"/>
          <w:spacing w:val="6"/>
          <w:sz w:val="24"/>
        </w:rPr>
      </w:pPr>
      <w:bookmarkStart w:id="471" w:name="OLE_LINK14"/>
      <w:bookmarkStart w:id="472" w:name="OLE_LINK13"/>
      <w:r>
        <w:rPr>
          <w:rFonts w:hint="eastAsia" w:ascii="仿宋_GB2312" w:hAnsi="仿宋_GB2312" w:eastAsia="仿宋_GB2312" w:cs="仿宋_GB2312"/>
          <w:b/>
          <w:color w:val="auto"/>
          <w:spacing w:val="6"/>
          <w:sz w:val="24"/>
        </w:rPr>
        <w:t>残疾人福利性单位声明函</w:t>
      </w:r>
    </w:p>
    <w:bookmarkEnd w:id="471"/>
    <w:bookmarkEnd w:id="472"/>
    <w:p>
      <w:pPr>
        <w:spacing w:line="360" w:lineRule="auto"/>
        <w:rPr>
          <w:rFonts w:hint="eastAsia" w:ascii="仿宋_GB2312" w:hAnsi="仿宋_GB2312" w:eastAsia="仿宋_GB2312" w:cs="仿宋_GB2312"/>
          <w:b/>
          <w:color w:val="auto"/>
          <w:spacing w:val="6"/>
          <w:sz w:val="24"/>
        </w:rPr>
      </w:pP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tabs>
          <w:tab w:val="left" w:pos="4860"/>
        </w:tabs>
        <w:spacing w:line="360" w:lineRule="auto"/>
        <w:ind w:right="1560"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投标人名称（电子签名）</w:t>
      </w:r>
      <w:r>
        <w:rPr>
          <w:rFonts w:hint="eastAsia" w:ascii="仿宋_GB2312" w:hAnsi="仿宋_GB2312" w:eastAsia="仿宋_GB2312" w:cs="仿宋_GB2312"/>
          <w:color w:val="auto"/>
          <w:sz w:val="24"/>
        </w:rPr>
        <w:t>：</w:t>
      </w:r>
    </w:p>
    <w:p>
      <w:pPr>
        <w:tabs>
          <w:tab w:val="left" w:pos="4860"/>
        </w:tabs>
        <w:spacing w:line="360" w:lineRule="auto"/>
        <w:ind w:right="1560"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日  期：</w:t>
      </w:r>
    </w:p>
    <w:p>
      <w:pPr>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spacing w:line="360" w:lineRule="auto"/>
        <w:ind w:firstLine="480" w:firstLineChars="200"/>
        <w:rPr>
          <w:rFonts w:hint="eastAsia" w:ascii="仿宋_GB2312" w:hAnsi="仿宋_GB2312" w:eastAsia="仿宋_GB2312" w:cs="仿宋_GB2312"/>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jc w:val="left"/>
        <w:rPr>
          <w:rFonts w:hint="eastAsia" w:ascii="仿宋_GB2312" w:hAnsi="仿宋_GB2312" w:eastAsia="仿宋_GB2312" w:cs="仿宋_GB2312"/>
          <w:b/>
          <w:color w:val="auto"/>
          <w:spacing w:val="6"/>
          <w:sz w:val="24"/>
        </w:rPr>
      </w:pPr>
    </w:p>
    <w:p>
      <w:pPr>
        <w:spacing w:line="360" w:lineRule="auto"/>
        <w:jc w:val="left"/>
        <w:rPr>
          <w:rFonts w:hint="eastAsia" w:ascii="仿宋_GB2312" w:hAnsi="仿宋_GB2312" w:eastAsia="仿宋_GB2312" w:cs="仿宋_GB2312"/>
          <w:b/>
          <w:color w:val="auto"/>
          <w:spacing w:val="6"/>
          <w:sz w:val="24"/>
        </w:rPr>
      </w:pPr>
      <w:r>
        <w:rPr>
          <w:rFonts w:hint="eastAsia" w:ascii="仿宋_GB2312" w:hAnsi="仿宋_GB2312" w:eastAsia="仿宋_GB2312" w:cs="仿宋_GB2312"/>
          <w:b/>
          <w:color w:val="auto"/>
          <w:spacing w:val="6"/>
          <w:sz w:val="24"/>
        </w:rPr>
        <w:t>附件2：质疑函范本及制作说明</w:t>
      </w:r>
    </w:p>
    <w:p>
      <w:pPr>
        <w:spacing w:line="360" w:lineRule="auto"/>
        <w:jc w:val="center"/>
        <w:rPr>
          <w:rFonts w:hint="eastAsia" w:ascii="仿宋_GB2312" w:hAnsi="仿宋_GB2312" w:eastAsia="仿宋_GB2312" w:cs="仿宋_GB2312"/>
          <w:b/>
          <w:color w:val="auto"/>
          <w:spacing w:val="6"/>
          <w:sz w:val="24"/>
        </w:rPr>
      </w:pPr>
      <w:r>
        <w:rPr>
          <w:rFonts w:hint="eastAsia" w:ascii="仿宋_GB2312" w:hAnsi="仿宋_GB2312" w:eastAsia="仿宋_GB2312" w:cs="仿宋_GB2312"/>
          <w:b/>
          <w:color w:val="auto"/>
          <w:spacing w:val="6"/>
          <w:sz w:val="24"/>
        </w:rPr>
        <w:t>质疑函范本</w:t>
      </w:r>
    </w:p>
    <w:p>
      <w:pPr>
        <w:snapToGrid w:val="0"/>
        <w:spacing w:before="240" w:beforeLines="100" w:line="360" w:lineRule="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一、质疑供应商基本信息</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质疑供应商：</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地址：邮编：</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联系人：联系电话：</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授权代表：</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地址：邮编：</w:t>
      </w:r>
    </w:p>
    <w:p>
      <w:pPr>
        <w:snapToGrid w:val="0"/>
        <w:spacing w:line="360" w:lineRule="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二、质疑项目基本情况</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质疑项目的名称：</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质疑项目的编号：包号：</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采购人名称：</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采购文件获取日期：</w:t>
      </w:r>
    </w:p>
    <w:p>
      <w:pPr>
        <w:snapToGrid w:val="0"/>
        <w:spacing w:line="360" w:lineRule="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三、质疑事项具体内容</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质疑事项1：</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事实依据：</w:t>
      </w:r>
    </w:p>
    <w:p>
      <w:pPr>
        <w:snapToGrid w:val="0"/>
        <w:spacing w:line="360" w:lineRule="auto"/>
        <w:rPr>
          <w:rFonts w:hint="eastAsia" w:ascii="仿宋_GB2312" w:hAnsi="仿宋_GB2312" w:eastAsia="仿宋_GB2312" w:cs="仿宋_GB2312"/>
          <w:color w:val="auto"/>
          <w:sz w:val="24"/>
        </w:rPr>
      </w:pP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法律依据：</w:t>
      </w:r>
    </w:p>
    <w:p>
      <w:pPr>
        <w:snapToGrid w:val="0"/>
        <w:spacing w:line="360" w:lineRule="auto"/>
        <w:rPr>
          <w:rFonts w:hint="eastAsia" w:ascii="仿宋_GB2312" w:hAnsi="仿宋_GB2312" w:eastAsia="仿宋_GB2312" w:cs="仿宋_GB2312"/>
          <w:color w:val="auto"/>
          <w:sz w:val="24"/>
          <w:u w:val="dotted"/>
        </w:rPr>
      </w:pP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质疑事项2</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napToGrid w:val="0"/>
        <w:spacing w:line="360" w:lineRule="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四、与质疑事项相关的质疑请求</w:t>
      </w:r>
    </w:p>
    <w:p>
      <w:pPr>
        <w:snapToGrid w:val="0"/>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请求：</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签字(签章)：                   公章：                      </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日期：</w:t>
      </w:r>
    </w:p>
    <w:p>
      <w:pPr>
        <w:spacing w:line="360" w:lineRule="auto"/>
        <w:jc w:val="center"/>
        <w:rPr>
          <w:rFonts w:hint="eastAsia" w:ascii="仿宋_GB2312" w:hAnsi="仿宋_GB2312" w:eastAsia="仿宋_GB2312" w:cs="仿宋_GB2312"/>
          <w:b/>
          <w:bCs/>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质疑函制作说明：</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_GB2312" w:hAnsi="仿宋_GB2312" w:eastAsia="仿宋_GB2312" w:cs="仿宋_GB2312"/>
          <w:color w:val="auto"/>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center"/>
        <w:rPr>
          <w:rFonts w:hint="eastAsia" w:ascii="仿宋_GB2312" w:hAnsi="仿宋_GB2312" w:eastAsia="仿宋_GB2312" w:cs="仿宋_GB2312"/>
          <w:b/>
          <w:color w:val="auto"/>
          <w:spacing w:val="6"/>
          <w:sz w:val="24"/>
        </w:rPr>
      </w:pPr>
    </w:p>
    <w:p>
      <w:pPr>
        <w:spacing w:line="360" w:lineRule="auto"/>
        <w:jc w:val="left"/>
        <w:rPr>
          <w:rFonts w:hint="eastAsia" w:ascii="仿宋_GB2312" w:hAnsi="仿宋_GB2312" w:eastAsia="仿宋_GB2312" w:cs="仿宋_GB2312"/>
          <w:b/>
          <w:color w:val="auto"/>
          <w:spacing w:val="6"/>
          <w:sz w:val="24"/>
        </w:rPr>
      </w:pPr>
    </w:p>
    <w:p>
      <w:pPr>
        <w:pStyle w:val="2"/>
        <w:rPr>
          <w:rFonts w:hint="eastAsia" w:ascii="仿宋_GB2312" w:hAnsi="仿宋_GB2312" w:eastAsia="仿宋_GB2312" w:cs="仿宋_GB2312"/>
          <w:b/>
          <w:color w:val="auto"/>
          <w:spacing w:val="6"/>
          <w:sz w:val="24"/>
        </w:rPr>
      </w:pPr>
    </w:p>
    <w:p>
      <w:pPr>
        <w:rPr>
          <w:rFonts w:hint="eastAsia" w:ascii="仿宋_GB2312" w:hAnsi="仿宋_GB2312" w:eastAsia="仿宋_GB2312" w:cs="仿宋_GB2312"/>
          <w:b/>
          <w:color w:val="auto"/>
          <w:spacing w:val="6"/>
          <w:sz w:val="24"/>
        </w:rPr>
      </w:pPr>
    </w:p>
    <w:p>
      <w:pPr>
        <w:pStyle w:val="2"/>
        <w:rPr>
          <w:rFonts w:hint="eastAsia" w:ascii="仿宋_GB2312" w:hAnsi="仿宋_GB2312" w:eastAsia="仿宋_GB2312" w:cs="仿宋_GB2312"/>
          <w:b/>
          <w:color w:val="auto"/>
          <w:spacing w:val="6"/>
          <w:sz w:val="24"/>
        </w:rPr>
      </w:pPr>
    </w:p>
    <w:p>
      <w:pPr>
        <w:rPr>
          <w:rFonts w:hint="eastAsia"/>
          <w:color w:val="auto"/>
        </w:rPr>
      </w:pPr>
    </w:p>
    <w:p>
      <w:pPr>
        <w:spacing w:line="360" w:lineRule="auto"/>
        <w:jc w:val="left"/>
        <w:rPr>
          <w:rFonts w:hint="eastAsia" w:ascii="仿宋_GB2312" w:hAnsi="仿宋_GB2312" w:eastAsia="仿宋_GB2312" w:cs="仿宋_GB2312"/>
          <w:b/>
          <w:color w:val="auto"/>
          <w:spacing w:val="6"/>
          <w:sz w:val="24"/>
        </w:rPr>
      </w:pPr>
      <w:r>
        <w:rPr>
          <w:rFonts w:hint="eastAsia" w:ascii="仿宋_GB2312" w:hAnsi="仿宋_GB2312" w:eastAsia="仿宋_GB2312" w:cs="仿宋_GB2312"/>
          <w:b/>
          <w:color w:val="auto"/>
          <w:spacing w:val="6"/>
          <w:sz w:val="24"/>
        </w:rPr>
        <w:t>附件3：投诉书范本及制作说明</w:t>
      </w:r>
    </w:p>
    <w:p>
      <w:pPr>
        <w:spacing w:line="360" w:lineRule="auto"/>
        <w:jc w:val="center"/>
        <w:rPr>
          <w:rFonts w:hint="eastAsia" w:ascii="仿宋_GB2312" w:hAnsi="仿宋_GB2312" w:eastAsia="仿宋_GB2312" w:cs="仿宋_GB2312"/>
          <w:b/>
          <w:color w:val="auto"/>
          <w:sz w:val="24"/>
        </w:rPr>
      </w:pPr>
    </w:p>
    <w:p>
      <w:pPr>
        <w:spacing w:line="360" w:lineRule="auto"/>
        <w:jc w:val="center"/>
        <w:rPr>
          <w:rFonts w:hint="eastAsia" w:ascii="仿宋_GB2312" w:hAnsi="仿宋_GB2312" w:eastAsia="仿宋_GB2312" w:cs="仿宋_GB2312"/>
          <w:b/>
          <w:color w:val="auto"/>
          <w:spacing w:val="6"/>
          <w:sz w:val="24"/>
        </w:rPr>
      </w:pPr>
      <w:r>
        <w:rPr>
          <w:rFonts w:hint="eastAsia" w:ascii="仿宋_GB2312" w:hAnsi="仿宋_GB2312" w:eastAsia="仿宋_GB2312" w:cs="仿宋_GB2312"/>
          <w:b/>
          <w:color w:val="auto"/>
          <w:spacing w:val="6"/>
          <w:sz w:val="24"/>
        </w:rPr>
        <w:t>投诉书范本</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一、投诉相关主体基本情况</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投诉人：</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地址：邮编：</w:t>
      </w:r>
    </w:p>
    <w:p>
      <w:pPr>
        <w:tabs>
          <w:tab w:val="left" w:pos="6510"/>
        </w:tabs>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法定代表人/主要负责人：</w:t>
      </w:r>
    </w:p>
    <w:p>
      <w:pPr>
        <w:tabs>
          <w:tab w:val="left" w:pos="6510"/>
        </w:tabs>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联系电话：</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授权代表：联系电话</w:t>
      </w:r>
      <w:r>
        <w:rPr>
          <w:rFonts w:hint="eastAsia" w:ascii="仿宋_GB2312" w:hAnsi="仿宋_GB2312" w:eastAsia="仿宋_GB2312" w:cs="仿宋_GB2312"/>
          <w:color w:val="auto"/>
          <w:sz w:val="24"/>
          <w:u w:val="dotted"/>
        </w:rPr>
        <w:t>：</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地址：邮编：</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被投诉人1：</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地址：邮编：</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联系人：联系电话：</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被投诉人2</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相关供应商：</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地址：邮编：</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联系人：联系电话：</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二、投诉项目基本情况</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采购项目名称：</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采购项目编号：包号：</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采购人名称：</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代理机构名称：</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采购文件公告:</w:t>
      </w:r>
      <w:r>
        <w:rPr>
          <w:rFonts w:hint="eastAsia" w:ascii="仿宋_GB2312" w:hAnsi="仿宋_GB2312" w:eastAsia="仿宋_GB2312" w:cs="仿宋_GB2312"/>
          <w:color w:val="auto"/>
          <w:sz w:val="24"/>
          <w:u w:val="dotted"/>
        </w:rPr>
        <w:t xml:space="preserve">是/否 </w:t>
      </w:r>
      <w:r>
        <w:rPr>
          <w:rFonts w:hint="eastAsia" w:ascii="仿宋_GB2312" w:hAnsi="仿宋_GB2312" w:eastAsia="仿宋_GB2312" w:cs="仿宋_GB2312"/>
          <w:color w:val="auto"/>
          <w:sz w:val="24"/>
        </w:rPr>
        <w:t>公告期限：</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采购结果公告:</w:t>
      </w:r>
      <w:r>
        <w:rPr>
          <w:rFonts w:hint="eastAsia" w:ascii="仿宋_GB2312" w:hAnsi="仿宋_GB2312" w:eastAsia="仿宋_GB2312" w:cs="仿宋_GB2312"/>
          <w:color w:val="auto"/>
          <w:sz w:val="24"/>
          <w:u w:val="dotted"/>
        </w:rPr>
        <w:t xml:space="preserve">是/否 </w:t>
      </w:r>
      <w:r>
        <w:rPr>
          <w:rFonts w:hint="eastAsia" w:ascii="仿宋_GB2312" w:hAnsi="仿宋_GB2312" w:eastAsia="仿宋_GB2312" w:cs="仿宋_GB2312"/>
          <w:color w:val="auto"/>
          <w:sz w:val="24"/>
        </w:rPr>
        <w:t>公告期限：</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三、质疑基本情况</w:t>
      </w:r>
    </w:p>
    <w:p>
      <w:pPr>
        <w:spacing w:line="360" w:lineRule="auto"/>
        <w:ind w:firstLine="480" w:firstLineChars="200"/>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投诉人于年月日,向提出质疑，质疑事项为：</w:t>
      </w:r>
    </w:p>
    <w:p>
      <w:pPr>
        <w:spacing w:line="360" w:lineRule="auto"/>
        <w:rPr>
          <w:rFonts w:hint="eastAsia" w:ascii="仿宋_GB2312" w:hAnsi="仿宋_GB2312" w:eastAsia="仿宋_GB2312" w:cs="仿宋_GB2312"/>
          <w:color w:val="auto"/>
          <w:sz w:val="24"/>
          <w:u w:val="dotted"/>
        </w:rPr>
      </w:pPr>
    </w:p>
    <w:p>
      <w:pPr>
        <w:spacing w:line="360" w:lineRule="auto"/>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dotted"/>
        </w:rPr>
        <w:t>采购人/代理机构</w:t>
      </w:r>
      <w:r>
        <w:rPr>
          <w:rFonts w:hint="eastAsia" w:ascii="仿宋_GB2312" w:hAnsi="仿宋_GB2312" w:eastAsia="仿宋_GB2312" w:cs="仿宋_GB2312"/>
          <w:color w:val="auto"/>
          <w:sz w:val="24"/>
        </w:rPr>
        <w:t>于年月日,就质疑事项作出了答复/没有在法定期限内作出答复。</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四、投诉事项具体内容</w:t>
      </w: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投诉事项 1：</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事实依据：</w:t>
      </w:r>
    </w:p>
    <w:p>
      <w:pPr>
        <w:spacing w:line="360" w:lineRule="auto"/>
        <w:rPr>
          <w:rFonts w:hint="eastAsia" w:ascii="仿宋_GB2312" w:hAnsi="仿宋_GB2312" w:eastAsia="仿宋_GB2312" w:cs="仿宋_GB2312"/>
          <w:color w:val="auto"/>
          <w:sz w:val="24"/>
          <w:u w:val="dotted"/>
        </w:rPr>
      </w:pPr>
    </w:p>
    <w:p>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法律依据：</w:t>
      </w:r>
    </w:p>
    <w:p>
      <w:pPr>
        <w:spacing w:line="360" w:lineRule="auto"/>
        <w:rPr>
          <w:rFonts w:hint="eastAsia" w:ascii="仿宋_GB2312" w:hAnsi="仿宋_GB2312" w:eastAsia="仿宋_GB2312" w:cs="仿宋_GB2312"/>
          <w:color w:val="auto"/>
          <w:sz w:val="24"/>
          <w:u w:val="dotted"/>
        </w:rPr>
      </w:pP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投诉事项2</w:t>
      </w:r>
    </w:p>
    <w:p>
      <w:pPr>
        <w:spacing w:line="360" w:lineRule="auto"/>
        <w:rPr>
          <w:rFonts w:hint="eastAsia" w:ascii="仿宋_GB2312" w:hAnsi="仿宋_GB2312" w:eastAsia="仿宋_GB2312" w:cs="仿宋_GB2312"/>
          <w:color w:val="auto"/>
          <w:sz w:val="24"/>
          <w:u w:val="dotted"/>
        </w:rPr>
      </w:pPr>
      <w:r>
        <w:rPr>
          <w:rFonts w:hint="eastAsia" w:ascii="仿宋_GB2312" w:hAnsi="仿宋_GB2312" w:eastAsia="仿宋_GB2312" w:cs="仿宋_GB2312"/>
          <w:color w:val="auto"/>
          <w:sz w:val="24"/>
        </w:rPr>
        <w:t>……</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五、与投诉事项相关的投诉请求</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请求：</w:t>
      </w:r>
    </w:p>
    <w:p>
      <w:pPr>
        <w:spacing w:line="360" w:lineRule="auto"/>
        <w:rPr>
          <w:rFonts w:hint="eastAsia" w:ascii="仿宋_GB2312" w:hAnsi="仿宋_GB2312" w:eastAsia="仿宋_GB2312" w:cs="仿宋_GB2312"/>
          <w:color w:val="auto"/>
          <w:sz w:val="24"/>
          <w:u w:val="single"/>
        </w:rPr>
      </w:pP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签字(签章)：                   公章：                      </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日期：</w:t>
      </w:r>
    </w:p>
    <w:p>
      <w:pPr>
        <w:spacing w:line="360" w:lineRule="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投诉书制作说明：</w:t>
      </w:r>
    </w:p>
    <w:p>
      <w:pPr>
        <w:widowControl/>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b/>
          <w:color w:val="auto"/>
          <w:spacing w:val="6"/>
          <w:sz w:val="24"/>
        </w:rPr>
      </w:pPr>
      <w:r>
        <w:rPr>
          <w:rFonts w:hint="eastAsia" w:ascii="仿宋_GB2312" w:hAnsi="仿宋_GB2312" w:eastAsia="仿宋_GB2312" w:cs="仿宋_GB2312"/>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pacing w:val="6"/>
          <w:sz w:val="24"/>
        </w:rPr>
        <w:t>附件4：</w:t>
      </w:r>
      <w:r>
        <w:rPr>
          <w:rFonts w:hint="eastAsia" w:ascii="仿宋_GB2312" w:hAnsi="仿宋_GB2312" w:eastAsia="仿宋_GB2312" w:cs="仿宋_GB2312"/>
          <w:b/>
          <w:bCs/>
          <w:color w:val="auto"/>
          <w:sz w:val="24"/>
        </w:rPr>
        <w:t>业务专用章使用说明函</w:t>
      </w:r>
    </w:p>
    <w:p>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（采购人）、（采购代理机构）</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我方</w:t>
      </w:r>
      <w:r>
        <w:rPr>
          <w:rFonts w:hint="eastAsia" w:ascii="仿宋_GB2312" w:hAnsi="仿宋_GB2312" w:eastAsia="仿宋_GB2312" w:cs="仿宋_GB2312"/>
          <w:color w:val="auto"/>
          <w:sz w:val="24"/>
        </w:rPr>
        <w:t>(投标人全称)是中华人民共和国依法登记注册的合法企业，</w:t>
      </w:r>
      <w:r>
        <w:rPr>
          <w:rFonts w:hint="eastAsia" w:ascii="仿宋_GB2312" w:hAnsi="仿宋_GB2312" w:eastAsia="仿宋_GB2312" w:cs="仿宋_GB2312"/>
          <w:bCs/>
          <w:color w:val="auto"/>
          <w:sz w:val="24"/>
        </w:rPr>
        <w:t>在参加</w:t>
      </w:r>
      <w:r>
        <w:rPr>
          <w:rFonts w:hint="eastAsia" w:ascii="仿宋_GB2312" w:hAnsi="仿宋_GB2312" w:eastAsia="仿宋_GB2312" w:cs="仿宋_GB2312"/>
          <w:color w:val="auto"/>
          <w:sz w:val="24"/>
        </w:rPr>
        <w:t>你方组织的（项目名称）项目【招标编号：（采购编号）】</w:t>
      </w:r>
      <w:r>
        <w:rPr>
          <w:rFonts w:hint="eastAsia" w:ascii="仿宋_GB2312" w:hAnsi="仿宋_GB2312" w:eastAsia="仿宋_GB2312" w:cs="仿宋_GB2312"/>
          <w:bCs/>
          <w:color w:val="auto"/>
          <w:sz w:val="24"/>
        </w:rPr>
        <w:t>投标活动中作如下说明：</w:t>
      </w:r>
      <w:r>
        <w:rPr>
          <w:rFonts w:hint="eastAsia" w:ascii="仿宋_GB2312" w:hAnsi="仿宋_GB2312" w:eastAsia="仿宋_GB2312" w:cs="仿宋_GB2312"/>
          <w:color w:val="auto"/>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特此说明。</w:t>
      </w:r>
    </w:p>
    <w:p>
      <w:pPr>
        <w:spacing w:line="360" w:lineRule="auto"/>
        <w:ind w:right="480" w:firstLine="4080" w:firstLineChars="17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投标单位（法定名称章）：</w:t>
      </w:r>
    </w:p>
    <w:p>
      <w:pPr>
        <w:ind w:right="1440" w:firstLine="494"/>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日期：       年     月     日</w:t>
      </w:r>
    </w:p>
    <w:p>
      <w:pP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附：</w:t>
      </w:r>
    </w:p>
    <w:p>
      <w:pPr>
        <w:spacing w:line="360" w:lineRule="auto"/>
        <w:rPr>
          <w:rFonts w:hint="eastAsia" w:ascii="仿宋_GB2312" w:hAnsi="仿宋_GB2312" w:eastAsia="仿宋_GB2312" w:cs="仿宋_GB2312"/>
          <w:bCs/>
          <w:color w:val="auto"/>
          <w:sz w:val="24"/>
        </w:rPr>
      </w:pPr>
      <w:r>
        <w:rPr>
          <w:rFonts w:hint="eastAsia" w:ascii="仿宋_GB2312" w:hAnsi="仿宋_GB2312" w:eastAsia="仿宋_GB2312" w:cs="仿宋_GB2312"/>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color w:val="auto"/>
          <w:sz w:val="24"/>
        </w:rPr>
        <w:t>投标单位法定名称章（印模）投标单位“XX专用章”（印模）</w:t>
      </w: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color w:val="auto"/>
          <w:spacing w:val="6"/>
          <w:sz w:val="24"/>
        </w:rPr>
      </w:pPr>
    </w:p>
    <w:p>
      <w:pPr>
        <w:pStyle w:val="975"/>
        <w:ind w:left="0" w:leftChars="0" w:firstLine="0"/>
        <w:rPr>
          <w:rFonts w:hint="eastAsia" w:ascii="仿宋_GB2312" w:hAnsi="仿宋_GB2312" w:eastAsia="仿宋_GB2312" w:cs="仿宋_GB2312"/>
          <w:b/>
          <w:color w:val="auto"/>
          <w:spacing w:val="6"/>
        </w:rPr>
      </w:pPr>
    </w:p>
    <w:p>
      <w:pPr>
        <w:autoSpaceDE w:val="0"/>
        <w:autoSpaceDN w:val="0"/>
        <w:jc w:val="center"/>
        <w:rPr>
          <w:rFonts w:hint="eastAsia" w:ascii="仿宋_GB2312" w:hAnsi="仿宋_GB2312" w:eastAsia="仿宋_GB2312" w:cs="仿宋_GB2312"/>
          <w:b/>
          <w:color w:val="auto"/>
          <w:spacing w:val="6"/>
          <w:sz w:val="24"/>
        </w:rPr>
      </w:pPr>
    </w:p>
    <w:p>
      <w:pPr>
        <w:autoSpaceDE w:val="0"/>
        <w:autoSpaceDN w:val="0"/>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pacing w:val="6"/>
          <w:sz w:val="24"/>
        </w:rPr>
        <w:t>附件5：</w:t>
      </w:r>
      <w:r>
        <w:rPr>
          <w:rFonts w:hint="eastAsia" w:ascii="仿宋_GB2312" w:hAnsi="仿宋_GB2312" w:eastAsia="仿宋_GB2312" w:cs="仿宋_GB2312"/>
          <w:b/>
          <w:color w:val="auto"/>
          <w:sz w:val="24"/>
        </w:rPr>
        <w:t>中小企业声明函</w:t>
      </w:r>
    </w:p>
    <w:p>
      <w:pPr>
        <w:spacing w:line="360" w:lineRule="auto"/>
        <w:rPr>
          <w:rFonts w:hint="eastAsia" w:ascii="仿宋_GB2312" w:hAnsi="仿宋_GB2312" w:eastAsia="仿宋_GB2312" w:cs="仿宋_GB2312"/>
          <w:b/>
          <w:color w:val="auto"/>
          <w:sz w:val="24"/>
        </w:rPr>
      </w:pPr>
    </w:p>
    <w:p>
      <w:pPr>
        <w:spacing w:line="360" w:lineRule="auto"/>
        <w:jc w:val="center"/>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24"/>
          <w:u w:val="single"/>
        </w:rPr>
        <w:t>（标的名称）</w:t>
      </w:r>
      <w:r>
        <w:rPr>
          <w:rFonts w:hint="eastAsia" w:ascii="仿宋_GB2312" w:hAnsi="仿宋_GB2312" w:eastAsia="仿宋_GB2312" w:cs="仿宋_GB2312"/>
          <w:color w:val="auto"/>
          <w:sz w:val="24"/>
        </w:rPr>
        <w:t xml:space="preserve"> ，属于</w:t>
      </w:r>
      <w:r>
        <w:rPr>
          <w:rFonts w:hint="eastAsia" w:ascii="仿宋_GB2312" w:hAnsi="仿宋_GB2312" w:eastAsia="仿宋_GB2312" w:cs="仿宋_GB2312"/>
          <w:color w:val="auto"/>
          <w:sz w:val="24"/>
          <w:u w:val="single"/>
          <w:lang w:eastAsia="zh-CN"/>
        </w:rPr>
        <w:t>信息传输业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w:t>
      </w:r>
      <w:r>
        <w:rPr>
          <w:rFonts w:hint="eastAsia" w:ascii="仿宋_GB2312" w:hAnsi="仿宋_GB2312" w:eastAsia="仿宋_GB2312" w:cs="仿宋_GB2312"/>
          <w:color w:val="auto"/>
          <w:sz w:val="24"/>
        </w:rPr>
        <w:t xml:space="preserve"> ，从业人员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24"/>
          <w:u w:val="single"/>
        </w:rPr>
        <w:t>（标的名称）</w:t>
      </w:r>
      <w:r>
        <w:rPr>
          <w:rFonts w:hint="eastAsia" w:ascii="仿宋_GB2312" w:hAnsi="仿宋_GB2312" w:eastAsia="仿宋_GB2312" w:cs="仿宋_GB2312"/>
          <w:color w:val="auto"/>
          <w:sz w:val="24"/>
        </w:rPr>
        <w:t xml:space="preserve"> ，属于</w:t>
      </w:r>
      <w:r>
        <w:rPr>
          <w:rFonts w:hint="eastAsia" w:ascii="仿宋_GB2312" w:hAnsi="仿宋_GB2312" w:eastAsia="仿宋_GB2312" w:cs="仿宋_GB2312"/>
          <w:color w:val="auto"/>
          <w:sz w:val="24"/>
          <w:u w:val="single"/>
          <w:lang w:val="en-US" w:eastAsia="zh-CN"/>
        </w:rPr>
        <w:t>信息传输业</w:t>
      </w:r>
      <w:r>
        <w:rPr>
          <w:rFonts w:hint="eastAsia" w:ascii="仿宋_GB2312" w:hAnsi="仿宋_GB2312" w:eastAsia="仿宋_GB2312" w:cs="仿宋_GB2312"/>
          <w:color w:val="auto"/>
          <w:sz w:val="24"/>
          <w:u w:val="single"/>
        </w:rPr>
        <w:t>行业</w:t>
      </w:r>
      <w:r>
        <w:rPr>
          <w:rFonts w:hint="eastAsia" w:ascii="仿宋_GB2312" w:hAnsi="仿宋_GB2312" w:eastAsia="仿宋_GB2312" w:cs="仿宋_GB2312"/>
          <w:color w:val="auto"/>
          <w:sz w:val="24"/>
        </w:rPr>
        <w:t xml:space="preserve"> ；制造商为</w:t>
      </w:r>
      <w:r>
        <w:rPr>
          <w:rFonts w:hint="eastAsia" w:ascii="仿宋_GB2312" w:hAnsi="仿宋_GB2312" w:eastAsia="仿宋_GB2312" w:cs="仿宋_GB2312"/>
          <w:color w:val="auto"/>
          <w:sz w:val="24"/>
          <w:u w:val="single"/>
        </w:rPr>
        <w:t xml:space="preserve"> （企业名称）</w:t>
      </w:r>
      <w:r>
        <w:rPr>
          <w:rFonts w:hint="eastAsia" w:ascii="仿宋_GB2312" w:hAnsi="仿宋_GB2312" w:eastAsia="仿宋_GB2312" w:cs="仿宋_GB2312"/>
          <w:color w:val="auto"/>
          <w:sz w:val="24"/>
        </w:rPr>
        <w:t xml:space="preserve"> ，从业人员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snapToGrid w:val="0"/>
        <w:spacing w:line="360" w:lineRule="auto"/>
        <w:ind w:firstLine="5160" w:firstLineChars="215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投标人名称(电子签名)：</w:t>
      </w:r>
    </w:p>
    <w:p>
      <w:pPr>
        <w:snapToGrid w:val="0"/>
        <w:spacing w:line="360" w:lineRule="auto"/>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                                           日期</w:t>
      </w:r>
      <w:r>
        <w:rPr>
          <w:rFonts w:hint="eastAsia" w:ascii="仿宋_GB2312" w:hAnsi="仿宋_GB2312" w:eastAsia="仿宋_GB2312" w:cs="仿宋_GB2312"/>
          <w:color w:val="auto"/>
          <w:kern w:val="0"/>
          <w:sz w:val="24"/>
        </w:rPr>
        <w:t xml:space="preserve">：  年  </w:t>
      </w:r>
      <w:r>
        <w:rPr>
          <w:rFonts w:hint="eastAsia" w:ascii="仿宋_GB2312" w:hAnsi="仿宋_GB2312" w:eastAsia="仿宋_GB2312" w:cs="仿宋_GB2312"/>
          <w:color w:val="auto"/>
          <w:kern w:val="0"/>
          <w:sz w:val="24"/>
          <w:lang w:val="zh-CN"/>
        </w:rPr>
        <w:t>月</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zh-CN"/>
        </w:rPr>
        <w:t>日</w:t>
      </w:r>
    </w:p>
    <w:p>
      <w:pPr>
        <w:spacing w:line="360" w:lineRule="auto"/>
        <w:ind w:firstLine="354" w:firstLineChars="147"/>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color w:val="auto"/>
          <w:sz w:val="24"/>
        </w:rPr>
      </w:pPr>
    </w:p>
    <w:p>
      <w:pPr>
        <w:spacing w:line="360" w:lineRule="auto"/>
        <w:ind w:right="4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_GB2312" w:hAnsi="仿宋_GB2312" w:eastAsia="仿宋_GB2312" w:cs="仿宋_GB2312"/>
          <w:bCs/>
          <w:color w:val="auto"/>
          <w:sz w:val="24"/>
        </w:rPr>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73" w:name="_Toc131845147"/>
    <w:bookmarkStart w:id="474" w:name="_Toc164085800"/>
    <w:bookmarkStart w:id="475" w:name="_Toc91899912"/>
    <w:bookmarkStart w:id="476" w:name="_Toc36110187"/>
    <w:r>
      <w:rPr>
        <w:rFonts w:hint="eastAsia" w:ascii="仿宋_GB2312" w:eastAsia="仿宋_GB2312"/>
        <w:kern w:val="0"/>
        <w:szCs w:val="21"/>
      </w:rPr>
      <w:t xml:space="preserve"> 页</w:t>
    </w:r>
    <w:bookmarkEnd w:id="473"/>
    <w:bookmarkEnd w:id="474"/>
    <w:bookmarkEnd w:id="475"/>
    <w:bookmarkEnd w:id="4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rPr>
      <w:t>江山惠捷信息技术咨询有限公司</w:t>
    </w:r>
    <w:r>
      <w:t></w:t>
    </w:r>
    <w:r>
      <w:rPr>
        <w:rFonts w:hint="eastAsia"/>
      </w:rPr>
      <w:t xml:space="preserve"> </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pPr>
    <w:r>
      <w:rPr>
        <w:rFonts w:hint="eastAsia"/>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rPr>
      <w:t>江山惠捷信息技术咨询有限公司                                                   政</w:t>
    </w:r>
    <w:r>
      <w:t>府采购公开招标文件</w:t>
    </w:r>
  </w:p>
  <w:p>
    <w:pPr>
      <w:pStyle w:val="46"/>
      <w:jc w:val="right"/>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F826C7"/>
    <w:multiLevelType w:val="singleLevel"/>
    <w:tmpl w:val="64F826C7"/>
    <w:lvl w:ilvl="0" w:tentative="0">
      <w:start w:val="5"/>
      <w:numFmt w:val="decimal"/>
      <w:suff w:val="nothing"/>
      <w:lvlText w:val="%1."/>
      <w:lvlJc w:val="left"/>
    </w:lvl>
  </w:abstractNum>
  <w:abstractNum w:abstractNumId="3">
    <w:nsid w:val="686FC96E"/>
    <w:multiLevelType w:val="singleLevel"/>
    <w:tmpl w:val="686FC96E"/>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N2EyMDBiYTg3ZDZiMjg0YmY1MWQwM2QwOWNkYzYifQ=="/>
  </w:docVars>
  <w:rsids>
    <w:rsidRoot w:val="00172A27"/>
    <w:rsid w:val="00000451"/>
    <w:rsid w:val="0000108B"/>
    <w:rsid w:val="0000133D"/>
    <w:rsid w:val="00001509"/>
    <w:rsid w:val="000032B2"/>
    <w:rsid w:val="000033BA"/>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9D"/>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2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F5F"/>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37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B6B"/>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FEE"/>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F1B"/>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E2C"/>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5E0"/>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500"/>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7A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BFD"/>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69"/>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100"/>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A7E"/>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38D"/>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6B3"/>
    <w:rsid w:val="00594437"/>
    <w:rsid w:val="00594B70"/>
    <w:rsid w:val="00596CFA"/>
    <w:rsid w:val="00596EC6"/>
    <w:rsid w:val="005975CE"/>
    <w:rsid w:val="005A0088"/>
    <w:rsid w:val="005A04F6"/>
    <w:rsid w:val="005A14F0"/>
    <w:rsid w:val="005A1861"/>
    <w:rsid w:val="005A1A31"/>
    <w:rsid w:val="005A259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057"/>
    <w:rsid w:val="00600DE1"/>
    <w:rsid w:val="00600EA5"/>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27E5B"/>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EFB"/>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843"/>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44"/>
    <w:rsid w:val="006F7974"/>
    <w:rsid w:val="006F7C2C"/>
    <w:rsid w:val="006F7FD5"/>
    <w:rsid w:val="00700405"/>
    <w:rsid w:val="00700D18"/>
    <w:rsid w:val="0070168D"/>
    <w:rsid w:val="007017E5"/>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09F"/>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9A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449"/>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29F"/>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8C8"/>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020"/>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CF"/>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177"/>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669"/>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99D"/>
    <w:rsid w:val="00D25C77"/>
    <w:rsid w:val="00D25DDB"/>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BCB"/>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F9D"/>
    <w:rsid w:val="00DA3C5B"/>
    <w:rsid w:val="00DA3D23"/>
    <w:rsid w:val="00DA4A61"/>
    <w:rsid w:val="00DA5AFE"/>
    <w:rsid w:val="00DA61AB"/>
    <w:rsid w:val="00DA61CD"/>
    <w:rsid w:val="00DA69F6"/>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D2D"/>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C7FF7"/>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BE0"/>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E56"/>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7570BB"/>
    <w:rsid w:val="019F7441"/>
    <w:rsid w:val="01AD45A8"/>
    <w:rsid w:val="01B37585"/>
    <w:rsid w:val="01D55165"/>
    <w:rsid w:val="01DF6BF8"/>
    <w:rsid w:val="01EC2C57"/>
    <w:rsid w:val="022A6907"/>
    <w:rsid w:val="025B7904"/>
    <w:rsid w:val="026B2E25"/>
    <w:rsid w:val="02824D4D"/>
    <w:rsid w:val="028D7DAA"/>
    <w:rsid w:val="02BB3B27"/>
    <w:rsid w:val="02C657E1"/>
    <w:rsid w:val="02C959A5"/>
    <w:rsid w:val="02DC4B10"/>
    <w:rsid w:val="02DD76CE"/>
    <w:rsid w:val="02F36323"/>
    <w:rsid w:val="02F5619C"/>
    <w:rsid w:val="0326446A"/>
    <w:rsid w:val="032D5555"/>
    <w:rsid w:val="033F4833"/>
    <w:rsid w:val="03431485"/>
    <w:rsid w:val="0351069E"/>
    <w:rsid w:val="035357BA"/>
    <w:rsid w:val="036634D2"/>
    <w:rsid w:val="037A2037"/>
    <w:rsid w:val="03847498"/>
    <w:rsid w:val="03DD35E4"/>
    <w:rsid w:val="03ED19F7"/>
    <w:rsid w:val="03F363AE"/>
    <w:rsid w:val="03F56C8E"/>
    <w:rsid w:val="04076900"/>
    <w:rsid w:val="041A5A3B"/>
    <w:rsid w:val="042311BA"/>
    <w:rsid w:val="042359AE"/>
    <w:rsid w:val="042B157A"/>
    <w:rsid w:val="045433F9"/>
    <w:rsid w:val="048C5135"/>
    <w:rsid w:val="048F763B"/>
    <w:rsid w:val="049F330E"/>
    <w:rsid w:val="04A77C90"/>
    <w:rsid w:val="04AA775C"/>
    <w:rsid w:val="04AF1889"/>
    <w:rsid w:val="04AF2784"/>
    <w:rsid w:val="04E31471"/>
    <w:rsid w:val="04F66F48"/>
    <w:rsid w:val="050242A7"/>
    <w:rsid w:val="05251E14"/>
    <w:rsid w:val="055F054D"/>
    <w:rsid w:val="05952790"/>
    <w:rsid w:val="05A16594"/>
    <w:rsid w:val="05A7762D"/>
    <w:rsid w:val="05C432BF"/>
    <w:rsid w:val="05F16A10"/>
    <w:rsid w:val="05FD0E2C"/>
    <w:rsid w:val="060E5941"/>
    <w:rsid w:val="06110FAF"/>
    <w:rsid w:val="06195F4C"/>
    <w:rsid w:val="061C3A8B"/>
    <w:rsid w:val="062C4231"/>
    <w:rsid w:val="06493CA7"/>
    <w:rsid w:val="06594D9C"/>
    <w:rsid w:val="065A6178"/>
    <w:rsid w:val="065B3BE3"/>
    <w:rsid w:val="066F1CF3"/>
    <w:rsid w:val="06930BB8"/>
    <w:rsid w:val="069F14A5"/>
    <w:rsid w:val="071263E7"/>
    <w:rsid w:val="07245D42"/>
    <w:rsid w:val="07264C62"/>
    <w:rsid w:val="07700CEE"/>
    <w:rsid w:val="0779354C"/>
    <w:rsid w:val="07C52A0C"/>
    <w:rsid w:val="07D45E88"/>
    <w:rsid w:val="07F870A3"/>
    <w:rsid w:val="08046995"/>
    <w:rsid w:val="08061376"/>
    <w:rsid w:val="08093106"/>
    <w:rsid w:val="082D2105"/>
    <w:rsid w:val="08452D77"/>
    <w:rsid w:val="086401F8"/>
    <w:rsid w:val="08651DC3"/>
    <w:rsid w:val="08715A75"/>
    <w:rsid w:val="08751CAA"/>
    <w:rsid w:val="087556B8"/>
    <w:rsid w:val="087E4C40"/>
    <w:rsid w:val="08CA2034"/>
    <w:rsid w:val="08D66AD6"/>
    <w:rsid w:val="08DA33A3"/>
    <w:rsid w:val="08DB07BA"/>
    <w:rsid w:val="08E80F13"/>
    <w:rsid w:val="08F40B86"/>
    <w:rsid w:val="09114CAB"/>
    <w:rsid w:val="09176B52"/>
    <w:rsid w:val="091E0320"/>
    <w:rsid w:val="09335624"/>
    <w:rsid w:val="0944690F"/>
    <w:rsid w:val="09535675"/>
    <w:rsid w:val="095F057D"/>
    <w:rsid w:val="09642282"/>
    <w:rsid w:val="09733572"/>
    <w:rsid w:val="09772C16"/>
    <w:rsid w:val="098353B5"/>
    <w:rsid w:val="09980151"/>
    <w:rsid w:val="099B5A82"/>
    <w:rsid w:val="09A3335D"/>
    <w:rsid w:val="09A92330"/>
    <w:rsid w:val="09B06B87"/>
    <w:rsid w:val="09BD351E"/>
    <w:rsid w:val="09C13146"/>
    <w:rsid w:val="09DF5A53"/>
    <w:rsid w:val="09E04166"/>
    <w:rsid w:val="09E94A9D"/>
    <w:rsid w:val="09FB6E92"/>
    <w:rsid w:val="0A0041A5"/>
    <w:rsid w:val="0A08003F"/>
    <w:rsid w:val="0A093C27"/>
    <w:rsid w:val="0A10000E"/>
    <w:rsid w:val="0A1C0718"/>
    <w:rsid w:val="0A2B5068"/>
    <w:rsid w:val="0A3E7710"/>
    <w:rsid w:val="0A3F67A3"/>
    <w:rsid w:val="0A4054C3"/>
    <w:rsid w:val="0A5B7E63"/>
    <w:rsid w:val="0A6C2D10"/>
    <w:rsid w:val="0A78333C"/>
    <w:rsid w:val="0AA374A5"/>
    <w:rsid w:val="0AAB7649"/>
    <w:rsid w:val="0AB70859"/>
    <w:rsid w:val="0AB918DC"/>
    <w:rsid w:val="0AB9369A"/>
    <w:rsid w:val="0ABC5606"/>
    <w:rsid w:val="0ABE378F"/>
    <w:rsid w:val="0AC442A8"/>
    <w:rsid w:val="0AE35BA5"/>
    <w:rsid w:val="0B30404E"/>
    <w:rsid w:val="0B4C6C14"/>
    <w:rsid w:val="0B5E732C"/>
    <w:rsid w:val="0B631A88"/>
    <w:rsid w:val="0B683D45"/>
    <w:rsid w:val="0B7F3F11"/>
    <w:rsid w:val="0B881662"/>
    <w:rsid w:val="0B884417"/>
    <w:rsid w:val="0B991F07"/>
    <w:rsid w:val="0BDB167F"/>
    <w:rsid w:val="0BF0551C"/>
    <w:rsid w:val="0BF6188C"/>
    <w:rsid w:val="0BF73C91"/>
    <w:rsid w:val="0C170175"/>
    <w:rsid w:val="0C203DEC"/>
    <w:rsid w:val="0C313164"/>
    <w:rsid w:val="0C433088"/>
    <w:rsid w:val="0C571A41"/>
    <w:rsid w:val="0C5C1171"/>
    <w:rsid w:val="0C5E1CBC"/>
    <w:rsid w:val="0C615B50"/>
    <w:rsid w:val="0C6E3B90"/>
    <w:rsid w:val="0C8445DA"/>
    <w:rsid w:val="0C87121B"/>
    <w:rsid w:val="0C8C5842"/>
    <w:rsid w:val="0CA07F65"/>
    <w:rsid w:val="0CA33DFE"/>
    <w:rsid w:val="0CA94732"/>
    <w:rsid w:val="0CC007F7"/>
    <w:rsid w:val="0CD20350"/>
    <w:rsid w:val="0CE33DB7"/>
    <w:rsid w:val="0CF221F7"/>
    <w:rsid w:val="0CFA3FF2"/>
    <w:rsid w:val="0CFE707A"/>
    <w:rsid w:val="0D053940"/>
    <w:rsid w:val="0D063BDA"/>
    <w:rsid w:val="0D08375F"/>
    <w:rsid w:val="0D184CFB"/>
    <w:rsid w:val="0D1A2ED1"/>
    <w:rsid w:val="0D1E3D4C"/>
    <w:rsid w:val="0D3B73A9"/>
    <w:rsid w:val="0D4A7419"/>
    <w:rsid w:val="0D5954F6"/>
    <w:rsid w:val="0D827401"/>
    <w:rsid w:val="0D84094E"/>
    <w:rsid w:val="0D8A00E9"/>
    <w:rsid w:val="0D8D589E"/>
    <w:rsid w:val="0D9D0E12"/>
    <w:rsid w:val="0DA01C73"/>
    <w:rsid w:val="0DD065D2"/>
    <w:rsid w:val="0DD63300"/>
    <w:rsid w:val="0DF50604"/>
    <w:rsid w:val="0DF702FE"/>
    <w:rsid w:val="0E060E51"/>
    <w:rsid w:val="0E1F7BEA"/>
    <w:rsid w:val="0E265BDA"/>
    <w:rsid w:val="0E2930D4"/>
    <w:rsid w:val="0E467F48"/>
    <w:rsid w:val="0E5604B2"/>
    <w:rsid w:val="0E60774E"/>
    <w:rsid w:val="0E6A3B50"/>
    <w:rsid w:val="0E6D5D79"/>
    <w:rsid w:val="0E904F74"/>
    <w:rsid w:val="0E945B58"/>
    <w:rsid w:val="0E9D0089"/>
    <w:rsid w:val="0EB803EE"/>
    <w:rsid w:val="0EBF26DF"/>
    <w:rsid w:val="0ECA0687"/>
    <w:rsid w:val="0EF94D4B"/>
    <w:rsid w:val="0F3E68E4"/>
    <w:rsid w:val="0F4958DC"/>
    <w:rsid w:val="0F500B16"/>
    <w:rsid w:val="0F515DF7"/>
    <w:rsid w:val="0F596BA8"/>
    <w:rsid w:val="0F606C93"/>
    <w:rsid w:val="0F6248D2"/>
    <w:rsid w:val="0F693536"/>
    <w:rsid w:val="0F7B0511"/>
    <w:rsid w:val="0F7B76D9"/>
    <w:rsid w:val="0F816ACD"/>
    <w:rsid w:val="0F9832DB"/>
    <w:rsid w:val="0FB4009C"/>
    <w:rsid w:val="0FBF3FD2"/>
    <w:rsid w:val="0FBF7FF3"/>
    <w:rsid w:val="0FD24890"/>
    <w:rsid w:val="10646583"/>
    <w:rsid w:val="10675BAB"/>
    <w:rsid w:val="107D4B15"/>
    <w:rsid w:val="107E3A27"/>
    <w:rsid w:val="10811B1F"/>
    <w:rsid w:val="108A3C80"/>
    <w:rsid w:val="108A5022"/>
    <w:rsid w:val="109D00B1"/>
    <w:rsid w:val="10A9737D"/>
    <w:rsid w:val="10B202F8"/>
    <w:rsid w:val="10C26171"/>
    <w:rsid w:val="10CA40D4"/>
    <w:rsid w:val="10F33360"/>
    <w:rsid w:val="10F6685A"/>
    <w:rsid w:val="10FC16EA"/>
    <w:rsid w:val="110F1D40"/>
    <w:rsid w:val="11266F33"/>
    <w:rsid w:val="11351AA2"/>
    <w:rsid w:val="11434F61"/>
    <w:rsid w:val="118600A7"/>
    <w:rsid w:val="11860428"/>
    <w:rsid w:val="118963A1"/>
    <w:rsid w:val="119332D6"/>
    <w:rsid w:val="11BA4A7B"/>
    <w:rsid w:val="11BC46C3"/>
    <w:rsid w:val="11C6522A"/>
    <w:rsid w:val="11DD169F"/>
    <w:rsid w:val="11E104CC"/>
    <w:rsid w:val="11E20309"/>
    <w:rsid w:val="12255233"/>
    <w:rsid w:val="12370BDF"/>
    <w:rsid w:val="124B31F5"/>
    <w:rsid w:val="12530213"/>
    <w:rsid w:val="127723A9"/>
    <w:rsid w:val="12862074"/>
    <w:rsid w:val="12883966"/>
    <w:rsid w:val="129E45B4"/>
    <w:rsid w:val="12AA50A3"/>
    <w:rsid w:val="12AA72F0"/>
    <w:rsid w:val="12B67BE9"/>
    <w:rsid w:val="12C30A7F"/>
    <w:rsid w:val="12D81596"/>
    <w:rsid w:val="12E53D90"/>
    <w:rsid w:val="12FD1F52"/>
    <w:rsid w:val="130271FF"/>
    <w:rsid w:val="13072A44"/>
    <w:rsid w:val="133535AF"/>
    <w:rsid w:val="133F3B90"/>
    <w:rsid w:val="134A0871"/>
    <w:rsid w:val="135F4BE2"/>
    <w:rsid w:val="139943BD"/>
    <w:rsid w:val="139B1A0A"/>
    <w:rsid w:val="139D25C7"/>
    <w:rsid w:val="13AA2F90"/>
    <w:rsid w:val="13BF3CE4"/>
    <w:rsid w:val="13FB75FA"/>
    <w:rsid w:val="13FF1260"/>
    <w:rsid w:val="14014677"/>
    <w:rsid w:val="14041581"/>
    <w:rsid w:val="140B1F85"/>
    <w:rsid w:val="141008D8"/>
    <w:rsid w:val="14125FE6"/>
    <w:rsid w:val="14140465"/>
    <w:rsid w:val="142F1132"/>
    <w:rsid w:val="143A70EE"/>
    <w:rsid w:val="1465357E"/>
    <w:rsid w:val="146D271E"/>
    <w:rsid w:val="14982588"/>
    <w:rsid w:val="149A5AD9"/>
    <w:rsid w:val="149A6D18"/>
    <w:rsid w:val="14A7619D"/>
    <w:rsid w:val="14B60A59"/>
    <w:rsid w:val="150536C3"/>
    <w:rsid w:val="150C1963"/>
    <w:rsid w:val="151447A0"/>
    <w:rsid w:val="154A6454"/>
    <w:rsid w:val="15762120"/>
    <w:rsid w:val="158A2ECB"/>
    <w:rsid w:val="15A50DE5"/>
    <w:rsid w:val="15AB204C"/>
    <w:rsid w:val="15E253B7"/>
    <w:rsid w:val="15F157BA"/>
    <w:rsid w:val="160411E3"/>
    <w:rsid w:val="16324E0F"/>
    <w:rsid w:val="166624CB"/>
    <w:rsid w:val="16A5142D"/>
    <w:rsid w:val="16A8729C"/>
    <w:rsid w:val="16B33777"/>
    <w:rsid w:val="16BC70A7"/>
    <w:rsid w:val="16C6339E"/>
    <w:rsid w:val="16C6791D"/>
    <w:rsid w:val="16E243C6"/>
    <w:rsid w:val="16F07C7F"/>
    <w:rsid w:val="172F2D79"/>
    <w:rsid w:val="173245F1"/>
    <w:rsid w:val="17557BEF"/>
    <w:rsid w:val="176539DE"/>
    <w:rsid w:val="17990B97"/>
    <w:rsid w:val="17D349C1"/>
    <w:rsid w:val="17E959B7"/>
    <w:rsid w:val="181F619F"/>
    <w:rsid w:val="1830729E"/>
    <w:rsid w:val="183B0887"/>
    <w:rsid w:val="184877A1"/>
    <w:rsid w:val="186264BF"/>
    <w:rsid w:val="1870062C"/>
    <w:rsid w:val="18804830"/>
    <w:rsid w:val="18817102"/>
    <w:rsid w:val="18830A15"/>
    <w:rsid w:val="18852B28"/>
    <w:rsid w:val="188B5321"/>
    <w:rsid w:val="18920CDE"/>
    <w:rsid w:val="18972E5D"/>
    <w:rsid w:val="18CE1114"/>
    <w:rsid w:val="18E831AB"/>
    <w:rsid w:val="194762F6"/>
    <w:rsid w:val="19571BB1"/>
    <w:rsid w:val="19631B7C"/>
    <w:rsid w:val="19777FBF"/>
    <w:rsid w:val="197C3008"/>
    <w:rsid w:val="198C3352"/>
    <w:rsid w:val="19932372"/>
    <w:rsid w:val="199E453C"/>
    <w:rsid w:val="19A20DD5"/>
    <w:rsid w:val="19A83762"/>
    <w:rsid w:val="19AE03F1"/>
    <w:rsid w:val="19CA1012"/>
    <w:rsid w:val="19E612D4"/>
    <w:rsid w:val="19F00358"/>
    <w:rsid w:val="19F375C6"/>
    <w:rsid w:val="1A071A03"/>
    <w:rsid w:val="1A1F16AE"/>
    <w:rsid w:val="1A3850FB"/>
    <w:rsid w:val="1A3B5C77"/>
    <w:rsid w:val="1A5C7D73"/>
    <w:rsid w:val="1A7A4D5A"/>
    <w:rsid w:val="1A8F186F"/>
    <w:rsid w:val="1A984BAD"/>
    <w:rsid w:val="1AA774CB"/>
    <w:rsid w:val="1AA9104C"/>
    <w:rsid w:val="1AB8220E"/>
    <w:rsid w:val="1ABB41C8"/>
    <w:rsid w:val="1AE330E0"/>
    <w:rsid w:val="1AE4166C"/>
    <w:rsid w:val="1AE7331E"/>
    <w:rsid w:val="1AE91B23"/>
    <w:rsid w:val="1AF06CFB"/>
    <w:rsid w:val="1AF11B8D"/>
    <w:rsid w:val="1AF64E64"/>
    <w:rsid w:val="1AF944E3"/>
    <w:rsid w:val="1B11359C"/>
    <w:rsid w:val="1B210317"/>
    <w:rsid w:val="1B2A271F"/>
    <w:rsid w:val="1B4915B3"/>
    <w:rsid w:val="1B4C1BCE"/>
    <w:rsid w:val="1B530544"/>
    <w:rsid w:val="1B713184"/>
    <w:rsid w:val="1BA209CF"/>
    <w:rsid w:val="1BB4777D"/>
    <w:rsid w:val="1BC70CAB"/>
    <w:rsid w:val="1BD75AB8"/>
    <w:rsid w:val="1C0459C2"/>
    <w:rsid w:val="1C1B3B4A"/>
    <w:rsid w:val="1C1B3F8A"/>
    <w:rsid w:val="1C3A6251"/>
    <w:rsid w:val="1C566E7F"/>
    <w:rsid w:val="1C591CBD"/>
    <w:rsid w:val="1C88086E"/>
    <w:rsid w:val="1C8848C5"/>
    <w:rsid w:val="1C982F7C"/>
    <w:rsid w:val="1CC61251"/>
    <w:rsid w:val="1CDF5AC2"/>
    <w:rsid w:val="1CF072B5"/>
    <w:rsid w:val="1CF3590C"/>
    <w:rsid w:val="1CF6511D"/>
    <w:rsid w:val="1D0317BF"/>
    <w:rsid w:val="1D1A31D5"/>
    <w:rsid w:val="1D266CE1"/>
    <w:rsid w:val="1D281E2E"/>
    <w:rsid w:val="1D3963AF"/>
    <w:rsid w:val="1D396623"/>
    <w:rsid w:val="1D590704"/>
    <w:rsid w:val="1D5F6594"/>
    <w:rsid w:val="1D6A673C"/>
    <w:rsid w:val="1D9247AE"/>
    <w:rsid w:val="1DB567EC"/>
    <w:rsid w:val="1DF51A98"/>
    <w:rsid w:val="1E11121A"/>
    <w:rsid w:val="1E3D060F"/>
    <w:rsid w:val="1E3F2CA2"/>
    <w:rsid w:val="1E3F7D2E"/>
    <w:rsid w:val="1E4134E4"/>
    <w:rsid w:val="1E467F8B"/>
    <w:rsid w:val="1E5062B3"/>
    <w:rsid w:val="1E523514"/>
    <w:rsid w:val="1E714A66"/>
    <w:rsid w:val="1E802593"/>
    <w:rsid w:val="1E926D24"/>
    <w:rsid w:val="1EA703CC"/>
    <w:rsid w:val="1EAB7316"/>
    <w:rsid w:val="1EB7330C"/>
    <w:rsid w:val="1EBB6C14"/>
    <w:rsid w:val="1ECC707A"/>
    <w:rsid w:val="1ED94C25"/>
    <w:rsid w:val="1F0A0FF3"/>
    <w:rsid w:val="1F257BDB"/>
    <w:rsid w:val="1F5771FF"/>
    <w:rsid w:val="1FB17FC4"/>
    <w:rsid w:val="1FB41398"/>
    <w:rsid w:val="1FB701A0"/>
    <w:rsid w:val="1FD0477F"/>
    <w:rsid w:val="1FE063BB"/>
    <w:rsid w:val="1FE868A9"/>
    <w:rsid w:val="20034907"/>
    <w:rsid w:val="200C3570"/>
    <w:rsid w:val="20173E4B"/>
    <w:rsid w:val="20230CB1"/>
    <w:rsid w:val="204E48BC"/>
    <w:rsid w:val="205165ED"/>
    <w:rsid w:val="207314EA"/>
    <w:rsid w:val="2083277E"/>
    <w:rsid w:val="208921B3"/>
    <w:rsid w:val="20973DEB"/>
    <w:rsid w:val="20A225DC"/>
    <w:rsid w:val="20B21656"/>
    <w:rsid w:val="20B26522"/>
    <w:rsid w:val="20B44310"/>
    <w:rsid w:val="20CA167B"/>
    <w:rsid w:val="211116EB"/>
    <w:rsid w:val="216133FC"/>
    <w:rsid w:val="216D6218"/>
    <w:rsid w:val="21943B3A"/>
    <w:rsid w:val="219D42FB"/>
    <w:rsid w:val="21D56769"/>
    <w:rsid w:val="21E52EF3"/>
    <w:rsid w:val="21E80383"/>
    <w:rsid w:val="21FB5D7B"/>
    <w:rsid w:val="21FF40E9"/>
    <w:rsid w:val="220B1C3D"/>
    <w:rsid w:val="221D1D20"/>
    <w:rsid w:val="22334A87"/>
    <w:rsid w:val="223823B0"/>
    <w:rsid w:val="224A215D"/>
    <w:rsid w:val="22564F79"/>
    <w:rsid w:val="226A2764"/>
    <w:rsid w:val="22AA2B97"/>
    <w:rsid w:val="22BE6801"/>
    <w:rsid w:val="22C250D3"/>
    <w:rsid w:val="22E97C2E"/>
    <w:rsid w:val="22FE58B4"/>
    <w:rsid w:val="233500BF"/>
    <w:rsid w:val="23377FF7"/>
    <w:rsid w:val="235B6A56"/>
    <w:rsid w:val="236B425F"/>
    <w:rsid w:val="237D4899"/>
    <w:rsid w:val="23836192"/>
    <w:rsid w:val="238C346F"/>
    <w:rsid w:val="23901F29"/>
    <w:rsid w:val="239C0061"/>
    <w:rsid w:val="23B07BF0"/>
    <w:rsid w:val="23B908A4"/>
    <w:rsid w:val="23CD7166"/>
    <w:rsid w:val="23E66E86"/>
    <w:rsid w:val="23E95BEF"/>
    <w:rsid w:val="23FA1E72"/>
    <w:rsid w:val="23FD0064"/>
    <w:rsid w:val="241F09D4"/>
    <w:rsid w:val="244E16FB"/>
    <w:rsid w:val="245375B0"/>
    <w:rsid w:val="24642C0A"/>
    <w:rsid w:val="24696293"/>
    <w:rsid w:val="246C125C"/>
    <w:rsid w:val="246D4CB3"/>
    <w:rsid w:val="24850E8F"/>
    <w:rsid w:val="24A14EF1"/>
    <w:rsid w:val="24A546A2"/>
    <w:rsid w:val="24B22173"/>
    <w:rsid w:val="24B95AD9"/>
    <w:rsid w:val="24BE24DA"/>
    <w:rsid w:val="24C51FC1"/>
    <w:rsid w:val="24CF5825"/>
    <w:rsid w:val="24D663E6"/>
    <w:rsid w:val="24D77F2B"/>
    <w:rsid w:val="24E23CAB"/>
    <w:rsid w:val="24F774A7"/>
    <w:rsid w:val="2505417E"/>
    <w:rsid w:val="254F58FD"/>
    <w:rsid w:val="25512259"/>
    <w:rsid w:val="2554268F"/>
    <w:rsid w:val="258624D8"/>
    <w:rsid w:val="258A135A"/>
    <w:rsid w:val="258B00E2"/>
    <w:rsid w:val="25A917A6"/>
    <w:rsid w:val="25BE27CC"/>
    <w:rsid w:val="25E6005B"/>
    <w:rsid w:val="25F74A5C"/>
    <w:rsid w:val="25FA1D28"/>
    <w:rsid w:val="25FC1479"/>
    <w:rsid w:val="261A35B7"/>
    <w:rsid w:val="2628662C"/>
    <w:rsid w:val="262A4866"/>
    <w:rsid w:val="262D45DE"/>
    <w:rsid w:val="267D101B"/>
    <w:rsid w:val="26881426"/>
    <w:rsid w:val="2691356A"/>
    <w:rsid w:val="26A53EF9"/>
    <w:rsid w:val="26A94201"/>
    <w:rsid w:val="26AC274F"/>
    <w:rsid w:val="26FC5C50"/>
    <w:rsid w:val="26FF6014"/>
    <w:rsid w:val="27044A29"/>
    <w:rsid w:val="271D34C8"/>
    <w:rsid w:val="27267A63"/>
    <w:rsid w:val="276142BF"/>
    <w:rsid w:val="27767D4D"/>
    <w:rsid w:val="27783712"/>
    <w:rsid w:val="277F42BC"/>
    <w:rsid w:val="27907362"/>
    <w:rsid w:val="28135E55"/>
    <w:rsid w:val="28333E1D"/>
    <w:rsid w:val="28454BD6"/>
    <w:rsid w:val="28455253"/>
    <w:rsid w:val="28551971"/>
    <w:rsid w:val="28556F7C"/>
    <w:rsid w:val="285B1C53"/>
    <w:rsid w:val="289F7086"/>
    <w:rsid w:val="28C32028"/>
    <w:rsid w:val="28CC490F"/>
    <w:rsid w:val="28D210D1"/>
    <w:rsid w:val="28DE40AA"/>
    <w:rsid w:val="29157EE2"/>
    <w:rsid w:val="291C4CD5"/>
    <w:rsid w:val="29327610"/>
    <w:rsid w:val="29345E77"/>
    <w:rsid w:val="293F7E12"/>
    <w:rsid w:val="294C65AD"/>
    <w:rsid w:val="296A6839"/>
    <w:rsid w:val="29806583"/>
    <w:rsid w:val="298B3C4C"/>
    <w:rsid w:val="299368F8"/>
    <w:rsid w:val="29B06020"/>
    <w:rsid w:val="29E278FE"/>
    <w:rsid w:val="29ED6EF0"/>
    <w:rsid w:val="29F26D24"/>
    <w:rsid w:val="2A07681F"/>
    <w:rsid w:val="2A15033F"/>
    <w:rsid w:val="2A1662C1"/>
    <w:rsid w:val="2A1B59FC"/>
    <w:rsid w:val="2A1C7367"/>
    <w:rsid w:val="2A2815FA"/>
    <w:rsid w:val="2A6D6092"/>
    <w:rsid w:val="2A7D76B4"/>
    <w:rsid w:val="2AB73027"/>
    <w:rsid w:val="2B212CCD"/>
    <w:rsid w:val="2B437463"/>
    <w:rsid w:val="2B4A30CE"/>
    <w:rsid w:val="2B5834BC"/>
    <w:rsid w:val="2B7807EE"/>
    <w:rsid w:val="2B81539C"/>
    <w:rsid w:val="2BB82CAC"/>
    <w:rsid w:val="2BBF00EC"/>
    <w:rsid w:val="2BC37CFD"/>
    <w:rsid w:val="2BCC7653"/>
    <w:rsid w:val="2BD5237F"/>
    <w:rsid w:val="2BE536CE"/>
    <w:rsid w:val="2BE758D9"/>
    <w:rsid w:val="2C09049E"/>
    <w:rsid w:val="2C0A653C"/>
    <w:rsid w:val="2C1577FE"/>
    <w:rsid w:val="2C191F85"/>
    <w:rsid w:val="2C265003"/>
    <w:rsid w:val="2C38766D"/>
    <w:rsid w:val="2C495997"/>
    <w:rsid w:val="2C4F2C55"/>
    <w:rsid w:val="2C6A7EE7"/>
    <w:rsid w:val="2C7F1411"/>
    <w:rsid w:val="2CE82D6F"/>
    <w:rsid w:val="2D08271C"/>
    <w:rsid w:val="2D0C2906"/>
    <w:rsid w:val="2D343236"/>
    <w:rsid w:val="2D421732"/>
    <w:rsid w:val="2D4859E8"/>
    <w:rsid w:val="2D681B31"/>
    <w:rsid w:val="2D883E2C"/>
    <w:rsid w:val="2DB57938"/>
    <w:rsid w:val="2DD15014"/>
    <w:rsid w:val="2DD30AAA"/>
    <w:rsid w:val="2DF370D0"/>
    <w:rsid w:val="2DF72DE4"/>
    <w:rsid w:val="2DFB684C"/>
    <w:rsid w:val="2E0220AF"/>
    <w:rsid w:val="2E3130BF"/>
    <w:rsid w:val="2E4B082A"/>
    <w:rsid w:val="2E554B2F"/>
    <w:rsid w:val="2E5D4E86"/>
    <w:rsid w:val="2E5D790B"/>
    <w:rsid w:val="2E9A3C18"/>
    <w:rsid w:val="2E9D02D7"/>
    <w:rsid w:val="2EBB0FEE"/>
    <w:rsid w:val="2EC62506"/>
    <w:rsid w:val="2EC63002"/>
    <w:rsid w:val="2EE80C89"/>
    <w:rsid w:val="2F032695"/>
    <w:rsid w:val="2F0A6B38"/>
    <w:rsid w:val="2F895ECF"/>
    <w:rsid w:val="2F946CCB"/>
    <w:rsid w:val="2FC15DA1"/>
    <w:rsid w:val="2FC8761E"/>
    <w:rsid w:val="2FD25781"/>
    <w:rsid w:val="2FE61D5A"/>
    <w:rsid w:val="2FFD7934"/>
    <w:rsid w:val="3055181E"/>
    <w:rsid w:val="30714A4E"/>
    <w:rsid w:val="30733ACD"/>
    <w:rsid w:val="308C3862"/>
    <w:rsid w:val="309379D8"/>
    <w:rsid w:val="30945720"/>
    <w:rsid w:val="30A270F7"/>
    <w:rsid w:val="30AF1676"/>
    <w:rsid w:val="30C40A14"/>
    <w:rsid w:val="30DF1478"/>
    <w:rsid w:val="30EC586F"/>
    <w:rsid w:val="312F5BDD"/>
    <w:rsid w:val="31590A62"/>
    <w:rsid w:val="31603CAA"/>
    <w:rsid w:val="31665B34"/>
    <w:rsid w:val="317E6EFD"/>
    <w:rsid w:val="31810D46"/>
    <w:rsid w:val="319C6071"/>
    <w:rsid w:val="31AC537E"/>
    <w:rsid w:val="31C22747"/>
    <w:rsid w:val="31CE1678"/>
    <w:rsid w:val="31E3679B"/>
    <w:rsid w:val="31E732FD"/>
    <w:rsid w:val="31EA7F0B"/>
    <w:rsid w:val="31F53812"/>
    <w:rsid w:val="32044A12"/>
    <w:rsid w:val="320A2475"/>
    <w:rsid w:val="320D2226"/>
    <w:rsid w:val="321B309C"/>
    <w:rsid w:val="32517576"/>
    <w:rsid w:val="326422A3"/>
    <w:rsid w:val="3278763F"/>
    <w:rsid w:val="32AC4251"/>
    <w:rsid w:val="32BE5C2C"/>
    <w:rsid w:val="32C52523"/>
    <w:rsid w:val="32D167D6"/>
    <w:rsid w:val="32DE2AE5"/>
    <w:rsid w:val="32F32083"/>
    <w:rsid w:val="32FB6478"/>
    <w:rsid w:val="33263B3F"/>
    <w:rsid w:val="334401D4"/>
    <w:rsid w:val="33521343"/>
    <w:rsid w:val="336963EB"/>
    <w:rsid w:val="33816EEB"/>
    <w:rsid w:val="3394210D"/>
    <w:rsid w:val="33DD2543"/>
    <w:rsid w:val="33EB55CD"/>
    <w:rsid w:val="33EC4C02"/>
    <w:rsid w:val="340D2360"/>
    <w:rsid w:val="3410665D"/>
    <w:rsid w:val="341B793F"/>
    <w:rsid w:val="34211214"/>
    <w:rsid w:val="342E63AB"/>
    <w:rsid w:val="343B39B4"/>
    <w:rsid w:val="344B517A"/>
    <w:rsid w:val="34600D48"/>
    <w:rsid w:val="34950E68"/>
    <w:rsid w:val="34986E94"/>
    <w:rsid w:val="349D1100"/>
    <w:rsid w:val="34AF62C9"/>
    <w:rsid w:val="34CB4388"/>
    <w:rsid w:val="34FA6E12"/>
    <w:rsid w:val="350845A1"/>
    <w:rsid w:val="35284057"/>
    <w:rsid w:val="354A571D"/>
    <w:rsid w:val="356076B2"/>
    <w:rsid w:val="358349EB"/>
    <w:rsid w:val="358D5588"/>
    <w:rsid w:val="358E0C66"/>
    <w:rsid w:val="35AF3000"/>
    <w:rsid w:val="3624561E"/>
    <w:rsid w:val="362509BB"/>
    <w:rsid w:val="36267557"/>
    <w:rsid w:val="3637258C"/>
    <w:rsid w:val="363A3B40"/>
    <w:rsid w:val="363D7AB0"/>
    <w:rsid w:val="365302AE"/>
    <w:rsid w:val="365C33BE"/>
    <w:rsid w:val="36607A0A"/>
    <w:rsid w:val="366E227C"/>
    <w:rsid w:val="366F2E0D"/>
    <w:rsid w:val="367B6A5C"/>
    <w:rsid w:val="36A74ADA"/>
    <w:rsid w:val="36AD60D5"/>
    <w:rsid w:val="36B224F9"/>
    <w:rsid w:val="36D84AFC"/>
    <w:rsid w:val="36EC0CC9"/>
    <w:rsid w:val="36F079E2"/>
    <w:rsid w:val="373F410B"/>
    <w:rsid w:val="37472687"/>
    <w:rsid w:val="37767F43"/>
    <w:rsid w:val="379C76B1"/>
    <w:rsid w:val="37D611B1"/>
    <w:rsid w:val="37EE7094"/>
    <w:rsid w:val="37EF27B4"/>
    <w:rsid w:val="37FD2787"/>
    <w:rsid w:val="380D2D28"/>
    <w:rsid w:val="38296C89"/>
    <w:rsid w:val="383002EB"/>
    <w:rsid w:val="383B76D4"/>
    <w:rsid w:val="38586797"/>
    <w:rsid w:val="385C69D0"/>
    <w:rsid w:val="38746539"/>
    <w:rsid w:val="388735B5"/>
    <w:rsid w:val="38BC0149"/>
    <w:rsid w:val="38D87D1C"/>
    <w:rsid w:val="392011D6"/>
    <w:rsid w:val="394713A3"/>
    <w:rsid w:val="39532F4C"/>
    <w:rsid w:val="395B41FD"/>
    <w:rsid w:val="39636459"/>
    <w:rsid w:val="396B7F6C"/>
    <w:rsid w:val="398B4281"/>
    <w:rsid w:val="39A23F21"/>
    <w:rsid w:val="39B417A9"/>
    <w:rsid w:val="39CF0379"/>
    <w:rsid w:val="39CF4A2A"/>
    <w:rsid w:val="39F03927"/>
    <w:rsid w:val="39FC5695"/>
    <w:rsid w:val="3A006D8E"/>
    <w:rsid w:val="3A1048C3"/>
    <w:rsid w:val="3A3651E5"/>
    <w:rsid w:val="3A3E3918"/>
    <w:rsid w:val="3A485418"/>
    <w:rsid w:val="3A5D736C"/>
    <w:rsid w:val="3A744481"/>
    <w:rsid w:val="3A8C7BEF"/>
    <w:rsid w:val="3A906246"/>
    <w:rsid w:val="3A9212BA"/>
    <w:rsid w:val="3ABE5349"/>
    <w:rsid w:val="3AD55B00"/>
    <w:rsid w:val="3AE801BD"/>
    <w:rsid w:val="3AE831F7"/>
    <w:rsid w:val="3B087306"/>
    <w:rsid w:val="3B0E1DB6"/>
    <w:rsid w:val="3B2349B7"/>
    <w:rsid w:val="3B323992"/>
    <w:rsid w:val="3B386940"/>
    <w:rsid w:val="3B580C70"/>
    <w:rsid w:val="3B616CFF"/>
    <w:rsid w:val="3B6259F6"/>
    <w:rsid w:val="3B76296B"/>
    <w:rsid w:val="3B8763FC"/>
    <w:rsid w:val="3B8D0753"/>
    <w:rsid w:val="3B976654"/>
    <w:rsid w:val="3BC01EFC"/>
    <w:rsid w:val="3BC20A1A"/>
    <w:rsid w:val="3BCA786A"/>
    <w:rsid w:val="3BD31E2F"/>
    <w:rsid w:val="3BDF7DAC"/>
    <w:rsid w:val="3BF067E8"/>
    <w:rsid w:val="3BF15831"/>
    <w:rsid w:val="3C105946"/>
    <w:rsid w:val="3C471448"/>
    <w:rsid w:val="3C5E55D5"/>
    <w:rsid w:val="3C5F759A"/>
    <w:rsid w:val="3C6C525A"/>
    <w:rsid w:val="3CC41790"/>
    <w:rsid w:val="3CCE23CB"/>
    <w:rsid w:val="3CD17D17"/>
    <w:rsid w:val="3CD24014"/>
    <w:rsid w:val="3D32191A"/>
    <w:rsid w:val="3D3C7F39"/>
    <w:rsid w:val="3D440F09"/>
    <w:rsid w:val="3D4504A0"/>
    <w:rsid w:val="3D8734BB"/>
    <w:rsid w:val="3D9A11D4"/>
    <w:rsid w:val="3DA16D89"/>
    <w:rsid w:val="3DA364BE"/>
    <w:rsid w:val="3DCF689D"/>
    <w:rsid w:val="3DE041CB"/>
    <w:rsid w:val="3E0D48F6"/>
    <w:rsid w:val="3E1868B4"/>
    <w:rsid w:val="3E1C31E3"/>
    <w:rsid w:val="3E377251"/>
    <w:rsid w:val="3E42664B"/>
    <w:rsid w:val="3E5340FD"/>
    <w:rsid w:val="3E544BC6"/>
    <w:rsid w:val="3E5A7334"/>
    <w:rsid w:val="3E6A7651"/>
    <w:rsid w:val="3E7B5D6B"/>
    <w:rsid w:val="3E835502"/>
    <w:rsid w:val="3E843E66"/>
    <w:rsid w:val="3E8F51FE"/>
    <w:rsid w:val="3E926F87"/>
    <w:rsid w:val="3E9A59DE"/>
    <w:rsid w:val="3EAF4836"/>
    <w:rsid w:val="3EC33DFA"/>
    <w:rsid w:val="3F060E16"/>
    <w:rsid w:val="3F1D1096"/>
    <w:rsid w:val="3F2F0234"/>
    <w:rsid w:val="3F314EEB"/>
    <w:rsid w:val="3F6363FE"/>
    <w:rsid w:val="3F756B8F"/>
    <w:rsid w:val="3F933E4F"/>
    <w:rsid w:val="3F95482B"/>
    <w:rsid w:val="3F9D790B"/>
    <w:rsid w:val="400B2B4E"/>
    <w:rsid w:val="4019356B"/>
    <w:rsid w:val="402211DA"/>
    <w:rsid w:val="40221E5F"/>
    <w:rsid w:val="40592157"/>
    <w:rsid w:val="40594F5C"/>
    <w:rsid w:val="406E1CAE"/>
    <w:rsid w:val="40A0133A"/>
    <w:rsid w:val="40C31A53"/>
    <w:rsid w:val="40F86F73"/>
    <w:rsid w:val="40FF545D"/>
    <w:rsid w:val="410067C8"/>
    <w:rsid w:val="41041A3B"/>
    <w:rsid w:val="41317FAA"/>
    <w:rsid w:val="41451EB0"/>
    <w:rsid w:val="41886BED"/>
    <w:rsid w:val="418F0D2A"/>
    <w:rsid w:val="41C540E3"/>
    <w:rsid w:val="41D01505"/>
    <w:rsid w:val="41D513F8"/>
    <w:rsid w:val="41E21279"/>
    <w:rsid w:val="41EE3AAE"/>
    <w:rsid w:val="4222655A"/>
    <w:rsid w:val="42474939"/>
    <w:rsid w:val="424C3C57"/>
    <w:rsid w:val="42613FF3"/>
    <w:rsid w:val="42660D96"/>
    <w:rsid w:val="427044C9"/>
    <w:rsid w:val="428667D2"/>
    <w:rsid w:val="42CD1CE0"/>
    <w:rsid w:val="42D513EF"/>
    <w:rsid w:val="42DF5895"/>
    <w:rsid w:val="42E1381E"/>
    <w:rsid w:val="42E3079B"/>
    <w:rsid w:val="42ED6459"/>
    <w:rsid w:val="42FE58DD"/>
    <w:rsid w:val="43174B3D"/>
    <w:rsid w:val="434B790E"/>
    <w:rsid w:val="4360274F"/>
    <w:rsid w:val="437111C4"/>
    <w:rsid w:val="43977AB6"/>
    <w:rsid w:val="43A3342B"/>
    <w:rsid w:val="43BD0835"/>
    <w:rsid w:val="43C77C27"/>
    <w:rsid w:val="43DE09EE"/>
    <w:rsid w:val="43DF6A09"/>
    <w:rsid w:val="43F04790"/>
    <w:rsid w:val="44002FAD"/>
    <w:rsid w:val="440F1B40"/>
    <w:rsid w:val="44277A11"/>
    <w:rsid w:val="443456C6"/>
    <w:rsid w:val="449101DD"/>
    <w:rsid w:val="449271F3"/>
    <w:rsid w:val="44D3373B"/>
    <w:rsid w:val="44DE1391"/>
    <w:rsid w:val="451522C1"/>
    <w:rsid w:val="451B225C"/>
    <w:rsid w:val="452410C9"/>
    <w:rsid w:val="45317DFB"/>
    <w:rsid w:val="45614D6A"/>
    <w:rsid w:val="45662085"/>
    <w:rsid w:val="456D3CE4"/>
    <w:rsid w:val="4579042C"/>
    <w:rsid w:val="457F0571"/>
    <w:rsid w:val="45851176"/>
    <w:rsid w:val="458F73A6"/>
    <w:rsid w:val="459B020E"/>
    <w:rsid w:val="459B383B"/>
    <w:rsid w:val="45A04772"/>
    <w:rsid w:val="45A24DFD"/>
    <w:rsid w:val="45C63B94"/>
    <w:rsid w:val="46015512"/>
    <w:rsid w:val="460E7DA5"/>
    <w:rsid w:val="46422483"/>
    <w:rsid w:val="4651571B"/>
    <w:rsid w:val="4659254A"/>
    <w:rsid w:val="465B0637"/>
    <w:rsid w:val="465E3F0D"/>
    <w:rsid w:val="466A16E6"/>
    <w:rsid w:val="46831E89"/>
    <w:rsid w:val="46887164"/>
    <w:rsid w:val="46893F2B"/>
    <w:rsid w:val="469F26E2"/>
    <w:rsid w:val="46C4686E"/>
    <w:rsid w:val="46F171E8"/>
    <w:rsid w:val="4716458F"/>
    <w:rsid w:val="47277C75"/>
    <w:rsid w:val="47660BD4"/>
    <w:rsid w:val="477B778F"/>
    <w:rsid w:val="478203EC"/>
    <w:rsid w:val="479A69B3"/>
    <w:rsid w:val="47A22EC7"/>
    <w:rsid w:val="47AF14D8"/>
    <w:rsid w:val="47B025FA"/>
    <w:rsid w:val="47C60667"/>
    <w:rsid w:val="47C95108"/>
    <w:rsid w:val="4809698F"/>
    <w:rsid w:val="4811697D"/>
    <w:rsid w:val="481C35BD"/>
    <w:rsid w:val="482B769C"/>
    <w:rsid w:val="48363DDF"/>
    <w:rsid w:val="487A3E25"/>
    <w:rsid w:val="488B5503"/>
    <w:rsid w:val="48937E21"/>
    <w:rsid w:val="489A0361"/>
    <w:rsid w:val="48B94FF3"/>
    <w:rsid w:val="48D10D45"/>
    <w:rsid w:val="48E37AAB"/>
    <w:rsid w:val="48FD4B4C"/>
    <w:rsid w:val="490A68E0"/>
    <w:rsid w:val="491055FE"/>
    <w:rsid w:val="492316F4"/>
    <w:rsid w:val="49265A58"/>
    <w:rsid w:val="495271E1"/>
    <w:rsid w:val="495F5B3E"/>
    <w:rsid w:val="496F77D7"/>
    <w:rsid w:val="497654FD"/>
    <w:rsid w:val="49983BDE"/>
    <w:rsid w:val="49A912EF"/>
    <w:rsid w:val="49B64211"/>
    <w:rsid w:val="49EC19E3"/>
    <w:rsid w:val="49F6167F"/>
    <w:rsid w:val="4A064FA0"/>
    <w:rsid w:val="4A081F3E"/>
    <w:rsid w:val="4A1429D9"/>
    <w:rsid w:val="4A16615C"/>
    <w:rsid w:val="4A1D5BF5"/>
    <w:rsid w:val="4A4424D7"/>
    <w:rsid w:val="4A477C20"/>
    <w:rsid w:val="4A555393"/>
    <w:rsid w:val="4A881A89"/>
    <w:rsid w:val="4A915D2F"/>
    <w:rsid w:val="4AAF6758"/>
    <w:rsid w:val="4AB57F09"/>
    <w:rsid w:val="4AB82D0F"/>
    <w:rsid w:val="4AC6332B"/>
    <w:rsid w:val="4AE44467"/>
    <w:rsid w:val="4AEB7664"/>
    <w:rsid w:val="4AF866FC"/>
    <w:rsid w:val="4AFA1DF9"/>
    <w:rsid w:val="4AFD7C19"/>
    <w:rsid w:val="4B0567D1"/>
    <w:rsid w:val="4B0B5FE9"/>
    <w:rsid w:val="4B1A58FA"/>
    <w:rsid w:val="4B236AAE"/>
    <w:rsid w:val="4B2658D3"/>
    <w:rsid w:val="4B287662"/>
    <w:rsid w:val="4B5745EF"/>
    <w:rsid w:val="4B6F07E3"/>
    <w:rsid w:val="4B707271"/>
    <w:rsid w:val="4B8235BE"/>
    <w:rsid w:val="4B9739F7"/>
    <w:rsid w:val="4B9A7F47"/>
    <w:rsid w:val="4BB9421A"/>
    <w:rsid w:val="4BEE2503"/>
    <w:rsid w:val="4C245A30"/>
    <w:rsid w:val="4C390E20"/>
    <w:rsid w:val="4C6859E2"/>
    <w:rsid w:val="4C712CC9"/>
    <w:rsid w:val="4C8B04B2"/>
    <w:rsid w:val="4CB6685F"/>
    <w:rsid w:val="4CC367FE"/>
    <w:rsid w:val="4CDA4E74"/>
    <w:rsid w:val="4CDA7562"/>
    <w:rsid w:val="4D077F3C"/>
    <w:rsid w:val="4D123355"/>
    <w:rsid w:val="4D2A3B31"/>
    <w:rsid w:val="4D2D5C0D"/>
    <w:rsid w:val="4D312C52"/>
    <w:rsid w:val="4D5A094C"/>
    <w:rsid w:val="4D905305"/>
    <w:rsid w:val="4D964A72"/>
    <w:rsid w:val="4D9C1254"/>
    <w:rsid w:val="4DCD1BEF"/>
    <w:rsid w:val="4DDE6F54"/>
    <w:rsid w:val="4DEC4224"/>
    <w:rsid w:val="4E125E04"/>
    <w:rsid w:val="4E793892"/>
    <w:rsid w:val="4E800872"/>
    <w:rsid w:val="4E9546A4"/>
    <w:rsid w:val="4EA63FB1"/>
    <w:rsid w:val="4EBF3DC6"/>
    <w:rsid w:val="4EC569ED"/>
    <w:rsid w:val="4EC67560"/>
    <w:rsid w:val="4ED50EA1"/>
    <w:rsid w:val="4EEB6D29"/>
    <w:rsid w:val="4EEC050C"/>
    <w:rsid w:val="4F0C285A"/>
    <w:rsid w:val="4F104EC3"/>
    <w:rsid w:val="4F47332A"/>
    <w:rsid w:val="4F47354A"/>
    <w:rsid w:val="4F727F27"/>
    <w:rsid w:val="4F740DBF"/>
    <w:rsid w:val="4F8F22C7"/>
    <w:rsid w:val="4F911C54"/>
    <w:rsid w:val="4FE625E0"/>
    <w:rsid w:val="50051425"/>
    <w:rsid w:val="50184046"/>
    <w:rsid w:val="501B2902"/>
    <w:rsid w:val="501F7A55"/>
    <w:rsid w:val="5021480F"/>
    <w:rsid w:val="50274FB3"/>
    <w:rsid w:val="50717C31"/>
    <w:rsid w:val="507A7496"/>
    <w:rsid w:val="50962ECB"/>
    <w:rsid w:val="50A42E38"/>
    <w:rsid w:val="50A4577F"/>
    <w:rsid w:val="50B73D1F"/>
    <w:rsid w:val="50BD5BC9"/>
    <w:rsid w:val="50C11EEE"/>
    <w:rsid w:val="50E97CFC"/>
    <w:rsid w:val="50EE58DA"/>
    <w:rsid w:val="50FA4028"/>
    <w:rsid w:val="51020CFC"/>
    <w:rsid w:val="510D65B7"/>
    <w:rsid w:val="511157AB"/>
    <w:rsid w:val="51155BC7"/>
    <w:rsid w:val="5142540C"/>
    <w:rsid w:val="518832C8"/>
    <w:rsid w:val="51A0432A"/>
    <w:rsid w:val="51A86090"/>
    <w:rsid w:val="51B7396D"/>
    <w:rsid w:val="51C91DA5"/>
    <w:rsid w:val="51CF7E5F"/>
    <w:rsid w:val="51F301FA"/>
    <w:rsid w:val="52136145"/>
    <w:rsid w:val="522E4CC3"/>
    <w:rsid w:val="5244713B"/>
    <w:rsid w:val="52581F46"/>
    <w:rsid w:val="525927D9"/>
    <w:rsid w:val="52615633"/>
    <w:rsid w:val="52643DFA"/>
    <w:rsid w:val="52977FD4"/>
    <w:rsid w:val="52A25790"/>
    <w:rsid w:val="52A96B6F"/>
    <w:rsid w:val="52B45975"/>
    <w:rsid w:val="52D94AA4"/>
    <w:rsid w:val="52EA3A62"/>
    <w:rsid w:val="52EE1164"/>
    <w:rsid w:val="52F50BB8"/>
    <w:rsid w:val="53057CBD"/>
    <w:rsid w:val="53097272"/>
    <w:rsid w:val="53246F71"/>
    <w:rsid w:val="532A732B"/>
    <w:rsid w:val="534327B1"/>
    <w:rsid w:val="53451177"/>
    <w:rsid w:val="53500F86"/>
    <w:rsid w:val="535403AA"/>
    <w:rsid w:val="53544462"/>
    <w:rsid w:val="53767ECF"/>
    <w:rsid w:val="53835445"/>
    <w:rsid w:val="5397158E"/>
    <w:rsid w:val="53C73548"/>
    <w:rsid w:val="53ED274B"/>
    <w:rsid w:val="53F40423"/>
    <w:rsid w:val="54013861"/>
    <w:rsid w:val="54301130"/>
    <w:rsid w:val="543924F7"/>
    <w:rsid w:val="54487265"/>
    <w:rsid w:val="544D6070"/>
    <w:rsid w:val="545A69E2"/>
    <w:rsid w:val="54605E1E"/>
    <w:rsid w:val="54777A51"/>
    <w:rsid w:val="54995668"/>
    <w:rsid w:val="54A52642"/>
    <w:rsid w:val="54B3506A"/>
    <w:rsid w:val="54CA0D16"/>
    <w:rsid w:val="54D15A5C"/>
    <w:rsid w:val="54D46A9A"/>
    <w:rsid w:val="54DD4057"/>
    <w:rsid w:val="54E6451A"/>
    <w:rsid w:val="54E7490F"/>
    <w:rsid w:val="550764A4"/>
    <w:rsid w:val="550B2BF6"/>
    <w:rsid w:val="55214EB5"/>
    <w:rsid w:val="55364EFD"/>
    <w:rsid w:val="554A35B8"/>
    <w:rsid w:val="555D4828"/>
    <w:rsid w:val="556A24BE"/>
    <w:rsid w:val="556C2217"/>
    <w:rsid w:val="557A4C8B"/>
    <w:rsid w:val="558931E1"/>
    <w:rsid w:val="558C17CB"/>
    <w:rsid w:val="559030DD"/>
    <w:rsid w:val="55922522"/>
    <w:rsid w:val="55923347"/>
    <w:rsid w:val="5592370D"/>
    <w:rsid w:val="55925180"/>
    <w:rsid w:val="55983B1B"/>
    <w:rsid w:val="55A8376B"/>
    <w:rsid w:val="55AC6EAF"/>
    <w:rsid w:val="55B36671"/>
    <w:rsid w:val="55DC29B6"/>
    <w:rsid w:val="55DD4241"/>
    <w:rsid w:val="561574D0"/>
    <w:rsid w:val="5622671D"/>
    <w:rsid w:val="56307C91"/>
    <w:rsid w:val="56440BC9"/>
    <w:rsid w:val="56690A0E"/>
    <w:rsid w:val="566B6D1E"/>
    <w:rsid w:val="56843691"/>
    <w:rsid w:val="568675F1"/>
    <w:rsid w:val="56A75EFE"/>
    <w:rsid w:val="56B933EB"/>
    <w:rsid w:val="57032A2C"/>
    <w:rsid w:val="570E524C"/>
    <w:rsid w:val="570F5219"/>
    <w:rsid w:val="575A099F"/>
    <w:rsid w:val="575D12B5"/>
    <w:rsid w:val="57610A87"/>
    <w:rsid w:val="577965AA"/>
    <w:rsid w:val="577B1140"/>
    <w:rsid w:val="577B7F21"/>
    <w:rsid w:val="577C080A"/>
    <w:rsid w:val="577F181B"/>
    <w:rsid w:val="57921984"/>
    <w:rsid w:val="579737F0"/>
    <w:rsid w:val="57AB7B30"/>
    <w:rsid w:val="57AF5251"/>
    <w:rsid w:val="57B26373"/>
    <w:rsid w:val="57B63F04"/>
    <w:rsid w:val="57CD20C2"/>
    <w:rsid w:val="57D675AB"/>
    <w:rsid w:val="57D95FDD"/>
    <w:rsid w:val="57DC07EF"/>
    <w:rsid w:val="57F44078"/>
    <w:rsid w:val="5880645D"/>
    <w:rsid w:val="58917D2F"/>
    <w:rsid w:val="5894085C"/>
    <w:rsid w:val="58A327C0"/>
    <w:rsid w:val="58A81B6E"/>
    <w:rsid w:val="58AE4F0C"/>
    <w:rsid w:val="58B85899"/>
    <w:rsid w:val="58BE2B39"/>
    <w:rsid w:val="58E363A9"/>
    <w:rsid w:val="58ED6777"/>
    <w:rsid w:val="590D5504"/>
    <w:rsid w:val="591A5CE0"/>
    <w:rsid w:val="59502244"/>
    <w:rsid w:val="5950339E"/>
    <w:rsid w:val="595E1678"/>
    <w:rsid w:val="596D5BD4"/>
    <w:rsid w:val="597E3DD8"/>
    <w:rsid w:val="59AB24E2"/>
    <w:rsid w:val="59CD18FC"/>
    <w:rsid w:val="59CD4306"/>
    <w:rsid w:val="59F80043"/>
    <w:rsid w:val="59F92341"/>
    <w:rsid w:val="5A09252F"/>
    <w:rsid w:val="5A0A4A0F"/>
    <w:rsid w:val="5A0B2778"/>
    <w:rsid w:val="5A112F8A"/>
    <w:rsid w:val="5A1C7CF6"/>
    <w:rsid w:val="5A2A7C7B"/>
    <w:rsid w:val="5A3C418C"/>
    <w:rsid w:val="5A3E2560"/>
    <w:rsid w:val="5A4D5398"/>
    <w:rsid w:val="5A5D3B6E"/>
    <w:rsid w:val="5A637A76"/>
    <w:rsid w:val="5A6D33BA"/>
    <w:rsid w:val="5A792B1F"/>
    <w:rsid w:val="5A874767"/>
    <w:rsid w:val="5AAD6F28"/>
    <w:rsid w:val="5AC1633C"/>
    <w:rsid w:val="5AD63A24"/>
    <w:rsid w:val="5B2E1A1D"/>
    <w:rsid w:val="5B405596"/>
    <w:rsid w:val="5B603EA6"/>
    <w:rsid w:val="5B6920DD"/>
    <w:rsid w:val="5B796B74"/>
    <w:rsid w:val="5B843A1C"/>
    <w:rsid w:val="5B873E3F"/>
    <w:rsid w:val="5B891C60"/>
    <w:rsid w:val="5BBE0697"/>
    <w:rsid w:val="5BCE321C"/>
    <w:rsid w:val="5C02690E"/>
    <w:rsid w:val="5C056DF1"/>
    <w:rsid w:val="5C196DA7"/>
    <w:rsid w:val="5C2A048C"/>
    <w:rsid w:val="5C366300"/>
    <w:rsid w:val="5C80234E"/>
    <w:rsid w:val="5C8A680C"/>
    <w:rsid w:val="5D0C4701"/>
    <w:rsid w:val="5D0F0395"/>
    <w:rsid w:val="5D135051"/>
    <w:rsid w:val="5D221076"/>
    <w:rsid w:val="5D23130F"/>
    <w:rsid w:val="5D35572F"/>
    <w:rsid w:val="5D397964"/>
    <w:rsid w:val="5D4C15FB"/>
    <w:rsid w:val="5D5A391C"/>
    <w:rsid w:val="5D5F10C0"/>
    <w:rsid w:val="5D7F7DC7"/>
    <w:rsid w:val="5D891B7B"/>
    <w:rsid w:val="5D8C078B"/>
    <w:rsid w:val="5DAD38EE"/>
    <w:rsid w:val="5DB744C7"/>
    <w:rsid w:val="5DB87C4A"/>
    <w:rsid w:val="5DFA3E8D"/>
    <w:rsid w:val="5DFB5897"/>
    <w:rsid w:val="5E006862"/>
    <w:rsid w:val="5E0207B9"/>
    <w:rsid w:val="5E0F3676"/>
    <w:rsid w:val="5E1834A1"/>
    <w:rsid w:val="5E261785"/>
    <w:rsid w:val="5E3B7C0A"/>
    <w:rsid w:val="5E4A7017"/>
    <w:rsid w:val="5E552BBA"/>
    <w:rsid w:val="5E611C10"/>
    <w:rsid w:val="5EE36348"/>
    <w:rsid w:val="5EE6361D"/>
    <w:rsid w:val="5EE825A4"/>
    <w:rsid w:val="5EFC7377"/>
    <w:rsid w:val="5F06174D"/>
    <w:rsid w:val="5F3A3602"/>
    <w:rsid w:val="5F4A699C"/>
    <w:rsid w:val="5F5F3FFB"/>
    <w:rsid w:val="5F6277C6"/>
    <w:rsid w:val="5F6C5B41"/>
    <w:rsid w:val="5F6D0B1D"/>
    <w:rsid w:val="5F74674C"/>
    <w:rsid w:val="5F857ADA"/>
    <w:rsid w:val="5F8D0B82"/>
    <w:rsid w:val="5F9A48E0"/>
    <w:rsid w:val="5FCC5339"/>
    <w:rsid w:val="5FE34A5B"/>
    <w:rsid w:val="5FFE1E36"/>
    <w:rsid w:val="600F273E"/>
    <w:rsid w:val="60232584"/>
    <w:rsid w:val="60267099"/>
    <w:rsid w:val="602D2EAB"/>
    <w:rsid w:val="60374C2F"/>
    <w:rsid w:val="606B239A"/>
    <w:rsid w:val="607330CE"/>
    <w:rsid w:val="60825176"/>
    <w:rsid w:val="609F2AC4"/>
    <w:rsid w:val="60A9254A"/>
    <w:rsid w:val="60AB193D"/>
    <w:rsid w:val="60CE0F61"/>
    <w:rsid w:val="60D928D4"/>
    <w:rsid w:val="60FA2EE8"/>
    <w:rsid w:val="61054A27"/>
    <w:rsid w:val="610A52BC"/>
    <w:rsid w:val="611D2366"/>
    <w:rsid w:val="6127203B"/>
    <w:rsid w:val="6129571B"/>
    <w:rsid w:val="61421856"/>
    <w:rsid w:val="614A1A56"/>
    <w:rsid w:val="615227C4"/>
    <w:rsid w:val="61541E10"/>
    <w:rsid w:val="61654E3F"/>
    <w:rsid w:val="617374D1"/>
    <w:rsid w:val="6182292A"/>
    <w:rsid w:val="619F7F92"/>
    <w:rsid w:val="61A40881"/>
    <w:rsid w:val="61A41EA0"/>
    <w:rsid w:val="61BA471A"/>
    <w:rsid w:val="61D86ABF"/>
    <w:rsid w:val="61F94C26"/>
    <w:rsid w:val="62000E56"/>
    <w:rsid w:val="62023209"/>
    <w:rsid w:val="622933B4"/>
    <w:rsid w:val="622C3CDC"/>
    <w:rsid w:val="624D4764"/>
    <w:rsid w:val="624F3E49"/>
    <w:rsid w:val="62632286"/>
    <w:rsid w:val="6274565F"/>
    <w:rsid w:val="62885958"/>
    <w:rsid w:val="628B648E"/>
    <w:rsid w:val="629135A9"/>
    <w:rsid w:val="62D239C2"/>
    <w:rsid w:val="62EF52C5"/>
    <w:rsid w:val="62F40B65"/>
    <w:rsid w:val="62F94197"/>
    <w:rsid w:val="62FC2CFE"/>
    <w:rsid w:val="63024505"/>
    <w:rsid w:val="630C2263"/>
    <w:rsid w:val="635555D0"/>
    <w:rsid w:val="635B1DB5"/>
    <w:rsid w:val="636C6F02"/>
    <w:rsid w:val="63711FED"/>
    <w:rsid w:val="637D58EA"/>
    <w:rsid w:val="63880DDC"/>
    <w:rsid w:val="63893198"/>
    <w:rsid w:val="638D750D"/>
    <w:rsid w:val="63AC6CC0"/>
    <w:rsid w:val="63DC01BA"/>
    <w:rsid w:val="63E406B0"/>
    <w:rsid w:val="64055776"/>
    <w:rsid w:val="640C491B"/>
    <w:rsid w:val="6411553D"/>
    <w:rsid w:val="64240056"/>
    <w:rsid w:val="643E143A"/>
    <w:rsid w:val="644358EB"/>
    <w:rsid w:val="648004D8"/>
    <w:rsid w:val="6481335F"/>
    <w:rsid w:val="64897E81"/>
    <w:rsid w:val="648B6EEF"/>
    <w:rsid w:val="64AE5BC4"/>
    <w:rsid w:val="64B33EF5"/>
    <w:rsid w:val="64C158BF"/>
    <w:rsid w:val="64CE2EAA"/>
    <w:rsid w:val="65035F1B"/>
    <w:rsid w:val="65323E09"/>
    <w:rsid w:val="653C3090"/>
    <w:rsid w:val="65732439"/>
    <w:rsid w:val="657C6F31"/>
    <w:rsid w:val="65854376"/>
    <w:rsid w:val="658767BE"/>
    <w:rsid w:val="65892531"/>
    <w:rsid w:val="65C2529C"/>
    <w:rsid w:val="65DA5EF8"/>
    <w:rsid w:val="65F34C69"/>
    <w:rsid w:val="66195831"/>
    <w:rsid w:val="662E75B1"/>
    <w:rsid w:val="66342C2E"/>
    <w:rsid w:val="663E784C"/>
    <w:rsid w:val="66436A84"/>
    <w:rsid w:val="66441F4C"/>
    <w:rsid w:val="66696EA0"/>
    <w:rsid w:val="668B6A45"/>
    <w:rsid w:val="669018E6"/>
    <w:rsid w:val="66F97760"/>
    <w:rsid w:val="672F3F24"/>
    <w:rsid w:val="673E055F"/>
    <w:rsid w:val="67551CE3"/>
    <w:rsid w:val="676854AA"/>
    <w:rsid w:val="678E6D8E"/>
    <w:rsid w:val="67A22552"/>
    <w:rsid w:val="67AD1465"/>
    <w:rsid w:val="67B22DCC"/>
    <w:rsid w:val="67BE71AA"/>
    <w:rsid w:val="67CB5924"/>
    <w:rsid w:val="67D1178D"/>
    <w:rsid w:val="67D6260D"/>
    <w:rsid w:val="67D90273"/>
    <w:rsid w:val="67DE5875"/>
    <w:rsid w:val="67E55852"/>
    <w:rsid w:val="67EB1AB4"/>
    <w:rsid w:val="67F301F6"/>
    <w:rsid w:val="67FA1285"/>
    <w:rsid w:val="68044D6C"/>
    <w:rsid w:val="68150768"/>
    <w:rsid w:val="681E1A10"/>
    <w:rsid w:val="682E0028"/>
    <w:rsid w:val="68551F4F"/>
    <w:rsid w:val="685A7A6B"/>
    <w:rsid w:val="686042E0"/>
    <w:rsid w:val="68701026"/>
    <w:rsid w:val="687C10C9"/>
    <w:rsid w:val="68840C16"/>
    <w:rsid w:val="68876EFB"/>
    <w:rsid w:val="68884654"/>
    <w:rsid w:val="68950767"/>
    <w:rsid w:val="689F444F"/>
    <w:rsid w:val="68B96DBB"/>
    <w:rsid w:val="68C46247"/>
    <w:rsid w:val="68CA2805"/>
    <w:rsid w:val="68E937A3"/>
    <w:rsid w:val="68F777F0"/>
    <w:rsid w:val="69057A35"/>
    <w:rsid w:val="693E15D3"/>
    <w:rsid w:val="693F28A8"/>
    <w:rsid w:val="69627681"/>
    <w:rsid w:val="6977531D"/>
    <w:rsid w:val="69A5720D"/>
    <w:rsid w:val="69CC2BFF"/>
    <w:rsid w:val="69CE1F7E"/>
    <w:rsid w:val="69CE6915"/>
    <w:rsid w:val="69DB4FA3"/>
    <w:rsid w:val="69DC725A"/>
    <w:rsid w:val="69FD55B8"/>
    <w:rsid w:val="6A0B1C62"/>
    <w:rsid w:val="6A2406C8"/>
    <w:rsid w:val="6A280B87"/>
    <w:rsid w:val="6A5E3C4F"/>
    <w:rsid w:val="6A744BA3"/>
    <w:rsid w:val="6A794AED"/>
    <w:rsid w:val="6A975743"/>
    <w:rsid w:val="6AB37B13"/>
    <w:rsid w:val="6AD55CE9"/>
    <w:rsid w:val="6ADE0BD1"/>
    <w:rsid w:val="6AE31D39"/>
    <w:rsid w:val="6AE96859"/>
    <w:rsid w:val="6B0037D0"/>
    <w:rsid w:val="6B147746"/>
    <w:rsid w:val="6B1906C5"/>
    <w:rsid w:val="6B24787C"/>
    <w:rsid w:val="6B28141A"/>
    <w:rsid w:val="6B3B7C58"/>
    <w:rsid w:val="6B4B51B3"/>
    <w:rsid w:val="6B573233"/>
    <w:rsid w:val="6B5B6274"/>
    <w:rsid w:val="6B935D53"/>
    <w:rsid w:val="6BB21D48"/>
    <w:rsid w:val="6BC12A93"/>
    <w:rsid w:val="6C196F71"/>
    <w:rsid w:val="6C200D43"/>
    <w:rsid w:val="6C226FCB"/>
    <w:rsid w:val="6C2748E8"/>
    <w:rsid w:val="6C290C62"/>
    <w:rsid w:val="6C310D9F"/>
    <w:rsid w:val="6C31226F"/>
    <w:rsid w:val="6C552F0B"/>
    <w:rsid w:val="6C6D3F96"/>
    <w:rsid w:val="6C875C29"/>
    <w:rsid w:val="6C8C67B7"/>
    <w:rsid w:val="6C8D6DCA"/>
    <w:rsid w:val="6C9D744C"/>
    <w:rsid w:val="6CAE51D1"/>
    <w:rsid w:val="6CB60689"/>
    <w:rsid w:val="6CC42C9F"/>
    <w:rsid w:val="6D0108D1"/>
    <w:rsid w:val="6D1243BA"/>
    <w:rsid w:val="6D167928"/>
    <w:rsid w:val="6D26299B"/>
    <w:rsid w:val="6D4772EC"/>
    <w:rsid w:val="6D695AE7"/>
    <w:rsid w:val="6D9078AF"/>
    <w:rsid w:val="6D9C3EEF"/>
    <w:rsid w:val="6D9F0A1C"/>
    <w:rsid w:val="6DA6338E"/>
    <w:rsid w:val="6DA90B3A"/>
    <w:rsid w:val="6DAA3FEF"/>
    <w:rsid w:val="6DAD7412"/>
    <w:rsid w:val="6DB12D71"/>
    <w:rsid w:val="6DB14CA1"/>
    <w:rsid w:val="6DBD255B"/>
    <w:rsid w:val="6DBF50E4"/>
    <w:rsid w:val="6DC0172B"/>
    <w:rsid w:val="6DCB185B"/>
    <w:rsid w:val="6DCB38E7"/>
    <w:rsid w:val="6DCB690C"/>
    <w:rsid w:val="6DD41A5B"/>
    <w:rsid w:val="6DF43C2E"/>
    <w:rsid w:val="6DF51CA3"/>
    <w:rsid w:val="6E015767"/>
    <w:rsid w:val="6E0E3860"/>
    <w:rsid w:val="6E2B75E4"/>
    <w:rsid w:val="6E687B16"/>
    <w:rsid w:val="6E6D7EA3"/>
    <w:rsid w:val="6E762ECC"/>
    <w:rsid w:val="6E830740"/>
    <w:rsid w:val="6E832D2A"/>
    <w:rsid w:val="6E8335BD"/>
    <w:rsid w:val="6E8E12EF"/>
    <w:rsid w:val="6E972936"/>
    <w:rsid w:val="6EB07E8C"/>
    <w:rsid w:val="6EB12E8A"/>
    <w:rsid w:val="6ED446C5"/>
    <w:rsid w:val="6EDD0F96"/>
    <w:rsid w:val="6EEB212F"/>
    <w:rsid w:val="6EED51D0"/>
    <w:rsid w:val="6F2179F2"/>
    <w:rsid w:val="6F2A7D94"/>
    <w:rsid w:val="6F2D73BB"/>
    <w:rsid w:val="6F3B0456"/>
    <w:rsid w:val="6F413DD7"/>
    <w:rsid w:val="6F4B66E2"/>
    <w:rsid w:val="6F8331F1"/>
    <w:rsid w:val="6F9D4F0E"/>
    <w:rsid w:val="6FAE1A09"/>
    <w:rsid w:val="6FD75BF8"/>
    <w:rsid w:val="6FE612C0"/>
    <w:rsid w:val="70146359"/>
    <w:rsid w:val="70167A87"/>
    <w:rsid w:val="701B1B8B"/>
    <w:rsid w:val="7028319E"/>
    <w:rsid w:val="703E42F6"/>
    <w:rsid w:val="706106E4"/>
    <w:rsid w:val="70647D21"/>
    <w:rsid w:val="707723D0"/>
    <w:rsid w:val="708C7918"/>
    <w:rsid w:val="709431F1"/>
    <w:rsid w:val="70DC4898"/>
    <w:rsid w:val="70F5661B"/>
    <w:rsid w:val="71033239"/>
    <w:rsid w:val="71360107"/>
    <w:rsid w:val="713B688E"/>
    <w:rsid w:val="71690E95"/>
    <w:rsid w:val="717800DC"/>
    <w:rsid w:val="718B476A"/>
    <w:rsid w:val="71BA6175"/>
    <w:rsid w:val="71C17CD4"/>
    <w:rsid w:val="71D43752"/>
    <w:rsid w:val="71E6567A"/>
    <w:rsid w:val="71EC53D2"/>
    <w:rsid w:val="71ED7990"/>
    <w:rsid w:val="71F1796A"/>
    <w:rsid w:val="71F366D0"/>
    <w:rsid w:val="71F47E2F"/>
    <w:rsid w:val="72154626"/>
    <w:rsid w:val="72262B5D"/>
    <w:rsid w:val="72283FF7"/>
    <w:rsid w:val="722E7212"/>
    <w:rsid w:val="723A0474"/>
    <w:rsid w:val="725923E4"/>
    <w:rsid w:val="72667C2B"/>
    <w:rsid w:val="72864BF7"/>
    <w:rsid w:val="729023FC"/>
    <w:rsid w:val="729E7A07"/>
    <w:rsid w:val="72AE4EBA"/>
    <w:rsid w:val="72E23734"/>
    <w:rsid w:val="72EA3467"/>
    <w:rsid w:val="72F1593A"/>
    <w:rsid w:val="72F92C0C"/>
    <w:rsid w:val="730E13F4"/>
    <w:rsid w:val="733576B1"/>
    <w:rsid w:val="733900AD"/>
    <w:rsid w:val="733C3538"/>
    <w:rsid w:val="737E00D4"/>
    <w:rsid w:val="7393605E"/>
    <w:rsid w:val="73A100A9"/>
    <w:rsid w:val="73BA79F4"/>
    <w:rsid w:val="73C0646E"/>
    <w:rsid w:val="73C52FCA"/>
    <w:rsid w:val="742222F5"/>
    <w:rsid w:val="742E4AAD"/>
    <w:rsid w:val="74476126"/>
    <w:rsid w:val="74694702"/>
    <w:rsid w:val="74706664"/>
    <w:rsid w:val="747F3682"/>
    <w:rsid w:val="749C4185"/>
    <w:rsid w:val="74BE14F9"/>
    <w:rsid w:val="74BF48A1"/>
    <w:rsid w:val="74CE094A"/>
    <w:rsid w:val="75067759"/>
    <w:rsid w:val="75067D99"/>
    <w:rsid w:val="750D3860"/>
    <w:rsid w:val="75293877"/>
    <w:rsid w:val="752E6DCD"/>
    <w:rsid w:val="75380E91"/>
    <w:rsid w:val="7551380D"/>
    <w:rsid w:val="75600BE5"/>
    <w:rsid w:val="7564475C"/>
    <w:rsid w:val="756803B4"/>
    <w:rsid w:val="7583797F"/>
    <w:rsid w:val="758670E9"/>
    <w:rsid w:val="75D20F1D"/>
    <w:rsid w:val="75DA2C18"/>
    <w:rsid w:val="75DF1289"/>
    <w:rsid w:val="75F54412"/>
    <w:rsid w:val="761D08E0"/>
    <w:rsid w:val="761E4BF7"/>
    <w:rsid w:val="765D347C"/>
    <w:rsid w:val="76826699"/>
    <w:rsid w:val="76845EA2"/>
    <w:rsid w:val="76C87133"/>
    <w:rsid w:val="76CD08D5"/>
    <w:rsid w:val="76DB4B92"/>
    <w:rsid w:val="76F46F0E"/>
    <w:rsid w:val="76F91759"/>
    <w:rsid w:val="76F96C57"/>
    <w:rsid w:val="76FA18D5"/>
    <w:rsid w:val="77052AA4"/>
    <w:rsid w:val="77076B7F"/>
    <w:rsid w:val="77136511"/>
    <w:rsid w:val="772172E0"/>
    <w:rsid w:val="77340A39"/>
    <w:rsid w:val="77351FD0"/>
    <w:rsid w:val="77472422"/>
    <w:rsid w:val="7754573C"/>
    <w:rsid w:val="776B6F4E"/>
    <w:rsid w:val="776D6208"/>
    <w:rsid w:val="777F31F2"/>
    <w:rsid w:val="77B93DBB"/>
    <w:rsid w:val="77C90A29"/>
    <w:rsid w:val="77D1700D"/>
    <w:rsid w:val="77E76824"/>
    <w:rsid w:val="77EC04CC"/>
    <w:rsid w:val="77EF0049"/>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6F3D0F"/>
    <w:rsid w:val="797E66A9"/>
    <w:rsid w:val="79A97383"/>
    <w:rsid w:val="79BB4338"/>
    <w:rsid w:val="79D16C11"/>
    <w:rsid w:val="79E27E8B"/>
    <w:rsid w:val="79E37A6B"/>
    <w:rsid w:val="79E625D0"/>
    <w:rsid w:val="79F62E8B"/>
    <w:rsid w:val="79F82561"/>
    <w:rsid w:val="79F850CE"/>
    <w:rsid w:val="79FB765D"/>
    <w:rsid w:val="79FD443C"/>
    <w:rsid w:val="7A06744E"/>
    <w:rsid w:val="7A175FDE"/>
    <w:rsid w:val="7A1D1975"/>
    <w:rsid w:val="7A2B3559"/>
    <w:rsid w:val="7A372E8A"/>
    <w:rsid w:val="7A3E5150"/>
    <w:rsid w:val="7A4670D6"/>
    <w:rsid w:val="7A534B63"/>
    <w:rsid w:val="7A615382"/>
    <w:rsid w:val="7A67303B"/>
    <w:rsid w:val="7A701B26"/>
    <w:rsid w:val="7A8A704D"/>
    <w:rsid w:val="7AAB1D04"/>
    <w:rsid w:val="7AB36C95"/>
    <w:rsid w:val="7ABA4368"/>
    <w:rsid w:val="7AD05746"/>
    <w:rsid w:val="7AEF2F09"/>
    <w:rsid w:val="7B1055E1"/>
    <w:rsid w:val="7B257FFD"/>
    <w:rsid w:val="7B343476"/>
    <w:rsid w:val="7B577790"/>
    <w:rsid w:val="7B5A2978"/>
    <w:rsid w:val="7B5A7E4C"/>
    <w:rsid w:val="7B667AF9"/>
    <w:rsid w:val="7B7468F8"/>
    <w:rsid w:val="7B9333CA"/>
    <w:rsid w:val="7BC51246"/>
    <w:rsid w:val="7BEE0103"/>
    <w:rsid w:val="7C00534B"/>
    <w:rsid w:val="7C0A0FE4"/>
    <w:rsid w:val="7C254906"/>
    <w:rsid w:val="7C590818"/>
    <w:rsid w:val="7C7C10F6"/>
    <w:rsid w:val="7C853BEA"/>
    <w:rsid w:val="7C881368"/>
    <w:rsid w:val="7C8E3F6A"/>
    <w:rsid w:val="7CA958D3"/>
    <w:rsid w:val="7CC5545D"/>
    <w:rsid w:val="7CE27788"/>
    <w:rsid w:val="7D0C32F1"/>
    <w:rsid w:val="7D0E311A"/>
    <w:rsid w:val="7D0F408D"/>
    <w:rsid w:val="7D287859"/>
    <w:rsid w:val="7D3263E6"/>
    <w:rsid w:val="7D4125A4"/>
    <w:rsid w:val="7D491C6C"/>
    <w:rsid w:val="7D5429C0"/>
    <w:rsid w:val="7D6E6D43"/>
    <w:rsid w:val="7DB57A34"/>
    <w:rsid w:val="7DE60973"/>
    <w:rsid w:val="7DEF0916"/>
    <w:rsid w:val="7E1E5218"/>
    <w:rsid w:val="7E26093D"/>
    <w:rsid w:val="7E28061C"/>
    <w:rsid w:val="7E3853AE"/>
    <w:rsid w:val="7E637641"/>
    <w:rsid w:val="7E6F033D"/>
    <w:rsid w:val="7E7D2782"/>
    <w:rsid w:val="7E9A4E1F"/>
    <w:rsid w:val="7EA7723A"/>
    <w:rsid w:val="7EE57339"/>
    <w:rsid w:val="7EF56FBB"/>
    <w:rsid w:val="7EF722A7"/>
    <w:rsid w:val="7F0768EB"/>
    <w:rsid w:val="7F143BEC"/>
    <w:rsid w:val="7F4B0D99"/>
    <w:rsid w:val="7F715AF2"/>
    <w:rsid w:val="7F831C52"/>
    <w:rsid w:val="7F886E69"/>
    <w:rsid w:val="7F89043E"/>
    <w:rsid w:val="7FA7B816"/>
    <w:rsid w:val="7FDBE7B0"/>
    <w:rsid w:val="7FE35C28"/>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6"/>
    <w:qFormat/>
    <w:uiPriority w:val="0"/>
    <w:rPr>
      <w:b/>
      <w:bCs/>
    </w:rPr>
  </w:style>
  <w:style w:type="paragraph" w:styleId="12">
    <w:name w:val="annotation text"/>
    <w:basedOn w:val="1"/>
    <w:link w:val="345"/>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2"/>
    <w:qFormat/>
    <w:uiPriority w:val="0"/>
    <w:pPr>
      <w:ind w:firstLine="420"/>
    </w:pPr>
    <w:rPr>
      <w:rFonts w:hAnsi="Calibri" w:cs="Times New Roman"/>
      <w:snapToGrid/>
      <w:szCs w:val="20"/>
    </w:rPr>
  </w:style>
  <w:style w:type="paragraph" w:styleId="15">
    <w:name w:val="Body Text"/>
    <w:basedOn w:val="1"/>
    <w:next w:val="14"/>
    <w:link w:val="431"/>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3"/>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link w:val="265"/>
    <w:qFormat/>
    <w:uiPriority w:val="0"/>
    <w:pPr>
      <w:spacing w:line="480" w:lineRule="exact"/>
      <w:ind w:firstLine="480" w:firstLineChars="200"/>
    </w:pPr>
    <w:rPr>
      <w:rFonts w:ascii="宋体" w:hAnsi="宋体"/>
      <w:sz w:val="24"/>
    </w:rPr>
  </w:style>
  <w:style w:type="paragraph" w:styleId="22">
    <w:name w:val="caption"/>
    <w:basedOn w:val="1"/>
    <w:next w:val="1"/>
    <w:link w:val="229"/>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2"/>
    <w:qFormat/>
    <w:uiPriority w:val="0"/>
    <w:pPr>
      <w:shd w:val="clear" w:color="auto" w:fill="000080"/>
    </w:pPr>
  </w:style>
  <w:style w:type="paragraph" w:styleId="25">
    <w:name w:val="toa heading"/>
    <w:basedOn w:val="1"/>
    <w:next w:val="1"/>
    <w:unhideWhenUsed/>
    <w:qFormat/>
    <w:uiPriority w:val="99"/>
    <w:rPr>
      <w:rFonts w:ascii="Arial" w:hAnsi="Arial"/>
      <w:sz w:val="24"/>
    </w:rPr>
  </w:style>
  <w:style w:type="paragraph" w:styleId="26">
    <w:name w:val="Salutation"/>
    <w:basedOn w:val="1"/>
    <w:next w:val="1"/>
    <w:link w:val="298"/>
    <w:qFormat/>
    <w:uiPriority w:val="0"/>
    <w:rPr>
      <w:rFonts w:ascii="仿宋_GB2312" w:eastAsia="仿宋_GB2312"/>
      <w:sz w:val="28"/>
      <w:szCs w:val="20"/>
    </w:rPr>
  </w:style>
  <w:style w:type="paragraph" w:styleId="27">
    <w:name w:val="Body Text 3"/>
    <w:basedOn w:val="1"/>
    <w:link w:val="331"/>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next w:val="41"/>
    <w:link w:val="308"/>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1"/>
    <w:qFormat/>
    <w:uiPriority w:val="0"/>
    <w:rPr>
      <w:lang w:val="zh-CN"/>
    </w:rPr>
  </w:style>
  <w:style w:type="paragraph" w:styleId="43">
    <w:name w:val="Balloon Text"/>
    <w:basedOn w:val="1"/>
    <w:link w:val="188"/>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Body Text First Indent 2"/>
    <w:basedOn w:val="21"/>
    <w:link w:val="121"/>
    <w:qFormat/>
    <w:uiPriority w:val="0"/>
    <w:pPr>
      <w:adjustRightInd/>
      <w:spacing w:after="120" w:line="240" w:lineRule="auto"/>
      <w:ind w:left="420" w:leftChars="200" w:firstLine="210"/>
    </w:pPr>
    <w:rPr>
      <w:sz w:val="21"/>
    </w:rPr>
  </w:style>
  <w:style w:type="paragraph" w:styleId="46">
    <w:name w:val="header"/>
    <w:basedOn w:val="1"/>
    <w:next w:val="40"/>
    <w:link w:val="393"/>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basedOn w:val="63"/>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表格文字"/>
    <w:basedOn w:val="81"/>
    <w:next w:val="15"/>
    <w:qFormat/>
    <w:uiPriority w:val="0"/>
    <w:pPr>
      <w:adjustRightInd/>
      <w:ind w:firstLine="200" w:firstLineChars="200"/>
    </w:pPr>
    <w:rPr>
      <w:rFonts w:ascii="Arial" w:hAnsi="Arial"/>
      <w:spacing w:val="-5"/>
      <w:kern w:val="0"/>
      <w:sz w:val="24"/>
      <w:szCs w:val="20"/>
    </w:rPr>
  </w:style>
  <w:style w:type="paragraph" w:customStyle="1" w:styleId="81">
    <w:name w:val="表格文字（两侧对齐）"/>
    <w:basedOn w:val="1"/>
    <w:qFormat/>
    <w:uiPriority w:val="0"/>
    <w:pPr>
      <w:snapToGrid w:val="0"/>
      <w:jc w:val="left"/>
    </w:pPr>
    <w:rPr>
      <w:sz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1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45"/>
    <w:qFormat/>
    <w:uiPriority w:val="0"/>
    <w:rPr>
      <w:rFonts w:ascii="宋体" w:hAnsi="宋体"/>
      <w:kern w:val="2"/>
      <w:sz w:val="21"/>
      <w:szCs w:val="24"/>
    </w:rPr>
  </w:style>
  <w:style w:type="character" w:customStyle="1" w:styleId="122">
    <w:name w:val="font11"/>
    <w:basedOn w:val="63"/>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3"/>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1"/>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Char1"/>
    <w:link w:val="3"/>
    <w:qFormat/>
    <w:uiPriority w:val="1"/>
    <w:rPr>
      <w:rFonts w:ascii="仿宋_GB2312" w:hAnsi="仿宋" w:eastAsia="仿宋_GB2312"/>
      <w:b/>
      <w:bCs/>
      <w:sz w:val="32"/>
      <w:szCs w:val="32"/>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3"/>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4"/>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3"/>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2"/>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1"/>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6"/>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4"/>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3"/>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5"/>
    <w:next w:val="1"/>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Char"/>
    <w:link w:val="1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7"/>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2"/>
    <w:qFormat/>
    <w:uiPriority w:val="0"/>
    <w:rPr>
      <w:kern w:val="2"/>
      <w:sz w:val="21"/>
      <w:szCs w:val="24"/>
    </w:rPr>
  </w:style>
  <w:style w:type="character" w:customStyle="1" w:styleId="346">
    <w:name w:val="签名 Char"/>
    <w:link w:val="47"/>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3"/>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6"/>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2">
    <w:name w:val="gray6"/>
    <w:basedOn w:val="63"/>
    <w:qFormat/>
    <w:uiPriority w:val="0"/>
    <w:rPr>
      <w:rFonts w:ascii="Arial" w:hAnsi="Arial" w:eastAsia="黑体" w:cs="Arial"/>
      <w:snapToGrid w:val="0"/>
      <w:kern w:val="0"/>
      <w:szCs w:val="21"/>
    </w:rPr>
  </w:style>
  <w:style w:type="character" w:customStyle="1" w:styleId="433">
    <w:name w:val="hui"/>
    <w:basedOn w:val="6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4"/>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3"/>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5">
    <w:name w:val="case31"/>
    <w:qFormat/>
    <w:uiPriority w:val="0"/>
    <w:rPr>
      <w:rFonts w:hint="default" w:ascii="_x000B__x000C_" w:hAnsi="_x000B__x000C_"/>
      <w:sz w:val="21"/>
      <w:szCs w:val="21"/>
    </w:rPr>
  </w:style>
  <w:style w:type="paragraph" w:customStyle="1" w:styleId="966">
    <w:name w:val="纯文本4"/>
    <w:basedOn w:val="967"/>
    <w:qFormat/>
    <w:uiPriority w:val="0"/>
    <w:pPr>
      <w:widowControl/>
      <w:jc w:val="left"/>
    </w:pPr>
    <w:rPr>
      <w:rFonts w:ascii="宋体" w:hAnsi="Courier New"/>
    </w:rPr>
  </w:style>
  <w:style w:type="paragraph" w:customStyle="1" w:styleId="967">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8">
    <w:name w:val="NormalCharacter"/>
    <w:link w:val="969"/>
    <w:qFormat/>
    <w:uiPriority w:val="0"/>
    <w:rPr>
      <w:rFonts w:ascii="仿宋_GB2312" w:eastAsia="仿宋_GB2312"/>
      <w:b/>
      <w:sz w:val="32"/>
      <w:szCs w:val="32"/>
    </w:rPr>
  </w:style>
  <w:style w:type="paragraph" w:customStyle="1" w:styleId="969">
    <w:name w:val="UserStyle_126"/>
    <w:basedOn w:val="1"/>
    <w:link w:val="968"/>
    <w:qFormat/>
    <w:uiPriority w:val="0"/>
    <w:pPr>
      <w:textAlignment w:val="baseline"/>
    </w:pPr>
    <w:rPr>
      <w:rFonts w:ascii="仿宋_GB2312" w:eastAsia="仿宋_GB2312"/>
      <w:b/>
      <w:sz w:val="32"/>
      <w:szCs w:val="32"/>
    </w:rPr>
  </w:style>
  <w:style w:type="paragraph" w:customStyle="1" w:styleId="970">
    <w:name w:val="列出段落6"/>
    <w:basedOn w:val="1"/>
    <w:unhideWhenUsed/>
    <w:qFormat/>
    <w:uiPriority w:val="99"/>
    <w:pPr>
      <w:ind w:firstLine="420" w:firstLineChars="200"/>
    </w:pPr>
  </w:style>
  <w:style w:type="paragraph" w:customStyle="1" w:styleId="971">
    <w:name w:val="列出段落7"/>
    <w:basedOn w:val="1"/>
    <w:unhideWhenUsed/>
    <w:qFormat/>
    <w:uiPriority w:val="34"/>
    <w:pPr>
      <w:ind w:firstLine="420" w:firstLineChars="200"/>
    </w:pPr>
  </w:style>
  <w:style w:type="paragraph" w:customStyle="1" w:styleId="972">
    <w:name w:val="叶标题2"/>
    <w:basedOn w:val="1"/>
    <w:link w:val="976"/>
    <w:unhideWhenUsed/>
    <w:qFormat/>
    <w:uiPriority w:val="0"/>
    <w:pPr>
      <w:snapToGrid w:val="0"/>
      <w:spacing w:line="560" w:lineRule="exact"/>
      <w:ind w:firstLine="880" w:firstLineChars="200"/>
    </w:pPr>
    <w:rPr>
      <w:rFonts w:hint="eastAsia" w:ascii="仿宋_GB2312" w:hAnsi="仿宋_GB2312" w:eastAsia="仿宋_GB2312"/>
      <w:snapToGrid w:val="0"/>
      <w:kern w:val="0"/>
      <w:sz w:val="32"/>
      <w:lang w:eastAsia="en-US"/>
    </w:rPr>
  </w:style>
  <w:style w:type="paragraph" w:customStyle="1" w:styleId="973">
    <w:name w:val="叶正文"/>
    <w:basedOn w:val="1"/>
    <w:link w:val="977"/>
    <w:unhideWhenUsed/>
    <w:qFormat/>
    <w:uiPriority w:val="0"/>
    <w:pPr>
      <w:spacing w:line="560" w:lineRule="exact"/>
      <w:ind w:firstLine="642" w:firstLineChars="200"/>
      <w:jc w:val="left"/>
    </w:pPr>
    <w:rPr>
      <w:rFonts w:hint="eastAsia" w:ascii="仿宋_GB2312" w:hAnsi="仿宋_GB2312" w:eastAsia="仿宋_GB2312"/>
      <w:sz w:val="32"/>
    </w:rPr>
  </w:style>
  <w:style w:type="paragraph" w:customStyle="1" w:styleId="974">
    <w:name w:val="Body Text Indent1"/>
    <w:basedOn w:val="1"/>
    <w:next w:val="1"/>
    <w:unhideWhenUsed/>
    <w:qFormat/>
    <w:uiPriority w:val="0"/>
    <w:pPr>
      <w:spacing w:after="120"/>
      <w:ind w:left="420" w:leftChars="200"/>
    </w:pPr>
  </w:style>
  <w:style w:type="paragraph" w:customStyle="1" w:styleId="975">
    <w:name w:val="Body Text First Indent 21"/>
    <w:basedOn w:val="974"/>
    <w:unhideWhenUsed/>
    <w:qFormat/>
    <w:uiPriority w:val="0"/>
    <w:pPr>
      <w:autoSpaceDE w:val="0"/>
      <w:autoSpaceDN w:val="0"/>
      <w:ind w:left="200" w:firstLine="420"/>
    </w:pPr>
    <w:rPr>
      <w:rFonts w:hint="eastAsia" w:ascii="宋体"/>
      <w:sz w:val="24"/>
    </w:rPr>
  </w:style>
  <w:style w:type="character" w:customStyle="1" w:styleId="976">
    <w:name w:val="叶标题2 Char1"/>
    <w:link w:val="972"/>
    <w:qFormat/>
    <w:uiPriority w:val="0"/>
    <w:rPr>
      <w:rFonts w:ascii="仿宋_GB2312" w:hAnsi="仿宋_GB2312" w:eastAsia="仿宋_GB2312"/>
      <w:snapToGrid w:val="0"/>
      <w:sz w:val="32"/>
      <w:szCs w:val="24"/>
      <w:lang w:eastAsia="en-US"/>
    </w:rPr>
  </w:style>
  <w:style w:type="character" w:customStyle="1" w:styleId="977">
    <w:name w:val="叶正文 Char1"/>
    <w:link w:val="973"/>
    <w:qFormat/>
    <w:uiPriority w:val="0"/>
    <w:rPr>
      <w:rFonts w:ascii="仿宋_GB2312" w:hAnsi="仿宋_GB2312" w:eastAsia="仿宋_GB2312"/>
      <w:kern w:val="2"/>
      <w:sz w:val="32"/>
      <w:szCs w:val="24"/>
    </w:rPr>
  </w:style>
  <w:style w:type="paragraph" w:customStyle="1" w:styleId="978">
    <w:name w:val="列出段落8"/>
    <w:basedOn w:val="1"/>
    <w:qFormat/>
    <w:uiPriority w:val="34"/>
    <w:pPr>
      <w:adjustRightInd/>
      <w:ind w:firstLine="420" w:firstLineChars="200"/>
    </w:pPr>
    <w:rPr>
      <w:rFonts w:asciiTheme="minorHAnsi" w:hAnsiTheme="minorHAnsi" w:eastAsiaTheme="minorEastAsia" w:cstheme="minorBidi"/>
      <w:szCs w:val="22"/>
    </w:rPr>
  </w:style>
  <w:style w:type="character" w:customStyle="1" w:styleId="979">
    <w:name w:val="10"/>
    <w:basedOn w:val="6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0A676-0212-49E5-9166-D1481F7041A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10178</Words>
  <Characters>11168</Characters>
  <Lines>1</Lines>
  <Paragraphs>1</Paragraphs>
  <ScaleCrop>false</ScaleCrop>
  <LinksUpToDate>false</LinksUpToDate>
  <CharactersWithSpaces>11315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Administrator</cp:lastModifiedBy>
  <cp:lastPrinted>2021-12-27T11:06:00Z</cp:lastPrinted>
  <dcterms:modified xsi:type="dcterms:W3CDTF">2025-07-14T11:26:24Z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6DDB5466AC0A4B27BEBCF935CC6BBC5F_13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eyJoZGlkIjoiODg3MzY1OTE5OWY0MTVmMzkzM2JlZDQxODllYTJlYWQiLCJ1c2VySWQiOiI3NzA1NjgyMzAifQ==</vt:lpwstr>
  </property>
</Properties>
</file>