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140BB">
      <w:pPr>
        <w:snapToGrid w:val="0"/>
        <w:spacing w:line="360" w:lineRule="auto"/>
        <w:jc w:val="center"/>
        <w:rPr>
          <w:rFonts w:hint="eastAsia" w:ascii="仿宋" w:hAnsi="仿宋" w:eastAsia="仿宋" w:cs="仿宋"/>
          <w:b/>
          <w:bCs/>
          <w:sz w:val="44"/>
          <w:szCs w:val="44"/>
        </w:rPr>
      </w:pPr>
    </w:p>
    <w:p w14:paraId="6BED2F06">
      <w:pPr>
        <w:adjustRightInd/>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rPr>
        <w:t>江山市贺村第一中学(新城中学项目)实验教学仪器设备采购项目</w:t>
      </w:r>
    </w:p>
    <w:p w14:paraId="7CB9EB9A">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14:paraId="67CDACBE">
      <w:pPr>
        <w:adjustRightInd/>
        <w:spacing w:line="360" w:lineRule="auto"/>
        <w:jc w:val="center"/>
        <w:rPr>
          <w:rFonts w:hint="eastAsia" w:ascii="仿宋" w:hAnsi="仿宋" w:eastAsia="仿宋" w:cs="仿宋"/>
          <w:b/>
          <w:color w:val="auto"/>
          <w:sz w:val="44"/>
          <w:szCs w:val="44"/>
        </w:rPr>
      </w:pPr>
    </w:p>
    <w:p w14:paraId="1B383A6A">
      <w:pPr>
        <w:tabs>
          <w:tab w:val="center" w:pos="4595"/>
          <w:tab w:val="left" w:pos="6785"/>
        </w:tabs>
        <w:snapToGrid w:val="0"/>
        <w:spacing w:line="360" w:lineRule="auto"/>
        <w:ind w:firstLine="3600" w:firstLineChars="1200"/>
        <w:jc w:val="left"/>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000000" w:themeColor="text1"/>
          <w:sz w:val="30"/>
          <w:szCs w:val="30"/>
          <w14:textFill>
            <w14:solidFill>
              <w14:schemeClr w14:val="tx1"/>
            </w14:solidFill>
          </w14:textFill>
        </w:rPr>
        <w:t>编号:</w:t>
      </w:r>
      <w:r>
        <w:rPr>
          <w:rFonts w:hint="eastAsia" w:ascii="仿宋" w:hAnsi="仿宋" w:eastAsia="仿宋" w:cs="仿宋"/>
          <w:b w:val="0"/>
          <w:bCs w:val="0"/>
          <w:color w:val="000000" w:themeColor="text1"/>
          <w:sz w:val="30"/>
          <w:szCs w:val="30"/>
          <w14:textFill>
            <w14:solidFill>
              <w14:schemeClr w14:val="tx1"/>
            </w14:solidFill>
          </w14:textFill>
        </w:rPr>
        <w:tab/>
      </w:r>
      <w:r>
        <w:rPr>
          <w:rFonts w:hint="eastAsia" w:ascii="仿宋" w:hAnsi="仿宋" w:eastAsia="仿宋" w:cs="仿宋"/>
          <w:b w:val="0"/>
          <w:bCs w:val="0"/>
          <w:color w:val="000000" w:themeColor="text1"/>
          <w:sz w:val="30"/>
          <w:szCs w:val="30"/>
          <w14:textFill>
            <w14:solidFill>
              <w14:schemeClr w14:val="tx1"/>
            </w14:solidFill>
          </w14:textFill>
        </w:rPr>
        <w:t>JSS2025D046Q</w:t>
      </w:r>
    </w:p>
    <w:p w14:paraId="5F8DDBC0">
      <w:pPr>
        <w:adjustRightInd/>
        <w:spacing w:line="360" w:lineRule="auto"/>
        <w:rPr>
          <w:rFonts w:hint="eastAsia" w:ascii="仿宋" w:hAnsi="仿宋" w:eastAsia="仿宋" w:cs="仿宋"/>
          <w:sz w:val="28"/>
          <w:szCs w:val="20"/>
        </w:rPr>
      </w:pPr>
    </w:p>
    <w:p w14:paraId="7B4D14C1">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公</w:t>
      </w:r>
    </w:p>
    <w:p w14:paraId="04AE4860">
      <w:pPr>
        <w:pStyle w:val="2"/>
        <w:rPr>
          <w:rFonts w:hint="eastAsia"/>
        </w:rPr>
      </w:pPr>
    </w:p>
    <w:p w14:paraId="609704D4">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开</w:t>
      </w:r>
    </w:p>
    <w:p w14:paraId="2D723BD8">
      <w:pPr>
        <w:pStyle w:val="2"/>
        <w:rPr>
          <w:rFonts w:hint="eastAsia"/>
        </w:rPr>
      </w:pPr>
    </w:p>
    <w:p w14:paraId="7742EBB0">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招</w:t>
      </w:r>
    </w:p>
    <w:p w14:paraId="7DD8306D">
      <w:pPr>
        <w:pStyle w:val="2"/>
        <w:rPr>
          <w:rFonts w:hint="eastAsia"/>
        </w:rPr>
      </w:pPr>
    </w:p>
    <w:p w14:paraId="63070038">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标</w:t>
      </w:r>
    </w:p>
    <w:p w14:paraId="41E724A3">
      <w:pPr>
        <w:pStyle w:val="2"/>
        <w:rPr>
          <w:rFonts w:hint="eastAsia" w:ascii="仿宋" w:hAnsi="仿宋" w:eastAsia="仿宋" w:cs="仿宋"/>
          <w:b/>
          <w:sz w:val="72"/>
          <w:szCs w:val="72"/>
        </w:rPr>
      </w:pPr>
    </w:p>
    <w:p w14:paraId="21765B87">
      <w:pPr>
        <w:rPr>
          <w:rFonts w:hint="eastAsia" w:ascii="仿宋" w:hAnsi="仿宋" w:eastAsia="仿宋" w:cs="仿宋"/>
          <w:b/>
          <w:sz w:val="72"/>
          <w:szCs w:val="72"/>
        </w:rPr>
      </w:pPr>
    </w:p>
    <w:p w14:paraId="16948347">
      <w:pPr>
        <w:pStyle w:val="2"/>
        <w:rPr>
          <w:rFonts w:hint="eastAsia"/>
        </w:rPr>
      </w:pPr>
    </w:p>
    <w:p w14:paraId="2CEF3799">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采购单位：江山市贺村第一中学</w:t>
      </w:r>
    </w:p>
    <w:p w14:paraId="4DA147D3">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 xml:space="preserve"> 采购代理机构：江山市政府采购中心 </w:t>
      </w:r>
    </w:p>
    <w:p w14:paraId="3F19ECEB">
      <w:pPr>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二〇二</w:t>
      </w:r>
      <w:r>
        <w:rPr>
          <w:rFonts w:hint="eastAsia" w:ascii="仿宋" w:hAnsi="仿宋" w:eastAsia="仿宋" w:cs="仿宋"/>
          <w:bCs/>
          <w:color w:val="000000" w:themeColor="text1"/>
          <w:sz w:val="32"/>
          <w:szCs w:val="32"/>
          <w:lang w:val="en-US" w:eastAsia="zh-CN"/>
          <w14:textFill>
            <w14:solidFill>
              <w14:schemeClr w14:val="tx1"/>
            </w14:solidFill>
          </w14:textFill>
        </w:rPr>
        <w:t>五</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七</w:t>
      </w:r>
      <w:r>
        <w:rPr>
          <w:rFonts w:hint="eastAsia" w:ascii="仿宋" w:hAnsi="仿宋" w:eastAsia="仿宋" w:cs="仿宋"/>
          <w:bCs/>
          <w:color w:val="000000" w:themeColor="text1"/>
          <w:sz w:val="32"/>
          <w:szCs w:val="32"/>
          <w14:textFill>
            <w14:solidFill>
              <w14:schemeClr w14:val="tx1"/>
            </w14:solidFill>
          </w14:textFill>
        </w:rPr>
        <w:t>月</w:t>
      </w:r>
    </w:p>
    <w:p w14:paraId="74505247">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3289F098">
      <w:pPr>
        <w:spacing w:line="360" w:lineRule="auto"/>
        <w:jc w:val="center"/>
        <w:rPr>
          <w:rFonts w:hint="eastAsia" w:ascii="仿宋" w:hAnsi="仿宋" w:eastAsia="仿宋" w:cs="仿宋"/>
          <w:sz w:val="24"/>
        </w:rPr>
      </w:pPr>
    </w:p>
    <w:p w14:paraId="474E91D8">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2B320487">
      <w:pPr>
        <w:spacing w:line="360" w:lineRule="auto"/>
        <w:rPr>
          <w:rFonts w:hint="eastAsia" w:ascii="仿宋" w:hAnsi="仿宋" w:eastAsia="仿宋" w:cs="仿宋"/>
          <w:sz w:val="32"/>
          <w:szCs w:val="32"/>
        </w:rPr>
      </w:pPr>
    </w:p>
    <w:p w14:paraId="4FF653E9">
      <w:pPr>
        <w:spacing w:line="360" w:lineRule="auto"/>
        <w:rPr>
          <w:rFonts w:hint="eastAsia" w:ascii="仿宋" w:hAnsi="仿宋" w:eastAsia="仿宋" w:cs="仿宋"/>
          <w:sz w:val="32"/>
          <w:szCs w:val="32"/>
        </w:rPr>
      </w:pPr>
    </w:p>
    <w:p w14:paraId="682F789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5730512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0221301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0EE4C63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46574B8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50C14C7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4422C98F">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3C528AB7">
      <w:pPr>
        <w:spacing w:line="360" w:lineRule="auto"/>
        <w:ind w:firstLine="549" w:firstLineChars="229"/>
        <w:rPr>
          <w:rFonts w:hint="eastAsia" w:ascii="仿宋" w:hAnsi="仿宋" w:eastAsia="仿宋" w:cs="仿宋"/>
          <w:sz w:val="24"/>
        </w:rPr>
      </w:pPr>
    </w:p>
    <w:p w14:paraId="0DC777B3">
      <w:pPr>
        <w:spacing w:line="360" w:lineRule="auto"/>
        <w:ind w:firstLine="549" w:firstLineChars="229"/>
        <w:rPr>
          <w:rFonts w:hint="eastAsia" w:ascii="仿宋" w:hAnsi="仿宋" w:eastAsia="仿宋" w:cs="仿宋"/>
          <w:sz w:val="24"/>
        </w:rPr>
      </w:pPr>
    </w:p>
    <w:p w14:paraId="5DCDE528">
      <w:pPr>
        <w:spacing w:line="360" w:lineRule="auto"/>
        <w:ind w:firstLine="549" w:firstLineChars="229"/>
        <w:rPr>
          <w:rFonts w:hint="eastAsia" w:ascii="仿宋" w:hAnsi="仿宋" w:eastAsia="仿宋" w:cs="仿宋"/>
          <w:sz w:val="24"/>
        </w:rPr>
      </w:pPr>
    </w:p>
    <w:p w14:paraId="1347BFC5">
      <w:pPr>
        <w:spacing w:line="360" w:lineRule="auto"/>
        <w:ind w:firstLine="549" w:firstLineChars="229"/>
        <w:rPr>
          <w:rFonts w:hint="eastAsia" w:ascii="仿宋" w:hAnsi="仿宋" w:eastAsia="仿宋" w:cs="仿宋"/>
          <w:sz w:val="24"/>
        </w:rPr>
      </w:pPr>
    </w:p>
    <w:p w14:paraId="7186489A">
      <w:pPr>
        <w:spacing w:line="360" w:lineRule="auto"/>
        <w:ind w:firstLine="549" w:firstLineChars="229"/>
        <w:rPr>
          <w:rFonts w:hint="eastAsia" w:ascii="仿宋" w:hAnsi="仿宋" w:eastAsia="仿宋" w:cs="仿宋"/>
          <w:sz w:val="24"/>
        </w:rPr>
      </w:pPr>
    </w:p>
    <w:p w14:paraId="20F11AB8">
      <w:pPr>
        <w:spacing w:line="360" w:lineRule="auto"/>
        <w:ind w:firstLine="549" w:firstLineChars="229"/>
        <w:rPr>
          <w:rFonts w:hint="eastAsia" w:ascii="仿宋" w:hAnsi="仿宋" w:eastAsia="仿宋" w:cs="仿宋"/>
          <w:sz w:val="24"/>
        </w:rPr>
      </w:pPr>
    </w:p>
    <w:p w14:paraId="0A128F84">
      <w:pPr>
        <w:spacing w:line="360" w:lineRule="auto"/>
        <w:ind w:firstLine="549" w:firstLineChars="229"/>
        <w:rPr>
          <w:rFonts w:hint="eastAsia" w:ascii="仿宋" w:hAnsi="仿宋" w:eastAsia="仿宋" w:cs="仿宋"/>
          <w:sz w:val="24"/>
        </w:rPr>
      </w:pPr>
    </w:p>
    <w:p w14:paraId="1470DCF0">
      <w:pPr>
        <w:spacing w:line="360" w:lineRule="auto"/>
        <w:ind w:firstLine="549" w:firstLineChars="229"/>
        <w:rPr>
          <w:rFonts w:hint="eastAsia" w:ascii="仿宋" w:hAnsi="仿宋" w:eastAsia="仿宋" w:cs="仿宋"/>
          <w:sz w:val="24"/>
        </w:rPr>
      </w:pPr>
    </w:p>
    <w:p w14:paraId="643859E6">
      <w:pPr>
        <w:spacing w:line="360" w:lineRule="auto"/>
        <w:ind w:firstLine="549" w:firstLineChars="229"/>
        <w:rPr>
          <w:rFonts w:hint="eastAsia" w:ascii="仿宋" w:hAnsi="仿宋" w:eastAsia="仿宋" w:cs="仿宋"/>
          <w:sz w:val="24"/>
        </w:rPr>
      </w:pPr>
    </w:p>
    <w:p w14:paraId="708A7CCF">
      <w:pPr>
        <w:spacing w:line="360" w:lineRule="auto"/>
        <w:ind w:firstLine="549" w:firstLineChars="229"/>
        <w:rPr>
          <w:rFonts w:hint="eastAsia" w:ascii="仿宋" w:hAnsi="仿宋" w:eastAsia="仿宋" w:cs="仿宋"/>
          <w:sz w:val="24"/>
        </w:rPr>
      </w:pPr>
    </w:p>
    <w:p w14:paraId="19A54CC3">
      <w:pPr>
        <w:spacing w:line="360" w:lineRule="auto"/>
        <w:ind w:firstLine="549" w:firstLineChars="229"/>
        <w:rPr>
          <w:rFonts w:hint="eastAsia" w:ascii="仿宋" w:hAnsi="仿宋" w:eastAsia="仿宋" w:cs="仿宋"/>
          <w:sz w:val="24"/>
        </w:rPr>
      </w:pPr>
    </w:p>
    <w:p w14:paraId="3B3C16F2">
      <w:pPr>
        <w:spacing w:line="360" w:lineRule="auto"/>
        <w:ind w:firstLine="549" w:firstLineChars="229"/>
        <w:rPr>
          <w:rFonts w:hint="eastAsia" w:ascii="仿宋" w:hAnsi="仿宋" w:eastAsia="仿宋" w:cs="仿宋"/>
          <w:sz w:val="24"/>
        </w:rPr>
      </w:pPr>
    </w:p>
    <w:p w14:paraId="6AF7D626">
      <w:pPr>
        <w:spacing w:line="360" w:lineRule="auto"/>
        <w:rPr>
          <w:rFonts w:hint="eastAsia" w:ascii="仿宋" w:hAnsi="仿宋" w:eastAsia="仿宋" w:cs="仿宋"/>
          <w:sz w:val="24"/>
        </w:rPr>
      </w:pPr>
    </w:p>
    <w:p w14:paraId="465AC486">
      <w:pPr>
        <w:adjustRightInd/>
        <w:spacing w:line="360" w:lineRule="auto"/>
        <w:jc w:val="center"/>
        <w:outlineLvl w:val="0"/>
        <w:rPr>
          <w:rFonts w:hint="eastAsia" w:ascii="仿宋" w:hAnsi="仿宋" w:eastAsia="仿宋" w:cs="仿宋"/>
          <w:b/>
          <w:bCs/>
          <w:kern w:val="44"/>
          <w:sz w:val="32"/>
          <w:szCs w:val="44"/>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bCs/>
          <w:kern w:val="44"/>
          <w:sz w:val="32"/>
          <w:szCs w:val="44"/>
        </w:rPr>
        <w:t>第一部分 招标公告</w:t>
      </w:r>
    </w:p>
    <w:p w14:paraId="61F37CC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2DE5B98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江山市贺村第一中学(新城中学项目)实验教学仪器设备采购项目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仿宋" w:hAnsi="仿宋" w:eastAsia="仿宋" w:cs="仿宋"/>
          <w:snapToGrid/>
          <w:kern w:val="2"/>
          <w:sz w:val="24"/>
          <w:szCs w:val="24"/>
        </w:rPr>
        <w:t>https://www.zcygov.cn/）获取（下载）招标文件，并于</w:t>
      </w:r>
      <w:r>
        <w:rPr>
          <w:rStyle w:val="77"/>
          <w:rFonts w:hint="eastAsia" w:ascii="仿宋" w:hAnsi="仿宋" w:eastAsia="仿宋" w:cs="仿宋"/>
          <w:snapToGrid/>
          <w:color w:val="FF0000"/>
          <w:kern w:val="2"/>
          <w:sz w:val="24"/>
          <w:szCs w:val="24"/>
          <w:highlight w:val="yellow"/>
        </w:rPr>
        <w:t>202</w:t>
      </w:r>
      <w:r>
        <w:rPr>
          <w:rStyle w:val="77"/>
          <w:rFonts w:hint="eastAsia" w:ascii="仿宋" w:hAnsi="仿宋" w:eastAsia="仿宋" w:cs="仿宋"/>
          <w:snapToGrid/>
          <w:color w:val="FF0000"/>
          <w:kern w:val="2"/>
          <w:sz w:val="24"/>
          <w:szCs w:val="24"/>
          <w:highlight w:val="yellow"/>
          <w:lang w:val="en-US" w:eastAsia="zh-CN"/>
        </w:rPr>
        <w:t>5</w:t>
      </w:r>
      <w:r>
        <w:rPr>
          <w:rStyle w:val="77"/>
          <w:rFonts w:hint="eastAsia" w:ascii="仿宋" w:hAnsi="仿宋" w:eastAsia="仿宋" w:cs="仿宋"/>
          <w:snapToGrid/>
          <w:color w:val="FF0000"/>
          <w:kern w:val="2"/>
          <w:sz w:val="24"/>
          <w:szCs w:val="24"/>
          <w:highlight w:val="yellow"/>
        </w:rPr>
        <w:t>年</w:t>
      </w:r>
      <w:r>
        <w:rPr>
          <w:rStyle w:val="77"/>
          <w:rFonts w:hint="eastAsia" w:ascii="仿宋" w:hAnsi="仿宋" w:eastAsia="仿宋" w:cs="仿宋"/>
          <w:snapToGrid/>
          <w:color w:val="FF0000"/>
          <w:kern w:val="2"/>
          <w:sz w:val="24"/>
          <w:szCs w:val="24"/>
          <w:highlight w:val="yellow"/>
          <w:lang w:val="en-US" w:eastAsia="zh-CN"/>
        </w:rPr>
        <w:t>8</w:t>
      </w:r>
      <w:r>
        <w:rPr>
          <w:rStyle w:val="77"/>
          <w:rFonts w:hint="eastAsia" w:ascii="仿宋" w:hAnsi="仿宋" w:eastAsia="仿宋" w:cs="仿宋"/>
          <w:snapToGrid/>
          <w:color w:val="FF0000"/>
          <w:kern w:val="2"/>
          <w:sz w:val="24"/>
          <w:szCs w:val="24"/>
          <w:highlight w:val="yellow"/>
          <w:lang w:eastAsia="zh-CN"/>
        </w:rPr>
        <w:t>月</w:t>
      </w:r>
      <w:r>
        <w:rPr>
          <w:rStyle w:val="77"/>
          <w:rFonts w:hint="eastAsia" w:ascii="仿宋" w:hAnsi="仿宋" w:eastAsia="仿宋" w:cs="仿宋"/>
          <w:snapToGrid/>
          <w:color w:val="FF0000"/>
          <w:kern w:val="2"/>
          <w:sz w:val="24"/>
          <w:szCs w:val="24"/>
          <w:highlight w:val="yellow"/>
          <w:lang w:val="en-US" w:eastAsia="zh-CN"/>
        </w:rPr>
        <w:t>8</w:t>
      </w:r>
      <w:r>
        <w:rPr>
          <w:rStyle w:val="77"/>
          <w:rFonts w:hint="eastAsia" w:ascii="仿宋" w:hAnsi="仿宋" w:eastAsia="仿宋" w:cs="仿宋"/>
          <w:snapToGrid/>
          <w:color w:val="FF0000"/>
          <w:kern w:val="2"/>
          <w:sz w:val="24"/>
          <w:szCs w:val="24"/>
          <w:highlight w:val="yellow"/>
          <w:lang w:eastAsia="zh-CN"/>
        </w:rPr>
        <w:t>日</w:t>
      </w:r>
      <w:r>
        <w:rPr>
          <w:rStyle w:val="77"/>
          <w:rFonts w:hint="eastAsia" w:ascii="仿宋" w:hAnsi="仿宋" w:eastAsia="仿宋" w:cs="仿宋"/>
          <w:snapToGrid/>
          <w:color w:val="FF0000"/>
          <w:kern w:val="2"/>
          <w:sz w:val="24"/>
          <w:szCs w:val="24"/>
          <w:highlight w:val="yellow"/>
          <w:lang w:val="en-US" w:eastAsia="zh-CN"/>
        </w:rPr>
        <w:t>9</w:t>
      </w:r>
      <w:r>
        <w:rPr>
          <w:rStyle w:val="77"/>
          <w:rFonts w:hint="eastAsia" w:ascii="仿宋" w:hAnsi="仿宋" w:eastAsia="仿宋" w:cs="仿宋"/>
          <w:snapToGrid/>
          <w:color w:val="FF0000"/>
          <w:kern w:val="2"/>
          <w:sz w:val="24"/>
          <w:szCs w:val="24"/>
          <w:highlight w:val="yellow"/>
        </w:rPr>
        <w:t>点</w:t>
      </w:r>
      <w:r>
        <w:rPr>
          <w:rStyle w:val="77"/>
          <w:rFonts w:hint="eastAsia" w:ascii="仿宋" w:hAnsi="仿宋" w:eastAsia="仿宋" w:cs="仿宋"/>
          <w:snapToGrid/>
          <w:color w:val="auto"/>
          <w:kern w:val="2"/>
          <w:sz w:val="24"/>
          <w:szCs w:val="24"/>
        </w:rPr>
        <w:t>00分00秒</w:t>
      </w:r>
      <w:r>
        <w:rPr>
          <w:rStyle w:val="77"/>
          <w:rFonts w:hint="eastAsia" w:ascii="仿宋" w:hAnsi="仿宋" w:eastAsia="仿宋" w:cs="仿宋"/>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5A50EE41">
      <w:pPr>
        <w:pStyle w:val="16"/>
        <w:spacing w:line="360" w:lineRule="auto"/>
        <w:ind w:firstLine="480"/>
        <w:rPr>
          <w:rFonts w:hint="eastAsia" w:ascii="仿宋" w:hAnsi="仿宋" w:eastAsia="仿宋" w:cs="仿宋"/>
          <w:b/>
          <w:bCs/>
          <w:snapToGrid/>
          <w:color w:val="auto"/>
          <w:kern w:val="2"/>
          <w:sz w:val="24"/>
          <w:szCs w:val="24"/>
        </w:rPr>
      </w:pPr>
      <w:r>
        <w:rPr>
          <w:rFonts w:hint="eastAsia" w:ascii="仿宋" w:hAnsi="仿宋" w:eastAsia="仿宋" w:cs="仿宋"/>
          <w:b/>
          <w:bCs/>
          <w:snapToGrid/>
          <w:color w:val="auto"/>
          <w:kern w:val="2"/>
          <w:sz w:val="24"/>
          <w:szCs w:val="24"/>
        </w:rPr>
        <w:t>一、项目基本情况</w:t>
      </w:r>
    </w:p>
    <w:p w14:paraId="619D501C">
      <w:pPr>
        <w:pStyle w:val="16"/>
        <w:spacing w:line="360" w:lineRule="auto"/>
        <w:ind w:firstLine="0"/>
        <w:rPr>
          <w:rFonts w:hint="eastAsia" w:ascii="仿宋" w:hAnsi="仿宋" w:eastAsia="仿宋" w:cs="仿宋"/>
          <w:snapToGrid/>
          <w:color w:val="000000" w:themeColor="text1"/>
          <w:kern w:val="2"/>
          <w:sz w:val="24"/>
          <w:szCs w:val="24"/>
          <w:lang w:eastAsia="zh-CN"/>
          <w14:textFill>
            <w14:solidFill>
              <w14:schemeClr w14:val="tx1"/>
            </w14:solidFill>
          </w14:textFill>
        </w:rPr>
      </w:pPr>
      <w:r>
        <w:rPr>
          <w:rFonts w:hint="eastAsia" w:ascii="仿宋" w:hAnsi="仿宋" w:eastAsia="仿宋" w:cs="仿宋"/>
          <w:snapToGrid/>
          <w:color w:val="000000" w:themeColor="text1"/>
          <w:kern w:val="2"/>
          <w:sz w:val="24"/>
          <w:szCs w:val="24"/>
          <w14:textFill>
            <w14:solidFill>
              <w14:schemeClr w14:val="tx1"/>
            </w14:solidFill>
          </w14:textFill>
        </w:rPr>
        <w:t xml:space="preserve">    项目编号：JSS2025D04</w:t>
      </w:r>
      <w:r>
        <w:rPr>
          <w:rFonts w:hint="eastAsia" w:ascii="仿宋" w:hAnsi="仿宋" w:eastAsia="仿宋" w:cs="仿宋"/>
          <w:snapToGrid/>
          <w:color w:val="000000" w:themeColor="text1"/>
          <w:kern w:val="2"/>
          <w:sz w:val="24"/>
          <w:szCs w:val="24"/>
          <w:lang w:val="en-US" w:eastAsia="zh-CN"/>
          <w14:textFill>
            <w14:solidFill>
              <w14:schemeClr w14:val="tx1"/>
            </w14:solidFill>
          </w14:textFill>
        </w:rPr>
        <w:t>7</w:t>
      </w:r>
      <w:r>
        <w:rPr>
          <w:rFonts w:hint="eastAsia" w:ascii="仿宋" w:hAnsi="仿宋" w:eastAsia="仿宋" w:cs="仿宋"/>
          <w:snapToGrid/>
          <w:color w:val="000000" w:themeColor="text1"/>
          <w:kern w:val="2"/>
          <w:sz w:val="24"/>
          <w:szCs w:val="24"/>
          <w14:textFill>
            <w14:solidFill>
              <w14:schemeClr w14:val="tx1"/>
            </w14:solidFill>
          </w14:textFill>
        </w:rPr>
        <w:t>Q</w:t>
      </w:r>
    </w:p>
    <w:p w14:paraId="4D84F5FE">
      <w:pPr>
        <w:pStyle w:val="16"/>
        <w:spacing w:line="360" w:lineRule="auto"/>
        <w:ind w:firstLine="480"/>
        <w:rPr>
          <w:rFonts w:hint="default"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rPr>
        <w:t>项目名称：江山市贺村第一中学(新城中学项目)实验教学仪器设备采购项目</w:t>
      </w:r>
    </w:p>
    <w:p w14:paraId="138F4FF6">
      <w:pPr>
        <w:pStyle w:val="16"/>
        <w:spacing w:line="360" w:lineRule="auto"/>
        <w:ind w:firstLine="480"/>
        <w:rPr>
          <w:rFonts w:hint="eastAsia" w:ascii="仿宋" w:hAnsi="仿宋" w:eastAsia="仿宋" w:cs="仿宋"/>
          <w:snapToGrid/>
          <w:color w:val="000000" w:themeColor="text1"/>
          <w:kern w:val="2"/>
          <w:sz w:val="24"/>
          <w:szCs w:val="24"/>
          <w14:textFill>
            <w14:solidFill>
              <w14:schemeClr w14:val="tx1"/>
            </w14:solidFill>
          </w14:textFill>
        </w:rPr>
      </w:pPr>
      <w:r>
        <w:rPr>
          <w:rFonts w:hint="eastAsia" w:ascii="仿宋" w:hAnsi="仿宋" w:eastAsia="仿宋" w:cs="仿宋"/>
          <w:snapToGrid/>
          <w:color w:val="auto"/>
          <w:kern w:val="2"/>
          <w:sz w:val="24"/>
          <w:szCs w:val="24"/>
        </w:rPr>
        <w:t>预算金额（元）：</w:t>
      </w:r>
      <w:r>
        <w:rPr>
          <w:rFonts w:hint="eastAsia" w:ascii="仿宋" w:hAnsi="仿宋" w:eastAsia="仿宋" w:cs="仿宋"/>
          <w:snapToGrid/>
          <w:color w:val="auto"/>
          <w:kern w:val="2"/>
          <w:sz w:val="24"/>
          <w:szCs w:val="24"/>
          <w:lang w:val="en-US" w:eastAsia="zh-CN"/>
        </w:rPr>
        <w:t>1000000</w:t>
      </w:r>
      <w:r>
        <w:rPr>
          <w:rFonts w:hint="eastAsia" w:ascii="仿宋" w:hAnsi="仿宋" w:eastAsia="仿宋" w:cs="仿宋"/>
          <w:snapToGrid/>
          <w:color w:val="000000" w:themeColor="text1"/>
          <w:kern w:val="2"/>
          <w:sz w:val="24"/>
          <w:szCs w:val="24"/>
          <w14:textFill>
            <w14:solidFill>
              <w14:schemeClr w14:val="tx1"/>
            </w14:solidFill>
          </w14:textFill>
        </w:rPr>
        <w:t>元</w:t>
      </w:r>
    </w:p>
    <w:p w14:paraId="0F7778EB">
      <w:pPr>
        <w:pStyle w:val="16"/>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000000" w:themeColor="text1"/>
          <w:kern w:val="2"/>
          <w:sz w:val="24"/>
          <w:szCs w:val="24"/>
          <w14:textFill>
            <w14:solidFill>
              <w14:schemeClr w14:val="tx1"/>
            </w14:solidFill>
          </w14:textFill>
        </w:rPr>
        <w:t>最高限价（元）：</w:t>
      </w:r>
      <w:r>
        <w:rPr>
          <w:rFonts w:hint="eastAsia" w:ascii="仿宋" w:hAnsi="仿宋" w:eastAsia="仿宋" w:cs="仿宋"/>
          <w:snapToGrid/>
          <w:color w:val="auto"/>
          <w:kern w:val="2"/>
          <w:sz w:val="24"/>
          <w:szCs w:val="24"/>
          <w:lang w:val="en-US" w:eastAsia="zh-CN"/>
        </w:rPr>
        <w:t>1000000</w:t>
      </w:r>
      <w:r>
        <w:rPr>
          <w:rFonts w:hint="eastAsia" w:ascii="仿宋" w:hAnsi="仿宋" w:eastAsia="仿宋" w:cs="仿宋"/>
          <w:snapToGrid/>
          <w:color w:val="000000" w:themeColor="text1"/>
          <w:kern w:val="2"/>
          <w:sz w:val="24"/>
          <w:szCs w:val="24"/>
          <w14:textFill>
            <w14:solidFill>
              <w14:schemeClr w14:val="tx1"/>
            </w14:solidFill>
          </w14:textFill>
        </w:rPr>
        <w:t>元</w:t>
      </w:r>
    </w:p>
    <w:p w14:paraId="2A824E5D">
      <w:pPr>
        <w:pStyle w:val="16"/>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采购需求：江山市贺村第一中学实验教学仪器设备</w:t>
      </w:r>
    </w:p>
    <w:p w14:paraId="630F2C32">
      <w:pPr>
        <w:pStyle w:val="16"/>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主要内容：详见采购文件第三章。</w:t>
      </w:r>
    </w:p>
    <w:p w14:paraId="5BA17B4E">
      <w:pPr>
        <w:pStyle w:val="16"/>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00216EA5">
      <w:pPr>
        <w:pStyle w:val="16"/>
        <w:spacing w:line="360" w:lineRule="auto"/>
        <w:ind w:firstLine="480"/>
        <w:rPr>
          <w:rFonts w:hint="eastAsia" w:ascii="仿宋" w:hAnsi="仿宋" w:eastAsia="仿宋" w:cs="仿宋"/>
          <w:snapToGrid/>
          <w:color w:val="FF0000"/>
          <w:kern w:val="2"/>
          <w:sz w:val="24"/>
          <w:szCs w:val="24"/>
        </w:rPr>
      </w:pPr>
      <w:r>
        <w:rPr>
          <w:rFonts w:hint="eastAsia" w:ascii="仿宋" w:hAnsi="仿宋" w:eastAsia="仿宋" w:cs="仿宋"/>
          <w:snapToGrid/>
          <w:color w:val="auto"/>
          <w:kern w:val="2"/>
          <w:sz w:val="24"/>
          <w:szCs w:val="24"/>
        </w:rPr>
        <w:t>合同履约期限：</w:t>
      </w:r>
      <w:r>
        <w:rPr>
          <w:rFonts w:hint="eastAsia" w:ascii="仿宋" w:hAnsi="仿宋" w:eastAsia="仿宋" w:cs="仿宋"/>
          <w:snapToGrid/>
          <w:color w:val="FF0000"/>
          <w:kern w:val="2"/>
          <w:sz w:val="24"/>
          <w:szCs w:val="24"/>
          <w:highlight w:val="yellow"/>
        </w:rPr>
        <w:t>合同签订后</w:t>
      </w:r>
      <w:r>
        <w:rPr>
          <w:rFonts w:hint="eastAsia" w:ascii="仿宋" w:hAnsi="仿宋" w:eastAsia="仿宋" w:cs="仿宋"/>
          <w:snapToGrid/>
          <w:color w:val="FF0000"/>
          <w:kern w:val="2"/>
          <w:sz w:val="24"/>
          <w:szCs w:val="24"/>
          <w:highlight w:val="yellow"/>
          <w:lang w:val="en-US" w:eastAsia="zh-CN"/>
        </w:rPr>
        <w:t>30</w:t>
      </w:r>
      <w:r>
        <w:rPr>
          <w:rFonts w:hint="eastAsia" w:ascii="仿宋" w:hAnsi="仿宋" w:eastAsia="仿宋" w:cs="仿宋"/>
          <w:snapToGrid/>
          <w:color w:val="FF0000"/>
          <w:kern w:val="2"/>
          <w:sz w:val="24"/>
          <w:szCs w:val="24"/>
          <w:highlight w:val="yellow"/>
        </w:rPr>
        <w:t>日内完工。</w:t>
      </w:r>
    </w:p>
    <w:p w14:paraId="1AF06163">
      <w:pPr>
        <w:pStyle w:val="16"/>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snapToGrid w:val="0"/>
              <w:color w:val="auto"/>
              <w:kern w:val="0"/>
              <w:sz w:val="24"/>
              <w:szCs w:val="20"/>
              <w:lang w:val="en-US" w:eastAsia="zh-CN" w:bidi="ar-SA"/>
            </w:rPr>
            <w:t>þ</w:t>
          </w:r>
        </w:sdtContent>
      </w:sdt>
      <w:r>
        <w:rPr>
          <w:rFonts w:hint="eastAsia" w:ascii="仿宋" w:hAnsi="仿宋" w:eastAsia="仿宋" w:cs="仿宋"/>
          <w:b/>
          <w:color w:val="auto"/>
          <w:sz w:val="24"/>
        </w:rPr>
        <w:t>是</w:t>
      </w:r>
      <w:r>
        <w:rPr>
          <w:rFonts w:hint="eastAsia" w:ascii="仿宋" w:hAnsi="仿宋" w:eastAsia="仿宋" w:cs="仿宋"/>
          <w:b/>
          <w:snapToGrid/>
          <w:color w:val="auto"/>
          <w:kern w:val="2"/>
          <w:sz w:val="24"/>
        </w:rPr>
        <w:t>；</w:t>
      </w:r>
      <w:sdt>
        <w:sdtPr>
          <w:rPr>
            <w:rFonts w:hint="eastAsia" w:ascii="仿宋" w:hAnsi="仿宋" w:eastAsia="仿宋" w:cs="仿宋"/>
            <w:color w:val="auto"/>
            <w:kern w:val="0"/>
            <w:sz w:val="24"/>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MS Gothic" w:hAnsi="MS Gothic"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1F925EA4">
      <w:pPr>
        <w:spacing w:line="360" w:lineRule="auto"/>
        <w:rPr>
          <w:rFonts w:hint="eastAsia"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14:paraId="73106F10">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DD2330A">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69A5A588">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3185F338">
      <w:pPr>
        <w:spacing w:line="360" w:lineRule="auto"/>
        <w:ind w:firstLine="480" w:firstLineChars="200"/>
        <w:rPr>
          <w:rFonts w:hint="eastAsia" w:ascii="仿宋" w:hAnsi="仿宋" w:eastAsia="仿宋" w:cs="仿宋"/>
          <w:sz w:val="24"/>
        </w:rPr>
      </w:pPr>
      <w:sdt>
        <w:sdtPr>
          <w:rPr>
            <w:rFonts w:hint="eastAsia" w:ascii="仿宋" w:hAnsi="仿宋" w:eastAsia="仿宋" w:cs="仿宋"/>
            <w:color w:val="0000FF"/>
            <w:kern w:val="0"/>
            <w:sz w:val="24"/>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Wingdings" w:hAnsi="Wingdings" w:eastAsia="仿宋" w:cs="仿宋"/>
              <w:kern w:val="0"/>
              <w:sz w:val="24"/>
              <w:szCs w:val="24"/>
              <w:lang w:val="en-US" w:eastAsia="zh-CN" w:bidi="ar-SA"/>
            </w:rPr>
            <w:t>þ</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r>
        <w:rPr>
          <w:rFonts w:hint="eastAsia" w:ascii="仿宋" w:hAnsi="仿宋" w:eastAsia="仿宋" w:cs="仿宋"/>
          <w:sz w:val="24"/>
        </w:rPr>
        <w:t>；</w:t>
      </w:r>
    </w:p>
    <w:p w14:paraId="4FD9F075">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15F37269">
      <w:pPr>
        <w:spacing w:line="360" w:lineRule="auto"/>
        <w:ind w:firstLine="897" w:firstLineChars="374"/>
        <w:rPr>
          <w:rFonts w:hint="eastAsia" w:ascii="仿宋" w:hAnsi="仿宋" w:eastAsia="仿宋" w:cs="仿宋"/>
          <w:sz w:val="24"/>
          <w:u w:val="single"/>
        </w:rPr>
      </w:pPr>
      <w:sdt>
        <w:sdtPr>
          <w:rPr>
            <w:rFonts w:hint="eastAsia" w:ascii="仿宋" w:hAnsi="仿宋" w:eastAsia="仿宋" w:cs="仿宋"/>
            <w:kern w:val="0"/>
            <w:sz w:val="24"/>
          </w:rPr>
          <w:id w:val="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z w:val="24"/>
        </w:rPr>
        <w:t>货物全部由符合政策要求的中小企业制造，提供中小企业声明函；</w:t>
      </w:r>
    </w:p>
    <w:p w14:paraId="1B6F5E54">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货物全部由符合政策要求的小微企业制造，提供中小企业声明函；</w:t>
      </w:r>
    </w:p>
    <w:p w14:paraId="2C8FBB34">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bookmarkStart w:id="12" w:name="_Hlk101132524"/>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bookmarkEnd w:id="12"/>
    <w:p w14:paraId="78761C4E">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030A5290">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14:paraId="24351B2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74168E">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2A7E34E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color w:val="FF0000"/>
          <w:sz w:val="24"/>
          <w:highlight w:val="yellow"/>
          <w:u w:val="single"/>
        </w:rPr>
        <w:t>202</w:t>
      </w:r>
      <w:r>
        <w:rPr>
          <w:rFonts w:hint="eastAsia" w:ascii="仿宋" w:hAnsi="仿宋" w:eastAsia="仿宋" w:cs="仿宋"/>
          <w:color w:val="FF0000"/>
          <w:sz w:val="24"/>
          <w:highlight w:val="yellow"/>
          <w:u w:val="single"/>
          <w:lang w:val="en-US" w:eastAsia="zh-CN"/>
        </w:rPr>
        <w:t>5</w:t>
      </w:r>
      <w:r>
        <w:rPr>
          <w:rFonts w:hint="eastAsia" w:ascii="仿宋" w:hAnsi="仿宋" w:eastAsia="仿宋" w:cs="仿宋"/>
          <w:color w:val="FF0000"/>
          <w:sz w:val="24"/>
          <w:highlight w:val="yellow"/>
          <w:u w:val="single"/>
        </w:rPr>
        <w:t>年</w:t>
      </w:r>
      <w:r>
        <w:rPr>
          <w:rFonts w:hint="eastAsia" w:ascii="仿宋" w:hAnsi="仿宋" w:eastAsia="仿宋" w:cs="仿宋"/>
          <w:color w:val="FF0000"/>
          <w:sz w:val="24"/>
          <w:highlight w:val="yellow"/>
          <w:u w:val="single"/>
          <w:lang w:val="en-US" w:eastAsia="zh-CN"/>
        </w:rPr>
        <w:t>8</w:t>
      </w:r>
      <w:r>
        <w:rPr>
          <w:rFonts w:hint="eastAsia" w:ascii="仿宋" w:hAnsi="仿宋" w:eastAsia="仿宋" w:cs="仿宋"/>
          <w:color w:val="FF0000"/>
          <w:sz w:val="24"/>
          <w:highlight w:val="yellow"/>
          <w:u w:val="single"/>
          <w:lang w:eastAsia="zh-CN"/>
        </w:rPr>
        <w:t>月</w:t>
      </w:r>
      <w:r>
        <w:rPr>
          <w:rFonts w:hint="eastAsia" w:ascii="仿宋" w:hAnsi="仿宋" w:eastAsia="仿宋" w:cs="仿宋"/>
          <w:color w:val="FF0000"/>
          <w:sz w:val="24"/>
          <w:highlight w:val="yellow"/>
          <w:u w:val="single"/>
          <w:lang w:val="en-US" w:eastAsia="zh-CN"/>
        </w:rPr>
        <w:t>8</w:t>
      </w:r>
      <w:r>
        <w:rPr>
          <w:rFonts w:hint="eastAsia" w:ascii="仿宋" w:hAnsi="仿宋" w:eastAsia="仿宋" w:cs="仿宋"/>
          <w:color w:val="FF0000"/>
          <w:sz w:val="24"/>
          <w:highlight w:val="yellow"/>
          <w:u w:val="single"/>
          <w:lang w:eastAsia="zh-CN"/>
        </w:rPr>
        <w:t>日</w:t>
      </w:r>
      <w:r>
        <w:rPr>
          <w:rFonts w:hint="eastAsia" w:ascii="仿宋" w:hAnsi="仿宋" w:eastAsia="仿宋" w:cs="仿宋"/>
          <w:sz w:val="24"/>
        </w:rPr>
        <w:t>，每天上午00:00至12:00 ，下午12:00至23:59（北京时间，线上获取法定节假日均可，线下获取文件法定节假日除外）</w:t>
      </w:r>
    </w:p>
    <w:p w14:paraId="6C18E31B">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2DFBECB6">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0EC05CD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0C05DE20">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6E6B556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highlight w:val="yellow"/>
          <w:u w:val="single"/>
        </w:rPr>
        <w:t xml:space="preserve"> </w:t>
      </w:r>
      <w:r>
        <w:rPr>
          <w:rFonts w:hint="eastAsia" w:ascii="仿宋" w:hAnsi="仿宋" w:eastAsia="仿宋" w:cs="仿宋"/>
          <w:color w:val="FF0000"/>
          <w:sz w:val="24"/>
          <w:highlight w:val="yellow"/>
          <w:u w:val="single"/>
        </w:rPr>
        <w:t>202</w:t>
      </w:r>
      <w:r>
        <w:rPr>
          <w:rFonts w:hint="eastAsia" w:ascii="仿宋" w:hAnsi="仿宋" w:eastAsia="仿宋" w:cs="仿宋"/>
          <w:color w:val="FF0000"/>
          <w:sz w:val="24"/>
          <w:highlight w:val="yellow"/>
          <w:u w:val="single"/>
          <w:lang w:val="en-US" w:eastAsia="zh-CN"/>
        </w:rPr>
        <w:t>5</w:t>
      </w:r>
      <w:r>
        <w:rPr>
          <w:rFonts w:hint="eastAsia" w:ascii="仿宋" w:hAnsi="仿宋" w:eastAsia="仿宋" w:cs="仿宋"/>
          <w:color w:val="FF0000"/>
          <w:sz w:val="24"/>
          <w:highlight w:val="yellow"/>
          <w:u w:val="single"/>
        </w:rPr>
        <w:t>年</w:t>
      </w:r>
      <w:r>
        <w:rPr>
          <w:rFonts w:hint="eastAsia" w:ascii="仿宋" w:hAnsi="仿宋" w:eastAsia="仿宋" w:cs="仿宋"/>
          <w:color w:val="FF0000"/>
          <w:sz w:val="24"/>
          <w:highlight w:val="yellow"/>
          <w:u w:val="single"/>
          <w:lang w:val="en-US" w:eastAsia="zh-CN"/>
        </w:rPr>
        <w:t>8</w:t>
      </w:r>
      <w:r>
        <w:rPr>
          <w:rFonts w:hint="eastAsia" w:ascii="仿宋" w:hAnsi="仿宋" w:eastAsia="仿宋" w:cs="仿宋"/>
          <w:color w:val="FF0000"/>
          <w:sz w:val="24"/>
          <w:highlight w:val="yellow"/>
          <w:u w:val="single"/>
          <w:lang w:eastAsia="zh-CN"/>
        </w:rPr>
        <w:t>月</w:t>
      </w:r>
      <w:r>
        <w:rPr>
          <w:rFonts w:hint="eastAsia" w:ascii="仿宋" w:hAnsi="仿宋" w:eastAsia="仿宋" w:cs="仿宋"/>
          <w:color w:val="FF0000"/>
          <w:sz w:val="24"/>
          <w:highlight w:val="yellow"/>
          <w:u w:val="single"/>
          <w:lang w:val="en-US" w:eastAsia="zh-CN"/>
        </w:rPr>
        <w:t>8</w:t>
      </w:r>
      <w:r>
        <w:rPr>
          <w:rFonts w:hint="eastAsia" w:ascii="仿宋" w:hAnsi="仿宋" w:eastAsia="仿宋" w:cs="仿宋"/>
          <w:color w:val="FF0000"/>
          <w:sz w:val="24"/>
          <w:highlight w:val="yellow"/>
          <w:u w:val="single"/>
          <w:lang w:eastAsia="zh-CN"/>
        </w:rPr>
        <w:t>日</w:t>
      </w:r>
      <w:r>
        <w:rPr>
          <w:rFonts w:hint="eastAsia" w:ascii="仿宋" w:hAnsi="仿宋" w:eastAsia="仿宋" w:cs="仿宋"/>
          <w:color w:val="FF0000"/>
          <w:sz w:val="24"/>
          <w:highlight w:val="yellow"/>
          <w:u w:val="single"/>
          <w:lang w:val="en-US" w:eastAsia="zh-CN"/>
        </w:rPr>
        <w:t>9</w:t>
      </w:r>
      <w:r>
        <w:rPr>
          <w:rFonts w:hint="eastAsia" w:ascii="仿宋" w:hAnsi="仿宋" w:eastAsia="仿宋" w:cs="仿宋"/>
          <w:color w:val="FF0000"/>
          <w:sz w:val="24"/>
          <w:highlight w:val="yellow"/>
          <w:u w:val="single"/>
        </w:rPr>
        <w:t>点00分00</w:t>
      </w:r>
      <w:r>
        <w:rPr>
          <w:rFonts w:hint="eastAsia" w:ascii="仿宋" w:hAnsi="仿宋" w:eastAsia="仿宋" w:cs="仿宋"/>
          <w:sz w:val="24"/>
          <w:highlight w:val="yellow"/>
          <w:u w:val="single"/>
        </w:rPr>
        <w:t>秒</w:t>
      </w:r>
      <w:r>
        <w:rPr>
          <w:rFonts w:hint="eastAsia" w:ascii="仿宋" w:hAnsi="仿宋" w:eastAsia="仿宋" w:cs="仿宋"/>
          <w:sz w:val="24"/>
        </w:rPr>
        <w:t>（北京时间）</w:t>
      </w:r>
    </w:p>
    <w:p w14:paraId="2C709C1E">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291A1628">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color w:val="FF0000"/>
          <w:sz w:val="24"/>
          <w:highlight w:val="yellow"/>
          <w:u w:val="single"/>
        </w:rPr>
        <w:t>202</w:t>
      </w:r>
      <w:r>
        <w:rPr>
          <w:rFonts w:hint="eastAsia" w:ascii="仿宋" w:hAnsi="仿宋" w:eastAsia="仿宋" w:cs="仿宋"/>
          <w:color w:val="FF0000"/>
          <w:sz w:val="24"/>
          <w:highlight w:val="yellow"/>
          <w:u w:val="single"/>
          <w:lang w:val="en-US" w:eastAsia="zh-CN"/>
        </w:rPr>
        <w:t>5</w:t>
      </w:r>
      <w:r>
        <w:rPr>
          <w:rFonts w:hint="eastAsia" w:ascii="仿宋" w:hAnsi="仿宋" w:eastAsia="仿宋" w:cs="仿宋"/>
          <w:color w:val="FF0000"/>
          <w:sz w:val="24"/>
          <w:highlight w:val="yellow"/>
          <w:u w:val="single"/>
        </w:rPr>
        <w:t>年</w:t>
      </w:r>
      <w:r>
        <w:rPr>
          <w:rFonts w:hint="eastAsia" w:ascii="仿宋" w:hAnsi="仿宋" w:eastAsia="仿宋" w:cs="仿宋"/>
          <w:color w:val="FF0000"/>
          <w:sz w:val="24"/>
          <w:highlight w:val="yellow"/>
          <w:u w:val="single"/>
          <w:lang w:val="en-US" w:eastAsia="zh-CN"/>
        </w:rPr>
        <w:t>8</w:t>
      </w:r>
      <w:r>
        <w:rPr>
          <w:rFonts w:hint="eastAsia" w:ascii="仿宋" w:hAnsi="仿宋" w:eastAsia="仿宋" w:cs="仿宋"/>
          <w:color w:val="FF0000"/>
          <w:sz w:val="24"/>
          <w:highlight w:val="yellow"/>
          <w:u w:val="single"/>
          <w:lang w:eastAsia="zh-CN"/>
        </w:rPr>
        <w:t>月</w:t>
      </w:r>
      <w:r>
        <w:rPr>
          <w:rFonts w:hint="eastAsia" w:ascii="仿宋" w:hAnsi="仿宋" w:eastAsia="仿宋" w:cs="仿宋"/>
          <w:color w:val="FF0000"/>
          <w:sz w:val="24"/>
          <w:highlight w:val="yellow"/>
          <w:u w:val="single"/>
          <w:lang w:val="en-US" w:eastAsia="zh-CN"/>
        </w:rPr>
        <w:t>8</w:t>
      </w:r>
      <w:r>
        <w:rPr>
          <w:rFonts w:hint="eastAsia" w:ascii="仿宋" w:hAnsi="仿宋" w:eastAsia="仿宋" w:cs="仿宋"/>
          <w:color w:val="FF0000"/>
          <w:sz w:val="24"/>
          <w:highlight w:val="yellow"/>
          <w:u w:val="single"/>
          <w:lang w:eastAsia="zh-CN"/>
        </w:rPr>
        <w:t>日</w:t>
      </w:r>
      <w:r>
        <w:rPr>
          <w:rFonts w:hint="eastAsia" w:ascii="仿宋" w:hAnsi="仿宋" w:eastAsia="仿宋" w:cs="仿宋"/>
          <w:color w:val="FF0000"/>
          <w:sz w:val="24"/>
          <w:highlight w:val="yellow"/>
          <w:u w:val="single"/>
          <w:lang w:val="en-US" w:eastAsia="zh-CN"/>
        </w:rPr>
        <w:t>9</w:t>
      </w:r>
      <w:r>
        <w:rPr>
          <w:rFonts w:hint="eastAsia" w:ascii="仿宋" w:hAnsi="仿宋" w:eastAsia="仿宋" w:cs="仿宋"/>
          <w:color w:val="FF0000"/>
          <w:sz w:val="24"/>
          <w:highlight w:val="yellow"/>
          <w:u w:val="single"/>
        </w:rPr>
        <w:t>点 00分00秒</w:t>
      </w:r>
      <w:r>
        <w:rPr>
          <w:rFonts w:hint="eastAsia" w:ascii="仿宋" w:hAnsi="仿宋" w:eastAsia="仿宋" w:cs="仿宋"/>
          <w:sz w:val="24"/>
        </w:rPr>
        <w:t>（北京时间）</w:t>
      </w:r>
    </w:p>
    <w:p w14:paraId="76291E1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1111670F">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3994F349">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46F2811B">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43DFA03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030BBDC">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3EF4FC">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21C28B">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FC7F3D2">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211C3D04">
      <w:pPr>
        <w:spacing w:line="440" w:lineRule="exact"/>
        <w:ind w:firstLine="960" w:firstLineChars="400"/>
        <w:rPr>
          <w:rFonts w:hint="eastAsia" w:ascii="仿宋" w:hAnsi="仿宋" w:eastAsia="仿宋" w:cs="仿宋"/>
          <w:sz w:val="24"/>
        </w:rPr>
      </w:pPr>
      <w:r>
        <w:rPr>
          <w:rFonts w:hint="eastAsia" w:ascii="仿宋" w:hAnsi="仿宋" w:eastAsia="仿宋" w:cs="仿宋"/>
          <w:sz w:val="24"/>
        </w:rPr>
        <w:t>1.采购人信息</w:t>
      </w:r>
    </w:p>
    <w:p w14:paraId="4AF87579">
      <w:pPr>
        <w:spacing w:line="440" w:lineRule="exact"/>
        <w:ind w:firstLine="960" w:firstLineChars="400"/>
        <w:rPr>
          <w:rFonts w:hint="eastAsia" w:ascii="仿宋" w:hAnsi="仿宋" w:eastAsia="仿宋" w:cs="仿宋"/>
          <w:color w:val="auto"/>
          <w:sz w:val="24"/>
        </w:rPr>
      </w:pPr>
      <w:r>
        <w:rPr>
          <w:rFonts w:ascii="仿宋" w:hAnsi="仿宋" w:eastAsia="仿宋" w:cs="仿宋"/>
          <w:sz w:val="24"/>
        </w:rPr>
        <w:t xml:space="preserve"> </w:t>
      </w:r>
      <w:r>
        <w:rPr>
          <w:rFonts w:hint="eastAsia" w:ascii="仿宋" w:hAnsi="仿宋" w:eastAsia="仿宋" w:cs="仿宋"/>
          <w:sz w:val="24"/>
        </w:rPr>
        <w:t>名 称：江山市贺村第一中学</w:t>
      </w:r>
      <w:r>
        <w:rPr>
          <w:rFonts w:ascii="仿宋" w:hAnsi="仿宋" w:eastAsia="仿宋" w:cs="仿宋"/>
          <w:sz w:val="24"/>
        </w:rPr>
        <w:br w:type="textWrapping"/>
      </w:r>
      <w:r>
        <w:rPr>
          <w:rFonts w:ascii="仿宋" w:hAnsi="仿宋" w:eastAsia="仿宋" w:cs="仿宋"/>
          <w:sz w:val="24"/>
        </w:rPr>
        <w:t xml:space="preserve">  </w:t>
      </w:r>
      <w:r>
        <w:rPr>
          <w:rFonts w:ascii="仿宋" w:hAnsi="仿宋" w:eastAsia="仿宋" w:cs="仿宋"/>
          <w:color w:val="auto"/>
          <w:sz w:val="24"/>
        </w:rPr>
        <w:t xml:space="preserve">       地 址：</w:t>
      </w:r>
      <w:r>
        <w:rPr>
          <w:rFonts w:hint="eastAsia" w:ascii="仿宋" w:hAnsi="仿宋" w:eastAsia="仿宋" w:cs="仿宋"/>
          <w:color w:val="auto"/>
          <w:sz w:val="24"/>
        </w:rPr>
        <w:t>贺村镇山前坂138号</w:t>
      </w:r>
      <w:r>
        <w:rPr>
          <w:rFonts w:ascii="仿宋" w:hAnsi="仿宋" w:eastAsia="仿宋" w:cs="仿宋"/>
          <w:color w:val="auto"/>
          <w:sz w:val="24"/>
        </w:rPr>
        <w:br w:type="textWrapping"/>
      </w:r>
      <w:r>
        <w:rPr>
          <w:rFonts w:ascii="仿宋" w:hAnsi="仿宋" w:eastAsia="仿宋" w:cs="仿宋"/>
          <w:color w:val="auto"/>
          <w:sz w:val="24"/>
        </w:rPr>
        <w:t xml:space="preserve">         传 真：/</w:t>
      </w:r>
      <w:r>
        <w:rPr>
          <w:rFonts w:ascii="仿宋" w:hAnsi="仿宋" w:eastAsia="仿宋" w:cs="仿宋"/>
          <w:color w:val="auto"/>
          <w:sz w:val="24"/>
        </w:rPr>
        <w:br w:type="textWrapping"/>
      </w:r>
      <w:r>
        <w:rPr>
          <w:rFonts w:ascii="仿宋" w:hAnsi="仿宋" w:eastAsia="仿宋" w:cs="仿宋"/>
          <w:color w:val="auto"/>
          <w:sz w:val="24"/>
        </w:rPr>
        <w:t xml:space="preserve">         项目联系人（询问）：</w:t>
      </w:r>
      <w:r>
        <w:rPr>
          <w:rFonts w:hint="eastAsia" w:ascii="仿宋" w:hAnsi="仿宋" w:eastAsia="仿宋" w:cs="仿宋"/>
          <w:color w:val="auto"/>
          <w:sz w:val="24"/>
          <w:lang w:eastAsia="zh-CN"/>
        </w:rPr>
        <w:t>赵老师</w:t>
      </w:r>
      <w:r>
        <w:rPr>
          <w:rFonts w:ascii="仿宋" w:hAnsi="仿宋" w:eastAsia="仿宋" w:cs="仿宋"/>
          <w:color w:val="auto"/>
          <w:sz w:val="24"/>
        </w:rPr>
        <w:br w:type="textWrapping"/>
      </w:r>
      <w:r>
        <w:rPr>
          <w:rFonts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18357099321</w:t>
      </w:r>
      <w:r>
        <w:rPr>
          <w:rFonts w:ascii="仿宋" w:hAnsi="仿宋" w:eastAsia="仿宋" w:cs="仿宋"/>
          <w:color w:val="auto"/>
          <w:sz w:val="24"/>
        </w:rPr>
        <w:br w:type="textWrapping"/>
      </w:r>
      <w:r>
        <w:rPr>
          <w:rFonts w:ascii="仿宋" w:hAnsi="仿宋" w:eastAsia="仿宋" w:cs="仿宋"/>
          <w:color w:val="auto"/>
          <w:sz w:val="24"/>
        </w:rPr>
        <w:t xml:space="preserve">         质疑联系人：</w:t>
      </w:r>
      <w:r>
        <w:rPr>
          <w:rFonts w:hint="eastAsia" w:ascii="仿宋" w:hAnsi="仿宋" w:eastAsia="仿宋" w:cs="仿宋"/>
          <w:color w:val="auto"/>
          <w:sz w:val="24"/>
          <w:lang w:eastAsia="zh-CN"/>
        </w:rPr>
        <w:t>李老师</w:t>
      </w:r>
      <w:r>
        <w:rPr>
          <w:rFonts w:ascii="仿宋" w:hAnsi="仿宋" w:eastAsia="仿宋" w:cs="仿宋"/>
          <w:color w:val="auto"/>
          <w:sz w:val="24"/>
        </w:rPr>
        <w:br w:type="textWrapping"/>
      </w:r>
      <w:r>
        <w:rPr>
          <w:rFonts w:ascii="仿宋" w:hAnsi="仿宋" w:eastAsia="仿宋" w:cs="仿宋"/>
          <w:color w:val="auto"/>
          <w:sz w:val="24"/>
        </w:rPr>
        <w:t xml:space="preserve">         质疑联系方式：</w:t>
      </w:r>
      <w:r>
        <w:rPr>
          <w:rFonts w:hint="eastAsia" w:ascii="仿宋" w:hAnsi="仿宋" w:eastAsia="仿宋" w:cs="仿宋"/>
          <w:color w:val="auto"/>
          <w:sz w:val="24"/>
          <w:lang w:val="en-US" w:eastAsia="zh-CN"/>
        </w:rPr>
        <w:t>0570-4696112</w:t>
      </w:r>
      <w:r>
        <w:rPr>
          <w:rFonts w:hint="eastAsia" w:ascii="仿宋" w:hAnsi="仿宋" w:eastAsia="仿宋" w:cs="仿宋"/>
          <w:color w:val="auto"/>
          <w:sz w:val="24"/>
        </w:rPr>
        <w:t xml:space="preserve"> </w:t>
      </w:r>
    </w:p>
    <w:p w14:paraId="7F2C04F0">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2.采购代理机构信息</w:t>
      </w:r>
    </w:p>
    <w:p w14:paraId="0C6C22DF">
      <w:pPr>
        <w:spacing w:line="440" w:lineRule="exact"/>
        <w:ind w:firstLine="960" w:firstLineChars="400"/>
        <w:rPr>
          <w:rFonts w:hint="eastAsia" w:ascii="仿宋" w:hAnsi="仿宋" w:eastAsia="仿宋" w:cs="仿宋"/>
          <w:sz w:val="24"/>
        </w:rPr>
      </w:pPr>
      <w:r>
        <w:rPr>
          <w:rFonts w:hint="eastAsia" w:ascii="仿宋" w:hAnsi="仿宋" w:eastAsia="仿宋" w:cs="仿宋"/>
          <w:sz w:val="24"/>
        </w:rPr>
        <w:t>名    称：江山市政府采购中心</w:t>
      </w:r>
    </w:p>
    <w:p w14:paraId="1929E813">
      <w:pPr>
        <w:spacing w:line="440" w:lineRule="exact"/>
        <w:ind w:firstLine="960" w:firstLineChars="400"/>
        <w:rPr>
          <w:rFonts w:hint="eastAsia" w:ascii="仿宋" w:hAnsi="仿宋" w:eastAsia="仿宋" w:cs="仿宋"/>
          <w:sz w:val="24"/>
        </w:rPr>
      </w:pPr>
      <w:r>
        <w:rPr>
          <w:rFonts w:hint="eastAsia" w:ascii="仿宋" w:hAnsi="仿宋" w:eastAsia="仿宋" w:cs="仿宋"/>
          <w:sz w:val="24"/>
        </w:rPr>
        <w:t>地    址： 江山市虎山街道景星西路万商城12号楼四楼</w:t>
      </w:r>
    </w:p>
    <w:p w14:paraId="32BC0454">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传    真：/</w:t>
      </w:r>
    </w:p>
    <w:p w14:paraId="71BA43C2">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项目联系人（询问）：王先生</w:t>
      </w:r>
    </w:p>
    <w:p w14:paraId="7DC95295">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项目联系方式（询问）：0570-4031937</w:t>
      </w:r>
    </w:p>
    <w:p w14:paraId="41CC32BE">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质疑联系人：薛女士</w:t>
      </w:r>
    </w:p>
    <w:p w14:paraId="4F1317CE">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质疑联系方式： 0570-4031937</w:t>
      </w:r>
    </w:p>
    <w:p w14:paraId="69017D76">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3.同级政府采购监督管理部门</w:t>
      </w:r>
    </w:p>
    <w:p w14:paraId="5E4B615C">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名    称： 江山市财政局采监科</w:t>
      </w:r>
    </w:p>
    <w:p w14:paraId="6C33DD7A">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地    址：江山市鹿溪中路240号 </w:t>
      </w:r>
    </w:p>
    <w:p w14:paraId="6D9B1D3B">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传    真：0570-4033881 </w:t>
      </w:r>
    </w:p>
    <w:p w14:paraId="30145444">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联系人 ：王科长</w:t>
      </w:r>
    </w:p>
    <w:p w14:paraId="274C8FC0">
      <w:pPr>
        <w:spacing w:line="440" w:lineRule="exact"/>
        <w:ind w:firstLine="960" w:firstLineChars="400"/>
        <w:rPr>
          <w:rFonts w:hint="eastAsia" w:ascii="仿宋" w:hAnsi="仿宋" w:eastAsia="仿宋" w:cs="仿宋"/>
          <w:sz w:val="24"/>
        </w:rPr>
      </w:pPr>
      <w:r>
        <w:rPr>
          <w:rFonts w:hint="eastAsia" w:ascii="仿宋" w:hAnsi="仿宋" w:eastAsia="仿宋" w:cs="仿宋"/>
          <w:sz w:val="24"/>
        </w:rPr>
        <w:t>监督投诉电话：0570-4033881</w:t>
      </w:r>
    </w:p>
    <w:p w14:paraId="671F814B">
      <w:pPr>
        <w:spacing w:line="440" w:lineRule="exact"/>
        <w:ind w:firstLine="960" w:firstLineChars="4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0A33AF7C">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29B0E2EB">
      <w:pPr>
        <w:rPr>
          <w:rFonts w:hint="eastAsia" w:ascii="仿宋" w:hAnsi="仿宋" w:eastAsia="仿宋" w:cs="仿宋"/>
          <w:b/>
          <w:sz w:val="32"/>
          <w:szCs w:val="20"/>
        </w:rPr>
      </w:pPr>
      <w:r>
        <w:rPr>
          <w:rFonts w:hint="eastAsia" w:ascii="仿宋" w:hAnsi="仿宋" w:eastAsia="仿宋" w:cs="仿宋"/>
          <w:b/>
          <w:sz w:val="32"/>
          <w:szCs w:val="20"/>
        </w:rPr>
        <w:br w:type="page"/>
      </w:r>
    </w:p>
    <w:p w14:paraId="09B9C8B9">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第二部分</w:t>
      </w:r>
      <w:bookmarkEnd w:id="8"/>
      <w:r>
        <w:rPr>
          <w:rFonts w:hint="eastAsia" w:ascii="仿宋" w:hAnsi="仿宋" w:eastAsia="仿宋" w:cs="仿宋"/>
          <w:b/>
          <w:sz w:val="32"/>
          <w:szCs w:val="20"/>
        </w:rPr>
        <w:t xml:space="preserve"> 投标人须知</w:t>
      </w:r>
      <w:bookmarkEnd w:id="9"/>
    </w:p>
    <w:p w14:paraId="205A3565">
      <w:pPr>
        <w:pStyle w:val="4"/>
        <w:rPr>
          <w:rFonts w:hint="eastAsia"/>
        </w:rPr>
      </w:pPr>
      <w:r>
        <w:rPr>
          <w:rFonts w:hint="eastAsia"/>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EEDA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96EB337">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4C46C5B">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7988286">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21B58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78559FFF">
            <w:pPr>
              <w:snapToGrid w:val="0"/>
              <w:spacing w:line="360" w:lineRule="auto"/>
              <w:jc w:val="center"/>
              <w:rPr>
                <w:rFonts w:hint="eastAsia" w:ascii="仿宋" w:hAnsi="仿宋" w:eastAsia="仿宋" w:cs="仿宋"/>
                <w:sz w:val="24"/>
              </w:rPr>
            </w:pPr>
          </w:p>
          <w:p w14:paraId="646FAF78">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778121A">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D68F7B">
            <w:pPr>
              <w:spacing w:line="360" w:lineRule="auto"/>
              <w:rPr>
                <w:rFonts w:hint="eastAsia" w:ascii="仿宋" w:hAnsi="仿宋" w:eastAsia="仿宋" w:cs="仿宋"/>
                <w:color w:val="0000FF"/>
                <w:sz w:val="24"/>
              </w:rPr>
            </w:pPr>
            <w:r>
              <w:rPr>
                <w:rFonts w:hint="eastAsia" w:ascii="仿宋" w:hAnsi="仿宋" w:eastAsia="仿宋" w:cs="仿宋"/>
                <w:sz w:val="24"/>
              </w:rPr>
              <w:t>货物类，</w:t>
            </w:r>
            <w:r>
              <w:rPr>
                <w:rFonts w:hint="eastAsia" w:ascii="仿宋" w:hAnsi="仿宋" w:eastAsia="仿宋" w:cs="仿宋"/>
                <w:color w:val="0000FF"/>
                <w:sz w:val="24"/>
              </w:rPr>
              <w:t>单一产品或</w:t>
            </w:r>
            <w:r>
              <w:rPr>
                <w:rFonts w:hint="eastAsia" w:ascii="仿宋" w:hAnsi="仿宋" w:eastAsia="仿宋" w:cs="仿宋"/>
                <w:color w:val="0000FF"/>
                <w:kern w:val="0"/>
                <w:sz w:val="24"/>
              </w:rPr>
              <w:t>核心产品为</w:t>
            </w:r>
            <w:r>
              <w:rPr>
                <w:rFonts w:hint="eastAsia" w:ascii="仿宋" w:hAnsi="仿宋" w:eastAsia="仿宋" w:cs="仿宋"/>
                <w:color w:val="0000FF"/>
                <w:kern w:val="0"/>
                <w:sz w:val="24"/>
                <w:u w:val="single"/>
                <w:lang w:val="en-US" w:eastAsia="zh-CN"/>
              </w:rPr>
              <w:t>实验桌</w:t>
            </w:r>
            <w:r>
              <w:rPr>
                <w:rFonts w:hint="eastAsia" w:ascii="仿宋" w:hAnsi="仿宋" w:eastAsia="仿宋" w:cs="仿宋"/>
                <w:color w:val="0000FF"/>
                <w:sz w:val="24"/>
              </w:rPr>
              <w:t>。</w:t>
            </w:r>
          </w:p>
          <w:p w14:paraId="3DAFDA5E">
            <w:pPr>
              <w:spacing w:line="360" w:lineRule="auto"/>
              <w:rPr>
                <w:rFonts w:hint="eastAsia" w:ascii="仿宋" w:hAnsi="仿宋" w:eastAsia="仿宋" w:cs="仿宋"/>
                <w:sz w:val="24"/>
              </w:rPr>
            </w:pPr>
          </w:p>
        </w:tc>
      </w:tr>
      <w:tr w14:paraId="01568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A9340E8">
            <w:pPr>
              <w:snapToGrid w:val="0"/>
              <w:spacing w:line="360" w:lineRule="auto"/>
              <w:jc w:val="center"/>
              <w:rPr>
                <w:rFonts w:hint="eastAsia" w:ascii="仿宋" w:hAnsi="仿宋" w:eastAsia="仿宋" w:cs="仿宋"/>
                <w:sz w:val="24"/>
              </w:rPr>
            </w:pPr>
          </w:p>
          <w:p w14:paraId="6D455ACA">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3471A7">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4968290">
            <w:pPr>
              <w:snapToGrid w:val="0"/>
              <w:spacing w:line="360" w:lineRule="auto"/>
              <w:rPr>
                <w:rFonts w:hint="eastAsia" w:ascii="仿宋" w:hAnsi="仿宋" w:eastAsia="仿宋" w:cs="仿宋"/>
                <w:color w:val="0000FF"/>
                <w:kern w:val="0"/>
                <w:sz w:val="24"/>
              </w:rPr>
            </w:pPr>
            <w:r>
              <w:rPr>
                <w:rFonts w:hint="eastAsia" w:ascii="仿宋" w:hAnsi="仿宋" w:eastAsia="仿宋" w:cs="仿宋"/>
                <w:color w:val="0000FF"/>
                <w:kern w:val="0"/>
                <w:sz w:val="24"/>
              </w:rPr>
              <w:t>（1）标的：</w:t>
            </w:r>
            <w:r>
              <w:rPr>
                <w:rFonts w:hint="eastAsia" w:ascii="仿宋" w:hAnsi="仿宋" w:eastAsia="仿宋" w:cs="仿宋"/>
                <w:color w:val="0000FF"/>
                <w:kern w:val="0"/>
                <w:sz w:val="24"/>
                <w:u w:val="single"/>
              </w:rPr>
              <w:t>实验教学仪器</w:t>
            </w:r>
            <w:r>
              <w:rPr>
                <w:rFonts w:hint="eastAsia" w:ascii="仿宋" w:hAnsi="仿宋" w:eastAsia="仿宋" w:cs="仿宋"/>
                <w:color w:val="0000FF"/>
                <w:kern w:val="0"/>
                <w:sz w:val="24"/>
              </w:rPr>
              <w:t>，属于</w:t>
            </w:r>
            <w:r>
              <w:rPr>
                <w:rFonts w:hint="eastAsia" w:ascii="仿宋" w:hAnsi="仿宋" w:eastAsia="仿宋" w:cs="仿宋"/>
                <w:color w:val="0000FF"/>
                <w:kern w:val="0"/>
                <w:sz w:val="24"/>
                <w:u w:val="single"/>
              </w:rPr>
              <w:t>工业</w:t>
            </w:r>
            <w:r>
              <w:rPr>
                <w:rFonts w:hint="eastAsia" w:ascii="仿宋" w:hAnsi="仿宋" w:eastAsia="仿宋" w:cs="仿宋"/>
                <w:color w:val="0000FF"/>
                <w:kern w:val="0"/>
                <w:sz w:val="24"/>
              </w:rPr>
              <w:t>行业；</w:t>
            </w:r>
          </w:p>
          <w:p w14:paraId="77897370">
            <w:pPr>
              <w:pStyle w:val="4"/>
              <w:rPr>
                <w:rFonts w:hint="eastAsia" w:ascii="仿宋" w:hAnsi="仿宋" w:cs="仿宋"/>
                <w:b w:val="0"/>
                <w:bCs w:val="0"/>
                <w:lang w:val="en-US"/>
              </w:rPr>
            </w:pPr>
          </w:p>
        </w:tc>
      </w:tr>
      <w:tr w14:paraId="52E03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3"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F7DEE45">
            <w:pPr>
              <w:snapToGrid w:val="0"/>
              <w:spacing w:line="360" w:lineRule="auto"/>
              <w:jc w:val="center"/>
              <w:rPr>
                <w:rFonts w:hint="eastAsia" w:ascii="仿宋" w:hAnsi="仿宋" w:eastAsia="仿宋" w:cs="仿宋"/>
                <w:sz w:val="24"/>
              </w:rPr>
            </w:pPr>
          </w:p>
          <w:p w14:paraId="0462B964">
            <w:pPr>
              <w:snapToGrid w:val="0"/>
              <w:spacing w:line="360" w:lineRule="auto"/>
              <w:jc w:val="center"/>
              <w:rPr>
                <w:rFonts w:hint="eastAsia" w:ascii="仿宋" w:hAnsi="仿宋" w:eastAsia="仿宋" w:cs="仿宋"/>
                <w:sz w:val="24"/>
              </w:rPr>
            </w:pPr>
          </w:p>
          <w:p w14:paraId="77AEC355">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31E2C1C">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1DF3EE">
            <w:pPr>
              <w:spacing w:line="360" w:lineRule="auto"/>
              <w:rPr>
                <w:rFonts w:hint="eastAsia" w:ascii="仿宋" w:hAnsi="仿宋" w:eastAsia="仿宋" w:cs="仿宋"/>
                <w:kern w:val="0"/>
                <w:sz w:val="24"/>
              </w:rPr>
            </w:pPr>
            <w:sdt>
              <w:sdtPr>
                <w:rPr>
                  <w:rFonts w:hint="eastAsia" w:ascii="仿宋" w:hAnsi="仿宋" w:eastAsia="仿宋" w:cs="仿宋"/>
                  <w:kern w:val="0"/>
                  <w:sz w:val="24"/>
                </w:rPr>
                <w:id w:val="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561627BE">
            <w:pPr>
              <w:spacing w:line="360" w:lineRule="auto"/>
              <w:rPr>
                <w:rFonts w:hint="eastAsia" w:ascii="仿宋" w:hAnsi="仿宋" w:eastAsia="仿宋" w:cs="仿宋"/>
              </w:rPr>
            </w:pPr>
            <w:sdt>
              <w:sdtPr>
                <w:rPr>
                  <w:rFonts w:hint="eastAsia" w:ascii="仿宋" w:hAnsi="仿宋" w:eastAsia="仿宋" w:cs="仿宋"/>
                  <w:kern w:val="0"/>
                  <w:sz w:val="24"/>
                </w:rPr>
                <w:id w:val="1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467AA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C89E620">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9890E49">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B66BC57">
            <w:pPr>
              <w:spacing w:line="360" w:lineRule="auto"/>
              <w:rPr>
                <w:rFonts w:hint="eastAsia" w:ascii="仿宋" w:hAnsi="仿宋" w:eastAsia="仿宋" w:cs="仿宋"/>
                <w:sz w:val="24"/>
              </w:rPr>
            </w:pPr>
            <w:sdt>
              <w:sdtPr>
                <w:rPr>
                  <w:rFonts w:hint="eastAsia" w:ascii="仿宋" w:hAnsi="仿宋" w:eastAsia="仿宋" w:cs="仿宋"/>
                  <w:kern w:val="0"/>
                  <w:sz w:val="24"/>
                </w:rPr>
                <w:id w:val="1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w:t>
            </w:r>
            <w:r>
              <w:rPr>
                <w:rFonts w:hint="eastAsia" w:ascii="仿宋" w:hAnsi="仿宋" w:eastAsia="仿宋" w:cs="仿宋"/>
                <w:color w:val="0000FF"/>
                <w:sz w:val="24"/>
              </w:rPr>
              <w:t>非关键性的</w:t>
            </w:r>
            <w:r>
              <w:rPr>
                <w:rFonts w:hint="eastAsia" w:ascii="仿宋" w:hAnsi="仿宋" w:eastAsia="仿宋" w:cs="仿宋"/>
                <w:color w:val="0000FF"/>
                <w:sz w:val="24"/>
                <w:u w:val="single"/>
              </w:rPr>
              <w:t xml:space="preserve">  </w:t>
            </w:r>
            <w:r>
              <w:rPr>
                <w:rFonts w:hint="eastAsia" w:ascii="仿宋" w:hAnsi="仿宋" w:eastAsia="仿宋" w:cs="仿宋"/>
                <w:color w:val="0000FF"/>
                <w:sz w:val="24"/>
              </w:rPr>
              <w:t>工作分包</w:t>
            </w:r>
            <w:r>
              <w:rPr>
                <w:rFonts w:hint="eastAsia" w:ascii="仿宋" w:hAnsi="仿宋" w:eastAsia="仿宋" w:cs="仿宋"/>
                <w:sz w:val="24"/>
              </w:rPr>
              <w:t>。</w:t>
            </w:r>
          </w:p>
          <w:p w14:paraId="371E2D8C">
            <w:pPr>
              <w:spacing w:line="360" w:lineRule="auto"/>
              <w:rPr>
                <w:rFonts w:hint="eastAsia" w:ascii="仿宋" w:hAnsi="仿宋" w:eastAsia="仿宋" w:cs="仿宋"/>
                <w:sz w:val="24"/>
              </w:rPr>
            </w:pPr>
            <w:sdt>
              <w:sdtPr>
                <w:rPr>
                  <w:rFonts w:hint="eastAsia" w:ascii="仿宋" w:hAnsi="仿宋" w:eastAsia="仿宋" w:cs="仿宋"/>
                  <w:kern w:val="0"/>
                  <w:sz w:val="24"/>
                </w:rPr>
                <w:id w:val="12"/>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7B283DC1">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5E1E4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9A78FD4">
            <w:pPr>
              <w:snapToGrid w:val="0"/>
              <w:spacing w:line="360" w:lineRule="auto"/>
              <w:jc w:val="center"/>
              <w:rPr>
                <w:rFonts w:hint="eastAsia" w:ascii="仿宋" w:hAnsi="仿宋" w:eastAsia="仿宋" w:cs="仿宋"/>
                <w:sz w:val="24"/>
              </w:rPr>
            </w:pPr>
          </w:p>
          <w:p w14:paraId="5E014A9B">
            <w:pPr>
              <w:snapToGrid w:val="0"/>
              <w:spacing w:line="360" w:lineRule="auto"/>
              <w:jc w:val="center"/>
              <w:rPr>
                <w:rFonts w:hint="eastAsia" w:ascii="仿宋" w:hAnsi="仿宋" w:eastAsia="仿宋" w:cs="仿宋"/>
                <w:sz w:val="24"/>
              </w:rPr>
            </w:pPr>
          </w:p>
          <w:p w14:paraId="4ABEE6F7">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CC49C2F">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438C61">
            <w:pPr>
              <w:spacing w:line="360" w:lineRule="auto"/>
              <w:rPr>
                <w:rFonts w:hint="eastAsia" w:ascii="仿宋" w:hAnsi="仿宋" w:eastAsia="仿宋" w:cs="仿宋"/>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6F1DADDE">
            <w:pPr>
              <w:spacing w:line="360" w:lineRule="auto"/>
              <w:rPr>
                <w:rFonts w:hint="eastAsia" w:ascii="仿宋" w:hAnsi="仿宋" w:eastAsia="仿宋" w:cs="仿宋"/>
                <w:sz w:val="24"/>
                <w:szCs w:val="20"/>
              </w:rPr>
            </w:pPr>
            <w:sdt>
              <w:sdtPr>
                <w:rPr>
                  <w:rFonts w:hint="eastAsia" w:ascii="仿宋" w:hAnsi="仿宋" w:eastAsia="仿宋" w:cs="仿宋"/>
                  <w:kern w:val="0"/>
                  <w:sz w:val="24"/>
                </w:rPr>
                <w:id w:val="1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74532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993B02A">
            <w:pPr>
              <w:snapToGrid w:val="0"/>
              <w:spacing w:line="360" w:lineRule="auto"/>
              <w:jc w:val="center"/>
              <w:rPr>
                <w:rFonts w:hint="eastAsia" w:ascii="仿宋" w:hAnsi="仿宋" w:eastAsia="仿宋" w:cs="仿宋"/>
                <w:sz w:val="24"/>
              </w:rPr>
            </w:pPr>
          </w:p>
          <w:p w14:paraId="7D6542CD">
            <w:pPr>
              <w:snapToGrid w:val="0"/>
              <w:spacing w:line="360" w:lineRule="auto"/>
              <w:jc w:val="center"/>
              <w:rPr>
                <w:rFonts w:hint="eastAsia" w:ascii="仿宋" w:hAnsi="仿宋" w:eastAsia="仿宋" w:cs="仿宋"/>
                <w:sz w:val="24"/>
              </w:rPr>
            </w:pPr>
          </w:p>
          <w:p w14:paraId="46B5165D">
            <w:pPr>
              <w:snapToGrid w:val="0"/>
              <w:spacing w:line="360" w:lineRule="auto"/>
              <w:jc w:val="center"/>
              <w:rPr>
                <w:rFonts w:hint="eastAsia" w:ascii="仿宋" w:hAnsi="仿宋" w:eastAsia="仿宋" w:cs="仿宋"/>
                <w:sz w:val="24"/>
              </w:rPr>
            </w:pPr>
          </w:p>
          <w:p w14:paraId="559ED6E4">
            <w:pPr>
              <w:snapToGrid w:val="0"/>
              <w:spacing w:line="360" w:lineRule="auto"/>
              <w:jc w:val="center"/>
              <w:rPr>
                <w:rFonts w:hint="eastAsia" w:ascii="仿宋" w:hAnsi="仿宋" w:eastAsia="仿宋" w:cs="仿宋"/>
                <w:sz w:val="24"/>
              </w:rPr>
            </w:pPr>
          </w:p>
          <w:p w14:paraId="19B0AE6B">
            <w:pPr>
              <w:snapToGrid w:val="0"/>
              <w:spacing w:line="360" w:lineRule="auto"/>
              <w:jc w:val="center"/>
              <w:rPr>
                <w:rFonts w:hint="eastAsia" w:ascii="仿宋" w:hAnsi="仿宋" w:eastAsia="仿宋" w:cs="仿宋"/>
                <w:sz w:val="24"/>
              </w:rPr>
            </w:pPr>
          </w:p>
          <w:p w14:paraId="0AEB49F7">
            <w:pPr>
              <w:snapToGrid w:val="0"/>
              <w:spacing w:line="360" w:lineRule="auto"/>
              <w:jc w:val="center"/>
              <w:rPr>
                <w:rFonts w:hint="eastAsia" w:ascii="仿宋" w:hAnsi="仿宋" w:eastAsia="仿宋" w:cs="仿宋"/>
                <w:sz w:val="24"/>
              </w:rPr>
            </w:pPr>
          </w:p>
          <w:p w14:paraId="1211E2ED">
            <w:pPr>
              <w:snapToGrid w:val="0"/>
              <w:spacing w:line="360" w:lineRule="auto"/>
              <w:jc w:val="center"/>
              <w:rPr>
                <w:rFonts w:hint="eastAsia" w:ascii="仿宋" w:hAnsi="仿宋" w:eastAsia="仿宋" w:cs="仿宋"/>
                <w:sz w:val="24"/>
              </w:rPr>
            </w:pPr>
          </w:p>
          <w:p w14:paraId="47676E01">
            <w:pPr>
              <w:snapToGrid w:val="0"/>
              <w:spacing w:line="360" w:lineRule="auto"/>
              <w:jc w:val="center"/>
              <w:rPr>
                <w:rFonts w:hint="eastAsia" w:ascii="仿宋" w:hAnsi="仿宋" w:eastAsia="仿宋" w:cs="仿宋"/>
                <w:sz w:val="24"/>
              </w:rPr>
            </w:pPr>
          </w:p>
          <w:p w14:paraId="58193F25">
            <w:pPr>
              <w:snapToGrid w:val="0"/>
              <w:spacing w:line="360" w:lineRule="auto"/>
              <w:jc w:val="center"/>
              <w:rPr>
                <w:rFonts w:hint="eastAsia" w:ascii="仿宋" w:hAnsi="仿宋" w:eastAsia="仿宋" w:cs="仿宋"/>
                <w:sz w:val="24"/>
              </w:rPr>
            </w:pPr>
          </w:p>
          <w:p w14:paraId="756B1BF6">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5D598E0">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969497B">
            <w:pPr>
              <w:spacing w:line="360" w:lineRule="auto"/>
              <w:rPr>
                <w:rFonts w:hint="eastAsia" w:ascii="仿宋" w:hAnsi="仿宋" w:eastAsia="仿宋" w:cs="仿宋"/>
                <w:sz w:val="24"/>
              </w:rPr>
            </w:pPr>
            <w:sdt>
              <w:sdtPr>
                <w:rPr>
                  <w:rFonts w:hint="eastAsia" w:ascii="仿宋" w:hAnsi="仿宋" w:eastAsia="仿宋" w:cs="仿宋"/>
                  <w:kern w:val="0"/>
                  <w:sz w:val="24"/>
                </w:rPr>
                <w:id w:val="1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14:paraId="547505FE">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66FFB03A">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5528E24B">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2E2EDDE">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6F466E61">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F7DDC51">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69188E6C">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DF55ECC">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4420A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C54C146">
            <w:pPr>
              <w:snapToGrid w:val="0"/>
              <w:spacing w:line="360" w:lineRule="auto"/>
              <w:jc w:val="center"/>
              <w:rPr>
                <w:rFonts w:hint="eastAsia" w:ascii="仿宋" w:hAnsi="仿宋" w:eastAsia="仿宋" w:cs="仿宋"/>
                <w:sz w:val="24"/>
              </w:rPr>
            </w:pPr>
          </w:p>
          <w:p w14:paraId="69C53F4A">
            <w:pPr>
              <w:snapToGrid w:val="0"/>
              <w:spacing w:line="360" w:lineRule="auto"/>
              <w:jc w:val="center"/>
              <w:rPr>
                <w:rFonts w:hint="eastAsia" w:ascii="仿宋" w:hAnsi="仿宋" w:eastAsia="仿宋" w:cs="仿宋"/>
                <w:sz w:val="24"/>
              </w:rPr>
            </w:pPr>
          </w:p>
          <w:p w14:paraId="0A326144">
            <w:pPr>
              <w:snapToGrid w:val="0"/>
              <w:spacing w:line="360" w:lineRule="auto"/>
              <w:jc w:val="center"/>
              <w:rPr>
                <w:rFonts w:hint="eastAsia" w:ascii="仿宋" w:hAnsi="仿宋" w:eastAsia="仿宋" w:cs="仿宋"/>
                <w:sz w:val="24"/>
              </w:rPr>
            </w:pPr>
          </w:p>
          <w:p w14:paraId="63BAF8BB">
            <w:pPr>
              <w:snapToGrid w:val="0"/>
              <w:spacing w:line="360" w:lineRule="auto"/>
              <w:jc w:val="center"/>
              <w:rPr>
                <w:rFonts w:hint="eastAsia" w:ascii="仿宋" w:hAnsi="仿宋" w:eastAsia="仿宋" w:cs="仿宋"/>
                <w:sz w:val="24"/>
              </w:rPr>
            </w:pPr>
          </w:p>
          <w:p w14:paraId="4C8D4B6A">
            <w:pPr>
              <w:snapToGrid w:val="0"/>
              <w:spacing w:line="360" w:lineRule="auto"/>
              <w:jc w:val="center"/>
              <w:rPr>
                <w:rFonts w:hint="eastAsia" w:ascii="仿宋" w:hAnsi="仿宋" w:eastAsia="仿宋" w:cs="仿宋"/>
                <w:sz w:val="24"/>
              </w:rPr>
            </w:pPr>
          </w:p>
          <w:p w14:paraId="40DAA569">
            <w:pPr>
              <w:snapToGrid w:val="0"/>
              <w:spacing w:line="360" w:lineRule="auto"/>
              <w:jc w:val="center"/>
              <w:rPr>
                <w:rFonts w:hint="eastAsia" w:ascii="仿宋" w:hAnsi="仿宋" w:eastAsia="仿宋" w:cs="仿宋"/>
                <w:sz w:val="24"/>
              </w:rPr>
            </w:pPr>
          </w:p>
          <w:p w14:paraId="08D413A2">
            <w:pPr>
              <w:snapToGrid w:val="0"/>
              <w:spacing w:line="360" w:lineRule="auto"/>
              <w:jc w:val="center"/>
              <w:rPr>
                <w:rFonts w:hint="eastAsia" w:ascii="仿宋" w:hAnsi="仿宋" w:eastAsia="仿宋" w:cs="仿宋"/>
                <w:sz w:val="24"/>
              </w:rPr>
            </w:pPr>
          </w:p>
          <w:p w14:paraId="753B1A05">
            <w:pPr>
              <w:snapToGrid w:val="0"/>
              <w:spacing w:line="360" w:lineRule="auto"/>
              <w:jc w:val="center"/>
              <w:rPr>
                <w:rFonts w:hint="eastAsia" w:ascii="仿宋" w:hAnsi="仿宋" w:eastAsia="仿宋" w:cs="仿宋"/>
                <w:sz w:val="24"/>
              </w:rPr>
            </w:pPr>
          </w:p>
          <w:p w14:paraId="0C2F1733">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3FB4D55">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80607">
            <w:pPr>
              <w:spacing w:line="360" w:lineRule="auto"/>
              <w:rPr>
                <w:rFonts w:hint="eastAsia" w:ascii="仿宋" w:hAnsi="仿宋" w:eastAsia="仿宋" w:cs="仿宋"/>
                <w:sz w:val="24"/>
              </w:rPr>
            </w:pPr>
            <w:sdt>
              <w:sdtPr>
                <w:rPr>
                  <w:rFonts w:hint="eastAsia" w:ascii="仿宋" w:hAnsi="仿宋" w:eastAsia="仿宋" w:cs="仿宋"/>
                  <w:kern w:val="0"/>
                  <w:sz w:val="24"/>
                </w:rPr>
                <w:id w:val="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4273C744">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B组织。</w:t>
            </w:r>
          </w:p>
          <w:p w14:paraId="0CEA049D">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15</w:t>
            </w:r>
            <w:r>
              <w:rPr>
                <w:rFonts w:hint="eastAsia" w:ascii="仿宋" w:hAnsi="仿宋" w:eastAsia="仿宋" w:cs="仿宋"/>
                <w:kern w:val="0"/>
                <w:sz w:val="24"/>
              </w:rPr>
              <w:t>分钟，讲解次序以投标文件解密时间先后次序为准。讲解演示结束后按要求解答评标委员会提问。</w:t>
            </w:r>
          </w:p>
          <w:p w14:paraId="388E0CA2">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（2）方案讲解演示采用以下方式：</w:t>
            </w:r>
          </w:p>
          <w:p w14:paraId="6368D15D">
            <w:pPr>
              <w:pStyle w:val="25"/>
              <w:ind w:firstLine="480" w:firstLineChars="200"/>
              <w:rPr>
                <w:rFonts w:hint="eastAsia" w:ascii="仿宋" w:hAnsi="仿宋" w:eastAsia="仿宋" w:cs="仿宋"/>
              </w:rPr>
            </w:pPr>
            <w:r>
              <w:rPr>
                <w:rFonts w:hint="eastAsia" w:ascii="仿宋" w:hAnsi="仿宋" w:eastAsia="仿宋" w:cs="仿宋"/>
              </w:rPr>
              <w:t>演示视频在</w:t>
            </w:r>
            <w:r>
              <w:rPr>
                <w:rFonts w:hint="eastAsia" w:ascii="仿宋" w:hAnsi="仿宋" w:eastAsia="仿宋" w:cs="仿宋"/>
                <w:b/>
                <w:bCs/>
                <w:color w:val="FF0000"/>
              </w:rPr>
              <w:t>202</w:t>
            </w:r>
            <w:r>
              <w:rPr>
                <w:rFonts w:hint="eastAsia" w:ascii="仿宋" w:hAnsi="仿宋" w:eastAsia="仿宋" w:cs="仿宋"/>
                <w:b/>
                <w:bCs/>
                <w:color w:val="FF0000"/>
                <w:lang w:val="en-US" w:eastAsia="zh-CN"/>
              </w:rPr>
              <w:t>5</w:t>
            </w:r>
            <w:r>
              <w:rPr>
                <w:rFonts w:hint="eastAsia" w:ascii="仿宋" w:hAnsi="仿宋" w:eastAsia="仿宋" w:cs="仿宋"/>
                <w:b/>
                <w:bCs/>
                <w:color w:val="FF0000"/>
              </w:rPr>
              <w:t>年</w:t>
            </w:r>
            <w:r>
              <w:rPr>
                <w:rFonts w:hint="eastAsia" w:ascii="仿宋" w:hAnsi="仿宋" w:eastAsia="仿宋" w:cs="仿宋"/>
                <w:b/>
                <w:bCs/>
                <w:color w:val="FF0000"/>
                <w:lang w:val="en-US" w:eastAsia="zh-CN"/>
              </w:rPr>
              <w:t>8</w:t>
            </w:r>
            <w:r>
              <w:rPr>
                <w:rFonts w:hint="eastAsia" w:ascii="仿宋" w:hAnsi="仿宋" w:eastAsia="仿宋" w:cs="仿宋"/>
                <w:b/>
                <w:bCs/>
                <w:color w:val="FF0000"/>
              </w:rPr>
              <w:t>月</w:t>
            </w:r>
            <w:r>
              <w:rPr>
                <w:rFonts w:hint="eastAsia" w:ascii="仿宋" w:hAnsi="仿宋" w:eastAsia="仿宋" w:cs="仿宋"/>
                <w:b/>
                <w:bCs/>
                <w:color w:val="FF0000"/>
                <w:lang w:val="en-US" w:eastAsia="zh-CN"/>
              </w:rPr>
              <w:t>7</w:t>
            </w:r>
            <w:r>
              <w:rPr>
                <w:rFonts w:hint="eastAsia" w:ascii="仿宋" w:hAnsi="仿宋" w:eastAsia="仿宋" w:cs="仿宋"/>
                <w:b/>
                <w:bCs/>
                <w:color w:val="FF0000"/>
              </w:rPr>
              <w:t>日17时前</w:t>
            </w:r>
            <w:r>
              <w:rPr>
                <w:rFonts w:hint="eastAsia" w:ascii="仿宋" w:hAnsi="仿宋" w:eastAsia="仿宋" w:cs="仿宋"/>
              </w:rPr>
              <w:t>以U盘形式寄送至江山市政府采购</w:t>
            </w:r>
            <w:r>
              <w:rPr>
                <w:rFonts w:hint="eastAsia" w:ascii="仿宋" w:hAnsi="仿宋" w:eastAsia="仿宋" w:cs="仿宋"/>
                <w:color w:val="000000" w:themeColor="text1"/>
                <w14:textFill>
                  <w14:solidFill>
                    <w14:schemeClr w14:val="tx1"/>
                  </w14:solidFill>
                </w14:textFill>
              </w:rPr>
              <w:t>中心（地址：</w:t>
            </w:r>
            <w:r>
              <w:rPr>
                <w:rFonts w:hint="eastAsia" w:ascii="仿宋" w:hAnsi="仿宋" w:eastAsia="仿宋" w:cs="仿宋"/>
                <w:color w:val="000000" w:themeColor="text1"/>
                <w:sz w:val="24"/>
                <w14:textFill>
                  <w14:solidFill>
                    <w14:schemeClr w14:val="tx1"/>
                  </w14:solidFill>
                </w14:textFill>
              </w:rPr>
              <w:t>江山市虎山街道景星西路万商城12号楼四楼</w:t>
            </w:r>
            <w:r>
              <w:rPr>
                <w:rFonts w:hint="eastAsia" w:ascii="仿宋" w:hAnsi="仿宋" w:eastAsia="仿宋" w:cs="仿宋"/>
                <w:color w:val="000000" w:themeColor="text1"/>
                <w:lang w:val="en-US" w:eastAsia="zh-CN"/>
                <w14:textFill>
                  <w14:solidFill>
                    <w14:schemeClr w14:val="tx1"/>
                  </w14:solidFill>
                </w14:textFill>
              </w:rPr>
              <w:t xml:space="preserve">419室 </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rPr>
              <w:t>演示视频需打包压缩并加密，外包装标明公司名称、项目名称及所投标项</w:t>
            </w:r>
            <w:bookmarkStart w:id="559" w:name="_GoBack"/>
            <w:bookmarkEnd w:id="559"/>
            <w:r>
              <w:rPr>
                <w:rFonts w:hint="eastAsia" w:ascii="仿宋" w:hAnsi="仿宋" w:eastAsia="仿宋" w:cs="仿宋"/>
              </w:rPr>
              <w:t>，加密密码由供应商自行保管，请周一至周五上班时间邮寄或直接送达，开标当天根据询标获得密码，演示时长不超过</w:t>
            </w:r>
            <w:r>
              <w:rPr>
                <w:rFonts w:hint="eastAsia" w:ascii="仿宋" w:hAnsi="仿宋" w:eastAsia="仿宋" w:cs="仿宋"/>
                <w:lang w:val="en-US"/>
              </w:rPr>
              <w:t>15</w:t>
            </w:r>
            <w:r>
              <w:rPr>
                <w:rFonts w:hint="eastAsia" w:ascii="仿宋" w:hAnsi="仿宋" w:eastAsia="仿宋" w:cs="仿宋"/>
              </w:rPr>
              <w:t>分钟。邮寄因故延误或中心不能及时收到U盘或光盘的、或邮寄过程中U盘或光盘发生遗失、损坏、或因延期送达导致U盘或光盘不被接收等情况的，由投标人自行承担风险及责任。</w:t>
            </w:r>
          </w:p>
          <w:p w14:paraId="716AE89B">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EDD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4A384189">
            <w:pPr>
              <w:snapToGrid w:val="0"/>
              <w:spacing w:line="360" w:lineRule="auto"/>
              <w:jc w:val="center"/>
              <w:rPr>
                <w:rFonts w:hint="eastAsia" w:ascii="仿宋" w:hAnsi="仿宋" w:eastAsia="仿宋" w:cs="仿宋"/>
                <w:sz w:val="24"/>
              </w:rPr>
            </w:pPr>
          </w:p>
          <w:p w14:paraId="1AE3D578">
            <w:pPr>
              <w:snapToGrid w:val="0"/>
              <w:spacing w:line="360" w:lineRule="auto"/>
              <w:jc w:val="center"/>
              <w:rPr>
                <w:rFonts w:hint="eastAsia" w:ascii="仿宋" w:hAnsi="仿宋" w:eastAsia="仿宋" w:cs="仿宋"/>
                <w:sz w:val="24"/>
              </w:rPr>
            </w:pPr>
          </w:p>
          <w:p w14:paraId="40A8D89D">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4425976E">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84B5A9D">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2D2DA59E">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19D1E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73CA711C">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735530F5">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2E7E4D8">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1E35C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1AC897F3">
            <w:pPr>
              <w:snapToGrid w:val="0"/>
              <w:spacing w:line="360" w:lineRule="auto"/>
              <w:jc w:val="center"/>
              <w:rPr>
                <w:rFonts w:hint="eastAsia" w:ascii="仿宋" w:hAnsi="仿宋" w:eastAsia="仿宋" w:cs="仿宋"/>
                <w:sz w:val="24"/>
              </w:rPr>
            </w:pPr>
          </w:p>
          <w:p w14:paraId="3FFD8B7F">
            <w:pPr>
              <w:snapToGrid w:val="0"/>
              <w:spacing w:line="360" w:lineRule="auto"/>
              <w:jc w:val="center"/>
              <w:rPr>
                <w:rFonts w:hint="eastAsia" w:ascii="仿宋" w:hAnsi="仿宋" w:eastAsia="仿宋" w:cs="仿宋"/>
                <w:sz w:val="24"/>
              </w:rPr>
            </w:pPr>
          </w:p>
          <w:p w14:paraId="6BF38D2D">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B2F714">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1FE8B5E">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C9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1ABD99C0">
            <w:pPr>
              <w:snapToGrid w:val="0"/>
              <w:spacing w:line="360" w:lineRule="auto"/>
              <w:jc w:val="center"/>
              <w:rPr>
                <w:rFonts w:hint="eastAsia" w:ascii="仿宋" w:hAnsi="仿宋" w:eastAsia="仿宋" w:cs="仿宋"/>
                <w:sz w:val="24"/>
              </w:rPr>
            </w:pPr>
          </w:p>
          <w:p w14:paraId="2B49DD67">
            <w:pPr>
              <w:snapToGrid w:val="0"/>
              <w:spacing w:line="360" w:lineRule="auto"/>
              <w:jc w:val="center"/>
              <w:rPr>
                <w:rFonts w:hint="eastAsia" w:ascii="仿宋" w:hAnsi="仿宋" w:eastAsia="仿宋" w:cs="仿宋"/>
                <w:sz w:val="24"/>
              </w:rPr>
            </w:pPr>
          </w:p>
          <w:p w14:paraId="58CDFD40">
            <w:pPr>
              <w:snapToGrid w:val="0"/>
              <w:spacing w:line="360" w:lineRule="auto"/>
              <w:jc w:val="center"/>
              <w:rPr>
                <w:rFonts w:hint="eastAsia" w:ascii="仿宋" w:hAnsi="仿宋" w:eastAsia="仿宋" w:cs="仿宋"/>
                <w:sz w:val="24"/>
              </w:rPr>
            </w:pPr>
          </w:p>
          <w:p w14:paraId="30286498">
            <w:pPr>
              <w:snapToGrid w:val="0"/>
              <w:spacing w:line="360" w:lineRule="auto"/>
              <w:jc w:val="center"/>
              <w:rPr>
                <w:rFonts w:hint="eastAsia" w:ascii="仿宋" w:hAnsi="仿宋" w:eastAsia="仿宋" w:cs="仿宋"/>
                <w:sz w:val="24"/>
              </w:rPr>
            </w:pPr>
          </w:p>
          <w:p w14:paraId="0780ACEA">
            <w:pPr>
              <w:snapToGrid w:val="0"/>
              <w:spacing w:line="360" w:lineRule="auto"/>
              <w:jc w:val="center"/>
              <w:rPr>
                <w:rFonts w:hint="eastAsia" w:ascii="仿宋" w:hAnsi="仿宋" w:eastAsia="仿宋" w:cs="仿宋"/>
                <w:sz w:val="24"/>
              </w:rPr>
            </w:pPr>
          </w:p>
          <w:p w14:paraId="572F19AF">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9BC45DA">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3E79F86">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0FF15C08">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20FFDD7">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6F6987F6">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47512564">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01ED738F">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2867A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tcPr>
          <w:p w14:paraId="184EFF8C">
            <w:pPr>
              <w:snapToGrid w:val="0"/>
              <w:spacing w:line="360" w:lineRule="auto"/>
              <w:jc w:val="center"/>
              <w:rPr>
                <w:rFonts w:hint="eastAsia" w:ascii="仿宋" w:hAnsi="仿宋" w:eastAsia="仿宋" w:cs="仿宋"/>
                <w:sz w:val="24"/>
              </w:rPr>
            </w:pPr>
          </w:p>
          <w:p w14:paraId="3B7368B8">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09698661">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1E24CF0E">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1305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7F26DA9C">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3535302">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1DDDC09">
            <w:pPr>
              <w:snapToGrid w:val="0"/>
              <w:spacing w:line="400" w:lineRule="exact"/>
              <w:rPr>
                <w:rFonts w:hint="eastAsia" w:ascii="仿宋" w:hAnsi="仿宋" w:eastAsia="仿宋" w:cs="仿宋"/>
                <w:snapToGrid w:val="0"/>
                <w:kern w:val="28"/>
                <w:sz w:val="24"/>
              </w:rPr>
            </w:pPr>
            <w:r>
              <w:rPr>
                <w:rFonts w:hint="eastAsia" w:ascii="仿宋" w:hAnsi="仿宋" w:eastAsia="仿宋" w:cs="仿宋"/>
                <w:snapToGrid w:val="0"/>
                <w:kern w:val="28"/>
                <w:sz w:val="24"/>
              </w:rPr>
              <w:t>投标人请准备电子投标文件、电子备份投标文件：</w:t>
            </w:r>
          </w:p>
          <w:p w14:paraId="21D13327">
            <w:pPr>
              <w:snapToGrid w:val="0"/>
              <w:spacing w:line="400" w:lineRule="exact"/>
              <w:rPr>
                <w:rFonts w:hint="eastAsia" w:ascii="仿宋" w:hAnsi="仿宋" w:eastAsia="仿宋" w:cs="仿宋"/>
                <w:snapToGrid w:val="0"/>
                <w:kern w:val="28"/>
                <w:sz w:val="24"/>
              </w:rPr>
            </w:pPr>
            <w:r>
              <w:rPr>
                <w:rFonts w:hint="eastAsia" w:ascii="仿宋" w:hAnsi="仿宋" w:eastAsia="仿宋" w:cs="仿宋"/>
                <w:snapToGrid w:val="0"/>
                <w:kern w:val="28"/>
                <w:sz w:val="24"/>
              </w:rPr>
              <w:t>（1）电子投标文件，按政采云平台供应商项目采购-电子招投标操作指南（网址：https://help.zcygov.cn/web/site_2/2018/12-28/2573.html）及本招标文件要求递交。</w:t>
            </w:r>
          </w:p>
          <w:p w14:paraId="233BDAF1">
            <w:pPr>
              <w:snapToGrid w:val="0"/>
              <w:spacing w:line="400" w:lineRule="exact"/>
              <w:rPr>
                <w:rFonts w:hint="eastAsia" w:ascii="仿宋" w:hAnsi="仿宋" w:eastAsia="仿宋" w:cs="仿宋"/>
                <w:snapToGrid w:val="0"/>
                <w:kern w:val="28"/>
                <w:sz w:val="24"/>
              </w:rPr>
            </w:pPr>
            <w:r>
              <w:rPr>
                <w:rFonts w:hint="eastAsia" w:ascii="仿宋" w:hAnsi="仿宋" w:eastAsia="仿宋" w:cs="仿宋"/>
                <w:snapToGrid w:val="0"/>
                <w:kern w:val="28"/>
                <w:sz w:val="24"/>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41EA0B93">
            <w:pPr>
              <w:spacing w:line="400" w:lineRule="exact"/>
              <w:ind w:firstLine="482" w:firstLineChars="200"/>
              <w:rPr>
                <w:rFonts w:hint="eastAsia" w:ascii="仿宋" w:hAnsi="仿宋" w:eastAsia="仿宋" w:cs="仿宋"/>
                <w:b/>
                <w:bCs/>
                <w:color w:val="FF0000"/>
                <w:sz w:val="24"/>
                <w:u w:val="single"/>
              </w:rPr>
            </w:pPr>
            <w:r>
              <w:rPr>
                <w:rFonts w:hint="eastAsia" w:ascii="仿宋" w:hAnsi="仿宋" w:eastAsia="仿宋" w:cs="仿宋"/>
                <w:b/>
                <w:bCs/>
                <w:color w:val="FF0000"/>
                <w:sz w:val="24"/>
                <w:u w:val="single"/>
              </w:rPr>
              <w:t>（3）中标供应商应在中标后提供一份纸质投标文件【正本】（包括资格文件、商务技术文件和报价文件，分别装订成册并每页加盖公章）给采购单位。</w:t>
            </w:r>
          </w:p>
          <w:p w14:paraId="4FD0D40A">
            <w:pPr>
              <w:spacing w:line="400" w:lineRule="exact"/>
              <w:ind w:firstLine="482" w:firstLineChars="200"/>
              <w:rPr>
                <w:rFonts w:hint="eastAsia" w:ascii="仿宋" w:hAnsi="仿宋" w:eastAsia="仿宋" w:cs="仿宋"/>
                <w:b/>
                <w:bCs/>
                <w:color w:val="FF0000"/>
                <w:sz w:val="24"/>
                <w:u w:val="single"/>
              </w:rPr>
            </w:pPr>
            <w:r>
              <w:rPr>
                <w:rFonts w:hint="eastAsia" w:ascii="仿宋" w:hAnsi="仿宋" w:eastAsia="仿宋" w:cs="仿宋"/>
                <w:b/>
                <w:bCs/>
                <w:color w:val="FF0000"/>
                <w:sz w:val="24"/>
                <w:u w:val="single"/>
              </w:rPr>
              <w:t>一份纸质投标文件【副本】（包括资格文件、商务技术文件和报价文件，分别装订成册并每页加盖公章）给采购单位。</w:t>
            </w:r>
          </w:p>
          <w:p w14:paraId="1E6B67A0">
            <w:pPr>
              <w:pStyle w:val="35"/>
              <w:spacing w:line="360" w:lineRule="auto"/>
              <w:rPr>
                <w:rFonts w:hint="eastAsia" w:ascii="仿宋" w:hAnsi="仿宋" w:eastAsia="仿宋" w:cs="仿宋"/>
                <w:kern w:val="28"/>
                <w:sz w:val="24"/>
              </w:rPr>
            </w:pPr>
            <w:r>
              <w:rPr>
                <w:rFonts w:hint="eastAsia" w:ascii="仿宋" w:hAnsi="仿宋" w:eastAsia="仿宋" w:cs="仿宋"/>
                <w:kern w:val="28"/>
                <w:sz w:val="24"/>
              </w:rPr>
              <w:t>（4）投标文件均由商务资信文件、技术文件和报价文件组成。</w:t>
            </w:r>
          </w:p>
        </w:tc>
      </w:tr>
      <w:tr w14:paraId="1BB81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tcPr>
          <w:p w14:paraId="0699AB7D">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14:paraId="3DE0382B">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ACC5979">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47402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auto" w:sz="4" w:space="0"/>
              <w:right w:val="single" w:color="000000" w:sz="2" w:space="0"/>
            </w:tcBorders>
          </w:tcPr>
          <w:p w14:paraId="3C5F4DEF">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14:paraId="220A879E">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725CA4D">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2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189475B3">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05257013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14:paraId="388D9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2DAEED35">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3D7AA1B1">
            <w:pPr>
              <w:spacing w:line="400" w:lineRule="exact"/>
              <w:rPr>
                <w:rFonts w:hint="eastAsia" w:ascii="仿宋" w:hAnsi="仿宋" w:eastAsia="仿宋" w:cs="仿宋"/>
                <w:b/>
                <w:sz w:val="24"/>
              </w:rPr>
            </w:pPr>
            <w:r>
              <w:rPr>
                <w:rFonts w:hint="eastAsia" w:ascii="仿宋" w:hAnsi="仿宋" w:eastAsia="仿宋" w:cs="仿宋"/>
                <w:b/>
                <w:bCs/>
                <w:snapToGrid w:val="0"/>
                <w:kern w:val="28"/>
                <w:sz w:val="24"/>
              </w:rPr>
              <w:t>电子备份投标文件的递交</w:t>
            </w:r>
          </w:p>
        </w:tc>
        <w:tc>
          <w:tcPr>
            <w:tcW w:w="6095" w:type="dxa"/>
            <w:tcBorders>
              <w:top w:val="single" w:color="auto" w:sz="4" w:space="0"/>
              <w:left w:val="single" w:color="000000" w:sz="2" w:space="0"/>
              <w:bottom w:val="single" w:color="000000" w:sz="8" w:space="0"/>
              <w:right w:val="single" w:color="000000" w:sz="8" w:space="0"/>
            </w:tcBorders>
            <w:vAlign w:val="center"/>
          </w:tcPr>
          <w:p w14:paraId="16ECFBF9">
            <w:pPr>
              <w:spacing w:line="400" w:lineRule="exact"/>
              <w:rPr>
                <w:rFonts w:hint="eastAsia" w:ascii="仿宋" w:hAnsi="仿宋" w:eastAsia="仿宋" w:cs="仿宋"/>
                <w:kern w:val="0"/>
                <w:sz w:val="24"/>
              </w:rPr>
            </w:pPr>
            <w:r>
              <w:fldChar w:fldCharType="begin"/>
            </w:r>
            <w:r>
              <w:instrText xml:space="preserve"> HYPERLINK "mailto: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 </w:instrText>
            </w:r>
            <w:r>
              <w:fldChar w:fldCharType="separate"/>
            </w:r>
            <w:r>
              <w:rPr>
                <w:rFonts w:hint="eastAsia" w:ascii="仿宋" w:hAnsi="仿宋" w:eastAsia="仿宋" w:cs="仿宋"/>
                <w:snapToGrid w:val="0"/>
                <w:kern w:val="28"/>
                <w:sz w:val="24"/>
              </w:rPr>
              <w:t>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w:t>
            </w:r>
            <w:r>
              <w:rPr>
                <w:rFonts w:hint="eastAsia" w:ascii="仿宋" w:hAnsi="仿宋" w:eastAsia="仿宋" w:cs="仿宋"/>
                <w:snapToGrid w:val="0"/>
                <w:kern w:val="28"/>
                <w:sz w:val="24"/>
              </w:rPr>
              <w:fldChar w:fldCharType="end"/>
            </w:r>
          </w:p>
        </w:tc>
      </w:tr>
    </w:tbl>
    <w:p w14:paraId="6A38FE11">
      <w:pPr>
        <w:snapToGrid w:val="0"/>
        <w:spacing w:line="360" w:lineRule="auto"/>
        <w:jc w:val="center"/>
        <w:rPr>
          <w:rFonts w:hint="eastAsia" w:ascii="仿宋" w:hAnsi="仿宋" w:eastAsia="仿宋" w:cs="仿宋"/>
          <w:b/>
          <w:sz w:val="32"/>
          <w:szCs w:val="20"/>
        </w:rPr>
      </w:pPr>
    </w:p>
    <w:bookmarkEnd w:id="10"/>
    <w:p w14:paraId="7BC72726">
      <w:pPr>
        <w:adjustRightInd/>
        <w:spacing w:line="360" w:lineRule="auto"/>
        <w:ind w:firstLine="3845" w:firstLineChars="1197"/>
        <w:outlineLvl w:val="0"/>
        <w:rPr>
          <w:rFonts w:hint="eastAsia" w:ascii="仿宋" w:hAnsi="仿宋" w:eastAsia="仿宋" w:cs="仿宋"/>
          <w:b/>
          <w:sz w:val="32"/>
          <w:szCs w:val="20"/>
        </w:rPr>
      </w:pPr>
      <w:bookmarkStart w:id="13" w:name="第三部分"/>
      <w:bookmarkStart w:id="14" w:name="_Toc164416483"/>
      <w:r>
        <w:rPr>
          <w:rFonts w:hint="eastAsia" w:ascii="仿宋" w:hAnsi="仿宋" w:eastAsia="仿宋" w:cs="仿宋"/>
          <w:b/>
          <w:sz w:val="32"/>
          <w:szCs w:val="20"/>
        </w:rPr>
        <w:t>一、总则</w:t>
      </w:r>
    </w:p>
    <w:p w14:paraId="2F571910">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1. 适用范围</w:t>
      </w:r>
    </w:p>
    <w:p w14:paraId="7A68D80B">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D2789CA">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2.定义</w:t>
      </w:r>
    </w:p>
    <w:p w14:paraId="503C0EF2">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B356335">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206C0650">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0D95D9D4">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059C119">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9184CE">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5F443CFB">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1FAF53ED">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4869CD6F">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4387CE1C">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2863BB22">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49C888DE">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2088375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0C15EAEA">
      <w:pPr>
        <w:spacing w:line="360" w:lineRule="auto"/>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27F6936">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3EF1998E">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1EA232">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1BC61A8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BBD487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4282904C">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sz w:val="24"/>
        </w:rPr>
        <w:t>联合协议或者分包意向协议约定小微企业的合同份额占到合同总金额30%以上的</w:t>
      </w:r>
      <w:bookmarkEnd w:id="16"/>
      <w:r>
        <w:rPr>
          <w:rFonts w:hint="eastAsia" w:ascii="仿宋" w:hAnsi="仿宋" w:eastAsia="仿宋" w:cs="仿宋"/>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14:paraId="120E3E92">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0347F3B">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2B6E3A">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288C76">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0C2DA993">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14A5D4C6">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10C38798">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0CA4DCD">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7792C10C">
      <w:pPr>
        <w:spacing w:line="360" w:lineRule="auto"/>
        <w:ind w:firstLine="480" w:firstLineChars="200"/>
        <w:rPr>
          <w:rFonts w:hint="eastAsia"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rPr>
        <w:t>4. 询问、质疑、投诉</w:t>
      </w:r>
    </w:p>
    <w:p w14:paraId="40E71746">
      <w:pPr>
        <w:pStyle w:val="891"/>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4.1在线询问、质疑、投诉</w:t>
      </w:r>
    </w:p>
    <w:p w14:paraId="30B06F83">
      <w:pPr>
        <w:pStyle w:val="891"/>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BBA20">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08F6AF01">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5C342B">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572A68DA">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CB39FF1">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0E4F5DF">
      <w:pPr>
        <w:pStyle w:val="16"/>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68CBD60C">
      <w:pPr>
        <w:pStyle w:val="35"/>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3111662C">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4012B213">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746A3928">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0DA894D3">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475BAFE0">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7BE1CC90">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59BA9133">
      <w:pPr>
        <w:pStyle w:val="35"/>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0B3CCD08">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30C1F6EA">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0FC50CFE">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24118A4B">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采购代理机构在质疑回复后5个工作日内，在浙江政府采购网的“其他公告”栏目公开质疑答复，答复内容应当完整。质疑函作为附件上传</w:t>
      </w:r>
    </w:p>
    <w:p w14:paraId="2DC37A7F">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389869FF">
      <w:pPr>
        <w:pStyle w:val="891"/>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6985F23E">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17BB7FB6">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59E521A5">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4DE4E532">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6AE3D590">
      <w:pPr>
        <w:pStyle w:val="891"/>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4.4.5政府采购项目投诉材料可寄送至江山市财政局采监科，地址：衢州市江山市鹿溪中路240号5楼采监科办公室，收件人：王科长，电话：0570-4033881。</w:t>
      </w:r>
    </w:p>
    <w:p w14:paraId="4C88372A">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673CC58E">
      <w:pPr>
        <w:pStyle w:val="133"/>
        <w:snapToGrid w:val="0"/>
        <w:spacing w:before="0"/>
        <w:ind w:firstLine="360"/>
        <w:rPr>
          <w:rFonts w:hint="eastAsia" w:ascii="仿宋" w:hAnsi="仿宋" w:eastAsia="仿宋" w:cs="仿宋"/>
          <w:sz w:val="18"/>
          <w:szCs w:val="18"/>
        </w:rPr>
      </w:pPr>
    </w:p>
    <w:p w14:paraId="41CA1AF8">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3FCDCCA1">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B4E8FF8">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0C0B2859">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01A1B3F6">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34B30DE4">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703E6461">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0D0786E5">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06BC7AF">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7DDAE56C">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304BC066">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3E8C8F5B">
      <w:pPr>
        <w:pStyle w:val="133"/>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65E15863">
      <w:pPr>
        <w:pStyle w:val="133"/>
        <w:snapToGrid w:val="0"/>
        <w:spacing w:before="0"/>
        <w:ind w:firstLine="480"/>
        <w:rPr>
          <w:rFonts w:hint="eastAsia"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DBF73EA">
      <w:pPr>
        <w:pStyle w:val="25"/>
        <w:tabs>
          <w:tab w:val="left" w:pos="6920"/>
        </w:tabs>
        <w:rPr>
          <w:rFonts w:hint="eastAsia" w:ascii="仿宋" w:hAnsi="仿宋" w:eastAsia="仿宋" w:cs="仿宋"/>
          <w:sz w:val="18"/>
          <w:szCs w:val="18"/>
          <w:lang w:val="en-US"/>
        </w:rPr>
      </w:pPr>
      <w:r>
        <w:rPr>
          <w:rFonts w:hint="eastAsia" w:ascii="仿宋" w:hAnsi="仿宋" w:eastAsia="仿宋" w:cs="仿宋"/>
          <w:szCs w:val="24"/>
          <w:lang w:val="en-US"/>
        </w:rPr>
        <w:t xml:space="preserve">    </w:t>
      </w:r>
      <w:r>
        <w:rPr>
          <w:rFonts w:hint="eastAsia" w:ascii="仿宋" w:hAnsi="仿宋" w:eastAsia="仿宋" w:cs="仿宋"/>
          <w:szCs w:val="24"/>
          <w:lang w:val="en-US"/>
        </w:rPr>
        <w:tab/>
      </w:r>
    </w:p>
    <w:p w14:paraId="56C7FDA8">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5F7CD265">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2242ABCD">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69D6FA0B">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7FC39973">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17BCC505">
      <w:pPr>
        <w:pStyle w:val="35"/>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038AD958">
      <w:pPr>
        <w:pStyle w:val="1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383AD0E">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4D1F1910">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26AB945B">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4795BD11">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11.1资格文件：</w:t>
      </w:r>
    </w:p>
    <w:p w14:paraId="45ABF955">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▲11.1.1符合参加政府采购活动应当具备的一般条件的承诺函；</w:t>
      </w:r>
    </w:p>
    <w:p w14:paraId="4A11A358">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11.1.2联合协议（如果有)；</w:t>
      </w:r>
    </w:p>
    <w:p w14:paraId="404F0FF3">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▲11.1.3营业执照(或事业法人登记证或其他工商等登记证明材料)彩色扫描件；</w:t>
      </w:r>
    </w:p>
    <w:p w14:paraId="4FF696A8">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11.1.4落实政府采购政策需满足的资格要求（如果有)；</w:t>
      </w:r>
    </w:p>
    <w:p w14:paraId="71886F29">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11.1.5本项目的特定资格要求（如果有)。</w:t>
      </w:r>
    </w:p>
    <w:p w14:paraId="014D2073">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▲11.1.6政府采购活动现场确认声明书；</w:t>
      </w:r>
    </w:p>
    <w:p w14:paraId="4DD9A570">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11.2  商务技术文件：</w:t>
      </w:r>
    </w:p>
    <w:p w14:paraId="7CC145BB">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 xml:space="preserve">▲11.2.1投标函； </w:t>
      </w:r>
    </w:p>
    <w:p w14:paraId="63088A58">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▲11.2.2授权委托书或法定代表人（单位负责人、自然人本人）身份证明；</w:t>
      </w:r>
    </w:p>
    <w:p w14:paraId="1A5628EC">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11.2.3分包意向协议（如果有)；</w:t>
      </w:r>
    </w:p>
    <w:p w14:paraId="322813FE">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11.2.4符合性审查资料；</w:t>
      </w:r>
    </w:p>
    <w:p w14:paraId="3D1DD90A">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11.2.5评标标准相应的商务技术资料；</w:t>
      </w:r>
    </w:p>
    <w:p w14:paraId="14FD278E">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▲11.2.6投标标的清单；</w:t>
      </w:r>
    </w:p>
    <w:p w14:paraId="59970238">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▲11.2.7商务技术偏离表；</w:t>
      </w:r>
    </w:p>
    <w:p w14:paraId="226C6D50">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▲11.2.8政府采购供应商廉洁自律承诺书；</w:t>
      </w:r>
    </w:p>
    <w:p w14:paraId="413E7BF4">
      <w:pPr>
        <w:spacing w:line="360" w:lineRule="auto"/>
        <w:ind w:firstLine="723" w:firstLineChars="300"/>
        <w:rPr>
          <w:rFonts w:hint="eastAsia" w:ascii="仿宋" w:hAnsi="仿宋" w:eastAsia="仿宋" w:cs="仿宋"/>
          <w:bCs/>
          <w:sz w:val="24"/>
        </w:rPr>
      </w:pPr>
      <w:r>
        <w:rPr>
          <w:rFonts w:hint="eastAsia" w:ascii="仿宋" w:hAnsi="仿宋" w:eastAsia="仿宋" w:cs="仿宋"/>
          <w:b/>
          <w:sz w:val="24"/>
        </w:rPr>
        <w:t>11.3报价文件：</w:t>
      </w:r>
      <w:r>
        <w:rPr>
          <w:rFonts w:hint="eastAsia" w:ascii="仿宋" w:hAnsi="仿宋" w:eastAsia="仿宋" w:cs="仿宋"/>
          <w:bCs/>
          <w:sz w:val="24"/>
        </w:rPr>
        <w:t xml:space="preserve"> </w:t>
      </w:r>
    </w:p>
    <w:p w14:paraId="16365F75">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▲11.3.1开标一览表（报价表）；</w:t>
      </w:r>
    </w:p>
    <w:p w14:paraId="0CAAB0A4">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11.3.2中小企业声明函。</w:t>
      </w:r>
    </w:p>
    <w:p w14:paraId="679D19D8">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351A4928">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645CF5A7">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12</w:t>
      </w:r>
      <w:r>
        <w:rPr>
          <w:rFonts w:hint="eastAsia" w:ascii="仿宋" w:hAnsi="仿宋" w:eastAsia="仿宋" w:cs="仿宋"/>
          <w:b/>
          <w:sz w:val="24"/>
          <w:lang w:val="zh-CN"/>
        </w:rPr>
        <w:t xml:space="preserve">. </w:t>
      </w:r>
      <w:r>
        <w:rPr>
          <w:rFonts w:hint="eastAsia" w:ascii="仿宋" w:hAnsi="仿宋" w:eastAsia="仿宋" w:cs="仿宋"/>
          <w:b/>
          <w:sz w:val="24"/>
        </w:rPr>
        <w:t>投标文件的编制</w:t>
      </w:r>
    </w:p>
    <w:p w14:paraId="394E0252">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0A7049">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CDB58D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3C7BF364">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13.投标文件的签署、盖章</w:t>
      </w:r>
    </w:p>
    <w:p w14:paraId="2E9C86E1">
      <w:pPr>
        <w:pStyle w:val="133"/>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E4A22CB">
      <w:pPr>
        <w:pStyle w:val="133"/>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84A1AB6">
      <w:pPr>
        <w:pStyle w:val="133"/>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C2D02E3">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14. 投标文件的提交、补充、修改、撤回</w:t>
      </w:r>
    </w:p>
    <w:p w14:paraId="510F3371">
      <w:pPr>
        <w:pStyle w:val="133"/>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D72E3D">
      <w:pPr>
        <w:pStyle w:val="133"/>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0255F60B">
      <w:pPr>
        <w:pStyle w:val="133"/>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0393312B">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6DDD4A5E">
      <w:pPr>
        <w:pStyle w:val="35"/>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3A39B8A8">
      <w:pPr>
        <w:pStyle w:val="35"/>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619F4000">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07880B01">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66523BE3">
      <w:pPr>
        <w:pStyle w:val="35"/>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679E39B3">
      <w:pPr>
        <w:pStyle w:val="133"/>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3038BF76">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483BC070">
      <w:pPr>
        <w:pStyle w:val="133"/>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3AF3DDB9">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32B5CDF3">
      <w:pPr>
        <w:pStyle w:val="133"/>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27FC0CB8">
      <w:pPr>
        <w:pStyle w:val="133"/>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6BAEF495">
      <w:pPr>
        <w:pStyle w:val="133"/>
        <w:spacing w:before="0"/>
        <w:ind w:firstLine="643"/>
        <w:rPr>
          <w:rFonts w:hint="eastAsia" w:ascii="仿宋" w:hAnsi="仿宋" w:eastAsia="仿宋" w:cs="仿宋"/>
          <w:b/>
          <w:sz w:val="32"/>
        </w:rPr>
      </w:pPr>
    </w:p>
    <w:p w14:paraId="1CA44F0D">
      <w:pPr>
        <w:pStyle w:val="133"/>
        <w:spacing w:before="0"/>
        <w:ind w:firstLine="643"/>
        <w:rPr>
          <w:rFonts w:hint="eastAsia" w:ascii="仿宋" w:hAnsi="仿宋" w:eastAsia="仿宋" w:cs="仿宋"/>
          <w:b/>
          <w:sz w:val="32"/>
        </w:rPr>
      </w:pPr>
    </w:p>
    <w:p w14:paraId="749D5CDE">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四、开标、资格审查与信用信息查询</w:t>
      </w:r>
    </w:p>
    <w:p w14:paraId="05C23733">
      <w:pPr>
        <w:pStyle w:val="559"/>
        <w:spacing w:before="0" w:line="360" w:lineRule="auto"/>
        <w:ind w:left="0" w:firstLine="422" w:firstLineChars="175"/>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6D82A982">
      <w:pPr>
        <w:pStyle w:val="559"/>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27E3ED87">
      <w:pPr>
        <w:pStyle w:val="559"/>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0AE3C3D8">
      <w:pPr>
        <w:pStyle w:val="559"/>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0D9561E5">
      <w:pPr>
        <w:pStyle w:val="559"/>
        <w:spacing w:before="0" w:line="360" w:lineRule="auto"/>
        <w:ind w:left="0" w:firstLine="422" w:firstLineChars="175"/>
        <w:contextualSpacing/>
        <w:rPr>
          <w:rFonts w:hint="eastAsia" w:ascii="仿宋" w:hAnsi="仿宋" w:eastAsia="仿宋" w:cs="仿宋"/>
          <w:b/>
          <w:sz w:val="24"/>
          <w:szCs w:val="24"/>
        </w:rPr>
      </w:pPr>
      <w:r>
        <w:rPr>
          <w:rFonts w:hint="eastAsia" w:ascii="仿宋" w:hAnsi="仿宋" w:eastAsia="仿宋" w:cs="仿宋"/>
          <w:b/>
          <w:sz w:val="24"/>
          <w:szCs w:val="24"/>
        </w:rPr>
        <w:t>　19、资格审查</w:t>
      </w:r>
    </w:p>
    <w:p w14:paraId="2675F454">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4E34DCBF">
      <w:pPr>
        <w:pStyle w:val="133"/>
        <w:spacing w:before="0"/>
        <w:ind w:firstLine="480"/>
        <w:rPr>
          <w:rFonts w:hint="eastAsia"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40E764CA">
      <w:pPr>
        <w:pStyle w:val="133"/>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2720AF81">
      <w:pPr>
        <w:pStyle w:val="133"/>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71B38E94">
      <w:pPr>
        <w:pStyle w:val="559"/>
        <w:spacing w:before="0" w:line="360" w:lineRule="auto"/>
        <w:ind w:left="0" w:firstLine="422" w:firstLineChars="175"/>
        <w:contextualSpacing/>
        <w:rPr>
          <w:rFonts w:hint="eastAsia" w:ascii="仿宋" w:hAnsi="仿宋" w:eastAsia="仿宋" w:cs="仿宋"/>
          <w:b/>
          <w:sz w:val="24"/>
          <w:szCs w:val="24"/>
        </w:rPr>
      </w:pPr>
      <w:r>
        <w:rPr>
          <w:rFonts w:hint="eastAsia" w:ascii="仿宋" w:hAnsi="仿宋" w:eastAsia="仿宋" w:cs="仿宋"/>
          <w:b/>
          <w:sz w:val="24"/>
          <w:szCs w:val="24"/>
        </w:rPr>
        <w:t>20、信用信息查询</w:t>
      </w:r>
    </w:p>
    <w:p w14:paraId="56C2774B">
      <w:pPr>
        <w:pStyle w:val="13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25C1B86A">
      <w:pPr>
        <w:pStyle w:val="13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7F634903">
      <w:pPr>
        <w:pStyle w:val="13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4FEE367B">
      <w:pPr>
        <w:pStyle w:val="133"/>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33066A77">
      <w:pPr>
        <w:pStyle w:val="133"/>
        <w:spacing w:before="0"/>
        <w:ind w:firstLine="0" w:firstLineChars="0"/>
        <w:rPr>
          <w:rFonts w:hint="eastAsia" w:ascii="仿宋" w:hAnsi="仿宋" w:eastAsia="仿宋" w:cs="仿宋"/>
          <w:kern w:val="0"/>
          <w:szCs w:val="24"/>
        </w:rPr>
      </w:pPr>
    </w:p>
    <w:p w14:paraId="5BF32134">
      <w:pPr>
        <w:rPr>
          <w:rFonts w:hint="eastAsia" w:ascii="仿宋" w:hAnsi="仿宋" w:eastAsia="仿宋" w:cs="仿宋"/>
          <w:b/>
          <w:sz w:val="32"/>
          <w:szCs w:val="20"/>
        </w:rPr>
      </w:pPr>
      <w:r>
        <w:rPr>
          <w:rFonts w:hint="eastAsia" w:ascii="仿宋" w:hAnsi="仿宋" w:eastAsia="仿宋" w:cs="仿宋"/>
          <w:b/>
          <w:sz w:val="32"/>
          <w:szCs w:val="20"/>
        </w:rPr>
        <w:br w:type="page"/>
      </w:r>
    </w:p>
    <w:p w14:paraId="0883F10D">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五、评标</w:t>
      </w:r>
    </w:p>
    <w:p w14:paraId="0BE8663D">
      <w:pPr>
        <w:spacing w:line="360" w:lineRule="auto"/>
        <w:ind w:firstLine="422" w:firstLineChars="175"/>
        <w:rPr>
          <w:rFonts w:hint="eastAsia" w:ascii="仿宋" w:hAnsi="仿宋" w:eastAsia="仿宋" w:cs="仿宋"/>
          <w:b/>
          <w:sz w:val="24"/>
        </w:rPr>
      </w:pPr>
      <w:bookmarkStart w:id="17"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38B5B11B">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六、定 标</w:t>
      </w:r>
    </w:p>
    <w:p w14:paraId="43A95DF5">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22. 确定中标供应商</w:t>
      </w:r>
    </w:p>
    <w:p w14:paraId="27CD0038">
      <w:pPr>
        <w:pStyle w:val="133"/>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B08E245">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23. 中标通知与中标结果公告</w:t>
      </w:r>
    </w:p>
    <w:p w14:paraId="3BB9779A">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6490B57A">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C70EEC0">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7FAE931D">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464D6508">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0085B0A2">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25. 合同的签订</w:t>
      </w:r>
    </w:p>
    <w:p w14:paraId="691FD8E3">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B7862D3">
      <w:pPr>
        <w:pStyle w:val="133"/>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477BBDC0">
      <w:pPr>
        <w:pStyle w:val="133"/>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0D217F72">
      <w:pPr>
        <w:pStyle w:val="133"/>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75632604">
      <w:pPr>
        <w:pStyle w:val="133"/>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366A4B19">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26. 履约保证金</w:t>
      </w:r>
    </w:p>
    <w:p w14:paraId="089AFAFC">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E2AFD0A">
      <w:pPr>
        <w:tabs>
          <w:tab w:val="left" w:pos="0"/>
        </w:tabs>
        <w:spacing w:line="360" w:lineRule="auto"/>
        <w:ind w:firstLine="482"/>
        <w:rPr>
          <w:rFonts w:hint="eastAsia" w:ascii="仿宋" w:hAnsi="仿宋" w:eastAsia="仿宋" w:cs="仿宋"/>
          <w:kern w:val="0"/>
          <w:sz w:val="24"/>
        </w:rPr>
      </w:pPr>
      <w:r>
        <w:rPr>
          <w:rFonts w:hint="eastAsia" w:ascii="仿宋" w:hAnsi="仿宋" w:eastAsia="仿宋" w:cs="仿宋"/>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AB06F6C">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27.预付款</w:t>
      </w:r>
    </w:p>
    <w:p w14:paraId="3623B2CB">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5A27918">
      <w:pPr>
        <w:rPr>
          <w:rFonts w:hint="eastAsia" w:ascii="仿宋" w:hAnsi="仿宋" w:eastAsia="仿宋" w:cs="仿宋"/>
        </w:rPr>
      </w:pPr>
    </w:p>
    <w:p w14:paraId="730C626D">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2F90CB2A">
      <w:pPr>
        <w:pStyle w:val="133"/>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774F8D65">
      <w:pPr>
        <w:pStyle w:val="133"/>
        <w:snapToGrid w:val="0"/>
        <w:spacing w:before="0"/>
        <w:ind w:firstLine="480"/>
        <w:rPr>
          <w:rFonts w:hint="eastAsia" w:ascii="仿宋" w:hAnsi="仿宋" w:eastAsia="仿宋" w:cs="仿宋"/>
        </w:rPr>
      </w:pPr>
      <w:r>
        <w:rPr>
          <w:rFonts w:hint="eastAsia" w:ascii="仿宋" w:hAnsi="仿宋" w:eastAsia="仿宋" w:cs="仿宋"/>
        </w:rPr>
        <w:t xml:space="preserve">28.1电子交易平台发生故障而无法登录访问的； </w:t>
      </w:r>
    </w:p>
    <w:p w14:paraId="45E9AAA2">
      <w:pPr>
        <w:pStyle w:val="133"/>
        <w:snapToGrid w:val="0"/>
        <w:spacing w:before="0"/>
        <w:ind w:firstLine="480"/>
        <w:rPr>
          <w:rFonts w:hint="eastAsia" w:ascii="仿宋" w:hAnsi="仿宋" w:eastAsia="仿宋" w:cs="仿宋"/>
        </w:rPr>
      </w:pPr>
      <w:r>
        <w:rPr>
          <w:rFonts w:hint="eastAsia" w:ascii="仿宋" w:hAnsi="仿宋" w:eastAsia="仿宋" w:cs="仿宋"/>
        </w:rPr>
        <w:t>28.2电子交易平台应用或数据库出现错误，不能进行正常操作的；</w:t>
      </w:r>
    </w:p>
    <w:p w14:paraId="741EB5AD">
      <w:pPr>
        <w:pStyle w:val="133"/>
        <w:snapToGrid w:val="0"/>
        <w:spacing w:before="0"/>
        <w:ind w:firstLine="480"/>
        <w:rPr>
          <w:rFonts w:hint="eastAsia" w:ascii="仿宋" w:hAnsi="仿宋" w:eastAsia="仿宋" w:cs="仿宋"/>
        </w:rPr>
      </w:pPr>
      <w:r>
        <w:rPr>
          <w:rFonts w:hint="eastAsia" w:ascii="仿宋" w:hAnsi="仿宋" w:eastAsia="仿宋" w:cs="仿宋"/>
        </w:rPr>
        <w:t>28.3电子交易平台发现严重安全漏洞，有潜在泄密危险的；</w:t>
      </w:r>
    </w:p>
    <w:p w14:paraId="5892F523">
      <w:pPr>
        <w:pStyle w:val="133"/>
        <w:snapToGrid w:val="0"/>
        <w:spacing w:before="0"/>
        <w:ind w:firstLine="480"/>
        <w:rPr>
          <w:rFonts w:hint="eastAsia" w:ascii="仿宋" w:hAnsi="仿宋" w:eastAsia="仿宋" w:cs="仿宋"/>
        </w:rPr>
      </w:pPr>
      <w:r>
        <w:rPr>
          <w:rFonts w:hint="eastAsia" w:ascii="仿宋" w:hAnsi="仿宋" w:eastAsia="仿宋" w:cs="仿宋"/>
        </w:rPr>
        <w:t xml:space="preserve">28.4病毒发作导致不能进行正常操作的； </w:t>
      </w:r>
    </w:p>
    <w:p w14:paraId="51286224">
      <w:pPr>
        <w:pStyle w:val="133"/>
        <w:snapToGrid w:val="0"/>
        <w:spacing w:before="0"/>
        <w:ind w:firstLine="480"/>
        <w:rPr>
          <w:rFonts w:hint="eastAsia" w:ascii="仿宋" w:hAnsi="仿宋" w:eastAsia="仿宋" w:cs="仿宋"/>
        </w:rPr>
      </w:pPr>
      <w:r>
        <w:rPr>
          <w:rFonts w:hint="eastAsia" w:ascii="仿宋" w:hAnsi="仿宋" w:eastAsia="仿宋" w:cs="仿宋"/>
        </w:rPr>
        <w:t>28.5其他无法保证电子交易的公平、公正和安全的情况。</w:t>
      </w:r>
    </w:p>
    <w:p w14:paraId="3CB545C9">
      <w:pPr>
        <w:pStyle w:val="133"/>
        <w:snapToGrid w:val="0"/>
        <w:spacing w:before="0"/>
        <w:ind w:firstLine="0" w:firstLineChars="0"/>
        <w:rPr>
          <w:rFonts w:hint="eastAsia"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4A818B8">
      <w:pPr>
        <w:tabs>
          <w:tab w:val="left" w:pos="0"/>
        </w:tabs>
        <w:spacing w:line="360" w:lineRule="auto"/>
        <w:ind w:firstLine="480"/>
        <w:rPr>
          <w:rFonts w:hint="eastAsia" w:ascii="仿宋" w:hAnsi="仿宋" w:eastAsia="仿宋" w:cs="仿宋"/>
          <w:sz w:val="24"/>
        </w:rPr>
      </w:pPr>
    </w:p>
    <w:p w14:paraId="65DBAF2C">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39924F6D">
      <w:pPr>
        <w:pStyle w:val="26"/>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675D78C8">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7E2219">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32BB9D72">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100308">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F3A7CCC">
      <w:pPr>
        <w:tabs>
          <w:tab w:val="left" w:pos="0"/>
        </w:tabs>
        <w:spacing w:line="360" w:lineRule="auto"/>
        <w:ind w:firstLine="480"/>
        <w:rPr>
          <w:rFonts w:hint="eastAsia" w:ascii="仿宋" w:hAnsi="仿宋" w:eastAsia="仿宋" w:cs="仿宋"/>
          <w:kern w:val="0"/>
          <w:sz w:val="24"/>
        </w:rPr>
      </w:pPr>
    </w:p>
    <w:p w14:paraId="1800F6F6">
      <w:pPr>
        <w:pStyle w:val="2"/>
        <w:rPr>
          <w:rFonts w:hint="eastAsia" w:ascii="仿宋" w:hAnsi="仿宋" w:eastAsia="仿宋" w:cs="仿宋"/>
        </w:rPr>
      </w:pPr>
      <w:r>
        <w:rPr>
          <w:rFonts w:hint="eastAsia" w:ascii="仿宋" w:hAnsi="仿宋" w:eastAsia="仿宋" w:cs="仿宋"/>
        </w:rPr>
        <w:br w:type="page"/>
      </w:r>
    </w:p>
    <w:p w14:paraId="14A30619">
      <w:pPr>
        <w:pStyle w:val="3"/>
        <w:jc w:val="center"/>
        <w:rPr>
          <w:rFonts w:hint="eastAsia" w:ascii="仿宋" w:hAnsi="仿宋" w:eastAsia="仿宋" w:cs="仿宋"/>
        </w:rPr>
      </w:pPr>
      <w:r>
        <w:rPr>
          <w:rFonts w:hint="eastAsia" w:ascii="仿宋" w:hAnsi="仿宋" w:eastAsia="仿宋" w:cs="仿宋"/>
        </w:rPr>
        <w:t>第三部分 采购需求</w:t>
      </w:r>
    </w:p>
    <w:p w14:paraId="68573D91">
      <w:pPr>
        <w:rPr>
          <w:rFonts w:hint="eastAsia"/>
        </w:rPr>
      </w:pPr>
    </w:p>
    <w:tbl>
      <w:tblPr>
        <w:tblStyle w:val="63"/>
        <w:tblW w:w="8939" w:type="dxa"/>
        <w:tblInd w:w="93" w:type="dxa"/>
        <w:tblLayout w:type="autofit"/>
        <w:tblCellMar>
          <w:top w:w="0" w:type="dxa"/>
          <w:left w:w="108" w:type="dxa"/>
          <w:bottom w:w="0" w:type="dxa"/>
          <w:right w:w="108" w:type="dxa"/>
        </w:tblCellMar>
      </w:tblPr>
      <w:tblGrid>
        <w:gridCol w:w="1577"/>
        <w:gridCol w:w="4208"/>
        <w:gridCol w:w="1577"/>
        <w:gridCol w:w="1577"/>
      </w:tblGrid>
      <w:tr w14:paraId="59777F68">
        <w:tblPrEx>
          <w:tblCellMar>
            <w:top w:w="0" w:type="dxa"/>
            <w:left w:w="108" w:type="dxa"/>
            <w:bottom w:w="0" w:type="dxa"/>
            <w:right w:w="108" w:type="dxa"/>
          </w:tblCellMar>
        </w:tblPrEx>
        <w:trPr>
          <w:trHeight w:val="663"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9901">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6058">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名称</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6276">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797F">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单位</w:t>
            </w:r>
          </w:p>
        </w:tc>
      </w:tr>
      <w:tr w14:paraId="1B9D5666">
        <w:tblPrEx>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87D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23F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化学标准实验室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020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B12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间</w:t>
            </w:r>
          </w:p>
        </w:tc>
      </w:tr>
      <w:tr w14:paraId="3BD8BC4F">
        <w:tblPrEx>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41A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5C6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化学准备室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D41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DC9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间</w:t>
            </w:r>
          </w:p>
        </w:tc>
      </w:tr>
      <w:tr w14:paraId="1949652C">
        <w:tblPrEx>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498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6BC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危化品室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D49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C8B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间</w:t>
            </w:r>
          </w:p>
        </w:tc>
      </w:tr>
      <w:tr w14:paraId="5BB2538A">
        <w:tblPrEx>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D5C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2B7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化学教学仪器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F5E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E5A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批</w:t>
            </w:r>
          </w:p>
        </w:tc>
      </w:tr>
      <w:tr w14:paraId="566AD474">
        <w:tblPrEx>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E08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F92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生物综合实验室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F31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821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间</w:t>
            </w:r>
          </w:p>
        </w:tc>
      </w:tr>
      <w:tr w14:paraId="1937B880">
        <w:tblPrEx>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B68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55D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生物准备室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7DA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994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间</w:t>
            </w:r>
          </w:p>
        </w:tc>
      </w:tr>
      <w:tr w14:paraId="4132EB85">
        <w:tblPrEx>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8DE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732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生物教学仪器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464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268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批</w:t>
            </w:r>
          </w:p>
        </w:tc>
      </w:tr>
      <w:tr w14:paraId="3807EB7A">
        <w:tblPrEx>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7B3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03D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物理综合实验室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F64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DBE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间</w:t>
            </w:r>
          </w:p>
        </w:tc>
      </w:tr>
      <w:tr w14:paraId="43E1A253">
        <w:tblPrEx>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CD1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E55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物理准备室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5BD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7EC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间</w:t>
            </w:r>
          </w:p>
        </w:tc>
      </w:tr>
      <w:tr w14:paraId="7903A64A">
        <w:tblPrEx>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C80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AAB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物理教学仪器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4B0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312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批</w:t>
            </w:r>
          </w:p>
        </w:tc>
      </w:tr>
      <w:tr w14:paraId="2E484CDE">
        <w:tblPrEx>
          <w:tblCellMar>
            <w:top w:w="0" w:type="dxa"/>
            <w:left w:w="108" w:type="dxa"/>
            <w:bottom w:w="0" w:type="dxa"/>
            <w:right w:w="108" w:type="dxa"/>
          </w:tblCellMar>
        </w:tblPrEx>
        <w:trPr>
          <w:trHeight w:val="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C98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A34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理化生传感器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111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EB1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批</w:t>
            </w:r>
          </w:p>
        </w:tc>
      </w:tr>
      <w:tr w14:paraId="5C31FA35">
        <w:tblPrEx>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60B5">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39E7">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一体机设备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7A09">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AC86">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批</w:t>
            </w:r>
          </w:p>
        </w:tc>
      </w:tr>
    </w:tbl>
    <w:p w14:paraId="7EE4A3C7">
      <w:pPr>
        <w:pStyle w:val="2"/>
        <w:ind w:firstLineChars="175"/>
        <w:rPr>
          <w:rFonts w:hint="eastAsia" w:ascii="仿宋" w:hAnsi="仿宋" w:eastAsia="仿宋" w:cs="仿宋"/>
          <w:szCs w:val="24"/>
          <w:lang w:val="en-US"/>
        </w:rPr>
        <w:sectPr>
          <w:headerReference r:id="rId3" w:type="default"/>
          <w:pgSz w:w="11906" w:h="16838"/>
          <w:pgMar w:top="1440" w:right="1417" w:bottom="1440" w:left="1417" w:header="851" w:footer="992" w:gutter="0"/>
          <w:cols w:space="425" w:num="1"/>
          <w:docGrid w:type="lines" w:linePitch="312" w:charSpace="0"/>
        </w:sectPr>
      </w:pPr>
    </w:p>
    <w:p w14:paraId="52E4B225">
      <w:pPr>
        <w:rPr>
          <w:rFonts w:ascii="仿宋" w:hAnsi="仿宋" w:eastAsia="仿宋" w:cs="仿宋"/>
        </w:rPr>
      </w:pPr>
    </w:p>
    <w:p w14:paraId="4A4241EB">
      <w:pPr>
        <w:rPr>
          <w:rFonts w:ascii="仿宋" w:hAnsi="仿宋" w:eastAsia="仿宋" w:cs="仿宋"/>
        </w:rPr>
      </w:pPr>
    </w:p>
    <w:tbl>
      <w:tblPr>
        <w:tblStyle w:val="63"/>
        <w:tblW w:w="8670" w:type="dxa"/>
        <w:tblInd w:w="91" w:type="dxa"/>
        <w:tblLayout w:type="fixed"/>
        <w:tblCellMar>
          <w:top w:w="0" w:type="dxa"/>
          <w:left w:w="108" w:type="dxa"/>
          <w:bottom w:w="0" w:type="dxa"/>
          <w:right w:w="108" w:type="dxa"/>
        </w:tblCellMar>
      </w:tblPr>
      <w:tblGrid>
        <w:gridCol w:w="618"/>
        <w:gridCol w:w="76"/>
        <w:gridCol w:w="883"/>
        <w:gridCol w:w="5826"/>
        <w:gridCol w:w="618"/>
        <w:gridCol w:w="649"/>
      </w:tblGrid>
      <w:tr w14:paraId="5D220EAA">
        <w:tblPrEx>
          <w:tblCellMar>
            <w:top w:w="0" w:type="dxa"/>
            <w:left w:w="108" w:type="dxa"/>
            <w:bottom w:w="0" w:type="dxa"/>
            <w:right w:w="108" w:type="dxa"/>
          </w:tblCellMar>
        </w:tblPrEx>
        <w:tc>
          <w:tcPr>
            <w:tcW w:w="86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A3214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化学标准实验室</w:t>
            </w:r>
          </w:p>
        </w:tc>
      </w:tr>
      <w:tr w14:paraId="4AA763D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C38D7A9">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10C4EAAB">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产品名称</w:t>
            </w:r>
          </w:p>
        </w:tc>
        <w:tc>
          <w:tcPr>
            <w:tcW w:w="582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502F47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技术参数、规格、功能</w:t>
            </w:r>
          </w:p>
        </w:tc>
        <w:tc>
          <w:tcPr>
            <w:tcW w:w="61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A3EA514">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c>
          <w:tcPr>
            <w:tcW w:w="64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E71F9A0">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r>
      <w:tr w14:paraId="492FFD2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EB3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BA25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教师演示台</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02C3">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1、规格：2400mm*700mm*850mm±10mm。</w:t>
            </w:r>
            <w:r>
              <w:rPr>
                <w:rFonts w:hint="eastAsia" w:ascii="仿宋" w:hAnsi="仿宋" w:eastAsia="仿宋" w:cs="仿宋"/>
                <w:color w:val="000000"/>
                <w:kern w:val="0"/>
                <w:sz w:val="20"/>
                <w:szCs w:val="20"/>
                <w:lang w:bidi="ar"/>
              </w:rPr>
              <w:br w:type="textWrapping"/>
            </w:r>
            <w:r>
              <w:rPr>
                <w:rFonts w:hint="eastAsia" w:ascii="仿宋" w:hAnsi="仿宋" w:eastAsia="仿宋" w:cs="仿宋"/>
                <w:szCs w:val="21"/>
              </w:rPr>
              <w:t>★</w:t>
            </w:r>
            <w:r>
              <w:rPr>
                <w:rFonts w:hint="eastAsia" w:ascii="仿宋" w:hAnsi="仿宋" w:eastAsia="仿宋" w:cs="仿宋"/>
                <w:color w:val="000000"/>
                <w:kern w:val="0"/>
                <w:sz w:val="20"/>
                <w:szCs w:val="20"/>
                <w:lang w:bidi="ar"/>
              </w:rPr>
              <w:t>2、台面：采用≥15mm厚新型陶瓷台面。台面表面为实验室专业耐腐蚀、耐污染釉面。釉面与胚体经高温一体烧结而成，不脱落、不脱层，防火阻燃、防腐蚀、耐酸碱、防静电、耐磨、抗污染。台面参照T/CIQA10-2020标准，台面承载≥670kg，检测结果为无破损；台面参照GB/T4100-2015标准，吸水率测试结果平均值≤0.004％，</w:t>
            </w:r>
            <w:r>
              <w:rPr>
                <w:rFonts w:hint="eastAsia" w:ascii="仿宋" w:hAnsi="仿宋" w:eastAsia="仿宋" w:cs="仿宋"/>
                <w:color w:val="FF0000"/>
                <w:kern w:val="0"/>
                <w:sz w:val="20"/>
                <w:szCs w:val="20"/>
                <w:lang w:bidi="ar"/>
              </w:rPr>
              <w:t>须提供由第三方检测机构出具的有效检测报告复印件（报告需在网站可查，查询网址：http://cx.cnca.cn/CertECloud/qts/qts/qtsPage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3、桌身：整体采用≥1.0mm厚优质冷轧钢板，全部钢制件纳米陶瓷镀膜防锈处理。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4、结构：演示台设有储物柜，中间为演示台,设置电源主控系统、多媒体设备（主机、显示器、中控、功放、交换机）的位置预留。含PP水槽、下水管和溢流管及三联水嘴。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5、滑道：抽屉全部采用优质三节承重式滚珠滑道开合十万次不变形。</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铰链：采用优质铰链，开合十万次不变形。三联水嘴：鹅颈式实验室专用优质化验水嘴：要求防酸碱、防锈、防虹吸、防阻塞，表面环氧树脂喷涂。出水嘴为铜质瓷芯，高头，便于多用途使用，可拆卸清洗阻塞。出水嘴可拆卸，内置成型螺纹，便于连接各类水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7、下水管和溢流管：水槽专配型排水管，不锈钢卡扣连接，安装方便不渗漏。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920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5B0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r>
      <w:tr w14:paraId="5710FDF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CE5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D1D7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智慧互动教考终端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8C06">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整体尺寸：≥长1190mm*宽120mm*高211mm，终端上方进行凸起设计，四周进行倒圆角设计，正面整体采用钢化玻璃一体成型面板，密封性良好，终端中间配置≥13.3寸电容触摸真彩显示屏，显示屏分辨率：≥1920*1080，终端两侧面板配有教师所需电源，终端上集成有2组视频采集终端位置；处理器：内置嵌入式微处理器。存储空间：不低于RAM4G+ROM32G。网络：支持2.4GHz/5GHz 双频无线WIFI连接。支持WIFI 802.11a/b/g/n/ac协议，支持蓝牙4.0及以上。教师电源：教师电源与智慧互动教考终端主机融合为一体设计，终端左侧提供220V高压电源输出、USB输出，右侧提供1组低压交直流电源输出。低压电源的操作面板采用≥1.8寸彩色液晶屏显示，可以进行低压交直流、频率信号输出控制。低压电源可以设置调节0-24V 2A直流电源输出信号，分辨率0.1V。低压电源可以设置调节0-24V 2A交流电源输出信号，分辨率1V。低压电源可以设置调节0-24V 20-100HZ频率输出信号，分辨率1HZ。空开、电源指示灯：终端面板上配置空开≥1个，作为整个教考终端的电源开关，同时防止用电过程中可以起到漏电保护的作用；终端面板上配置电源指示灯1个，用于通电开启提醒。网口、220V插座、USB接口：终端面板上可支持集成网络接口、220V插座接口、≥4个USB接口，终端可适配实验数据采集处理软件，可直接连接传感器，无需数据采集器即可进行数字化实验，并且老师在实验操作过程中，可以提供老师用电用网设备方便使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教学演示终端：与智慧互动教考终端通过阻尼轴连接行程一体，实验教学演示终端可以通过折叠的方式进行收纳。双摄：具有双摄像头，主拍摄像头从上往下俯瞰拍摄老师的实验操作，侧拍摄像头从左往右拍摄老师的实验操作；像素：≥500万 1/2.7’’CMOS；码流：支持同时输出主副码流，主码流可支持2560*1440,1920*1080等；RTSP并发量：支持最高6路并发，低延时同步实现录制和监考；支持PPPoE，IPv4、IPV6、TCP、UDP、DHCP、RTP、RTSP等网络协议；智能编码：支持H.264、H.265两种编码格式；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内置教学系统：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1、实验教学资源平台：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（1）同步实验教学资源：提供Saas级教学平台接入服务，将教学资源系统按照教学课程内置同步实验教学课件、教学PPT、实验教学视频以及虚拟仿真实验多种教学资源类型。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（2）资源库：提供个人资源库以及校本资源库两种，支持资源上传、编辑、管理和分享。</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2、智能备课系统: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（1）备课模块按照知识点，讲授点预制资源，可调用实验教学资源平台里面的资源；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（2）备课系统也可以支持自己上传备课资源至备课系统，支持上传PPT文件、PDF文件、图片文件以及视频文件；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3、智能授课系统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（1）可选择备课系统中的资源进行教学授课；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（2）可在授课过程中，选择教学资源平台里面的资源进行在线授课；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（3）授课系统内置了电子白板功能，可使用激光笔、橡皮擦、清屏等操作；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（4）支持三角板、直尺、量角器、圆规、几何等图形工具；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（5）支持各类形状、放大镜功能；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（6）支持矩形截图以及区域截图两种方式；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（7）支持计时工具，可实现正向计时和倒计时功能；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（8）支持四线三格、元素周期表、竖式等学科工具；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（9）支持实验教学过程中录屏操作。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4、实验操作演示系统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（1）老师端可联动实验教学演示终端进行教学演示，通过实验教学演示终端拍摄教师实验操作的过程，可将操作的过程展示到一体机上，学生可以通过一体机查看老师的整个实验操作过程。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（2）老师端可将实验操作的步骤自动记录存储，可以方便日后学生进行回放。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（3）支持直播画面自由组合切换成画中画、双画面、单镜头等格式；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（4）支持直播画面接入大屏进行示范教学；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（5）支持录制高清示范视频，录制视频可作为探究教学资源；</w:t>
            </w:r>
          </w:p>
          <w:p w14:paraId="4F48BBB3">
            <w:pPr>
              <w:pStyle w:val="27"/>
              <w:ind w:left="0" w:leftChars="0" w:firstLine="0" w:firstLineChars="0"/>
              <w:rPr>
                <w:rFonts w:ascii="仿宋" w:hAnsi="仿宋" w:eastAsia="仿宋" w:cs="仿宋"/>
              </w:rPr>
            </w:pPr>
            <w:r>
              <w:rPr>
                <w:rFonts w:hint="eastAsia" w:ascii="仿宋" w:hAnsi="仿宋" w:eastAsia="仿宋" w:cs="仿宋"/>
                <w:color w:val="000000"/>
                <w:kern w:val="0"/>
                <w:sz w:val="20"/>
                <w:szCs w:val="20"/>
                <w:lang w:bidi="ar"/>
              </w:rPr>
              <w:t>智慧互动教考终端频率容限：≤20ppm、频率范围：2400-2483.5MHz、发射功率：≤20dBm(EIRP)、占用带宽：≤40MHz、杂散发射限制：≤-30dBm；主机通过中国国家无线电管理委员会(SRRC)强制认证，型号符合中华人民共和国无线电管理规定和技术标准</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502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B05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1C44CDD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A9D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BB70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实验桌</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AC37">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1、规格：1200mm*600mm*780mm±10mm。</w:t>
            </w:r>
            <w:r>
              <w:rPr>
                <w:rFonts w:hint="eastAsia" w:ascii="仿宋" w:hAnsi="仿宋" w:eastAsia="仿宋" w:cs="仿宋"/>
                <w:color w:val="000000"/>
                <w:kern w:val="0"/>
                <w:sz w:val="20"/>
                <w:szCs w:val="20"/>
                <w:lang w:bidi="ar"/>
              </w:rPr>
              <w:br w:type="textWrapping"/>
            </w:r>
            <w:r>
              <w:rPr>
                <w:rFonts w:hint="eastAsia" w:ascii="仿宋" w:hAnsi="仿宋" w:eastAsia="仿宋" w:cs="仿宋"/>
                <w:szCs w:val="21"/>
              </w:rPr>
              <w:t>★</w:t>
            </w:r>
            <w:r>
              <w:rPr>
                <w:rFonts w:hint="eastAsia" w:ascii="仿宋" w:hAnsi="仿宋" w:eastAsia="仿宋" w:cs="仿宋"/>
                <w:color w:val="000000"/>
                <w:kern w:val="0"/>
                <w:sz w:val="20"/>
                <w:szCs w:val="20"/>
                <w:lang w:bidi="ar"/>
              </w:rPr>
              <w:t>2、台面：采用≥20mm厚无甲醛新型环保陶瓷台面，表面为实验室专业耐腐蚀、耐污染、抗冲击釉面。坯体一体实芯，釉面和坯体经高温一体烧结而成。参照T/CIQA10-2020的要求，耐化学腐蚀性不低于GLA级；抗冲击性（恢复系数）不低于0.85。</w:t>
            </w:r>
            <w:r>
              <w:rPr>
                <w:rFonts w:hint="eastAsia" w:ascii="仿宋" w:hAnsi="仿宋" w:eastAsia="仿宋" w:cs="仿宋"/>
                <w:color w:val="FF0000"/>
                <w:kern w:val="0"/>
                <w:sz w:val="20"/>
                <w:szCs w:val="20"/>
                <w:lang w:bidi="ar"/>
              </w:rPr>
              <w:t>须提供由第三方检测机构出具的有效检测报告复印件（报告需在网站可查，查询网址：http://cx.cnca.cn/CertECloud/qts/qts/qtsPage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书包斗：整体尺寸≥400*250*100mm,采用环保型ABS塑料工程一次性注塑成型，底、面部加设经纬加强筋，防止变形弯曲。在书包斗的前端中心位置注塑出螺孔，通过螺钉将书包斗与中间横梁固定相接，可拆卸易于组装。中间设置内凹圆槽挂凳卡槽，便于收纳、放置实验凳。</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侧面采用三段式高强度铝合金结构，整体规格：≥586*809mm，其中上支架尺寸：≥586*122*46mm,下支架尺寸：≥545*83*55mm。立柱采用倾斜式设计，内嵌入上下铸铝支架≥30mm，后端配备加固支撑梁。侧面上下支架采用≥3mm厚的铝压铸一次成型，各部分连接设置专用定位件，并用高强度内六角自攻螺丝≥6mm*25mm上下各两支连接固定。</w:t>
            </w:r>
          </w:p>
          <w:p w14:paraId="0FD681C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立柱采用菱形八边型结构设计，规格：≥95mm*41mm，厚度≥1.5mm。垂直面与斜面各有四面，正面垂直面与斜面夹角约为10度，侧面垂直面与斜面夹角约为80度。立柱外立面中间无凹槽。前横梁、后横梁和中下横梁全部采用高强度挤出铝合金模具型材，铝材表面经环氧树脂户外粉末静电喷涂处理。前后横梁尺寸：≥40*30mm，采用前端半圆弧人体工程学设计，圆弧角度约为R18，安装螺丝处的厚度≥2mm，其它厚度为≥1.1mm。中下横梁尺寸：≥50mm*25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下支架脚：下支架脚两端各设置一个直径：≥8.7mm的圆形孔位，可通过拉爆螺丝与地面固定或搭配直径：≥30mm的调节脚使用。调节脚：≥10mm*30mm国标螺杆与优质塑料一体注塑成型，承重性强。前后桌脚配有不同装饰颜色的PP脚套装饰盖。</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7、背部挡水条经模具一体挤压成型，根据不同厚度的台面板配不同高度的镶入卡口挡水条。</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2F7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266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r>
      <w:tr w14:paraId="455F2C7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C21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975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功能柱</w:t>
            </w:r>
          </w:p>
        </w:tc>
        <w:tc>
          <w:tcPr>
            <w:tcW w:w="5826" w:type="dxa"/>
            <w:tcBorders>
              <w:top w:val="single" w:color="000000" w:sz="4" w:space="0"/>
              <w:left w:val="single" w:color="000000" w:sz="4" w:space="0"/>
              <w:bottom w:val="single" w:color="000000" w:sz="4" w:space="0"/>
              <w:right w:val="single" w:color="000000" w:sz="4" w:space="0"/>
            </w:tcBorders>
            <w:shd w:val="clear" w:color="auto" w:fill="auto"/>
          </w:tcPr>
          <w:p w14:paraId="09C6FD7B">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bidi="ar"/>
              </w:rPr>
              <w:t>1、规格：375*235*738mm±</w:t>
            </w:r>
            <w:r>
              <w:rPr>
                <w:rFonts w:hint="eastAsia" w:ascii="仿宋" w:hAnsi="仿宋" w:eastAsia="仿宋" w:cs="仿宋"/>
                <w:color w:val="000000"/>
                <w:kern w:val="0"/>
                <w:sz w:val="20"/>
                <w:szCs w:val="20"/>
                <w:lang w:val="en-US" w:eastAsia="zh-CN" w:bidi="ar"/>
              </w:rPr>
              <w:t>5</w:t>
            </w:r>
            <w:r>
              <w:rPr>
                <w:rFonts w:hint="eastAsia" w:ascii="仿宋" w:hAnsi="仿宋" w:eastAsia="仿宋" w:cs="仿宋"/>
                <w:color w:val="000000"/>
                <w:kern w:val="0"/>
                <w:sz w:val="20"/>
                <w:szCs w:val="20"/>
                <w:lang w:bidi="ar"/>
              </w:rPr>
              <w:t>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2、材质：采用工程PP塑料模具一次成型，壁厚≥3mm，不变形，不扭曲，无明显裂纹、凹陷、气泡、缩水等现象。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结构：多功能柱由两侧功能柱身及功能柱底座组成，表面通过PVC定制贴纸装饰，无可视孔洞。底座四脚采取圆弧处理，多功能柱身分为两块，塑料注塑模一次性成型,以齿合槽配以螺丝连接，拆分组合方便，方便检修桶体内的风管或电线。底座四角设计注塑隐藏式螺丝孔，用于向地面打螺丝固定功能柱，表面无螺丝孔位，达到实用、美观的效果。</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8CA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CC2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FA4FDA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72F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4448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水槽柜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7C2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规格：≥440mm*600mm*850mm；水槽采用环保型PP材料一次性注塑成型，耐强酸碱≤80度有机溶剂并耐≥150度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ABS材料一次性注塑成型与水槽柜整体连接，尺寸：≥85mm*120mm*345mm，储物抽屉分为三格，每格尺寸：≥110mm*115mm*65mm；便于学生使用时存放不同洗涤辅助用品。</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3F3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9BA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43533E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075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49F5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上水装置</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4B6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1、用于连接地面水管及水龙头，上水管两端接头采用不低于201不锈钢螺帽铜芯，外管是304钢丝+尼龙丝混编的、内管采用三元内管、角阀是钻石轮（塑料包铁）、阀芯和阀体均为铜制；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BD4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98B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20CBC07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66B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876C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下水装置</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B74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1、规格:直径≥35mm*长度≥500mm水槽专配型排水管，不锈钢卡扣连接，安装方便不渗漏；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60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90A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5DB02B2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8F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C914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三联水嘴</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B58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1、主体材料、尺寸：水龙头总整高度≥570mm。主体：采用≥ø20.5*4mm管径的不低于黄铜制造。直管：采用≥ø20*2mm管径的不锈钢制造。臂管：采用≥ø18*1mm管径的不锈钢制造。鹅颈弯管：采用≥ø13*1.0 mm管径的不锈钢制造，可360°旋转。</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2、涂层: 涂层经亚光环氧树脂耐酸碱粉末涂料热固处理，耐腐蚀、耐热，防紫外线辐射。</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3、陶瓷阀芯：90°旋转，使用寿命开关要求达到≥20万次，静态最大耐压≥10 bar。</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4、开关旋钮: 高密度PP，人体工学设计，手感舒适。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3AC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75D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333636E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86C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CE02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学生安全电源</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0C7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1、ABS 翻转式电源盒，可放置在实验台两侧，书包盒中间，也可置于台面，实验和安装都非常方便。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2、配置≥2组220V国标5孔插座，保险丝保护，工作指示。具有火线关断开关。</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3、电源采用耐磨、耐腐蚀、耐高温（≤140℃）的面板，标识清楚。</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02F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2E1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6F9751D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A57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201E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教师总控电源</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898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产品外壳采用镀锌板折弯焊接成型，表面喷塑，电源面板表面贴面膜，有漏电总开关、交流220V五孔带防护插座、教师用低压调整单元、学生用控制单元，低压交直流电压、40A倒计时时间均采用二位半数显表头显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2、直流稳压输出：标准电压：1.5V～12V，可输出到16V，无极可调，每0.1V递增。额定电流：2A。负载特性：交流输入电压在198V～242V之间变化，在额定电流输出时电压变化≤0.2V，在交流输入220V时，纹波电压≤3mV。</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3、交流稳压输出：标准电压：2V～12V，可输出0V～16V，每0.5V步进调整，自动稳压。额定电流：5A。负载特性：交流输入在220V不变时，负载电流在0至额定电流范围内变化，输出各档电压变化量±0.5V。</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4、直流40A大电流：当负载大于10A时，10秒内负载自动关断，并有倒计时时间显示。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5、过载保护：当直流输出过载或短路时，自动进入恒流状态。当低压交直流长时间处在过载或短路状态下。电源自动关机。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6、电源低压交直流电压二位半数字显示，显示精度0.1V。所显示的是实际输出电压。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7、学生交流220V输出分4路，每路输出独立工作。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8、变压器输入端设有过载自恢复保护。</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9、设有总电源漏电保护开关。低压交直流输出采用全铜香蕉插座，教师用五孔插座带安全防护。</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888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F45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161BC1D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2F3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772E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智慧环境监测系统主机</w:t>
            </w:r>
          </w:p>
        </w:tc>
        <w:tc>
          <w:tcPr>
            <w:tcW w:w="5826" w:type="dxa"/>
            <w:tcBorders>
              <w:top w:val="single" w:color="000000" w:sz="4" w:space="0"/>
              <w:left w:val="single" w:color="000000" w:sz="4" w:space="0"/>
              <w:bottom w:val="single" w:color="000000" w:sz="4" w:space="0"/>
              <w:right w:val="single" w:color="000000" w:sz="4" w:space="0"/>
            </w:tcBorders>
            <w:shd w:val="clear" w:color="auto" w:fill="auto"/>
          </w:tcPr>
          <w:p w14:paraId="7D006566">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bidi="ar"/>
              </w:rPr>
              <w:t>1、规格：≥220*220*60mm,机身一体化成型，采用不小于7寸LED屏，四边进行圆角设计，机身周围做条形孔散热设计，表面做高亮白色喷漆处理。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24V直流电源供电，可通过传感器模块实现对空气温湿度、光照、甲醛、C02、TVOC、PM2.5和PM10的实时监测。配合环境监测云平台，可通过智慧黑板、一体机、投影机、电脑、平板和手机微信小程序实现室内环境实时监测，也可以通过数据可视化平台呈现所有布设主机的场景环境监测质量，具有一屏显示整体情况和异常数据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PM2.5/PM10监测模块：采用激光散射法监测，PM2.5/PM10测量直径：0.3~1、1~2.5、2.5~10um，测量范围:0~999ug/m3，PM10测量范围:0~999ug/m3，体积颗粒物浓度：PCS/0.1L，最小颗粒直径：0.3um，精度：＜±10%，分辨率：0.1ug/m3，重复性：＜10%，输出信号：瞬时PM2.5、PM10浓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3、挥发性有机化合物监测模块：采用气敏半导体监测原理，测量范围：0~220PPM，精度：＜±20%，分辨率：0.1PPM，灵敏度：＞3，响应时间：＜10秒。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4、甲醛监测模块：在线监测、扩散式检测方法，测量范围：0~2ppm，分辨率：0.01ppm，精度：＜±4%，稳定性：＜±3%，测量重复性：＜±2%，测量灵敏度：1.1±0.5uA（ppm）。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5、CO2浓度监测模块采用红外测量原理，具备温度补偿功能，测量范围：0~5000PPM，测量精度：±4%，分辨率：1PPM，测量重复性：±1%，预热时间≤180秒，响应时间≤60秒。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6、光照监测模块：低量程光照度测量范围：0~70KLUX，光照度测量精度：±7%，光照度分辨率：1LUX16位数字，光照度测量重复性：±5%，测量稳定时间：0.5秒，响应时间：＜1秒。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7、湿度监测模块：湿度测量范围：0~100RH%，测量精度：±3RH%，分辨率：0.1%RH，重复性：±1%RH。</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8、温度监测模块：测量范围：-40~80度，测量精度：±0.5度，分辨率：0.1度，重复性：±0.2度，空气温度漂移：＜±0.1度/年。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13、设备二维码模块：可通过微信扫描设备二维码查询设备监测数据，并可对设备进行远程管理。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14、设备频率容限：≤20ppm、频率范围：2400-2483.5MHz、发射功率：≤20dBm(EIRP)、占用带宽：≤40MHz、杂散发射限制：≤-30dBm；设备符合中华人民共和国无线电管理规定和技术标准要求。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A7A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C74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3955AEE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52A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82E2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智慧环境监测系统主机软件</w:t>
            </w:r>
          </w:p>
        </w:tc>
        <w:tc>
          <w:tcPr>
            <w:tcW w:w="5826" w:type="dxa"/>
            <w:tcBorders>
              <w:top w:val="single" w:color="000000" w:sz="4" w:space="0"/>
              <w:left w:val="single" w:color="000000" w:sz="4" w:space="0"/>
              <w:bottom w:val="single" w:color="000000" w:sz="4" w:space="0"/>
              <w:right w:val="single" w:color="000000" w:sz="4" w:space="0"/>
            </w:tcBorders>
            <w:shd w:val="clear" w:color="auto" w:fill="auto"/>
          </w:tcPr>
          <w:p w14:paraId="4CE96ED0">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bidi="ar"/>
              </w:rPr>
              <w:t>1、室内实时监测数据：实时采集室内空气质量、温湿度、光照、甲醛、C02、TVOC、PM2.5和PM10以及烟雾数据，并通过选择监测参数，可以实时显示曲线；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室外环境监测数据：可监测12种天气实况参数（天气现象、室外温度、体感温度、气压、相对湿度、能见度、风向、风向角度、风速、风力等级、云量、露点温度）以及8种室外空气质量实况（室外空气质量、室外首要污染物、PM2.5、PM10、S02、N02、C0、03）；</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3、监测数据统计：主机内置存储卡，支持本地查看统计分析显示温湿度、光照、甲醛、C02、TVOC、PM2.5和PM10以及烟雾的1分钟监测数据、1小时监测数据，并通过列表的方式进行呈现；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4、系统音量以及灵敏度设置：可以进行系统音量以及触摸灵敏度参数设置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环境监测预警：可通过显示屏进行预警参数设置，当监测参数达到设定的阀值，系统通过内置的喇叭进行预警提醒，并且将预警记录实时推送至云平台进行消息预警，系统主机可支持预警参数设置、预警间隔提醒时间设置以及历史预警记录查询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6、WIFI连接参数设置：可以支持WIFI参数设置，无线连接、本机IP、本机MAC、DHCP配置；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7、上传平台参数设置：可以支持环境监测数据上传至平台参数设置，设置内容为设备编号、从机地址、服务器端IP、服务器端端口号；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8、采样设置：可以支持设置采样时间、HTTP请求时间以及上传平台时间。</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C35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759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2B77BAC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83D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BCA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智慧环境监测云平台</w:t>
            </w:r>
          </w:p>
        </w:tc>
        <w:tc>
          <w:tcPr>
            <w:tcW w:w="5826" w:type="dxa"/>
            <w:tcBorders>
              <w:top w:val="single" w:color="000000" w:sz="4" w:space="0"/>
              <w:left w:val="single" w:color="000000" w:sz="4" w:space="0"/>
              <w:bottom w:val="single" w:color="000000" w:sz="4" w:space="0"/>
              <w:right w:val="single" w:color="000000" w:sz="4" w:space="0"/>
            </w:tcBorders>
            <w:shd w:val="clear" w:color="auto" w:fill="auto"/>
          </w:tcPr>
          <w:p w14:paraId="2FB51CF5">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bidi="ar"/>
              </w:rPr>
              <w:t>1、可对监测设备总数统计，包括设备在线率、设备总数、在线设备、离线设备、报警设备、预警数量以及监测时长等数据展示。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2、设备在线列表：可展示监测设备所在空间名称、设备编号、设备名称、设备在线/离线状态以及上一次在线时间等信息。</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3、平台系统可采用云服务器部署方式，支持广域网操作和管理，学校用户支持通过电脑端或手机端完成所有的管理操作，方便学校进行账户管理；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4、学校基础数据管理：应可以对学校、组织机构、监测楼栋以及监测空间进行管理操作功能。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用户权限管理：应可以刷新、新增、修改、删除以及查询用户等相应的操作，并给指定的用户赋予不同的角色，也可以给用户直接赋予不同的系统功能授权，平台系统支持自定义角色与权限，满足学校多样化的管理需求，学校可自行分配角色给校内教职工对设备进行管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监测参数管理：应可以刷新，新增、修改、删除以及查询设备可监测的监测参数，监测参数内容包含参数编号、参数名称、单位、监测计算公式、排序码、监测展示图标以及四级预警参数值，其他联动预警的作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7、监测设备管理：应可以刷新，新增、修改、删除以及查询监测设备数据，并可以配置每个监测设备的通道监测参数。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8、监测历史数据：应可以按照空间字段、参数字段、时间字段分类查询，查询出来的数据以列表和曲线的方式进行呈现。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9、24小时监测分析：应可以按照空间进行统计分析所有的监测参数、温湿度24小时变化趋势、温湿度分布比例区间以及各个环境参数24小时趋势图；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监测统计数据：应可以按照空间字段、参数字段、时间字段进行分类查询，可按照小时统计查询最大监测值、最小监测值、平均监测值以及按照日统计查询最大监测值、最小监测值、平均监测值，查询统计出来的数据以列表和曲线的方式进行呈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11、监测预警数据查询：应可以按照空间字段、时间字段进行分类查询，可查询当前监测空间内的监测参数预警值；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12、独立报警设置：可对环境监测设备独立报警进行管理，设置环境监测设备报警的报警推送次数、报警时间、推送的方式、推送人。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13、联动报警配置：可联动应急突发事件系统联动报警配置进行设置，选择设置报警推送次数、报警时间、推送的方式、推送人。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14、报警联系人：可对报警联系人进行管理，包含添加、编辑联系人邮箱/微信，实现报警推送功能。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15、多报警输出：可实现电话、短信、小程序以及大屏联动报警输出。</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625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FF1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8990BF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3F3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97D7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学生凳</w:t>
            </w:r>
          </w:p>
        </w:tc>
        <w:tc>
          <w:tcPr>
            <w:tcW w:w="5826" w:type="dxa"/>
            <w:tcBorders>
              <w:top w:val="single" w:color="000000" w:sz="4" w:space="0"/>
              <w:left w:val="single" w:color="000000" w:sz="4" w:space="0"/>
              <w:bottom w:val="single" w:color="000000" w:sz="4" w:space="0"/>
              <w:right w:val="single" w:color="000000" w:sz="4" w:space="0"/>
            </w:tcBorders>
            <w:shd w:val="clear" w:color="auto" w:fill="auto"/>
          </w:tcPr>
          <w:p w14:paraId="54D0EED0">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bidi="ar"/>
              </w:rPr>
              <w:t>1、学生凳面：采用双色双质圆形面板，注塑包胶成型，面板采用ABS新料一体注塑成型，面板直径295mm±5mm，中间有内弧造型，深度为10mm±2mm，表面防滑不发光，凳面中间镶嵌有≥4mm厚，直径225mm±5mm的TPR灰色圆形软性材料，并采用包胶工艺与凳面组合，且表面平整、无凹凸。</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2、脚钢架：椭圆形无缝钢管，脚钢架尺寸：≥16mm*32mm*1.2mm，焊接完成，结构牢固，经高温粉体烤漆处理，长时间使用也不会产生表面烤漆剥落现象。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3、脚垫：材质：采用PP加耐磨纤维质塑料，实心倒勾式一体射出成型。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4、凳子可通过旋转螺杆来升降凳子高度。</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4E8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48</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681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条</w:t>
            </w:r>
          </w:p>
        </w:tc>
      </w:tr>
      <w:tr w14:paraId="1A38B2C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1B8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2013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教师低背椅</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2360">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1、尺寸：W440mm*D440mm*H550mm±1%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2、结构：工字形钢架，科学支撑，钢架前端有踏脚垫，磨砂界面；</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座面规格：采用PP塑料一体注塑成型，长≥389mm*宽≥352mm*高≥149mm，椅背提手设计（提手规格：182mm*36mm±1%），提拉方便。人性化圆角设计（坐垫、钢架），有效防止磕碰撞伤。座椅底部可悬挂功能设计，不用时，可悬挂桌面之上，方便打扫，节省空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4、材质：座椅面采用双色双质，有内弧造型，表面防滑不发光，座椅面镶嵌TPR灰色软性材料，并采用包胶工艺与凳面组合，且表面平整、无凹凸，注塑包胶成型。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5、工艺：钢管直径≥22mm，壁厚≥1.8mm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6、脚垫：有效防滑，防刮伤，前防滑脚垫尺寸：40mm*19mm±1%，后防滑脚垫尺寸：73mm*22mm±1%，脚垫材质为PP塑料材质。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A01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985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条</w:t>
            </w:r>
          </w:p>
        </w:tc>
      </w:tr>
      <w:tr w14:paraId="158E1D1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DA9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DE00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洗眼器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A70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1、主体：高度≥320mm，不低于加厚H59铜质,符合YS/T910-2013黄铜中铜量的测定碘量法,铜含量；铜含量≥59.3%。</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2、涂层：高亮度超厚电镀层，耐腐蚀、耐热，防紫外线辐射；</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3、洗眼头：模注一体成型，软性橡胶并带有缓冲滤网，出水经缓压处理呈泡沫柱状，可持续均匀柔和,去除水中杂质，避免水束冲伤眼睛流量≥11.4升/分钟并维持冲洗至少15分钟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4、防尘盖：PP材质，设置防尘盖,使用时自动被水冲开；</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5、开关：采用杠杆结构，铜质按压阀通过塑料手柄操作，水流在1秒钟内快速启动，启闭方便；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6、控水阀：止逆阀，其阀门可自动关闭；</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7、软管：供水软管长度≥1.4米，软性PVC管外覆不锈钢网,外层包裹PE管，有效防止生锈、磨损、划手；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7C9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302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ED08F7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A02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4B04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电气线路耗材及安装</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3D5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面改造并修复，铺设PVC地胶。1、主线采用≥3*4²铜芯线接到教师电源上，学生端分支采用≥3*2.5mm²铜芯线和≥2*1.5mm²铜芯线，穿入≥φ25mmPVC电线管中，配合直接、管卡、电工胶布等。每个电源接口位置预留电线长度约1000mm，使每个学生桌之间串联起来接入学生电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EDE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B31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w:t>
            </w:r>
          </w:p>
        </w:tc>
      </w:tr>
      <w:tr w14:paraId="12917FF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114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8ED7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给、排水系统耗材及安装</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FC9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面改造并修复，铺设PVC地胶。1、主线采用≥3*4²铜芯线接到教师电源上，学生端分支采用≥3*2.5mm²铜芯线和≥2*1.5mm²铜芯线，穿入≥φ25mmPVC电线管中，配合直接、管卡、电工胶布等。每个电源接口位置预留电线长度约1000mm，使每个学生桌之间串联起来接入学生电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427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5A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w:t>
            </w:r>
          </w:p>
        </w:tc>
      </w:tr>
      <w:tr w14:paraId="78708BB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1E8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958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文化改造</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2CB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后墙文化墙，墙面文化挂画，符合学科文化特点。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55D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451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w:t>
            </w:r>
          </w:p>
        </w:tc>
      </w:tr>
      <w:tr w14:paraId="3A6B799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A2C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37D9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顶面吊顶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685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标高放线在墙的四周弹出标高水平线2、安装主龙骨，安装边龙骨，安装‌U型铝方通龙骨3、‌方通吊顶面板安装在空间的中心位置拉一条基准线，基准线与次龙骨的方向垂直，从基准线开始向两侧安装面板。将铝格栅（50*50mm）放地上组拼完整后，再将铝格栅扣进龙骨相应的齿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8BB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32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w:t>
            </w:r>
          </w:p>
        </w:tc>
      </w:tr>
      <w:tr w14:paraId="05C95510">
        <w:tblPrEx>
          <w:tblCellMar>
            <w:top w:w="0" w:type="dxa"/>
            <w:left w:w="108" w:type="dxa"/>
            <w:bottom w:w="0" w:type="dxa"/>
            <w:right w:w="108" w:type="dxa"/>
          </w:tblCellMar>
        </w:tblPrEx>
        <w:tc>
          <w:tcPr>
            <w:tcW w:w="8670" w:type="dxa"/>
            <w:gridSpan w:val="6"/>
            <w:tcBorders>
              <w:top w:val="single" w:color="000000" w:sz="4" w:space="0"/>
              <w:left w:val="single" w:color="000000" w:sz="4" w:space="0"/>
              <w:bottom w:val="single" w:color="000000" w:sz="4" w:space="0"/>
              <w:right w:val="nil"/>
            </w:tcBorders>
            <w:shd w:val="clear" w:color="auto" w:fill="auto"/>
            <w:vAlign w:val="center"/>
          </w:tcPr>
          <w:p w14:paraId="667B19CB">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化学准备室</w:t>
            </w:r>
          </w:p>
        </w:tc>
      </w:tr>
      <w:tr w14:paraId="5F8E4B1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F011796">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40098A25">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产品名称</w:t>
            </w:r>
          </w:p>
        </w:tc>
        <w:tc>
          <w:tcPr>
            <w:tcW w:w="582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0F120B8">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技术参数、规格、功能</w:t>
            </w:r>
          </w:p>
        </w:tc>
        <w:tc>
          <w:tcPr>
            <w:tcW w:w="61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3E9DEBF">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c>
          <w:tcPr>
            <w:tcW w:w="64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D095886">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r>
      <w:tr w14:paraId="73C318C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BAE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7952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准备边台</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525C">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1、规格：3000mm*750mm*780mm±1%。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2、台面：采用≥12.7mm厚实芯理化板，耐高温、耐腐蚀；</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3、整柜体说明：外壳采用≥1.0mm优质冷轧钢板在数控加工中心、剪裁、定位打孔、折弯焊接后成型，酸洗磷化处理后喷涂环氧树脂粉末高温烘烤固化。附着力高、表面硬度耐腐蚀性极强，预留有两个位置。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4、铰链：阻尼铰链；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5、调整脚说明：采用直径≥φ10mm注塑调整脚，防震、防潮、耐腐蚀，可根据室内地坪适当调整柜体高度，最大调节为0-30mm。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6、工艺说明：所有钢板焊接经环氧树脂粉喷图后，目视平整无焊点。所有水、电、气路要求安全、适用，并隐藏式安装。在柜体后背板设维修孔。</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7、下部柜体，门板：采用≥1.0mm冷轧钢板（双层），无焊连接，可拆卸带减震垫。经数控加工、剪裁、定位打孔、折弯焊接成型，酸洗磷化后喷涂环氧树脂粉末，高温烘烤固化。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686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608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r>
      <w:tr w14:paraId="62F3D97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86C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D370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试剂架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36AF">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1、规格：≥2200*300*750mm；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2、双层，分两段，立柱采用≥80mm*42mm*1.2mm的铝镁合金专用型材，挡条采用≥40mm*15mm*1mm的铝镁合金专用型材，支撑件采用≥1.2mm厚的冷轧钢板冲压成型；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3、支撑件用不锈钢内六角螺丝及小铁条固定在立柱上，可以上下自由调节；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4、金属件外喷纯环氧树脂，高温固化；</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5、固定件采用≥4mm厚的专用合金件 ，充分保证试剂架安装后的稳定性；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6、电源插座：≥6只5孔10A防溅插座，电源盒采用防溅结构；</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7、试剂架的上端和下端与台面连接的地方，分别采用工程塑料成型的立柱盖和立柱套；</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8、试剂架的螺丝均采用不锈钢螺丝 ，层板采用≥8mm钢化玻璃。</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243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778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2F11613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01E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5850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滴水架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403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1、材质:高密度PP。</w:t>
            </w:r>
            <w:r>
              <w:rPr>
                <w:rFonts w:hint="eastAsia" w:ascii="仿宋" w:hAnsi="仿宋" w:eastAsia="仿宋" w:cs="仿宋"/>
                <w:color w:val="000000"/>
                <w:kern w:val="0"/>
                <w:sz w:val="20"/>
                <w:szCs w:val="20"/>
                <w:lang w:bidi="ar"/>
              </w:rPr>
              <w:br w:type="textWrapping"/>
            </w: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2、尺寸：≥550*400*120mm，≥27支滴水棒。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3、底部托盘中间设有排水孔。</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4、可拆卸式滴水棒，方便使用。</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3A4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5A4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6761ACA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3C8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B314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上水装置</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3A1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1、用于连接地面水管及水龙头，上水管两端接头采用不低于201不锈钢螺帽铜芯，外管是304钢丝+尼龙丝混编的、内管采用三元内管、角阀是钻石轮（塑料包铁）、阀芯和阀体均为铜制；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D5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27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0181B38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893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084E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下水装置</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684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1、规格:直径≥35mm*长度≥500mm水槽专配型排水管，不锈钢卡扣连接，安装方便不渗漏；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A26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A5E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2674426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032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09DC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三联水嘴</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729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1、主体材料、尺寸：水龙头总整高度≥570mm。主体：采用≥ø20.5*4mm管径的不低于黄铜制造。直管：采用≥ø20*2mm管径的不锈钢制造。臂管：采用≥ø18*1mm管径的不锈钢制造。鹅颈弯管：采用≥ø13*1.0 mm管径的不锈钢制造，可360°旋转。</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2、涂层: 涂层经亚光环氧树脂耐酸碱粉末涂料热固处理，耐腐蚀、耐热，防紫外线辐射。</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3、陶瓷阀芯：90°旋转，使用寿命开关要求达到≥20万次，静态最大耐压≥10 bar。</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4、开关旋钮: 高密度PP，人体工学设计，手感舒适。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1EF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086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1EB7536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506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DAEB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洗眼器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0FA7">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1、主体：高度≥320mm，不低于加厚H59铜质,符合YS/T910-2013黄铜中铜量的测定碘量法,铜含量；铜含量≥59.3%。</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2、涂层：高亮度超厚电镀层，耐腐蚀、耐热，防紫外线辐射；</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3、洗眼头：模注一体成型，软性橡胶并带有缓冲滤网，出水经缓压处理呈泡沫柱状，可持续均匀柔和,去除水中杂质，避免水束冲伤眼睛流量≥11.4升/分钟并维持冲洗至少15分钟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4、防尘盖：PP材质，设置防尘盖,使用时自动被水冲开；</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5、开关：采用杠杆结构，铜质按压阀通过塑料手柄操作，水流在1秒钟内快速启动，启闭方便；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6、控水阀：止逆阀，其阀门可自动关闭；</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7、软管：供水软管长度≥1.4米，软性PVC管外覆不锈钢网,外层包裹PE管，有效防止生锈、磨损、划手；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B3B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22E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5A6A5F8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E49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A39A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通风柜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D92C">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1、规格：≥1500*850*2350mm；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2、台面：采用≥12.7mm厚实芯理化板，耐酸碱，耐冲击，耐腐蚀，甲醛达到E1级及以上标准；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主体：左右旁板\前钢板\前立柱\下柜体：采用≥1.0mm厚一级优质镀锌钢板。钢板下料选用优质≥2000W全自动数控激光切割机，板材折边采用全自动数控折弯机一次性一体折弯成型，所有金属表面经环氧树脂粉末静电流水线自动化喷涂及高温固化。</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4、内衬板\导流板\顶板\后背板：标配采用≥5mm厚实芯抗倍特板具有良好的防腐蚀、易清洗，导流板固定件使用PP优质材质制作一体成型。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移动视窗：门玻璃两侧用铝合金夹条包裹，铝合金一体成型拉手，并嵌入≥5mm厚优质钢化玻璃，门开启高度为≥750mm,自由升降，移门上下滑动装置采用垂直升降同步轮结构，无级任意停留，移门导向装置由抗腐蚀的聚氯乙稀材质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6、固定视窗：框架为钢≥1.0mm厚一级优质镀锌钢板经激光切割下料，数控折边制作，环氧树脂粉末静电喷涂高温固化，并框内嵌入≥5mm厚钢化玻璃；</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7、排风口：采用与顶板一体成型集气罩，出风口直径≥250mm圆孔，套管连接，减少气体扰流；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8、连接处：所有内部连接装置都隐藏布置和抗腐蚀，没有外露的螺钉，外部连接装置都抗化学腐蚀的不锈钢部件与非金属材料；</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9、水槽：配有一次性成型PP小杯槽，耐酸碱、耐腐蚀，安装于通风柜内台面上；</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10、水龙头：七字单口水龙头由黄铜构成并安装在通风柜内台面上；</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11、控制面板：采用液晶显示屏面板（可设置快慢自由调节，支持电动风阀6秒快开）≥8个按键电源、设置、确定、照明、备用、风机、风阀+\-键；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12、照明：LED圆筒白光灯快速启动类型，安装置通风柜顶部，使用寿命长；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13、插座：配置不低于四个86型国标五孔多功能插座。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14、线路：通风柜内部线路均使用≥2.5平方铜芯电线；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15、下柜门：标配采用优质≥90度直臂铰链，使用寿命高，拆装方便，并采用了曲面柜门；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16、检修口：下柜背板预留活动检修窗，方便故障检修；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17、其它装置：上柜左右旁板各预留4个直径≥42mm圆孔方便加装考克等设施。</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898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C90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6A7C588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6EA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D1AA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器材架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779B">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1、整体规格：L2000mm*D600mm*H2000mm±10mm（节/组的尺寸），≥4层双面存取。每层架间距离可均匀调整。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2、材料：层板由优质钢板折弯冲压制成，立柱为货架专用C型钢材，尺寸：≥40mm*60mm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3、生产工艺：喷塑前经脱脂、酸洗、磷化。表面喷涂环保塑粉。喷塑冲击力≥4N/m，附着力不低于2级要求。载荷；搁板每层承重≥200Kg，每架≥800Kg，层距可调。</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4、整体要求：组件连接紧密牢固，无松动摇晃，边缘光滑，无毛刺，书架底脚无尖锐棱角，表面喷涂均匀。</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AF3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51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40CE0ED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9B7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62B9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仪器车</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0534">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1、规格：650mm*400mm*900mm±10mm。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2、仪器车应分为2层，层间距不小于300mm。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3、车架用直径不小于20*20mm方管制成、壁厚不小于0.5mm的不锈钢管制成，架高不低于800mm。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4、车架脚安装有不小于φ50mm、厚≥15mm转动灵活的万向轮。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5、车隔板为不薄于0.5mm的不锈钢制成。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6、整车安装好后应载重≥50Kg，应运行平稳，不得变形、摇晃、松动。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221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561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辆</w:t>
            </w:r>
          </w:p>
        </w:tc>
      </w:tr>
      <w:tr w14:paraId="701604D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810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EE9C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PP仪器柜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1B8D">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1、规格：1000mm*500mm*2100mm±10mm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2、材质：PP材质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3、柜体：侧板，顶板及底板采用增强型PP材质，一次注塑成型。表面做磨砂处理，结构紧密，耐腐蚀性强。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4、上柜门：采用增强型PP材质一次注塑成型，外嵌≥4mm厚钢化烤漆玻璃，中间烤漆镂空制作透明可视。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5、下柜门：采用增强型PP材质一次注塑成型，外嵌≥4mm钢化烤漆玻璃。</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层板：配三块活动层板（上柜二块，下柜一块），每块层板尺寸为≥943mm*455mm，厚度为≥28mm，为增强型PP材质一次注塑成型，层板底部安装两根≥1.2mm厚方管，承重不低于20公斤。层板可以抽取，自由组合各层空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7、门铰链：用增强型PP材质一次注塑成型，内嵌隐藏安装方便，耐腐蚀。</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8、柜体预留通风孔，可以与通风管路连接。</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DDD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FA0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6B5985E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4F4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A140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PP药品柜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C109">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1、规格：1000mm*500mm*2100mm±10mm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2、材质：PP材质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3、柜体：侧板，顶板及底板采用增强型PP材质，一次注塑成型。表面做哑光处理，结构紧密，耐腐蚀性强。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4、上柜门：采用增强型PP材质一次注塑成型，外嵌≥4mm厚钢化烤漆玻璃，中间烤漆镂空制作透明可视。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5、下柜门：采用增强型PP材质一次注塑成型，外嵌≥4mm钢化烤漆玻璃。</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层板：配三块活动层板（上柜二块，下柜一块），每块层板尺寸为≥943mm*455mm，厚度为≥28mm，为增强型PP材质一次注塑成型，层板底部安装两根≥1.2mm厚方管，承重不低于20公斤。层板可以抽取，自由组合各层空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7、门铰链：用增强型PP材质一次注塑成型，内嵌隐藏安装方便，耐腐蚀。</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8、柜体预留通风孔，可以与通风管路连接。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9、阶梯：配二块阶梯；整体PP材料一体注塑成型（非二次焊接或者拼接）,牢固耐用，一共两层，每层高度约60mm，宽度约112mm，同层板组成三层阶梯。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D63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F76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4088CB98">
        <w:tblPrEx>
          <w:tblCellMar>
            <w:top w:w="0" w:type="dxa"/>
            <w:left w:w="108" w:type="dxa"/>
            <w:bottom w:w="0" w:type="dxa"/>
            <w:right w:w="108" w:type="dxa"/>
          </w:tblCellMar>
        </w:tblPrEx>
        <w:tc>
          <w:tcPr>
            <w:tcW w:w="86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8C641F">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危化</w:t>
            </w:r>
            <w:r>
              <w:rPr>
                <w:rFonts w:hint="eastAsia" w:ascii="仿宋" w:hAnsi="仿宋" w:eastAsia="仿宋" w:cs="仿宋"/>
                <w:b/>
                <w:bCs/>
                <w:color w:val="000000"/>
                <w:kern w:val="0"/>
                <w:sz w:val="20"/>
                <w:szCs w:val="20"/>
                <w:lang w:val="en-US" w:eastAsia="zh-CN" w:bidi="ar"/>
              </w:rPr>
              <w:t>品</w:t>
            </w:r>
            <w:r>
              <w:rPr>
                <w:rFonts w:hint="eastAsia" w:ascii="仿宋" w:hAnsi="仿宋" w:eastAsia="仿宋" w:cs="仿宋"/>
                <w:b/>
                <w:bCs/>
                <w:color w:val="000000"/>
                <w:kern w:val="0"/>
                <w:sz w:val="20"/>
                <w:szCs w:val="20"/>
                <w:lang w:bidi="ar"/>
              </w:rPr>
              <w:t>室</w:t>
            </w:r>
          </w:p>
        </w:tc>
      </w:tr>
      <w:tr w14:paraId="1878F68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317A5E9">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2ADD623F">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产品名称</w:t>
            </w:r>
          </w:p>
        </w:tc>
        <w:tc>
          <w:tcPr>
            <w:tcW w:w="582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4269469">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技术参数、规格、功能</w:t>
            </w:r>
          </w:p>
        </w:tc>
        <w:tc>
          <w:tcPr>
            <w:tcW w:w="61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522FD9C">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c>
          <w:tcPr>
            <w:tcW w:w="64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C38B90B">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r>
      <w:tr w14:paraId="67C1ADA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24D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A18D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毒害品储存柜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ED32">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1、尺寸：1840mm*900mm*510mm±1%；门类型：双开门；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2、易燃品毒害品储存柜外壳体全部采用≥1.2mm的冷轧钢板，柜体底座采用≥2.0mm的冷轧钢板,内外表面经酸洗磷化环氧树脂粉末喷涂，烘热固化处理。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易燃品毒害品储存柜体内胆（上，下、左、右内衬板）均采用PP（聚丙烯树脂）板，厚度≥4mm；柜底部设置≥90*50*145mm进风口，进风口底部有PP（聚丙烯树脂）旋转式可调风阀；柜体的底板中部有≥Φ10mm漏液孔，漏液孔上面盖上不低于60目304*不锈钢网；柜体底部设不低于h=160mm黄沙(防倒）挡板，柜体内部最下层留有可以存放不少于120mm厚黄沙的填埋腔，用于埋放金属钠、黄磷（白磷）等的易燃物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4、柜底装有四个移动尼龙轮，便于易燃品毒害品储存柜移动；前轮后有≥2个手动调节罗杆，方便危化品储存柜定位。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柜中部有≥3个一次成型聚丙烯活动层板，层板四周边缘厚度平均值不小于4.0mm;每层阶梯板外延边有积液槽，积液槽高度平均值不小于3.0mm，最大可能防止液体外溢；每个搁板靠背板处有一排导风口，阶梯高度不小于50mm（包括积液盘的高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柜顶部中间开有≥φ160mm的出风口，柜顶风口内置一个AC220V50HZ0.18A轴流风机，最大风量≥326m³/h，转速≥2550转/min,环境温度（-10-+70）摄氏度，无火花静电，控制开关设置柜体顶部的右上角，当风机开机前要把柜门下面中间的进风口推置打开状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密封件：柜体门与柜体之间应安装防火膨胀密封件，密封件应符合国家相关标准的要求。（柜体门与柜体之间应安装环保热膨胀密封条。当温度为150℃~180℃时密封条局部膨胀，温度达到200℃时密封条全部膨胀，膨胀比例为1:5，以保证储存药品的安全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8、陶瓷纤维棉：柜体应填充具有保温隔热作用的陶瓷纤维棉，陶瓷纤维棉应符合GB/T21114-2019的要求，（密度≥130㎏/m³，厚度:≥40mm）。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9、铰链：铰链应为钢琴式铰链，确保门能开≥180度。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10、电子密码锁：柜体配备电子密码锁和机械锁，实现双人双锁管理，同时锁具具有开锁记录查询功能及隐码功能；天地锁锁舌选用坚韧且有弹性的高分子合成塑料制成，耐磨且抗腐蚀性能极强。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11、环保性能：室内甲醛含量≤0.8mg/m³；苯含量≤0.09mg/m³，甲醛及苯含量符合国家标准要求。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12、电源：符合国家相关标准的要求。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13、通风控制装置：柜体底部应设置进风口及可调风阀，可调风阀旋转灵活，并能控制风量大小。通风管道口径宜采用≥Φ160mm，通风管应耐高温、阻燃、耐腐蚀，符合JGJ/T141-2017的要求。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14、配备接地装置实现完全接地。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15、装箱时柜内外的说明标识：《易燃品毒害品储存柜使用说明书》，《合格证》，《安全储存说明书》，柜门上贴有反光警示标签。</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FBB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378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027CEDD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DCE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7C62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耐腐蚀品储存柜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AC1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1、尺寸：1840mm*900mm*510mm±1%；门类型：双开门；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2、易燃品毒害品储存柜外壳体全部采用≥1.2mm的冷轧钢板，柜体底座采用≥2.0mm的冷轧钢板,内外表面经酸洗磷化环氧树脂粉末喷涂，烘热固化处理。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易燃品毒害品储存柜体内胆（上，下、左、右内衬板）均采用PP（聚丙烯树脂）板，厚度≥4mm；柜底部设置≥90*50*145mm进风口，进风口底部有PP（聚丙烯树脂）旋转式可调风阀；柜体的底板中部有≥Φ10mm漏液孔，漏液孔上面盖上不低于60目304*不锈钢网；柜体底部设不低于h=160mm黄沙(防倒）挡板，柜体内部最下层留有可以存放不少于120mm厚黄沙的填埋腔，用于埋放金属钠、黄磷（白磷）等的易燃物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4、柜底装有四个移动尼龙轮，便于易燃品毒害品储存柜移动；前轮后有≥2个手动调节罗杆，方便危化品储存柜定位。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柜中部有≥3个一次成型聚丙烯活动层板，层板四周边缘厚度平均值不小于4.0mm;每层阶梯板外延边有积液槽，积液槽高度平均值不小于3.0mm，最大可能防止液体外溢；每个搁板靠背板处有一排导风口，阶梯高度不小于50mm（包括积液盘的高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柜顶部中间开有≥φ160mm的出风口，柜顶风口内置一个AC220V50HZ0.18A轴流风机，最大风量≥326m³/h，转速≥2550转/min,环境温度（-10-+70）摄氏度，无火花静电，控制开关设置柜体顶部的右上角，当风机开机前要把柜门下面中间的进风口推置打开状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密封件：柜体门与柜体之间应安装防火膨胀密封件，密封件应符合国家相关标准的要求。（柜体门与柜体之间应安装环保热膨胀密封条。当温度为150℃~180℃时密封条局部膨胀，温度达到200℃时密封条全部膨胀，膨胀比例为1:5，以保证储存药品的安全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8、陶瓷纤维棉：柜体应填充具有保温隔热作用的陶瓷纤维棉，陶瓷纤维棉应符合GB/T21114-2019的要求，（密度≥130㎏/m³，厚度:≥40mm）。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9、铰链：铰链应为钢琴式铰链，确保门能开≥180度。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10、电子密码锁：柜体配备电子密码锁和机械锁，实现双人双锁管理，同时锁具具有开锁记录查询功能及隐码功能；天地锁锁舌选用坚韧且有弹性的高分子合成塑料制成，耐磨且抗腐蚀性能极强。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11、环保性能：室内甲醛含量≤0.8mg/m³；苯含量≤0.09mg/m³，甲醛及苯含量符合国家标准要求。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12、电源：符合国家相关标准的要求。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13、通风控制装置：柜体底部应设置进风口及可调风阀，可调风阀旋转灵活，并能控制风量大小。通风管道口径宜采用≥Φ160mm，通风管应耐高温、阻燃、耐腐蚀，符合JGJ/T141-2017的要求。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14、配备接地装置实现完全接地。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15、装箱时柜内外的说明标识：《易燃品毒害品储存柜使用说明书》，《合格证》，《安全储存说明书》，柜门上贴有反光警示标签。</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474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0CD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784F37D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8D4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225D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强酸碱储存柜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232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1、规格：1650*1090*460mm±1%。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2、材质：采用聚丙烯(PP)材料无缝焊接而成。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3、材料厚度：≥8mm厚度板材。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4、双门/手动，≥2个可调层板。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5、配备聚丙烯防泄漏托盘，可单独取出，便于清洁，层板可根据需要调节。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6、柜门贴有醒目的“腐蚀性”警示标识。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7、可以用于各种腐蚀性化学品的存储，如硫酸，硝酸，乙酸，硫磺酸等，保护操作者及周围人群安全。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1E0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C3E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5CB1716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5E2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247D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突发事件应急演练预警系统主机</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265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1、主机采用≥7寸LED显示屏触摸控制以及显示，屏幕上分区域显示当前系统时间、报警模式、设备编号、防区位置、设备在线列表以及联动报警信息；</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2、功能按键：≥5个按键，分别为暴力、火灾、地震、空袭、取消报警；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3、12V电源输出：≥1路12V/1A的直流电源输出；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4、后备电池：待机时间≥10小时，工作时间≥10分钟；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5、通讯：局域网通讯，通讯距离不受限制，内置天线；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6、报警响应时间：≤3秒；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7、电源：AC220V±10%；</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8、功耗：≤72W；</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9、整机尺寸：≥220*220*60mm；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10、工作温度：-20～60℃(主电工作)；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11、存储温度：-40～80℃；</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12、相对湿度：5～95%RH，无凝露；</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13、具有“暴力、火灾、地震、空袭”四大突发事件报警功能，可通过对应的触摸屏按键触发警报，支持与突发事件接警云平台对接。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14、主机触发火灾警报按钮及警示语音提示：火灾警报声+（语音：“发生火灾，大家不要惊慌，请捂鼻猫腰，迅速按演习路线有序疏散到安全区域，不要推挤踩踏”）+火灾警报声；主机触发暴力袭击警报按钮及警示语音提示：110警报声+（语音：“发生暴力袭击，大家不要惊慌，请关好门窗躲避到安全区域．安保人员紧急到岗处理”）+110警报声；主机触发地震警报按钮及警示语音提示：地震警报声+（语音：“地震警报”，大家不要惊慌，请先实施紧急避险，再按演习路线有序疏散到安全区域不要推挤踩踏”）+地震警报声；主机触发空袭警报按钮及警示语音提示：空袭警报声+（语音：“空袭警报”，大家不要惊慌，迅速按演习路线有序疏散到安全区域．不要推挤踩踏”）+空袭警报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15、主机可通过屏幕设置当前防区信息、布防防区位置以及报警模式并将当前报警模式发送给分机；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16、可接收并响应分机触发的突发事件报警；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17、可联动声光报警器进行联动报警输出；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18、可联动多功能智慧语言提示屏进行联动报警输出；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19、具有警报声、语音疏散引导、文字显示警情和上报地点等警示功能；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20、小程序、WEB端可自动显示警报信息；</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21、主机可通过连接网络，可以给设定的紧急联系人以电话、短信方式通知警情信息；</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22、具有系统静默功能，用户可通过登录后台，进行参数设置，将模式切换为“禁默模式”，重要时刻可临时禁用系统警报功能；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23、具有消音复位功能，可通过触摸“取消报警”键复位并消除当前的警报信息，主机可以复位并消除所有的报警设备的警报信息；</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24、具有远程管理功能，可通过小程序、WEB端进行用户管理、防区管理、设备管理等系统管理；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25、支持智慧烟感探测终端联动报警输入，可触发警报并显示报警信息和位置，可选择自动触发系统火灾报警；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26、具有备电功能，支持停电运行；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27、具有内置扬声器；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28、具有音频功放输出，可外接大功率扬声器；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29、具有音频信号输出，可外接校园广播；</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30、具有12V直流电源输出，可驱动外部警报设备；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31、突发事件应急演练预警系统主机频率容限：≤20ppm、频率范围：2400-2483.5MHz、发射功率：≤20dBm(EIRP)、占用带宽：≤40MHz、杂散发射限制：≤-30dBm；主机通过中国国家无线电管理委员会(SRRC)强制认证，型号符合中华人民共和国无线电管理规定和技术标准。</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328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52D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33D3A53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E6F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EFB5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高音扩音喇叭</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487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1、大功率≥50W强音扩音喇叭；</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E3A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31A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2BFAE67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332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0D14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专用有线户外声光闪动警灯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0CA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1、与主机、分机配套使用，电压12V，电流0.8ma，≤100分贝，防水等级不低于IP55，模拟转动。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874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122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A397A0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E20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A45C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智慧烟感探测终端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A5E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1、当发生火灾探测到烟雾时，突发事件应急疏散系统主机和分机应能够接受烟感探测器的警报信号，并应能触发“发生火灾”警报提示，并上传到突发事件接警云平台。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功能特性：烟雾探测；火灾预警；声光报警；自检测试；防潮设计；联动突发事件接警云平台进行报警；分体式设计，烟感与通讯模块无需接线，360度自由旋转安装；内置NB卡设计，避免长时间NB裸露在外灰尘与潮气带来的短路与短路造成不良；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3、性能指标：工作电源：DC3；待机电流：≤12uA；报警方式：LED&amp;蜂鸣器；报警声强：≥85dB；防火等级：不低于V0；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393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5FF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FA49ED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11A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F133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突发事件接警云平台</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2D9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功能特性：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系统统计显示内容：可对报警设备总数统计，包括设备在线率、设备总数、在线设备、离线设备、报警设备、预警数量以及监测时长等数据展示。设备在线列表：可展示报警设备所在空间名称、设备编号、设备名称、设备在线/离线状态以及上一次在线时间等信息。</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2、基础数据管理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（1）信息处理：应当突发事件接警云平台电脑客户端弹出警情信息，可以进行查看具体的报警信息，并且能够对该报警信息作出上报、误报、开警号、关警号、防护、停警声等相应的处理操作。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（2）平台系统可采用云服务器部署方式，支持广域网操作和管理，学校用户支持通过电脑端或手机端完成所有的管理操作，方便学校进行账户管理；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（3）学校基础数据管理：应可以对学校、组织机构、监测楼栋以及监测空间进行管理操作功能。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（4）账号管理：应可以刷新、新增系统管理员、修改管理员、删除管理员、搜索管理员账号等相应的操作。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（5）设备报警记录：应可以刷新、生成Excel、搜索、查看处理状态、警情、报警时间、联系电话、地址、设备编码、防区、设备MAC、接警人、微信接警人、处理时间、地图、监控视频、防区图、离线地图。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互联功能：应可以与系统主机联接，当系统主机接收到与其相连接的系统分机、移动式报警控制器发出的报警信号时，系统主机应可以通过网线或SIM卡联网方式将报警信号传输至与其相连的突发事件接警云平台电脑客户端、手机APP软件或微信端以及Internet网页端接收到报警信息后，应可以自动弹出具体的警情信息、地图（包含经度、纬度、地址、地图位置）、电话、防区、报警时间、设备MAC等信息；接警客户端接收到报警信息后，显示报警信息的同时，自动开启播放以主机对应的警报声，方便师生、安保负责人通过警报声辩别何种突发事件来临，做出正确的应对措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3、应急疏散管理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设备管理：应可以刷新，新增设备，生成Excel，选择、查看设备编码、设备MAC、设备状态、设备地址、防区图、监控视频、离线地图、修改设备设置、删除设备、冻结、恢复、布防、撤防、全选、设置设备内容信息、搜索等相应的操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（2）报警联系人：应可以刷新，新增、修改、删除以及查询报警联系人，当发生应急突发事件报警时，支持以电话、短信的方式通知报警联系人。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（3）报警参数管理：对报警设备进行报警参数进行配置管理，可选择报警设备，设置相应的推送方式、推送次数以及报警联系人；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（4）设备在线管理：应可以按照防区字段、报警设备类型进行分类查询，展示报警设备所在空间名称、设备编号、设备名称、设备在线/离线状态以及上一次在线时间等信息；</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（5）设备报警记录管理：应可以查询设备的报警信息，按照报警模式、报警时间、报警设备编号、报警设备类型、报警设备位置以及报警事件进行列表显示，可查询每条报警记录的具体通知记录；</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4、校端突发事件应急管理数据看板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将数据通过分类统计，进行数据可视化输出，可通过一屏实现整个校园突发事件的整体概况。</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（1）设备概况：设备总数、在线设备、离线设备、设备在线率；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数据统计分析：应将设备、设备警情记录、非法撤防记录、设备不在线记录按天、按月、按年进行统计，每种数据统计结果按照已处理、误报、撤防、布防四种情况进行分类,通过扇形图的方式进行直观呈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（3）设备在线记录：以列表的方式呈现时间、设备编号、设备类型、防区位置以及在线状态；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（4）设备防区地图：以地图的方式呈现当前防区的位置；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（5）最新报警记录：以列表的方式呈现序号、报警时间、设备编号、报警位置、报警模式、报警事件，多个报警信息进行滚动播放显示；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（6）累计事件报警数统计：按照警情、演练进行分类统计，显示累计报警数、发生警情数、发生演练报警数；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（7）警情事件统计：按照报警事件、报警模式进行分类统计，分别显示暴力袭击、火灾、空袭报警、地震报警发生次数；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（8）警情趋势图：统计今年累计发生的警情数量，演练数量，通过柱状图按照月份进行直观统计显示。</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7F8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967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4F97CD5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584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AAD6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灭火设备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D2A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1、≥4KG干粉灭火器，符合安全条例，满足意外事故需要；两个灭火器和1个灭火器箱；</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163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6FA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4047FD5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3EB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7F0E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防腐耐酸碱通风系统</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864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1、≥110W 轴流风机。</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50A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019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564AC3A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E64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6529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通风系统（室内）</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FB9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1、主通风管规格：≥φ160mm/200mm，优质PVC成品管道；</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2、支管道规格：≥φ110mm/160mm，优质PVC成品管道；</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3、管道配件：管道三通、弯头、变径、直接；（实际管径视现场情况可适当调整）</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464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A20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w:t>
            </w:r>
          </w:p>
        </w:tc>
      </w:tr>
      <w:tr w14:paraId="6181C6C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8AF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5D7A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安装辅件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E0C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1、含固定支架、连接管、耗材等</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28E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841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w:t>
            </w:r>
          </w:p>
        </w:tc>
      </w:tr>
      <w:tr w14:paraId="77ABF26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90E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238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隔断</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5CC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轻钢龙骨，≥120mm多层板双面外包，环保漆双面三底两面；</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1B5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427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平方</w:t>
            </w:r>
          </w:p>
        </w:tc>
      </w:tr>
      <w:tr w14:paraId="7B91DAE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468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81E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防盗系统</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1490">
            <w:pPr>
              <w:widowControl/>
              <w:numPr>
                <w:ilvl w:val="0"/>
                <w:numId w:val="2"/>
              </w:numPr>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val="en-US" w:eastAsia="zh-CN" w:bidi="ar"/>
              </w:rPr>
              <w:t>安装</w:t>
            </w:r>
            <w:r>
              <w:rPr>
                <w:rFonts w:hint="eastAsia" w:ascii="仿宋" w:hAnsi="仿宋" w:eastAsia="仿宋" w:cs="仿宋"/>
                <w:color w:val="000000"/>
                <w:kern w:val="0"/>
                <w:sz w:val="20"/>
                <w:szCs w:val="20"/>
                <w:lang w:bidi="ar"/>
              </w:rPr>
              <w:t>防盗门</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防盗等级甲级，双机械锁。</w:t>
            </w:r>
          </w:p>
          <w:p w14:paraId="558E9837">
            <w:pPr>
              <w:widowControl/>
              <w:numPr>
                <w:ilvl w:val="0"/>
                <w:numId w:val="2"/>
              </w:numPr>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窗户加装防盗护栏</w:t>
            </w:r>
            <w:r>
              <w:rPr>
                <w:rFonts w:hint="eastAsia" w:ascii="仿宋" w:hAnsi="仿宋" w:eastAsia="仿宋" w:cs="仿宋"/>
                <w:color w:val="000000"/>
                <w:kern w:val="0"/>
                <w:sz w:val="20"/>
                <w:szCs w:val="20"/>
                <w:lang w:eastAsia="zh-CN" w:bidi="ar"/>
              </w:rPr>
              <w:t>。</w:t>
            </w:r>
          </w:p>
          <w:p w14:paraId="0AD954A0">
            <w:pPr>
              <w:pStyle w:val="2"/>
              <w:ind w:left="0" w:leftChars="0" w:firstLine="0" w:firstLineChars="0"/>
              <w:rPr>
                <w:rFonts w:hint="default" w:eastAsia="仿宋"/>
                <w:lang w:val="en-US" w:eastAsia="zh-CN"/>
              </w:rPr>
            </w:pPr>
            <w:r>
              <w:rPr>
                <w:rFonts w:hint="eastAsia" w:ascii="仿宋" w:hAnsi="仿宋" w:eastAsia="仿宋" w:cs="仿宋"/>
                <w:color w:val="000000"/>
                <w:kern w:val="0"/>
                <w:sz w:val="20"/>
                <w:szCs w:val="20"/>
                <w:lang w:val="en-US" w:eastAsia="zh-CN" w:bidi="ar"/>
              </w:rPr>
              <w:t>3、安装防爆摄像头，画质≥300万像素。</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C30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4626">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室</w:t>
            </w:r>
          </w:p>
        </w:tc>
      </w:tr>
      <w:tr w14:paraId="525186B8">
        <w:tblPrEx>
          <w:tblCellMar>
            <w:top w:w="0" w:type="dxa"/>
            <w:left w:w="108" w:type="dxa"/>
            <w:bottom w:w="0" w:type="dxa"/>
            <w:right w:w="108" w:type="dxa"/>
          </w:tblCellMar>
        </w:tblPrEx>
        <w:tc>
          <w:tcPr>
            <w:tcW w:w="8670" w:type="dxa"/>
            <w:gridSpan w:val="6"/>
            <w:tcBorders>
              <w:top w:val="nil"/>
              <w:left w:val="nil"/>
              <w:bottom w:val="nil"/>
              <w:right w:val="nil"/>
            </w:tcBorders>
            <w:shd w:val="clear" w:color="auto" w:fill="auto"/>
            <w:noWrap/>
            <w:vAlign w:val="center"/>
          </w:tcPr>
          <w:p w14:paraId="20F49495">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化学教学仪器</w:t>
            </w:r>
          </w:p>
        </w:tc>
      </w:tr>
      <w:tr w14:paraId="5463111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3BE0">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EB2E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名称</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D990">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规格 型号 功能</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17C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5D4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r>
      <w:tr w14:paraId="5C1BDD8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C75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0300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灭火毯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B46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玻璃纤维材质，1200 mm×1800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14C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664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64354A0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291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B1D5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护目镜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7A4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耐酸碱，抗冲击，耐磨，便于清洗，带侧光板型或封闭型</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8C4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A40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BD76A2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F7F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80A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实验服</w:t>
            </w:r>
          </w:p>
        </w:tc>
        <w:tc>
          <w:tcPr>
            <w:tcW w:w="5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1DD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可分为大、中、小号</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C57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1F8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7DCFEF7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6B1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192E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防护面罩</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150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防冲击面屏，聚碳酸酯材质，耐 45 m/s 粒子冲击，通过弹簧箍与安全帽相连，面屏可更换，起到头部与面部双重保护作用，光洁，透明度高</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D77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F14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BB9AB4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3D6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6DDC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防毒口罩</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E69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E 型（标色：黄），防止吸入酸性气体或蒸气</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A26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9A2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30087C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D3E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A2DE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防毒口罩</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C5E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CO 型（标色：白），防止吸入一氧化碳气体</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692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CE7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0FB4A8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183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D0E1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耐酸手套</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409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机械性能不低于 3 级，无破损，手套应有长度≥15 cm 的套袖</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355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F61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双</w:t>
            </w:r>
          </w:p>
        </w:tc>
      </w:tr>
      <w:tr w14:paraId="4C5A013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F37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3FF6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一次性乳胶手套</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C55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耐酸碱</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BD1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17E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盒</w:t>
            </w:r>
          </w:p>
        </w:tc>
      </w:tr>
      <w:tr w14:paraId="4D13021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AD1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D65D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废液分类回收桶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776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塑料制，25 L</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5F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403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14DCCE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416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0A3D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仪器车</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E02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600 mm×400 mm×800 mm，不锈钢材质，至少两层，各层带可拆卸护栏，总载重≥60 kg</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769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D25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辆</w:t>
            </w:r>
          </w:p>
        </w:tc>
      </w:tr>
      <w:tr w14:paraId="61C6956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DC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588F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打孔器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BB8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刀口式，材质为不锈钢管、钢管或黄铜管，每组不少于 4 支，外径分别为 9 mm、8 mm、7 mm、6 mm， 并配一支带柄金属通扦</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C6C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2CB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166A68A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FBC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400E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打孔夹板</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4CE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硬木或硬塑料制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C8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D90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0FB729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A96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B23E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打孔器刮刀</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429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刮刀宜用65M 板制成，表面热处理，55 HRC～60 HRC，总长为 70 mm±0.5 mm，宽 14.5 mm±0.1 mm，厚1.8 mm±0.5 mm，刀口角度宜为 60°±5°，锋刃＜0.1 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385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3FB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F43A40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1C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6D76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电动钻孔器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649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钻头可拆卸，应配有 2 个以上不同孔径的钻头</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AE2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308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2DFD3AA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00E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40E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托盘天平</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39E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 g，0.1 g</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922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902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2BEE13D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E55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7E96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水银温度计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308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 ℃～200 ℃，分度值 1 ℃，示值误差＜0.5 ℃，有保护套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504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124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087EEE4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BE3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E4EF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酸度计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5CB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笔式，pH 测量范围 0～14，分辨力 0.1，读数清晰，有自动关机节电模式，配校准试剂</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B7E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A54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4F488D8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DBB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55B3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三脚架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9CE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铁制，环内径 75 mm，高 150 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584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F44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2C395A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0E5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4D26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E33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木制或塑料制，8 孔，孔径 21 mm，立柱粘结牢固</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44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1A0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9B1CB5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693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1CA3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B66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木制或塑料制，8 孔，孔径 25 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C54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BEA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2507F94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672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D3EA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44D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木制或塑料制，8 孔，孔径 35 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338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3A0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4BD493F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524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18E9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量筒</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17F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 mL 透明钠钙玻璃制，分度线、数字和标志应完整、清晰和耐久，容积为20℃时充满量筒刻度线所容纳体积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0EC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77B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42DAB55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68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4EAC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量筒</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E0C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 mL 透明钠钙玻璃制，分度线、数字和标志应完整、清晰和耐久，容积为20℃时充满量筒刻度线所容纳体积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5B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A71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6A504D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2DC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4B7E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量筒</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883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 mL 透明钠钙玻璃制，分度线、数字和标志应完整、清晰和耐久，容积为20℃时充满量筒刻度线所容纳体积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1A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C88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316367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453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11C8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量筒</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9FF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 mL 透明钠钙玻璃制，分度线、数字和标志应完整、清晰和耐久，容积为20℃时充满量筒刻度线所容纳体积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CED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781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9D28AA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8C3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7DEE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量筒</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CCB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 mL 透明钠钙玻璃制，分度线、数字和标志应完整、清晰和耐久，容积为20℃时充满量筒刻度线所容纳体积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051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08E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2340033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779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AA34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BFA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12 mm × 70 mm 透明硼硅酸盐玻璃制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5E8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9E5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0805359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6BF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92B8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14F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15 mm × 150 mm 透明硼硅酸盐玻璃制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5C6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A19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285D923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193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8321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BD6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18 mm × 180 mm 透明硼硅酸盐玻璃制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C26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FB0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5483A2D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AB3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9291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D6B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20 mm × 200 mm 透明硼硅酸盐玻璃制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704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0A8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34E8EE5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3AF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EF0D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BAF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32 mm × 200 mm 透明硼硅酸盐玻璃制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D35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968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77045B8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FBC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5736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口部具支试管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621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20 mm × 200 mm 透明硼硅酸盐玻璃制，管底厚薄应均匀，支管连接应平滑牢固，不应有偏歪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327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ED1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7244095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4A7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391A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硬质玻璃管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7B7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15 mm × 150 mm 透明硼硅酸盐玻璃制，耐热温度≥ 800℃，试管两端口部应卷口</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A29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E75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4B9F888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F7D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5F7C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硬质玻璃管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2CD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20 mm × 250 mm 透明硼硅酸盐玻璃制，耐热温度≥ 800℃，试管两端口部应卷口</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DA1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D90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6914FBD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4EC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2789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烧杯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714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 mL 透明硼硅酸盐玻璃制，烧杯的满口容量应超过标称容量的 10%或烧杯的满口容量和标称容量的两液面间距不应少于 10mm，并应采用容量差值较大的一种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1A2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5EF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D725DC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920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D27B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烧杯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CD7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 mL 透明硼硅酸盐玻璃制，烧杯的满口容量应超过标称容量的 10%或烧杯的满口容量和标称容量的两液面间距不应少于 10mm，并应采用容量差值较大的一种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68A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2A9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F69AAC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B1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1C4B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烧杯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D4C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 mL 透明硼硅酸盐玻璃制，烧杯的满口容量应超过标称容量的 10%或烧杯的满口容量和标称容量的两液面间距不应少于 10mm，并应采用容量差值较大的一种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B95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E6D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6C0087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FFF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D2E9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烧杯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1B1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 mL 透明硼硅酸盐玻璃制，烧杯的满口容量应超过标称容量的 10%或烧杯的满口容量和标称容量的两液面间距不应少于 10mm，并应采用容量差值较大的一种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D70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E49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64AF99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E3E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F2C3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烧杯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E15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 mL 透明硼硅酸盐玻璃制，烧杯的满口容量应超过标称容量的 10%或烧杯的满口容量和标称容量的两液面间距不应少于 10mm，并应采用容量差值较大的一种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2AF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E91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8BB890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82D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7CD5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烧杯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AB0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 mL 透明硼硅酸盐玻璃制，烧杯的满口容量应超过标称容量的 10%或烧杯的满口容量和标称容量的两液面间距不应少于 10mm，并应采用容量差值较大的一种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0FD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08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C03A2F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A46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B27A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烧杯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5D2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1000 mL 透明硼硅酸盐玻璃制，烧杯的满口容量应超过标称容量的 10%或烧杯的满口容量和标称容量的两液面间距不应少于 10mm，并应采用容量差值较大的一种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368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2D8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673162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D67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2A82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烧瓶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F3D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 mL， 圆底，透明硼硅酸盐玻璃制，玻璃薄厚均匀，底部应规整</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8F3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776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D8A8E9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E30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1308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烧瓶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E53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 mL， 平底，透明硼硅酸盐玻璃制，平底烧瓶放在平台上时，应直立不摇晃、不 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90A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7FE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99D97F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CAD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49B7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锥形瓶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7FA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 mL，透明硼硅酸盐玻璃制，放在平台上应直立不摇晃、不转动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C06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225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1F6378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869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55C0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锥形瓶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A58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 mL，透明硼硅酸盐玻璃制，放在平台上应直立不摇晃、不转动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DEF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0FC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251E25E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7C2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96A3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集气瓶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24F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125 mL，透明钠钙玻璃制，磨砂面应均匀地覆盖瓶口端面与盖板，磨砂面不应有光斑；盖板四角应倒角，四边应磨光盖板与瓶口密合性应符合：盖板与瓶口充分湿润盖合后，倒提瓶体盖板在瓶口上保持 30 s 不脱落</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081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835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FD798D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8C8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6EE1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集气瓶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80F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 mL，透明钠钙玻璃制，磨砂面应均匀地覆盖瓶口端面与盖板，磨砂面不应有光斑；盖板四角应倒角，四边应磨光盖板与瓶口密合性应符合：盖板与瓶口充分湿润盖合后，倒提瓶体盖板在瓶口上保持 30 s 不脱落</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50C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041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8E596C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5E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C50F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广口瓶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804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 mL，透明钠钙玻璃制，瓶塞与瓶口紧实， 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659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119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15B995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9EC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DC10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广口瓶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4C7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125 mL，透明钠钙玻璃制，瓶塞与瓶口紧实， 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B61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F6F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734647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24B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7468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广口瓶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265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 mL，透明钠钙玻璃制，瓶塞与瓶口紧实， 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12E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BE4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4AB1C30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C5B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CF25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广口瓶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525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 mL，透明钠钙玻璃制，瓶塞与瓶口紧实， 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A71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479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FCB06C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444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4C74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茶色广口瓶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357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 mL，黄棕色钠钙玻璃制，瓶塞与瓶口紧实，不晃动；口部应圆整光滑，底部应平整，放置平台上不应摇晃或转动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073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3F9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C4113C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715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D7C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茶色广口瓶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AD4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 mL，黄棕色钠钙玻璃制，瓶塞与瓶口紧实，不晃动；口部应圆整光滑，底部应平整，放置平台上不应摇晃或转动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061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91A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24A651B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90A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0E0F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细口瓶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6F7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 mL，透明钠钙玻璃制，瓶塞与瓶口紧实， 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5F4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873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E11F5C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454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5AB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细口瓶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F6D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125 mL，透明钠钙玻璃制，瓶塞与瓶口紧实， 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767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B36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36E44C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F36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3A80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细口瓶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874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 mL，透明钠钙玻璃制，瓶塞与瓶口紧实， 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8D0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0C6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F2F629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73F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F847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细口瓶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ACC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 mL，透明钠钙玻璃制，瓶塞与瓶口紧实， 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957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E62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439793B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BD7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9185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细口瓶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456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1000 mL，透明钠钙玻璃制，瓶塞与瓶口紧实， 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F29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4F0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65A95C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AB0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D6E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细口瓶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6BA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3000 mL，透明钠钙玻璃制，瓶塞与瓶口紧实， 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41A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762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F242DC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C66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FEAC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茶色细口瓶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457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 mL，黄棕色钠钙玻璃制，瓶塞与瓶口紧实，不晃动；口部应圆整光滑，底部应平整，放置平台上不应摇晃或转动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A6E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616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63CF75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8CA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FB08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茶色细口瓶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551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125 mL，黄棕色钠钙玻璃制，瓶塞与瓶口紧实，不晃动；口部应圆整光滑，底部应平整，放置平台上不应摇晃或转动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7B2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A58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41ED876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976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B63A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茶色细口瓶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E4A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 mL，黄棕色钠钙玻璃制，瓶塞与瓶口紧实，不晃动；口部应圆整光滑，底部应平整，放置平台上不应摇晃或转动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8D3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C0B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5B2FC1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BEA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B519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茶色细口瓶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E23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 mL，黄棕色钠钙玻璃制，瓶塞与瓶口紧实，不晃动；口部应圆整光滑，底部应平整，放置平台上不应摇晃或转动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68A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74B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A3A535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0D0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F866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滴瓶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D99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 mL，透明钠钙玻璃制，瓶口细磨，磨砂面应均匀细腻，滴管应附橡胶帽， 吸放弹性好，开口直径 6 mm，与滴管口套合牢固稳定</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616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16D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2A66281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921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22A8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滴瓶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7E2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 mL，透明钠钙玻璃制，瓶口细磨，磨砂面应均匀细腻，滴管应附橡胶帽， 吸放弹性好，开口直径 6 mm，与滴管口套合牢固稳定</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A06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C5E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493E00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9B4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84B2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茶色滴瓶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C6E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 mL，黄棕色钠钙玻璃制，瓶口细磨，磨砂面应均匀细腻，滴管应附橡胶帽， 吸放弹性好，开口直径 6 mm，与滴管口套合牢固稳定</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8C6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70F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0921C4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0A7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376B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茶色滴瓶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680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 mL，黄棕色钠钙玻璃制，瓶口细磨，磨砂面应均匀细腻，滴管应附橡胶帽， 吸放弹性好，开口直径 6 mm，与滴管口套合牢固稳定</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2E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6F6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EC123B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0AF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8400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酒精灯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98F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150 mL，透明钠钙玻璃制，无明显黄绿色。灯口应平整，瓷灯头与灯口平面间隙不应超过 1.5 mm。玻璃灯罩应磨口。瓷灯头应为白色，完全覆盖灯口，表面无缺陷。配置与灯口孔径相适应的整齐完整的棉线灯芯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C9F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92A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84D16E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BCE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0F2A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干燥器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221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150 mm，磨口平整，密封严实，隔板大小合适，不少于 5 个圆孔</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BDC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C2A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13DDDF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0D9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E42C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漏斗</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B05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 mm，直径准确，锥度适中</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DDC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7B0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1775DD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DB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DAC4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漏斗</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4AB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 mm，直径准确，锥度适中</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772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943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AD4FCB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A1B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3B6A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分液漏斗</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091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 mL，锥型 瓶塞应有凹槽，瓶口有气孔</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CD2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28C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4401DBF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7FF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14B5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分液漏斗</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252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 mL，球型 瓶塞应有凹槽，瓶口有气孔</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CE9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311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7AD9F0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6D2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4F5C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三通连接管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203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T 形 Φ 7 mm～8 mm，连接完好，管口应作打磨或烧结处理</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0BD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A18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15A69D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588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3396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三通连接管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E42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Y 形 Φ 7 mm～8 mm，连接完好，管口应作打磨或烧结处理</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2AE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F0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FB7930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034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FCAB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滴管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45B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 mm 直形，滴管尖嘴口径 1 mm，上端有防滑脱翻口，翻口处直径比滴管直径略多 1 mm～2 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27F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1A1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142D5E5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890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626D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滴管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AEB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150 mm 直形，滴管尖嘴口径 1 mm，上端有防滑脱翻口，翻口处直径比滴管直径略多 1 mm～2 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1D8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C25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0FD42FD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DD4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30A0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干燥管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E7D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145 mm，单球 硼硅酸盐玻璃制，玻璃壁厚度适中， 球体圆润，导气管长度≥2 cm，最好有防滑脱沟槽</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BE5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F49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58D3725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098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763D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干燥管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378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w:t>
            </w:r>
            <w:r>
              <w:rPr>
                <w:rFonts w:hint="eastAsia" w:ascii="仿宋" w:hAnsi="仿宋" w:eastAsia="仿宋" w:cs="仿宋"/>
                <w:i/>
                <w:iCs/>
                <w:color w:val="000000"/>
                <w:kern w:val="0"/>
                <w:sz w:val="20"/>
                <w:szCs w:val="20"/>
                <w:lang w:bidi="ar"/>
              </w:rPr>
              <w:t xml:space="preserve"> </w:t>
            </w:r>
            <w:r>
              <w:rPr>
                <w:rFonts w:hint="eastAsia" w:ascii="仿宋" w:hAnsi="仿宋" w:eastAsia="仿宋" w:cs="仿宋"/>
                <w:color w:val="000000"/>
                <w:kern w:val="0"/>
                <w:sz w:val="20"/>
                <w:szCs w:val="20"/>
                <w:lang w:bidi="ar"/>
              </w:rPr>
              <w:t>15 mm × 150 mm， U 型 硼硅酸盐玻璃制，玻璃壁厚度适中， 球体圆润，导气管长度≥2 cm，最好有防滑脱沟槽</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481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1C3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2007644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94F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C84E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圆水槽</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485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Φ210 mm × 110 mm 水槽底部应平整，不应凸底，壁厚和底厚应均匀，口部端面应平整， 边和口应圆滑</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5A8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DFB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28E3EF9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9B5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AAC3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圆水槽</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F59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Φ270 mm × 140 mm 水槽底部应平整，不应凸底，壁厚和底厚应均匀，口部端面应平整， 边和口应圆滑</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297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8D9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F01D69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02D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3DB2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坩埚</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81C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瓷制，30 mL，耐热≥1200 ℃，内外壁光滑，外壁涂釉，配有坩埚盖</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200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14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2F91C09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16D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3D89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坩埚钳</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1FF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200 mm，钢制，中间弯曲部分内径应在 2 cm～3 c</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8BB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DD9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F75627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8BE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CDF6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烧杯夹</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055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钢制或不锈钢制，夹持部位应有橡胶保护套，避免与玻璃烧杯直接接触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6D4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8F9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790E78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47F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7C81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镊子</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E05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不锈钢制，平头，长 125 mm，钢板厚 1.2 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前部应有防滑脱锯齿</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DF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3A9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20886DA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847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F956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试管夹</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967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木制或者竹制，长度≥200 mm，宽度约 20 mm， 厚度约 20 mm。试管夹闭口缝≤1 mm，开口距离≥25 mm。毡块粘接牢固，试管夹弹簧作防锈处理。试管夹持部位圆弧内径≤15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958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F60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79A5B6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972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41D6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止水皮管夹</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EA1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3 mm 钢丝制成，作防锈处理，夹持角度≥60º， 弹性好，不漏液</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9E3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56</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17C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D7B787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73A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F441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石棉网</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184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金属网尺寸≥125 mm×125 mm，0.8 mm 钢丝制成，石棉材料不易脱落，石棉网边缘钢丝应作简单处理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2BD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B38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A8EBB3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A74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0259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燃烧匙</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083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铜勺，勺直径 18 mm，深 10 mm，铁柄，柄长约300 mm，长柄和铜勺连接稳定结实</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164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70C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E38F6B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448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CF3D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药匙</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156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长度≥13 cm，带小勺，材质可选金属、牛角、塑料</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AE3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34E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DA32F3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619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9A17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橡胶塞</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E8D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000、00、0～10 号 白色，质地均匀</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DFB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492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kg</w:t>
            </w:r>
          </w:p>
        </w:tc>
      </w:tr>
      <w:tr w14:paraId="2F973B7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4A4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AE85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橡胶管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93B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外径 9 mm，内径 6 mm 乳白色，具有耐油、耐酸碱、耐压等特性</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632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888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kg</w:t>
            </w:r>
          </w:p>
        </w:tc>
      </w:tr>
      <w:tr w14:paraId="7D81001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7E9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7165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乳胶管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14A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外径 6 mm，内径 4 mm 弹力好，拉力范围可在自身的 6 倍，回弹力 100%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072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C48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m</w:t>
            </w:r>
          </w:p>
        </w:tc>
      </w:tr>
      <w:tr w14:paraId="25D0056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940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A570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乳胶管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D4F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外径 7 mm，内径 5 mm 弹力好，拉力范围可在自身的 6 倍，回弹力 100%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A48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67A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m</w:t>
            </w:r>
          </w:p>
        </w:tc>
      </w:tr>
      <w:tr w14:paraId="2B08B7C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CF1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BE1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乳胶管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108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外径 9 mm，内径 6 mm 弹力好，拉力范围可在自身的 6 倍，回弹力 100%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97D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EF1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m</w:t>
            </w:r>
          </w:p>
        </w:tc>
      </w:tr>
      <w:tr w14:paraId="5094BAF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635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54E6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试管刷</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63C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12 mm 手持部分顶端应为环状，顶部要有刷丝，铁丝不可外露</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24E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0EB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4772C3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271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5EDA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试管刷</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6B9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18 mm 手持部分顶端应为环状，顶部要有刷丝，铁丝不可外露</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35B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018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5CBD02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A7D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0198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试管刷</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064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32 mm 手持部分顶端应为环状，顶部要有刷丝，铁丝不可外露</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D1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093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F5EAA7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C26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D586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烧瓶刷</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774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 mL 烧瓶用 手持部分顶端应为环状，顶部要有刷丝，铁丝不可外露</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68A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21A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4FE4B0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630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15A3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烧瓶刷</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894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 mL 烧瓶用 手持部分顶端应为环状，顶部要有刷丝，铁丝不可外露</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0D3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33D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EC46E8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082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AC38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表面皿</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A30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 mm 无色硼硅酸盐玻璃制</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906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F74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D7519D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BFD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50CC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表面皿</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8B8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 mm 无色硼硅酸盐玻璃制</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501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C3C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F8A3D5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EE7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E2F1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研钵</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971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 mm 瓷或玻璃制，配有研杵，内部粗糙</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便于研磨，外部光滑</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41C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80A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46EB3B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FFB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0CC9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研钵</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7F3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 mm 瓷或玻璃制，配有研杵，内部粗糙</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便于研磨，外部光滑</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B22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560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4758A2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7D2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E826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蒸发皿</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2C6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 mm 瓷制，耐受温度≥800℃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282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79F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2B7C249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3D9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CA05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蒸发皿</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E37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120 mm 瓷制，耐受温度≥800℃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3DC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8C7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4872E7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3E0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0690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井穴板</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26D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透明塑料，9 孔，每孔 0.7 mL，可以重复使用</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D2C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E1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749115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399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72F1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井穴板</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52C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透明塑料，6 孔，每孔 5 mL，配 6 个双导气管的井穴塞，可以重复使用</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569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E61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7F45E3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3C5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EF77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塑料多用滴管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4BD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弹性圆筒形吸泡和一根 Φ 1 mm×120 mm 的径管连接而成，容积 4 mL，环保材料，弹性好</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B67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E54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44D48F9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891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8DDE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塑料洗瓶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804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 mL 或 500 mL，水嘴略向下倾斜，口径 1 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 mm，瓶口紧实不漏气</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E10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E9A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2C40B0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C55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61E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塑料水槽</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0F2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 mm×180 mm×100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538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260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91E3FA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7E7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FB2C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升降台</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8A5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上下台面为不锈钢材质，100 mm×100 mm，台面升降范围 50 mm～150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D85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90B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8B327A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4A7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0CB7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酒精喷灯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C0E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坐式，铜制，壶体容积≥300 mL，火焰高度为 150 mm～180 mm，火焰温度为 960 ℃±60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870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105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A80D7F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A65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DF64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pH广泛试纸</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F5D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1～14</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8E9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C86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本</w:t>
            </w:r>
          </w:p>
        </w:tc>
      </w:tr>
      <w:tr w14:paraId="72FCB1F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EFF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F4A7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蓝石蕊试纸</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B39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标准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207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EEF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本</w:t>
            </w:r>
          </w:p>
        </w:tc>
      </w:tr>
      <w:tr w14:paraId="268D19D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AC1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C7C0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红石蕊试纸</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B23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标准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0CE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814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本</w:t>
            </w:r>
          </w:p>
        </w:tc>
      </w:tr>
      <w:tr w14:paraId="73486D9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7CB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1FA1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定性滤纸</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E5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快速，9 cm，100 张</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9C8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AA9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盒</w:t>
            </w:r>
          </w:p>
        </w:tc>
      </w:tr>
      <w:tr w14:paraId="7B4D47A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36D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19FB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微型溶液导电实验器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C0A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所需每种溶液≤3 mL</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3CF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70B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47518F4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CA7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442D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气体实验微型装置</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C7D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含单球短管、单球长管、双球管、集气管、制气管等硬质玻璃仪器，无明显外观缺陷，规格 30 mL， 配置齐全，能组装成整套的综合性微型实验装置； 试剂瓶规格 12 mL，不少于 28 个。能完成与氧气、二氧化碳、氢气、一氧化碳等气体有关的实验，包括燃烧的条件实验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627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197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1F5F8CF2">
        <w:tblPrEx>
          <w:tblCellMar>
            <w:top w:w="0" w:type="dxa"/>
            <w:left w:w="108" w:type="dxa"/>
            <w:bottom w:w="0" w:type="dxa"/>
            <w:right w:w="108" w:type="dxa"/>
          </w:tblCellMar>
        </w:tblPrEx>
        <w:tc>
          <w:tcPr>
            <w:tcW w:w="86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FA52D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生物综合实验室</w:t>
            </w:r>
          </w:p>
        </w:tc>
      </w:tr>
      <w:tr w14:paraId="168D6E8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6705648">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04B248D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产品名称</w:t>
            </w:r>
          </w:p>
        </w:tc>
        <w:tc>
          <w:tcPr>
            <w:tcW w:w="582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7C609D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技术参数、规格、功能</w:t>
            </w:r>
          </w:p>
        </w:tc>
        <w:tc>
          <w:tcPr>
            <w:tcW w:w="61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393E04D">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c>
          <w:tcPr>
            <w:tcW w:w="64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B38846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r>
      <w:tr w14:paraId="76E98D0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6C8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ADA4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教师演示台</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6DE6">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1、规格：2400mm*700mm*850mm±10mm。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2、台面：采用≥15mm厚新型陶瓷台面。台面表面为实验室专业耐腐蚀、耐污染釉面。釉面与胚体经高温一体烧结而成，不脱落、不脱层，防火阻燃、防腐蚀、耐酸碱、防静电、耐磨、抗污染。</w:t>
            </w:r>
          </w:p>
          <w:p w14:paraId="6CABFA5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3、桌身：整体采用≥1.0mm厚优质冷轧钢板，全部钢制件纳米陶瓷镀膜防锈处理。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4、结构：演示台设有储物柜，中间为演示台,设置电源主控系统、多媒体设备（主机、显示器、中控、功放、交换机）的位置预留。含PP水槽、下水管和溢流管及三联水嘴。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5、滑道：抽屉全部采用优质三节承重式滚珠滑道开合十万次不变形。</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铰链：采用优质铰链，开合十万次不变形。三联水嘴：鹅颈式实验室专用优质化验水嘴：要求防酸碱、防锈、防虹吸、防阻塞，表面环氧树脂喷涂。出水嘴为铜质瓷芯，高头，便于多用途使用，可拆卸清洗阻塞。出水嘴可拆卸，内置成型螺纹，便于连接各类水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7、下水管和溢流管：水槽专配型排水管，不锈钢卡扣连接，安装方便不渗漏。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09F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3AB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r>
      <w:tr w14:paraId="4E40609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19F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CEFF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智慧互动教考终端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F3DD">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整体尺寸：≥长1190mm*宽120mm*高211mm，终端上方进行凸起设计，四周进行倒圆角设计，正面整体采用钢化玻璃一体成型面板，密封性良好，终端中间配置≥13.3寸电容触摸真彩显示屏，显示屏分辨率：≥1920*1080，终端两侧面板配有教师所需电源，终端上集成有2组视频采集终端位置；处理器：内置嵌入式微处理器。存储空间：不低于RAM4G+ROM32G。网络：支持2.4GHz/5GHz 双频无线WIFI连接。支持WIFI 802.11a/b/g/n/ac协议，支持蓝牙4.0及以上。教师电源：教师电源与智慧互动教考终端主机融合为一体设计，终端左侧提供220V高压电源输出、USB输出，右侧提供1组低压交直流电源输出。低压电源的操作面板采用≥1.8寸彩色液晶屏显示，可以进行低压交直流、频率信号输出控制。低压电源可以设置调节0-24V 2A直流电源输出信号，分辨率0.1V。低压电源可以设置调节0-24V 2A交流电源输出信号，分辨率1V。低压电源可以设置调节0-24V 20-100HZ频率输出信号，分辨率1HZ。空开、电源指示灯：终端面板上配置空开≥1个，作为整个教考终端的电源开关，同时防止用电过程中可以起到漏电保护的作用；终端面板上配置电源指示灯1个，用于通电开启提醒。网口、220V插座、USB接口：终端面板上可支持集成网络接口、220V插座接口、≥4个USB接口，终端可适配实验数据采集处理软件，可直接连接传感器，无需数据采集器即可进行数字化实验，并且老师在实验操作过程中，可以提供老师用电用网设备方便使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教学演示终端：与智慧互动教考终端通过阻尼轴连接行程一体，实验教学演示终端可以通过折叠的方式进行收纳。双摄：具有双摄像头，主拍摄像头从上往下俯瞰拍摄老师的实验操作，侧拍摄像头从左往右拍摄老师的实验操作；像素：≥500万 1/2.7’’CMOS；码流：支持同时输出主副码流，主码流可支持2560*1440,1920*1080等；RTSP并发量：支持最高6路并发，低延时同步实现录制和监考；支持PPPoE，IPv4、IPV6、TCP、UDP、DHCP、RTP、RTSP等网络协议；智能编码：支持H.264、H.265两种编码格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内置教学系统：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1、实验教学资源平台：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（1）同步实验教学资源：提供Saas级教学平台接入服务，将教学资源系统按照教学课程内置同步实验教学课件、教学PPT、实验教学视频以及虚拟仿真实验多种教学资源类型。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（2）资源库：提供个人资源库以及校本资源库两种，支持资源上传、编辑、管理和分享。</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2、智能备课系统: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（1）备课模块按照知识点，讲授点预制资源，可调用实验教学资源平台里面的资源；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（2）备课系统也可以支持自己上传备课资源至备课系统，支持上传PPT文件、PDF文件、图片文件以及视频文件；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3、智能授课系统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（1）可选择备课系统中的资源进行教学授课；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（2）可在授课过程中，选择教学资源平台里面的资源进行在线授课；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（3）授课系统内置了电子白板功能，可使用激光笔、橡皮擦、清屏等操作；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（4）支持三角板、直尺、量角器、圆规、几何等图形工具；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（5）支持各类形状、放大镜功能；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（6）支持矩形截图以及区域截图两种方式；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（7）支持计时工具，可实现正向计时和倒计时功能；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（8）支持四线三格、元素周期表、竖式等学科工具；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（9）支持实验教学过程中录屏操作。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4、实验操作演示系统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（1）老师端可联动实验教学演示终端进行教学演示，通过实验教学演示终端拍摄教师实验操作的过程，可将操作的过程展示到一体机上，学生可以通过一体机查看老师的整个实验操作过程。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（2）老师端可将实验操作的步骤自动记录存储，可以方便日后学生进行回放。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（3）支持直播画面自由组合切换成画中画、双画面、单镜头等格式；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（4）支持直播画面接入大屏进行示范教学；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（5）支持录制高清示范视频，录制视频可作为探究教学资源；</w:t>
            </w:r>
          </w:p>
          <w:p w14:paraId="0F432B0D">
            <w:pPr>
              <w:pStyle w:val="27"/>
              <w:ind w:left="0" w:leftChars="0" w:firstLine="0" w:firstLineChars="0"/>
              <w:rPr>
                <w:rFonts w:ascii="仿宋" w:hAnsi="仿宋" w:eastAsia="仿宋" w:cs="仿宋"/>
                <w:color w:val="000000"/>
                <w:sz w:val="20"/>
                <w:szCs w:val="20"/>
              </w:rPr>
            </w:pPr>
            <w:r>
              <w:rPr>
                <w:rFonts w:hint="eastAsia" w:ascii="仿宋" w:hAnsi="仿宋" w:eastAsia="仿宋" w:cs="仿宋"/>
                <w:color w:val="000000"/>
                <w:kern w:val="0"/>
                <w:sz w:val="20"/>
                <w:szCs w:val="20"/>
                <w:lang w:bidi="ar"/>
              </w:rPr>
              <w:t>智慧互动教考终端频率容限：≤20ppm、频率范围：2400-2483.5MHz、发射功率：≤20dBm(EIRP)、占用带宽：≤40MHz、杂散发射限制：≤-30dBm；主机通过中国国家无线电管理委员会(SRRC)强制认证，型号符合中华人民共和国无线电管理规定和技术标准。</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203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F5B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E82652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DC1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4408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实验桌</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0B7B">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1、规格：1200mm*600mm*780mm±10mm。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2、台面：采用≥20mm厚无甲醛新型环保陶瓷台面，表面为实验室专业耐腐蚀、耐污染、抗冲击釉面。坯体一体实芯，釉面和坯体经高温一体烧结而成。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书包斗：整体尺寸≥400*250*100mm,采用环保型ABS塑料工程一次性注塑成型，底、面部加设经纬加强筋，防止变形弯曲。在书包斗的前端中心位置注塑出螺孔，通过螺钉将书包斗与中间横梁固定相接，可拆卸易于组装。中间设置内凹圆槽挂凳卡槽，便于收纳、放置实验凳。</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侧面采用三段式高强度铝合金结构，整体规格：≥586*809mm，其中上支架尺寸：≥586*122*46mm,下支架尺寸：≥545*83*55mm。立柱采用倾斜式设计，内嵌入上下铸铝支架≥30mm，后端配备加固支撑梁。侧面上下支架采用≥3mm厚的铝压铸一次成型，各部分连接设置专用定位件，并用高强度内六角自攻螺丝≥6mm*25mm上下各两支连接固定。</w:t>
            </w:r>
          </w:p>
          <w:p w14:paraId="4E2D466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立柱采用菱形八边型结构设计，规格：≥95mm*41mm，厚度≥1.5mm。垂直面与斜面各有四面，正面垂直面与斜面夹角约为10度，侧面垂直面与斜面夹角约为80度。立柱外立面中间无凹槽。前横梁、后横梁和中下横梁全部采用高强度挤出铝合金模具型材，铝材表面经环氧树脂户外粉末静电喷涂处理。前后横梁尺寸：≥40*30mm，采用前端半圆弧人体工程学设计，圆弧角度约为R18，安装螺丝处的厚度≥2mm，其它厚度为≥1.1mm。中下横梁尺寸：≥50mm*25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下支架脚：下支架脚两端各设置一个直径：≥8.7mm的圆形孔位，可通过拉爆螺丝与地面固定或搭配直径：≥30mm的调节脚使用。调节脚：≥10mm*30mm国标螺杆与优质塑料一体注塑成型，承重性强。前后桌脚配有不同装饰颜色的PP脚套装饰盖。</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7、背部挡水条经模具一体挤压成型，根据不同厚度的台面板配不同高度的镶入卡口挡水条。</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022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B92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r>
      <w:tr w14:paraId="6C3A775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C14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A38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功能柱</w:t>
            </w:r>
          </w:p>
        </w:tc>
        <w:tc>
          <w:tcPr>
            <w:tcW w:w="5826" w:type="dxa"/>
            <w:tcBorders>
              <w:top w:val="single" w:color="000000" w:sz="4" w:space="0"/>
              <w:left w:val="single" w:color="000000" w:sz="4" w:space="0"/>
              <w:bottom w:val="single" w:color="000000" w:sz="4" w:space="0"/>
              <w:right w:val="single" w:color="000000" w:sz="4" w:space="0"/>
            </w:tcBorders>
            <w:shd w:val="clear" w:color="auto" w:fill="auto"/>
          </w:tcPr>
          <w:p w14:paraId="6A66AE44">
            <w:pPr>
              <w:widowControl/>
              <w:jc w:val="left"/>
              <w:textAlignment w:val="top"/>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1、规格：375*235*738mm±</w:t>
            </w:r>
            <w:r>
              <w:rPr>
                <w:rFonts w:hint="eastAsia" w:ascii="仿宋" w:hAnsi="仿宋" w:eastAsia="仿宋" w:cs="仿宋"/>
                <w:color w:val="000000"/>
                <w:kern w:val="0"/>
                <w:sz w:val="20"/>
                <w:szCs w:val="20"/>
                <w:lang w:val="en-US" w:eastAsia="zh-CN" w:bidi="ar"/>
              </w:rPr>
              <w:t>5</w:t>
            </w:r>
            <w:r>
              <w:rPr>
                <w:rFonts w:hint="eastAsia" w:ascii="仿宋" w:hAnsi="仿宋" w:eastAsia="仿宋" w:cs="仿宋"/>
                <w:color w:val="000000"/>
                <w:kern w:val="0"/>
                <w:sz w:val="20"/>
                <w:szCs w:val="20"/>
                <w:lang w:bidi="ar"/>
              </w:rPr>
              <w:t>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2、材质：采用工程PP塑料模具一次成型，壁厚≥3mm，不变形，不扭曲，无明显裂纹、凹陷、气泡、缩水等现象。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结构：多功能柱由两侧功能柱身及功能柱底座组成，表面通过PVC定制贴纸装饰，无可视孔洞。底座四脚采取圆弧处理，多功能柱身分为两块，塑料注塑模一次性成型,以齿合槽配以螺丝连接，拆分组合方便，方便检修桶体内的风管或电线。底座四角设计注塑隐藏式螺丝孔，用于向地面打螺丝固定功能柱，表面无螺丝孔位，达到实用、美观的效果。</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A64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A64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803186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626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A2E2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水槽柜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19C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规格：≥440mm*600mm*850mm；水槽采用环保型PP材料一次性注塑成型，耐强酸碱≤80度有机溶剂并耐≥150度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ABS材料一次性注塑成型与水槽柜整体连接，尺寸：≥85mm*120mm*345mm，储物抽屉分为三格，每格尺寸：≥110mm*115mm*65mm；便于学生使用时存放不同洗涤辅助用品。</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5EF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FDB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4F3CE6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7EB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2525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上水装置</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B80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1、用于连接地面水管及水龙头，上水管两端接头采用不低于201不锈钢螺帽铜芯，外管是304钢丝+尼龙丝混编的、内管采用三元内管、角阀是钻石轮（塑料包铁）、阀芯和阀体均为铜制；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5B6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532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6BE7C44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CA5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2B4F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下水装置</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ACB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1、规格:直径≥35mm*长度≥500mm水槽专配型排水管，不锈钢卡扣连接，安装方便不渗漏；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EFE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68C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66D2C2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206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50AF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三联水嘴</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F00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1、主体材料、尺寸：水龙头总整高度≥570mm。主体：采用≥ø20.5*4mm管径的不低于黄铜制造。直管：采用≥ø20*2mm管径的不锈钢制造。臂管：采用≥ø18*1mm管径的不锈钢制造。鹅颈弯管：采用≥ø13*1.0 mm管径的不锈钢制造，可360°旋转。</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2、涂层: 涂层经亚光环氧树脂耐酸碱粉末涂料热固处理，耐腐蚀、耐热，防紫外线辐射。</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3、陶瓷阀芯：90°旋转，使用寿命开关要求达到≥20万次，静态最大耐压≥10 bar。</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4、开关旋钮: 高密度PP，人体工学设计，手感舒适。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842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74D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30DAC54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A59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B3B2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学生安全电源</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039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1、ABS 翻转式电源盒，可放置在实验台两侧，书包盒中间，也可置于台面，实验和安装都非常方便。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2、配置≥2组220V国标5孔插座，保险丝保护，工作指示。具有火线关断开关。</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3、电源采用耐磨、耐腐蚀、耐高温（≤140℃）的面板，标识清楚。</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40A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3D4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0FD64E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6B0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7974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教师总控电源</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CCF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产品外壳采用镀锌板折弯焊接成型，表面喷塑，电源面板表面贴面膜，有漏电总开关、交流220V五孔带防护插座、教师用低压调整单元、学生用控制单元，低压交直流电压、40A倒计时时间均采用二位半数显表头显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2、直流稳压输出：标准电压：1.5V～12V，可输出到16V，无极可调，每0.1V递增。额定电流：2A。负载特性：交流输入电压在198V～242V之间变化，在额定电流输出时电压变化≤0.2V，在交流输入220V时，纹波电压≤3mV。</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3、交流稳压输出：标准电压：2V～12V，可输出0V～16V，每0.5V步进调整，自动稳压。额定电流：5A。负载特性：交流输入在220V不变时，负载电流在0至额定电流范围内变化，输出各档电压变化量±0.5V。</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4、直流40A大电流：当负载大于10A时，10秒内负载自动关断，并有倒计时时间显示。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5、过载保护：当直流输出过载或短路时，自动进入恒流状态。当低压交直流长时间处在过载或短路状态下。电源自动关机。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6、电源低压交直流电压二位半数字显示，显示精度0.1V。所显示的是实际输出电压。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7、学生交流220V输出分4路，每路输出独立工作。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8、变压器输入端设有过载自恢复保护。</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9、设有总电源漏电保护开关。低压交直流输出采用全铜香蕉插座，教师用五孔插座带安全防护。</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E15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80B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0D1239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DDD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1A5A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学生凳</w:t>
            </w:r>
          </w:p>
        </w:tc>
        <w:tc>
          <w:tcPr>
            <w:tcW w:w="5826" w:type="dxa"/>
            <w:tcBorders>
              <w:top w:val="single" w:color="000000" w:sz="4" w:space="0"/>
              <w:left w:val="single" w:color="000000" w:sz="4" w:space="0"/>
              <w:bottom w:val="single" w:color="000000" w:sz="4" w:space="0"/>
              <w:right w:val="single" w:color="000000" w:sz="4" w:space="0"/>
            </w:tcBorders>
            <w:shd w:val="clear" w:color="auto" w:fill="auto"/>
          </w:tcPr>
          <w:p w14:paraId="52AD7787">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bidi="ar"/>
              </w:rPr>
              <w:t>1、学生凳面：采用双色双质圆形面板，注塑包胶成型，面板采用ABS新料一体注塑成型，面板直径295mm±5mm，中间有内弧造型，深度为10mm±2mm，表面防滑不发光，凳面中间镶嵌有≥4mm厚，直径225mm±5mm的TPR灰色圆形软性材料，并采用包胶工艺与凳面组合，且表面平整、无凹凸。</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2、脚钢架：椭圆形无缝钢管，脚钢架尺寸：≥16mm*32mm*1.2mm，焊接完成，结构牢固，经高温粉体烤漆处理，长时间使用也不会产生表面烤漆剥落现象。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3、脚垫：材质：采用PP加耐磨纤维质塑料，实心倒勾式一体射出成型。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4、凳子可通过旋转螺杆来升降凳子高度。</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3EB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48</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179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条</w:t>
            </w:r>
          </w:p>
        </w:tc>
      </w:tr>
      <w:tr w14:paraId="56C7B35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834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44C1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教师低背椅</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C04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1、尺寸：W440mm*D440mm*H550mm±1%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2、结构：工字形钢架，科学支撑，钢架前端有踏脚垫，磨砂界面；</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座面规格：采用PP塑料一体注塑成型，长≥389mm*宽≥352mm*高≥149mm，椅背提手设计（提手规格：182mm*36mm±1%），提拉方便。人性化圆角设计（坐垫、钢架），有效防止磕碰撞伤。座椅底部可悬挂功能设计，不用时，可悬挂桌面之上，方便打扫，节省空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4、材质：座椅面采用双色双质，有内弧造型，表面防滑不发光，座椅面镶嵌TPR灰色软性材料，并采用包胶工艺与凳面组合，且表面平整、无凹凸，注塑包胶成型。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5、工艺：钢管直径≥22mm，壁厚≥1.8mm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6、脚垫：有效防滑，防刮伤，前防滑脚垫尺寸：40mm*19mm±1%，后防滑脚垫尺寸：73mm*22mm±1%，脚垫材质为PP塑料材质。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F51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737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条</w:t>
            </w:r>
          </w:p>
        </w:tc>
      </w:tr>
      <w:tr w14:paraId="4103B79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AAC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0FDC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光源系统</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286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1、外壳材料：工程塑料。</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2、功率：≥7W。</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3、灯管：LED发光。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4、投射角度：≥180度，可调节。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5、额定功率：AC 220V。</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871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194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0697260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DF4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7474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洗眼器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57C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1、主体：高度≥320mm，不低于加厚H59铜质,符合YS/T910-2013黄铜中铜量的测定碘量法,铜含量；铜含量≥59.3%。</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2、涂层：高亮度超厚电镀层，耐腐蚀、耐热，防紫外线辐射；</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3、洗眼头：模注一体成型，软性橡胶并带有缓冲滤网，出水经缓压处理呈泡沫柱状，可持续均匀柔和,去除水中杂质，避免水束冲伤眼睛流量≥11.4升/分钟并维持冲洗至少15分钟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4、防尘盖：PP材质，设置防尘盖,使用时自动被水冲开；</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5、开关：采用杠杆结构，铜质按压阀通过塑料手柄操作，水流在1秒钟内快速启动，启闭方便；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6、控水阀：止逆阀，其阀门可自动关闭；</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7、软管：供水软管长度≥1.4米，软性PVC管外覆不锈钢网,外层包裹PE管，有效防止生锈、磨损、划手；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D6A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838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20CECD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C67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87B2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电气线路耗材及安装</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7A5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面改造并修复，铺设PVC地胶。1、主线采用≥3*4²铜芯线接到教师电源上，学生端分支采用≥3*2.5mm²铜芯线和≥2*1.5mm²铜芯线，穿入≥φ25mmPVC电线管中，配合直接、管卡、电工胶布等。每个电源接口位置预留电线长度约1000mm，使每个学生桌之间串联起来接入学生电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BB8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093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w:t>
            </w:r>
          </w:p>
        </w:tc>
      </w:tr>
      <w:tr w14:paraId="33AD014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DCA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78ED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给、排水系统耗材及安装</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DA4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面改造并修复，铺设PVC地胶。1、主线采用≥3*4²铜芯线接到教师电源上，学生端分支采用≥3*2.5mm²铜芯线和≥2*1.5mm²铜芯线，穿入≥φ25mmPVC电线管中，配合直接、管卡、电工胶布等。每个电源接口位置预留电线长度约1000mm，使每个学生桌之间串联起来接入学生电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3D3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919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w:t>
            </w:r>
          </w:p>
        </w:tc>
      </w:tr>
      <w:tr w14:paraId="0545FB2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EFD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6F2C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文化改造</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147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后墙文化墙，墙面文化挂画，符合学科文化特点。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E96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769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w:t>
            </w:r>
          </w:p>
        </w:tc>
      </w:tr>
      <w:tr w14:paraId="2ECE8E4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109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176D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顶面吊顶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461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标高放线在墙的四周弹出标高水平线2、安装主龙骨，安装边龙骨，安装‌U型铝方通龙骨3、‌方通吊顶面板安装在空间的中心位置拉一条基准线，基准线与次龙骨的方向垂直，从基准线开始向两侧安装面板。将铝格栅（50*50mm）放地上组拼完整后，再将铝格栅扣进龙骨相应的齿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8E8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555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w:t>
            </w:r>
          </w:p>
        </w:tc>
      </w:tr>
      <w:tr w14:paraId="1B240B59">
        <w:tblPrEx>
          <w:tblCellMar>
            <w:top w:w="0" w:type="dxa"/>
            <w:left w:w="108" w:type="dxa"/>
            <w:bottom w:w="0" w:type="dxa"/>
            <w:right w:w="108" w:type="dxa"/>
          </w:tblCellMar>
        </w:tblPrEx>
        <w:tc>
          <w:tcPr>
            <w:tcW w:w="8670" w:type="dxa"/>
            <w:gridSpan w:val="6"/>
            <w:tcBorders>
              <w:top w:val="single" w:color="000000" w:sz="4" w:space="0"/>
              <w:left w:val="single" w:color="000000" w:sz="4" w:space="0"/>
              <w:bottom w:val="single" w:color="000000" w:sz="4" w:space="0"/>
              <w:right w:val="nil"/>
            </w:tcBorders>
            <w:shd w:val="clear" w:color="auto" w:fill="auto"/>
            <w:vAlign w:val="center"/>
          </w:tcPr>
          <w:p w14:paraId="7F79B846">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生物准备室</w:t>
            </w:r>
          </w:p>
        </w:tc>
      </w:tr>
      <w:tr w14:paraId="5A2425C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DCB80BA">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7363F00D">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产品名称</w:t>
            </w:r>
          </w:p>
        </w:tc>
        <w:tc>
          <w:tcPr>
            <w:tcW w:w="582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3FE2AC4">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技术参数、规格、功能</w:t>
            </w:r>
          </w:p>
        </w:tc>
        <w:tc>
          <w:tcPr>
            <w:tcW w:w="61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B5E12F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c>
          <w:tcPr>
            <w:tcW w:w="64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E7FA35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r>
      <w:tr w14:paraId="383F7F3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EFF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87E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准备边台</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7609">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1、规格：3000mm*750mm*780mm±1%。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2、台面：采用≥12.7mm厚实芯理化板，耐高温、耐腐蚀；</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3、整柜体说明：外壳采用≥1.0mm优质冷轧钢板在数控加工中心、剪裁、定位打孔、折弯焊接后成型，酸洗磷化处理后喷涂环氧树脂粉末高温烘烤固化。附着力高、表面硬度耐腐蚀性极强，预留有两个位置。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4、铰链：阻尼铰链；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5、调整脚说明：采用直径≥φ10mm注塑调整脚，防震、防潮、耐腐蚀，可根据室内地坪适当调整柜体高度，最大调节为0-30mm。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6、工艺说明：所有钢板焊接经环氧树脂粉喷图后，目视平整无焊点。所有水、电、气路要求安全、适用，并隐藏式安装。在柜体后背板设维修孔。</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7、下部柜体，门板：采用≥1.0mm冷轧钢板（双层），无焊连接，可拆卸带减震垫。经数控加工、剪裁、定位打孔、折弯焊接成型，酸洗磷化后喷涂环氧树脂粉末，高温烘烤固化。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5FF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0A7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r>
      <w:tr w14:paraId="6FE6743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C9A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48EA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中央台试剂架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BA88">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1、规格：≥2200*300*750mm；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2、双层，分两段，立柱采用≥80mm*42mm*1.2mm的铝镁合金专用型材，挡条采用≥40mm*15mm*1mm的铝镁合金专用型材，支撑件采用≥1.2mm厚的冷轧钢板冲压成型；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3、支撑件用不锈钢内六角螺丝及小铁条固定在立柱上，可以上下自由调节；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4、金属件外喷纯环氧树脂，高温固化；</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5、固定件采用≥4mm厚的专用合金件 ，充分保证试剂架安装后的稳定性；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6、电源插座：≥6只5孔10A防溅插座，电源盒采用防溅结构；</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7、试剂架的上端和下端与台面连接的地方，分别采用工程塑料成型的立柱盖和立柱套；</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8、试剂架的螺丝均采用不锈钢螺丝 ，层板采用≥8mm钢化玻璃。</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FAC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CC1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3A74ADC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0AC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1740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滴水架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E95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1、材质:高密度PP。</w:t>
            </w:r>
            <w:r>
              <w:rPr>
                <w:rFonts w:hint="eastAsia" w:ascii="仿宋" w:hAnsi="仿宋" w:eastAsia="仿宋" w:cs="仿宋"/>
                <w:color w:val="000000"/>
                <w:kern w:val="0"/>
                <w:sz w:val="20"/>
                <w:szCs w:val="20"/>
                <w:lang w:bidi="ar"/>
              </w:rPr>
              <w:br w:type="textWrapping"/>
            </w: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2、尺寸：≥550*400*120mm，≥27支滴水棒。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3、底部托盘中间设有排水孔。</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4、可拆卸式滴水棒，方便使用。</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28F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D88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1D07171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4B1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99AA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上水装置</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96B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1、用于连接地面水管及水龙头，上水管两端接头采用不低于201不锈钢螺帽铜芯，外管是304钢丝+尼龙丝混编的、内管采用三元内管、角阀是钻石轮（塑料包铁）、阀芯和阀体均为铜制；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9D6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941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518234B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51F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809D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下水装置</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4BB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1、规格:直径≥35mm*长度≥500mm水槽专配型排水管，不锈钢卡扣连接，安装方便不渗漏；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672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267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495E188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C5F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616D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三联水嘴</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1FE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1、主体材料、尺寸：水龙头总整高度≥570mm。主体：采用≥ø20.5*4mm管径的不低于黄铜制造。直管：采用≥ø20*2mm管径的不锈钢制造。臂管：采用≥ø18*1mm管径的不锈钢制造。鹅颈弯管：采用≥ø13*1.0 mm管径的不锈钢制造，可360°旋转。</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2、涂层: 涂层经亚光环氧树脂耐酸碱粉末涂料热固处理，耐腐蚀、耐热，防紫外线辐射。</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3、陶瓷阀芯：90°旋转，使用寿命开关要求达到≥20万次，静态最大耐压≥10 bar。</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4、开关旋钮: 高密度PP，人体工学设计，手感舒适。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5DD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133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2B2D415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AC9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CA02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洗眼器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8B4A">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1、主体：高度≥320mm，不低于加厚H59铜质,符合YS/T910-2013黄铜中铜量的测定碘量法,铜含量；铜含量≥59.3%。</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2、涂层：高亮度超厚电镀层，耐腐蚀、耐热，防紫外线辐射；</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3、洗眼头：模注一体成型，软性橡胶并带有缓冲滤网，出水经缓压处理呈泡沫柱状，可持续均匀柔和,去除水中杂质，避免水束冲伤眼睛流量≥11.4升/分钟并维持冲洗至少15分钟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4、防尘盖：PP材质，设置防尘盖,使用时自动被水冲开；</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5、开关：采用杠杆结构，铜质按压阀通过塑料手柄操作，水流在1秒钟内快速启动，启闭方便；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6、控水阀：止逆阀，其阀门可自动关闭；</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7、软管：供水软管长度≥1.4米，软性PVC管外覆不锈钢网,外层包裹PE管，有效防止生锈、磨损、划手；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14C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595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57ADDAA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B41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6426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器材架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CD0A">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1、整体规格：L2000mm*D600mm*H2000mm±10mm（节/组的尺寸），≥4层双面存取。每层架间距离可均匀调整。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2、材料：层板由优质钢板折弯冲压制成，立柱为货架专用C型钢材，尺寸：≥40mm*60mm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3、生产工艺：喷塑前经脱脂、酸洗、磷化。表面喷涂环保塑粉。喷塑冲击力≥4N/m，附着力不低于2级要求。载荷；搁板每层承重≥200Kg，每架≥800Kg，层距可调。</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4、整体要求：组件连接紧密牢固，无松动摇晃，边缘光滑，无毛刺，书架底脚无尖锐棱角，表面喷涂均匀。</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9DC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B22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09DEE0E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A67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E612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仪器车</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1F32">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1、规格：650mm*400mm*900mm±10mm。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2、仪器车应分为2层，层间距不小于300mm。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3、车架用直径不小于20*20mm方管制成、壁厚不小于0.5mm的不锈钢管制成，架高不低于800mm。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4、车架脚安装有不小于φ50mm、厚≥15mm转动灵活的万向轮。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5、车隔板为不薄于0.5mm的不锈钢制成。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6、整车安装好后应载重≥50Kg，应运行平稳，不得变形、摇晃、松动。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192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DF0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辆</w:t>
            </w:r>
          </w:p>
        </w:tc>
      </w:tr>
      <w:tr w14:paraId="08913D2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7D9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A030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PP仪器柜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BBDB">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1、规格：1000mm*500mm*2100mm±10mm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2、材质：PP材质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3、柜体：侧板，顶板及底板采用增强型PP材质，一次注塑成型。表面做磨砂处理，结构紧密，耐腐蚀性强。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4、上柜门：采用增强型PP材质一次注塑成型，外嵌≥4mm厚钢化烤漆玻璃，中间烤漆镂空制作透明可视。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5、下柜门：采用增强型PP材质一次注塑成型，外嵌≥4mm钢化烤漆玻璃。</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层板：配三块活动层板（上柜二块，下柜一块），每块层板尺寸为≥943mm*455mm，厚度为≥28mm，为增强型PP材质一次注塑成型，层板底部安装两根≥1.2mm厚方管，承重不低于20公斤。层板可以抽取，自由组合各层空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7、门铰链：用增强型PP材质一次注塑成型，内嵌隐藏安装方便，耐腐蚀。</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8、柜体预留通风孔，可以与通风管路连接。</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280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66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3F29FF9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621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0B91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PP药品柜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0D76">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1、规格：1000mm*500mm*2100mm±10mm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2、材质：PP材质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3、柜体：侧板，顶板及底板采用增强型PP材质，一次注塑成型。表面做哑光处理，结构紧密，耐腐蚀性强。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4、上柜门：采用增强型PP材质一次注塑成型，外嵌≥4mm厚钢化烤漆玻璃，中间烤漆镂空制作透明可视。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5、下柜门：采用增强型PP材质一次注塑成型，外嵌≥4mm钢化烤漆玻璃。</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层板：配三块活动层板（上柜二块，下柜一块），每块层板尺寸为≥943mm*455mm，厚度为≥28mm，为增强型PP材质一次注塑成型，层板底部安装两根≥1.2mm厚方管，承重不低于20公斤。层板可以抽取，自由组合各层空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7、门铰链：用增强型PP材质一次注塑成型，内嵌隐藏安装方便，耐腐蚀。</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8、柜体预留通风孔，可以与通风管路连接。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9、阶梯：配二块阶梯；整体PP材料一体注塑成型（非二次焊接或者拼接）,牢固耐用，一共两层，每层高度约60mm，宽度约112mm，同层板组成三层阶梯。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2D6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A39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654A27E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CAD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5E7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标本柜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8B25">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1、柜体尺寸：1000（宽）*500（深）*2000mm（高）±10mm。</w:t>
            </w:r>
            <w:r>
              <w:rPr>
                <w:rFonts w:hint="eastAsia" w:ascii="仿宋" w:hAnsi="仿宋" w:eastAsia="仿宋" w:cs="仿宋"/>
                <w:color w:val="000000"/>
                <w:kern w:val="0"/>
                <w:sz w:val="20"/>
                <w:szCs w:val="20"/>
                <w:lang w:bidi="ar"/>
              </w:rPr>
              <w:br w:type="textWrapping"/>
            </w: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2、上柜柜体：1000（宽）*500（深）*1400mm（高）±10mm，上柜柜体由铝合金框架和透明玻璃组装而成，能够完全观其内部陈列标本。柜体框架采用模具成型的专用铝合金方管制作，通过ABS专用连接件组装而成，保证连接牢固。铝型材框架分2种组成，横截面外径分别为：≥27*37mm和≥37*37mm，壁厚≥1.2mm，型材有两道卡槽，卡槽深≥10mm，卡槽宽≥5mm。铝合金型材带凹槽，凹槽的宽度应与柜体玻璃相匹配，凹槽的深度应足够，保证柜体玻璃与铝型材之间接缝严密，无晃动现象，不发生脱落。铝合金型材表面需经静电粉沫喷涂处理，整体耐腐蚀、防火、防潮、稳固耐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3、层板托：层板托通过内置三卡锁与上柜框架卡槽固定，可自由调节高度。承重性好，升降方便，解决了原来玻璃层板容易向前倾摔倒的缺点。</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4、下柜柜体：1000（宽）*500（深）*600mm（高）±10mm。采用≥16mm厚防潮三聚氰胺双面贴面板，所有板材外露端面采用高质量PVC封边条，利用机械封边机配以热溶胶高温封边。</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5、下柜柜门：下部为整体木门，木框和木门材料与衬板相同。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6、层板：设置≥2块可上下升降调节活动搁板，搁板采用活动白玻(厚度≥8mm磨边)。</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7、柜脚：采用特制模具ABS注塑脚垫，防水及防潮，有效使设备寿命延长。</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86A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066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457B518B">
        <w:tblPrEx>
          <w:tblCellMar>
            <w:top w:w="0" w:type="dxa"/>
            <w:left w:w="108" w:type="dxa"/>
            <w:bottom w:w="0" w:type="dxa"/>
            <w:right w:w="108" w:type="dxa"/>
          </w:tblCellMar>
        </w:tblPrEx>
        <w:tc>
          <w:tcPr>
            <w:tcW w:w="8670" w:type="dxa"/>
            <w:gridSpan w:val="6"/>
            <w:tcBorders>
              <w:top w:val="nil"/>
              <w:left w:val="nil"/>
              <w:bottom w:val="nil"/>
              <w:right w:val="nil"/>
            </w:tcBorders>
            <w:shd w:val="clear" w:color="auto" w:fill="auto"/>
            <w:noWrap/>
            <w:vAlign w:val="center"/>
          </w:tcPr>
          <w:p w14:paraId="25082B93">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生物教学仪器</w:t>
            </w:r>
          </w:p>
        </w:tc>
      </w:tr>
      <w:tr w14:paraId="736D1B8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414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C66A8">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名称</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00C7">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规格 型号 功能</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B7BC">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B5E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r>
      <w:tr w14:paraId="692E478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42F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1119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简易急救箱</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B1E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箱内包括：烧伤药膏，医用酒精，碘伏，创可贴，胶布，绷带，卫生棉签，剪刀，镊子，止血带（长度≥30 cm）等</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34C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0D2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7BAB25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EB8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87C0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仪器车</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617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600 mm×400 mm×800 mm，不锈钢材质，至少两层，各层带可拆卸护栏，总载重≥60 kg</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D0E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049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辆</w:t>
            </w:r>
          </w:p>
        </w:tc>
      </w:tr>
      <w:tr w14:paraId="3C46A34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7DD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EC38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整理箱</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DD8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PP 材质，储存及分发试剂用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787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8C6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251023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B87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CEDC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大托盘</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7A4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400 mm×300 mm×60 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184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47F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575627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985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6E20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小托盘</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1D1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300 mm×200 mm×40 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7C3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83E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5B526D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498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FC7C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实验用品提篮</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F62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木制，配有提手，490 mm×360 mm×290 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F7A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0FE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26A2EC6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EC0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E9BD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托盘天平</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4DF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200 g，0.2 g</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D63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929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6F6C56C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F36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91A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水银温度计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CCF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 ℃～ 200 ℃，分度值 1 ℃， 示值误差＜0.5 ℃，有保护套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57E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C2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2CFAEBA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CCB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2DC1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干湿球温度计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CDD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 ℃～50 ℃，分度值 0.2 ℃；测量湿度0%～100%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84D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C7C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88CA7A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80F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9835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解剖器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36E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不锈钢材料，7 件，包括：2 把解剖剪（直剪、弯剪各 1）、2 个镊子（直头、弯头各 1）、2个解剖刀（圆头、尖头各 1）、1 个解剖针</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20E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07A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F4CA5A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014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2E5D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解剖盘</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471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260 mm×200 mm×30 mm，蜡盘</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C68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C98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5EAED0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AD4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7894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骨剪</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492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不锈钢材料，130 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AF8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A42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把</w:t>
            </w:r>
          </w:p>
        </w:tc>
      </w:tr>
      <w:tr w14:paraId="7CDB7FD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873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2B07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镊子</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3A7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尖头，140 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9C0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03E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把</w:t>
            </w:r>
          </w:p>
        </w:tc>
      </w:tr>
      <w:tr w14:paraId="25F6572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B3E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0422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研磨过滤器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80B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容量 20 mL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7D6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8F9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F99005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00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4E6C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214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木质或塑料质，8 孔，孔径 21 mm，立柱黏结牢固</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E4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9A0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B1D0B9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6C7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D43E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生物体的结构层次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233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包括显微镜、细胞的一般结构、单细胞生物、植物细胞分裂、动物细胞分裂、人体的基本组织、植物的基本组织等</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673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2DD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46E5CD0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FCB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7D90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生物与环境</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7DD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包括生态系统的组成、不同类型的生态系统等</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A9A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AAF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5E75A9B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A52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2921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生物圈中的绿色植物</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D4D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包括植物种子结构及其萌发、芽的结构、植物的根、植物的花、果实的结构及来源示意图、双子叶木本植物的茎、单子叶植物的茎、植物茎中的输导组织、植物的叶片等</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88E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3B0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3CD7DBB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354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E2E9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生物圈中的人</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E64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括人体的消化系统、血液、血管、人体血液循环系统、心脏、人体的泌尿系统、肾结构及尿的形成过程、皮肤、人体神经系统、人脑结构、脊髓与反射、眼球与视觉、耳与听觉、嗅觉和味觉、人体主要内分泌腺等</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2A2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D54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54F0D2F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D5E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88FE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动物的运动和行为</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7B0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包括鲫鱼结构、家鸽结构、家兔结构、人体骨骼、脊柱和关节等</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F2D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6AA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17F5FE4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C07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12BC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生物的生殖、发育和遗传</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A9E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包括男女性生殖系统、人生殖发育过程示意图、生男生女图解、蝗虫生活史、家蚕生活史、青蛙生活史、生物无性生殖等</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6CB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2D9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0CE5B32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B41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7BB5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生物多样性</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492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包括细菌、病毒、真菌、细菌病毒与真菌大小比较、藻类植物、苔藓植物、蕨类植物、裸子植物、动物拟态、食草动物和食肉动物牙的比较、生物进化树等</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D0F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D2B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0C81F7C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4C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7B6D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中学生物显微图谱</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0AD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包括动物、植物、微生物等符合初中生物学教学需求的玻片标本在显微镜下真实的拍摄图片，所示的组织结构应完整清楚</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C45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597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6A91C09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E18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9130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量筒</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53E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 mL，透明钠钙玻璃制，分度线、数字和标志应完整、清晰和耐久，容积为 20 ℃时充满量筒刻度线所容纳体积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FCF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82E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5F0F89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5D9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947D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量筒</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2FE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 mL，透明钠钙玻璃制，分度线、数字和标志应完整、清晰和耐久，容积为 20 ℃时充满量筒刻度线所容纳体积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52A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F7A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FEC6D7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283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57C4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量筒</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65E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 mL，透明钠钙玻璃制，分度线、数字和标志应完整、清晰和耐久，容积为 20 ℃时充满量筒刻度线所容纳体积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A9B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DDA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187075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9E7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8499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量筒</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0B6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 mL，透明钠钙玻璃制，分度线、数字和标志应完整、清晰和耐久，容积为 20 ℃时充满量筒刻度线所容纳体积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2A3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939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226A95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82C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01E1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43E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12 mm×70 mm，透明硼硅酸盐玻璃制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515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1B9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505EB85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353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982D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900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15 mm×150 mm，透明硼硅酸盐玻璃制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59C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4FF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2894A90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9BF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CDC4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烧杯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637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 mL，透明硼硅酸盐玻璃制，烧杯的满口容量应超过标称容量的 10%或烧杯的满口容量和标称容量的两液面间距不应少于 10 mm，并应采用容量差值较大的一种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1E3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0CD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BAD937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632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5008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烧杯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DC1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 mL，透明硼硅酸盐玻璃制，烧杯的满口容量应超过标称容量的 10%或烧杯的满口容量和标称容量的两液面间距不应少于 10 mm，并应采用容量差值较大的一种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14E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0FF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555F81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8E8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F8D8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烧杯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F2E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 mL，透明硼硅酸盐玻璃制，烧杯的满口容量应超过标称容量的 10%或烧杯的满口容量和标称容量的两液面间距不应少于 10 mm，并应采用容量差值较大的一种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78F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FAB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F5E8DF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EC0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232F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烧杯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722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 mL，透明硼硅酸盐玻璃制，烧杯的满口容量应超过标称容量的 10%或烧杯的满口容量和标称容量的两液面间距不应少于 10 mm，并应采用容量差值较大的一种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294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6BF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1AB7CD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892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13DB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锥形瓶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312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 mL，透明硼硅酸盐玻璃制，放在平台上应直立不摇晃、不转动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BB4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233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F99CBC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AD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800B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锥形瓶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F1B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 mL，透明硼硅酸盐玻璃制，放在平台上应直立不摇晃、不转动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699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E46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C02DBC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8F3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CBF3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广口瓶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A7C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125 mL，透明钠钙玻璃制，瓶塞与瓶口紧实，不晃动；口部应圆整光滑，底部应平整，放置平台上不应摇晃或转动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2A1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7A5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9498A9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1C1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8C5F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广口瓶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601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 mL，透明钠钙玻璃制，瓶塞与瓶口紧实，不晃动；口部应圆整光滑，底部应平整，放置平台上不应摇晃或转动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7D3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D16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B48A46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DF4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E1E2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细口瓶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A06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 mL，透明钠钙玻璃制，瓶塞与瓶口紧实，不晃动；口部应圆整光滑，底部应平整，放置平台上不应摇晃或转动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85C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648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2C37779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CB0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E524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细口瓶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B50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 mL，透明钠钙玻璃制，瓶塞与瓶口紧实，不晃动；口部应圆整光滑，底部应平整，放置平台上不应摇晃或转动</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E24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85B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757EF0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32B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4BD7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滴瓶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B16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 mL，透明钠钙玻璃制，瓶口细磨，磨砂面应均匀细腻，滴管应附橡胶帽， 吸放弹性好，开口直径 6 mm，与滴管口套合牢固稳定</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318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F4C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605095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7F8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45FD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滴瓶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7E6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 mL，透明钠钙玻璃制，瓶口细磨，磨砂面应均匀细腻，滴管应附橡胶帽， 吸放弹性好，开口直径 6 mm，与滴管口套合牢固稳定</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DCF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3C1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4A51D23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38B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E853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茶色滴瓶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01A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 mL，黄棕色钠钙玻璃制，瓶口细磨，磨砂面应均匀细腻，滴管应附橡胶 帽，吸放弹性好，开口直径 6 mm， 与滴管口套合牢固稳定</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0DD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345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48A6339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13C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EAF7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茶色滴瓶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BF2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 mL，黄棕色钠钙玻璃制，瓶口细磨，磨砂面应均匀细腻，滴管应附橡胶 帽，吸放弹性好，开口直径 6 mm， 与滴管口套合牢固稳定</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31F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EC7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000D60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D1B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8B50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培养皿</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4AA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 mm，玻璃薄厚均匀、耐高温高压</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8E7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435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6729C25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714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8C76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培养皿</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82B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 mm，玻璃薄厚均匀、耐高温高压</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4C4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071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66F9242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C0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30E2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漏斗</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0DB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 mm，直径准确，锥度适中</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B7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F49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6960FD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50C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14AC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滴管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A83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 mm，直形，滴管尖嘴口径 1 mm，上端有防滑脱翻口，翻口处直径比滴管直径略多 1 mm～2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A27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04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w:t>
            </w:r>
          </w:p>
        </w:tc>
      </w:tr>
      <w:tr w14:paraId="21BEEA4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772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E555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玻璃钟罩</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7A7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150 mm×280 mm，玻璃壁厚度＞3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6BC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A17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282436D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F17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98B1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载玻片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4B8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无色透明，平整</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B3F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16E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盒</w:t>
            </w:r>
          </w:p>
        </w:tc>
      </w:tr>
      <w:tr w14:paraId="5AA1D20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25E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3F8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盖玻片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934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无色透明，平整</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117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1FD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w:t>
            </w:r>
          </w:p>
        </w:tc>
      </w:tr>
      <w:tr w14:paraId="7275EEA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28D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38DD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酒精灯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13C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150 mL，透明钠钙玻璃制，无明显黄绿色；灯口应平整，瓷灯头与灯口平面间隙不应超过1.5 mm；玻璃灯罩应磨口；瓷灯头应为白色， 完全覆盖灯口，表面无缺陷，配置与灯口孔径相适应的整齐完整的棉线灯芯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431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FB5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FADC3E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5D4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2A26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玻璃棒</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2E3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3 mm～Φ 4 mm，粗细均匀</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361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A0E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kg</w:t>
            </w:r>
          </w:p>
        </w:tc>
      </w:tr>
      <w:tr w14:paraId="781D1BD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C31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ED02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试管夹</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164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木制或竹制，长度≥200 mm，宽度 20 mm，厚度 20 mm；试管夹闭口缝≤1 mm，开口距≥25 mm；毡块黏结牢固，试管夹弹簧作防锈处理，试管夹持部位圆弧内径≤15 mm</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BBE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D53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把</w:t>
            </w:r>
          </w:p>
        </w:tc>
      </w:tr>
      <w:tr w14:paraId="707675C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B40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80F2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止水皮管夹</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5A0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3 mm 钢丝制成，作防锈处理，夹持角度≥60º， 弹性好，不漏液</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60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D0C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715658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B07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FD6F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陶土网</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E48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功能等同于石棉网，尺寸≥125 mm×125 mm， 耐火材料为陶土</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4DC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E8C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99CE83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B33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667A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燃烧匙</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D74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铜勺，勺Φ 18 mm，深 10 mm，铁柄，柄长 300 mm， 长柄和铜勺连接稳定结实</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41D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673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把</w:t>
            </w:r>
          </w:p>
        </w:tc>
      </w:tr>
      <w:tr w14:paraId="202C199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0A6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5299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药匙</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98E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长度≥13 cm，带小勺，材质可选金属、牛角、塑料</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3F5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714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把</w:t>
            </w:r>
          </w:p>
        </w:tc>
      </w:tr>
      <w:tr w14:paraId="62D8B67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F0F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57BF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橡胶塞</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3DD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000、00、0～10 号，白色，质地均匀</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B8D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018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kg</w:t>
            </w:r>
          </w:p>
        </w:tc>
      </w:tr>
      <w:tr w14:paraId="159EBF9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3BF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CDCF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橡胶管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A16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外径 9 mm，内径 6 mm，乳白色，具有耐油、耐酸碱、耐压等特性</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300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C5E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kg</w:t>
            </w:r>
          </w:p>
        </w:tc>
      </w:tr>
      <w:tr w14:paraId="6C8C186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6D8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CD97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试管刷</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34C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12 mm，手持部分顶端应为环状，顶部要有刷丝，铁丝不可外露</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8A8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0D2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83D5A9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692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B979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试管刷</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2B4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Φ 18 mm，手持部分顶端应为环状，顶部要有刷丝，铁丝不可外露</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CB5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FEA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4BEAAB7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E69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5FF5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研钵</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B33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 mm，瓷或玻璃制，配有研杵，内部粗糙便于研磨，外部光滑</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1A1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5A0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4888396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1EF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03BF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记数载玻片（计数板）</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DBF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计数区边长为 1 mm，由 400 个小方格组成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D20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632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片</w:t>
            </w:r>
          </w:p>
        </w:tc>
      </w:tr>
      <w:tr w14:paraId="73416FC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BC6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0918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字母装片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B4F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“e”或“b”，多重染色</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5C2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9D0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片</w:t>
            </w:r>
          </w:p>
        </w:tc>
      </w:tr>
      <w:tr w14:paraId="1A50D11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0B8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479D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放大镜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397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手持式，有效通光孔径≥40 mm，5 倍</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09B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135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880B3A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CC9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FF6A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口腔上皮细胞装片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571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细胞质着色均匀，细胞核明显，细胞界限清晰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B6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3BC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片</w:t>
            </w:r>
          </w:p>
        </w:tc>
      </w:tr>
      <w:tr w14:paraId="3E80ECB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8AB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5442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洋葱鳞片叶表皮装片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5D5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细胞质着色均匀，细胞核明显，细胞界限清晰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733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C91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片</w:t>
            </w:r>
          </w:p>
        </w:tc>
      </w:tr>
      <w:tr w14:paraId="56A4DFC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2E4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21FA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蚕豆叶下表皮装片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9F3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细胞质着色均匀，细胞核明显，细胞界限清晰， 保卫细胞形态应正常，应清晰可见细胞核和叶绿体</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A6F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D06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片</w:t>
            </w:r>
          </w:p>
        </w:tc>
      </w:tr>
      <w:tr w14:paraId="5ABDD21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D5A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C4D8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动物细胞有丝分裂(马蛔虫受精卵切片)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5B6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应明显显示处于分裂中的三个时期，即前期、中期、后期或中期、后期、末期的细胞，分裂各期染色体的形态特征典型，纺锤丝隐约可见；中期、后期的中心体应清晰可辨，染色体、细胞核、中心体应着色明显，细胞质色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86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D5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片</w:t>
            </w:r>
          </w:p>
        </w:tc>
      </w:tr>
      <w:tr w14:paraId="489CF18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85A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E192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植物细胞有丝分裂切片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92F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洋葱根尖纵切，应显示处于分裂前期、中期、后期、末期的细胞，分裂各期染色体的形态特征典型，分裂中期和后期纺锤丝隐约可见，细胞核、核仁、染色体应着色明显，细胞质色淡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A8E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954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片</w:t>
            </w:r>
          </w:p>
        </w:tc>
      </w:tr>
      <w:tr w14:paraId="674D341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A31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F2FF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植物根尖纵切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2E0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应取材于玉米根，取材部位为根冠至根毛区， 应明显显示根冠、分生区、伸长区、根毛区和原形成层等</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C81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896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片</w:t>
            </w:r>
          </w:p>
        </w:tc>
      </w:tr>
      <w:tr w14:paraId="44190F4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D5F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9F8A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导管、筛管结构模型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E31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显微结构的立体放大模型，包括环纹导管、螺纹导管、网纹导管、孔纹导管及筛管，形态结构应正确、自然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D3D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9DD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16D5AE3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54B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91D2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植物光合作用、呼吸作用、蒸腾作用演示器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089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由透明的有机透明容器，漏斗、上盖板、试管及试管架组合而成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1DA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A45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40DDC77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B75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88D9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人体半身模型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75B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自然大，橡胶制，示消化系统、呼吸系统、泌尿系统</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1E1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F57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18359C2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4A4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26B3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小肠切片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619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应能看清粘膜，包括绒毛、粘膜肌层和肠腺， 粘膜下层、肌层和浆膜等</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D12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BAE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片</w:t>
            </w:r>
          </w:p>
        </w:tc>
      </w:tr>
      <w:tr w14:paraId="6809680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B94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1391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肺泡模型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1FE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应正确显示细支气管、呼吸性细支气管、肺泡管、肺泡囊、肺泡、肺泡隔、肺动脉、肺静脉、肺泡毛细血管网、支气管动脉、支气管静脉、平滑肌、弹性纤维等结构特征</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425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375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16AE455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C2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001F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人体呼吸运动模型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FA2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电动式，通过胸骨、肋、肺、气管、膈等模型部件，结合动力驱动组成呼吸运动模型的运行系统，应能模拟人体呼吸运动过程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629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D0F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0D2E3D1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B04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6B48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膈肌运动模拟器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E6A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高度 250 mm±15 mm，宽度或直径 220 mm±15 mm， 膈的直径（或长径）≥170 mm；应模拟显示胸腔、膈、气管、支气管、肺（或肺泡）等结构</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349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20D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3F31765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820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1615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人血涂片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60F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染色均匀，能看清红血细胞和白血细胞，细胞不重叠、无变形和自溶现象</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675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DA2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片</w:t>
            </w:r>
          </w:p>
        </w:tc>
      </w:tr>
      <w:tr w14:paraId="7E75807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A2F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A0C9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动静脉血管横切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1A5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取材于哺乳动物的腹主动脉和下腔静脉，内皮应 90%以上完整</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7B2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635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片</w:t>
            </w:r>
          </w:p>
        </w:tc>
      </w:tr>
      <w:tr w14:paraId="6BB598C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29A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2DE3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心脏解剖模型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B59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自然大，示上腔静脉、下腔静脉、主动脉、肺动脉、左心房、右心房、左心室、右心室</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B24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226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162D987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4C2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BBF1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心搏与血液循环模型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EBE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动态演示心动周期及大小循环，心壁可收缩及瓣膜可启闭</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707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90E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6FC07C7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2A4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4278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听诊器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7099">
            <w:pPr>
              <w:widowControl/>
              <w:jc w:val="left"/>
              <w:textAlignment w:val="center"/>
              <w:rPr>
                <w:rFonts w:ascii="仿宋" w:hAnsi="仿宋" w:eastAsia="仿宋" w:cs="仿宋"/>
                <w:color w:val="000000"/>
                <w:sz w:val="20"/>
                <w:szCs w:val="20"/>
              </w:rPr>
            </w:pPr>
            <w:r>
              <w:rPr>
                <w:rFonts w:hint="eastAsia" w:ascii="仿宋" w:hAnsi="仿宋" w:eastAsia="仿宋" w:cs="仿宋"/>
                <w:color w:val="000000"/>
                <w:sz w:val="20"/>
                <w:szCs w:val="20"/>
              </w:rPr>
              <w:t>教学用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2DD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99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41EFE9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3DE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8E9A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血压计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EE4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汞柱式，带听诊器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ADE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C67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7BE120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AC5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83C3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男性泌尿生殖系统模型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FE6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自然大，结构清晰，位置精准，比例适宜</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4D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66C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35FB612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8E9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9ABF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女性泌尿生殖系统模型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754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自然大，结构清晰，位置精准，比例适宜</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0E2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2F2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69074F2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D59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93F7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肾单位、肾小体模型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E80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肾单位模型≥400 mm×240 mm，示肾小体、肾小管和集合管等；肾小体模型直径≥100 mm， 半剖，示肾小球、肾小囊、入球小动脉和出球小动脉等</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CF3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3A4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2F05AF1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DFF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1164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肾脏纵切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C6A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应能看清经过肾门的肾脏整体纵断面，并区分皮质、髓质和皮质外的被膜</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488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8D7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片</w:t>
            </w:r>
          </w:p>
        </w:tc>
      </w:tr>
      <w:tr w14:paraId="02F82F6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F45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310F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尿的形成动态模型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FA6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应清晰显示 1 个肾单位和集合管，以及小叶间动脉、小叶间静脉和包绕在肾小管周围的球后毛细血管网等组成的模式结构，能动态显示滤过和重吸收的过程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4E5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41B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604E6CF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0D2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23F5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眼球解剖模型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3C5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 倍自然大，应采用硬质热塑性塑料制作，角膜、虹膜应完整显示，两者和眼球内的晶状体、玻璃体分别可拆下，各部的肌肉、膜壁、血管和神经等的形态结构、位置、比例、颜色均应正确自然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BFF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568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4DC87C5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8D4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0665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眼球仪</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49E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由放大的成人眼球模型、晶状体曲度调节器、光源、矫正镜盘、视网膜成像显示屏及手持式显示屏等组成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BE6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748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1A71A1D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A10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18F4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耳解剖模型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D46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 倍自然大，应完整显示外耳道、鼓膜、听小骨、鼓室、咽鼓管、鼓膜张肌、乳突窦、前庭、骨半规管、耳蜗、前庭窗、蜗窗、前庭蜗神经等结构</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F72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AEC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71F5665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E45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E957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脑解剖模型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2D1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自然大，大脑做正中矢状切面，左侧脑半球经外侧沟向枕部再做水平切面，并保留完整的脑干形态，应示大脑、小脑、延髓、脑桥、上下丘、胼胝体、透明隔、嗅球、视神经、动眼神经等部位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6E1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978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5E5DE6A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C2D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DD67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人体骨骼模型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778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850 mm，各部分骨的形态特征，应正确清晰， 富有真实感，骨缝应清楚，骨性鼻腔，眶及所有孔，管、沟、裂显示应正确自然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91B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384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0253C0D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97C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EB55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人体肌肉模型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72D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850 mm 全身，示浅层肌及部分深层肌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6C4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4CA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114DBBE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5A3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88CC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肘关节活动模型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EC4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附肩胛骨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D0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D6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件</w:t>
            </w:r>
          </w:p>
        </w:tc>
      </w:tr>
      <w:tr w14:paraId="3595EC5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F06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30E2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兔骨骼标本</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8EC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干制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11E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6E6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盒</w:t>
            </w:r>
          </w:p>
        </w:tc>
      </w:tr>
      <w:tr w14:paraId="009B650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4ED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8464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鱼骨骼标本</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A2A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干制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464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9A0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盒</w:t>
            </w:r>
          </w:p>
        </w:tc>
      </w:tr>
      <w:tr w14:paraId="636CE95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96C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BDF8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蛙骨骼标本</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FA2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干制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4C7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AD2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盒</w:t>
            </w:r>
          </w:p>
        </w:tc>
      </w:tr>
      <w:tr w14:paraId="151D963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226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2F4F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鸽骨骼标本</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91C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干制</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C3F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FB1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盒</w:t>
            </w:r>
          </w:p>
        </w:tc>
      </w:tr>
      <w:tr w14:paraId="66056C4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576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4E94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精子涂片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5F6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应能看清精子头、颈和尾三部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FB8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9AF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片</w:t>
            </w:r>
          </w:p>
        </w:tc>
      </w:tr>
      <w:tr w14:paraId="3BA131B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CF3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5C98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家蚕生活史标本</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F17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干制或包埋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987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DBA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盒/块</w:t>
            </w:r>
          </w:p>
        </w:tc>
      </w:tr>
      <w:tr w14:paraId="1C4A281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5A4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6900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蝗虫生活史标本</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8A3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干制或包埋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73E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4A0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盒/块</w:t>
            </w:r>
          </w:p>
        </w:tc>
      </w:tr>
      <w:tr w14:paraId="1FCFFE7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A8B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BD43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蜜蜂生活史标本</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1AA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干制或包埋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E13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A6C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盒/块</w:t>
            </w:r>
          </w:p>
        </w:tc>
      </w:tr>
      <w:tr w14:paraId="3F3D855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9D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EA8B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菜粉蝶生活史标本</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1EF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干制或包埋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DDB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7BF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盒/块</w:t>
            </w:r>
          </w:p>
        </w:tc>
      </w:tr>
      <w:tr w14:paraId="057021E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1EE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EEDA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蛙发育顺序标本</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227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浸制或包埋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D0A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1EB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瓶/块</w:t>
            </w:r>
          </w:p>
        </w:tc>
      </w:tr>
      <w:tr w14:paraId="7C91E5F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E0E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CE0F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正常人染色体装片</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347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多重染色</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DA1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39F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片</w:t>
            </w:r>
          </w:p>
        </w:tc>
      </w:tr>
      <w:tr w14:paraId="29DABDAA">
        <w:tblPrEx>
          <w:tblCellMar>
            <w:top w:w="0" w:type="dxa"/>
            <w:left w:w="108" w:type="dxa"/>
            <w:bottom w:w="0" w:type="dxa"/>
            <w:right w:w="108" w:type="dxa"/>
          </w:tblCellMar>
        </w:tblPrEx>
        <w:tc>
          <w:tcPr>
            <w:tcW w:w="86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4F191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物理综合实验室</w:t>
            </w:r>
          </w:p>
        </w:tc>
      </w:tr>
      <w:tr w14:paraId="772CD9A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EBD812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6D1F29EA">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产品名称</w:t>
            </w:r>
          </w:p>
        </w:tc>
        <w:tc>
          <w:tcPr>
            <w:tcW w:w="582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BD5559D">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技术参数、规格、功能</w:t>
            </w:r>
          </w:p>
        </w:tc>
        <w:tc>
          <w:tcPr>
            <w:tcW w:w="61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3AF204C">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c>
          <w:tcPr>
            <w:tcW w:w="64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A83B80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r>
      <w:tr w14:paraId="729C192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846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02C4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教师演示台</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4094">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1、规格：2400mm*700mm*850mm±10mm。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2、台面：采用≥15mm厚新型陶瓷台面。台面表面为实验室专业耐腐蚀、耐污染釉面。釉面与胚体经高温一体烧结而成，不脱落、不脱层，防火阻燃、防腐蚀、耐酸碱、防静电、耐磨、抗污染。</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3、桌身：整体采用≥1.0mm厚优质冷轧钢板，全部钢制件纳米陶瓷镀膜防锈处理。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4、结构：演示台设有储物柜，中间为演示台,设置电源主控系统、多媒体设备（主机、显示器、中控、功放、交换机）的位置预留。含PP水槽、下水管和溢流管及三联水嘴。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5、滑道：抽屉全部采用优质三节承重式滚珠滑道开合十万次不变形。</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铰链：采用优质铰链，开合十万次不变形。三联水嘴：鹅颈式实验室专用优质化验水嘴：要求防酸碱、防锈、防虹吸、防阻塞，表面环氧树脂喷涂。出水嘴为铜质瓷芯，高头，便于多用途使用，可拆卸清洗阻塞。出水嘴可拆卸，内置成型螺纹，便于连接各类水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7、下水管和溢流管：水槽专配型排水管，不锈钢卡扣连接，安装方便不渗漏。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08F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D58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r>
      <w:tr w14:paraId="11EBA3C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BE6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04ED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智慧互动教考终端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66D7">
            <w:pPr>
              <w:widowControl/>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整体尺寸：≥长1190mm*宽120mm*高211mm，终端上方进行凸起设计，四周进行倒圆角设计，正面整体采用钢化玻璃一体成型面板，密封性良好，终端中间配置≥13.3寸电容触摸真彩显示屏，显示屏分辨率：≥1920*1080，终端两侧面板配有教师所需电源，终端上集成有2组视频采集终端位置；处理器：内置嵌入式微处理器。存储空间：不低于RAM4G+ROM32G。网络：支持2.4GHz/5GHz 双频无线WIFI连接。支持WIFI 802.11a/b/g/n/ac协议，支持蓝牙4.0及以上。教师电源：教师电源与智慧互动教考终端主机融合为一体设计，终端左侧提供220V高压电源输出、USB输出，右侧提供1组低压交直流电源输出。低压电源的操作面板采用≥1.8寸彩色液晶屏显示，可以进行低压交直流、频率信号输出控制。低压电源可以设置调节0-24V 2A直流电源输出信号，分辨率0.1V。低压电源可以设置调节0-24V 2A交流电源输出信号，分辨率1V。低压电源可以设置调节0-24V 20-100HZ频率输出信号，分辨率1HZ。空开、电源指示灯：终端面板上配置空开≥1个，作为整个教考终端的电源开关，同时防止用电过程中可以起到漏电保护的作用；终端面板上配置电源指示灯1个，用于通电开启提醒。网口、220V插座、USB接口：终端面板上可支持集成网络接口、220V插座接口、≥4个USB接口，终端可适配实验数据采集处理软件，可直接连接传感器，无需数据采集器即可进行数字化实验，并且老师在实验操作过程中，可以提供老师用电用网设备方便使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教学演示终端：与智慧互动教考终端通过阻尼轴连接行程一体，实验教学演示终端可以通过折叠的方式进行收纳。双摄：具有双摄像头，主拍摄像头从上往下俯瞰拍摄老师的实验操作，侧拍摄像头从左往右拍摄老师的实验操作；像素：≥500万 1/2.7’’CMOS；码流：支持同时输出主副码流，主码流可支持2560*1440,1920*1080等；RTSP并发量：支持最高6路并发，低延时同步实现录制和监考；支持PPPoE，IPv4、IPV6、TCP、UDP、DHCP、RTP、RTSP等网络协议；智能编码：支持H.264、H.265两种编码格式；</w:t>
            </w:r>
          </w:p>
          <w:p w14:paraId="5C3D51F2">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内置教学系统：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1、实验教学资源平台：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（1）同步实验教学资源：提供Saas级教学平台接入服务，将教学资源系统按照教学课程内置同步实验教学课件、教学PPT、实验教学视频以及虚拟仿真实验多种教学资源类型。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（2）资源库：提供个人资源库以及校本资源库两种，支持资源上传、编辑、管理和分享。</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2、智能备课系统: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（1）备课模块按照知识点，讲授点预制资源，可调用实验教学资源平台里面的资源；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（2）备课系统也可以支持自己上传备课资源至备课系统，支持上传PPT文件、PDF文件、图片文件以及视频文件；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3、智能授课系统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（1）可选择备课系统中的资源进行教学授课；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（2）可在授课过程中，选择教学资源平台里面的资源进行在线授课；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（3）授课系统内置了电子白板功能，可使用激光笔、橡皮擦、清屏等操作；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（4）支持三角板、直尺、量角器、圆规、几何等图形工具；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（5）支持各类形状、放大镜功能；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（6）支持矩形截图以及区域截图两种方式；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（7）支持计时工具，可实现正向计时和倒计时功能；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（8）支持四线三格、元素周期表、竖式等学科工具；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（9）支持实验教学过程中录屏操作。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4、实验操作演示系统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（1）老师端可联动实验教学演示终端进行教学演示，通过实验教学演示终端拍摄教师实验操作的过程，可将操作的过程展示到一体机上，学生可以通过一体机查看老师的整个实验操作过程。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（2）老师端可将实验操作的步骤自动记录存储，可以方便日后学生进行回放。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（3）支持直播画面自由组合切换成画中画、双画面、单镜头等格式；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（4）支持直播画面接入大屏进行示范教学；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 （5）支持录制高清示范视频，录制视频可作为探究教学资源；</w:t>
            </w:r>
          </w:p>
          <w:p w14:paraId="4F41C146">
            <w:pPr>
              <w:pStyle w:val="27"/>
              <w:ind w:left="0" w:leftChars="0" w:firstLine="0" w:firstLineChars="0"/>
              <w:rPr>
                <w:rFonts w:ascii="仿宋" w:hAnsi="仿宋" w:eastAsia="仿宋" w:cs="仿宋"/>
                <w:color w:val="000000"/>
                <w:sz w:val="20"/>
                <w:szCs w:val="20"/>
              </w:rPr>
            </w:pPr>
            <w:r>
              <w:rPr>
                <w:rFonts w:hint="eastAsia" w:ascii="仿宋" w:hAnsi="仿宋" w:eastAsia="仿宋" w:cs="仿宋"/>
                <w:color w:val="000000"/>
                <w:kern w:val="0"/>
                <w:sz w:val="20"/>
                <w:szCs w:val="20"/>
                <w:lang w:bidi="ar"/>
              </w:rPr>
              <w:t>智慧互动教考终端频率容限：≤20ppm、频率范围：2400-2483.5MHz、发射功率：≤20dBm(EIRP)、占用带宽：≤40MHz、杂散发射限制：≤-30dBm；主机通过中国国家无线电管理委员会(SRRC)强制认证，型号符合中华人民共和国无线电管理规定和技术标准</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61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25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114AD58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66C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07A0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实验桌</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1E84">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1、规格：1200mm*600mm*780mm±10mm。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台面：采用≥20mm厚无甲醛新型环保陶瓷台面，表面为实验室专业耐腐蚀、耐污染、抗冲击釉面。坯体一体实芯，釉面和坯体经高温一体烧结而成。3、书包斗：整体尺寸≥400*250*100mm,采用环保型ABS塑料工程一次性注塑成型，底、面部加设经纬加强筋，防止变形弯曲。在书包斗的前端中心位置注塑出螺孔，通过螺钉将书包斗与中间横梁固定相接，可拆卸易于组装。中间设置内凹圆槽挂凳卡槽，便于收纳、放置实验凳。</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侧面采用三段式高强度铝合金结构，整体规格：≥586*809mm，其中上支架尺寸：≥586*122*46mm,下支架尺寸：≥545*83*55mm。立柱采用倾斜式设计，内嵌入上下铸铝支架≥30mm，后端配备加固支撑梁。侧面上下支架采用≥3mm厚的铝压铸一次成型，各部分连接设置专用定位件，并用高强度内六角自攻螺丝≥6mm*25mm上下各两支连接固定。</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立柱采用菱形八边型结构设计，规格：≥95mm*41mm，厚度≥1.5mm。垂直面与斜面各有四面，正面垂直面与斜面夹角约为10度，侧面垂直面与斜面夹角约为80度。立柱外立面中间无凹槽。前横梁、后横梁和中下横梁全部采用高强度挤出铝合金模具型材，铝材表面经环氧树脂户外粉末静电喷涂处理。前后横梁尺寸：≥40*30mm，采用前端半圆弧人体工程学设计，圆弧角度约为R18，安装螺丝处的厚度≥2mm，其它厚度为≥1.1mm。中下横梁尺寸：≥50mm*25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下支架脚：下支架脚两端各设置一个直径：≥8.7mm的圆形孔位，可通过拉爆螺丝与地面固定或搭配直径：≥30mm的调节脚使用。调节脚：≥10mm*30mm国标螺杆与优质塑料一体注塑成型，承重性强。前后桌脚配有不同装饰颜色的PP脚套装饰盖。</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7、背部挡水条经模具一体挤压成型，根据不同厚度的台面板配不同高度的镶入卡口挡水条。</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FE6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600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r>
      <w:tr w14:paraId="37D4486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954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687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功能柱</w:t>
            </w:r>
          </w:p>
        </w:tc>
        <w:tc>
          <w:tcPr>
            <w:tcW w:w="5826" w:type="dxa"/>
            <w:tcBorders>
              <w:top w:val="single" w:color="000000" w:sz="4" w:space="0"/>
              <w:left w:val="single" w:color="000000" w:sz="4" w:space="0"/>
              <w:bottom w:val="single" w:color="000000" w:sz="4" w:space="0"/>
              <w:right w:val="single" w:color="000000" w:sz="4" w:space="0"/>
            </w:tcBorders>
            <w:shd w:val="clear" w:color="auto" w:fill="auto"/>
          </w:tcPr>
          <w:p w14:paraId="18A3D226">
            <w:pPr>
              <w:widowControl/>
              <w:jc w:val="left"/>
              <w:textAlignment w:val="top"/>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1、规格：375*235*738mm±</w:t>
            </w:r>
            <w:r>
              <w:rPr>
                <w:rFonts w:hint="eastAsia" w:ascii="仿宋" w:hAnsi="仿宋" w:eastAsia="仿宋" w:cs="仿宋"/>
                <w:color w:val="000000"/>
                <w:kern w:val="0"/>
                <w:sz w:val="20"/>
                <w:szCs w:val="20"/>
                <w:lang w:val="en-US" w:eastAsia="zh-CN" w:bidi="ar"/>
              </w:rPr>
              <w:t>5</w:t>
            </w:r>
            <w:r>
              <w:rPr>
                <w:rFonts w:hint="eastAsia" w:ascii="仿宋" w:hAnsi="仿宋" w:eastAsia="仿宋" w:cs="仿宋"/>
                <w:color w:val="000000"/>
                <w:kern w:val="0"/>
                <w:sz w:val="20"/>
                <w:szCs w:val="20"/>
                <w:lang w:bidi="ar"/>
              </w:rPr>
              <w:t>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2、材质：采用工程PP塑料模具一次成型，壁厚≥3mm，不变形，不扭曲，无明显裂纹、凹陷、气泡、缩水等现象。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结构：多功能柱由两侧功能柱身及功能柱底座组成，表面通过PVC定制贴纸装饰，无可视孔洞。底座四脚采取圆弧处理，多功能柱身分为两块，塑料注塑模一次性成型,以齿合槽配以螺丝连接，拆分组合方便，方便检修桶体内的风管或电线。底座四角设计注塑隐藏式螺丝孔，用于向地面打螺丝固定功能柱，表面无螺丝孔位，达到实用、美观的效果。</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E8A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775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4B446CC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4B0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8199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学生电源</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55E8">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1.学生电源应采用独立变压器的嵌入式受控电源。</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2.学生电源显示交直流电压。学生电源既能独立操作，也能被教师控制。</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3.学生低压交流电源电压为0V-30V/2A分辨率为1V。具备自动过载保护功能。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4.学生低压直流电源电压为0V-30V/2A，分辩率为0.1V。要测试1.2V到零V的电压应0.1V可调。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5.学生电源被教师控制及锁定后，不能被操作。</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6.液晶显示屏采用≥1.7寸LCD屏，数字显示交流、直流电流。</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7.配置1组220V国标5孔插座。保险过载保护。</w:t>
            </w:r>
          </w:p>
          <w:p w14:paraId="43A96EB4">
            <w:pPr>
              <w:pStyle w:val="27"/>
              <w:ind w:left="0" w:leftChars="0" w:firstLine="0" w:firstLineChars="0"/>
              <w:rPr>
                <w:rFonts w:ascii="仿宋" w:hAnsi="仿宋" w:eastAsia="仿宋" w:cs="仿宋"/>
                <w:szCs w:val="21"/>
              </w:rPr>
            </w:pPr>
            <w:r>
              <w:rPr>
                <w:rFonts w:hint="eastAsia" w:ascii="仿宋" w:hAnsi="仿宋" w:eastAsia="仿宋" w:cs="仿宋"/>
                <w:szCs w:val="21"/>
              </w:rPr>
              <w:t>8、学生电源应符合GB/T26125-2011《电子电气产品六种限用物质(铅、汞、镉、六价铬、多溴联苯和多溴二苯醚)》、GB/T26572-2011《电子电气产品中限用物质的限量要求》、《电器电子产品有害物质限制使用自愿性认证实施规则》、《达标管理目录限用物质应用例外清单》等相关要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FF4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01A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A00D68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14A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7398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教师电源</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5ED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1、显示及输入端选用≥7寸全触摸真彩显示屏，智能一体化界面，所有功能均在触屏上操作完成，方便、简单。</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2、教师电源能通过本地登陆和远程身份验证登陆，本地登陆能通过指定的密码进行登陆系统，远程身份验证能登陆通过输入教师账号和密码进行远程服务端身份验证，验证通过后能登陆系统。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3、可实现定时关机功能，定时关机时间可以教师据任务要求按需设设定。</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4、教师自用低压交流电源电压为0V-30V/3A，分辩率为1V。具备自动过载保护功能。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5、教师自用低压直流电源电压为0V-30V/4A，分辩率为0.1V。</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6、教师电源分4组向学生实验桌输出安全的220V交流电源，具备漏电及过载保护功能，支持对学生电源进行开关机操作。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7、教师电源可远程控制学生电源的开关，分4组控制。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教师电源应符合GB/T26125-2011《电子电气产品六种限用物质(铅、汞、镉、六价铬、多溴联苯和多溴二苯醚)》、GB/T26572-2011《电子电气产品中限用物质的限量要求》、《电器电子产品有害物质限制使用自愿性认证实施规则》、《达标管理目录限用物质应用例外清单》等相关要求</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AC4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96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65B3C44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12D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7550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教师电源监测管理云平台</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E61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1、电源配置教师电源监测管理云平台，用于教师端对教师电源进行设备管理，实验数据监测管理，异常信息监测管理。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2、用户管理：应可以刷新、新增、修改、删除以及查询用户等相应的操作，并给指定的用户赋予不同的角色，也可以给用户直接赋予不同的系统功能授权。</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3、角色管理：应可以刷新、新增、修改、删除以及查询角色等相应的操作，并给不同的角色赋予不同的系统功能授权。</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4、空间管理：应可以刷新、新增学校区域、修改学校区域、删除学校区域以及搜索学校区域等相应的操作。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5、主控电源管理：应可以刷新，新增、修改、删除以及查询主控电源数据。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6、异常告警管理：应可以查看主控电源异常情况（短路或者过载），并支持Excel数据导出。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7、操作日志管理：应可以查看教师在实验教学过程中的操作过程，便于数据异常的操作追溯，并支持Excel数据导出。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8、教师电源数据管理：应可以查看实验教学过程中的教学电源数据（教师电流和电压），便于实验教学数据的整理，并支持Excel数据导出。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9、统计分析模块：应可以统计分析设备使用率。</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5CD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C2C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0DF90B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295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766F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学生凳</w:t>
            </w:r>
          </w:p>
        </w:tc>
        <w:tc>
          <w:tcPr>
            <w:tcW w:w="5826" w:type="dxa"/>
            <w:tcBorders>
              <w:top w:val="single" w:color="000000" w:sz="4" w:space="0"/>
              <w:left w:val="single" w:color="000000" w:sz="4" w:space="0"/>
              <w:bottom w:val="single" w:color="000000" w:sz="4" w:space="0"/>
              <w:right w:val="single" w:color="000000" w:sz="4" w:space="0"/>
            </w:tcBorders>
            <w:shd w:val="clear" w:color="auto" w:fill="auto"/>
          </w:tcPr>
          <w:p w14:paraId="58464153">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bidi="ar"/>
              </w:rPr>
              <w:t>1、学生凳面：采用双色双质圆形面板，注塑包胶成型，面板采用ABS新料一体注塑成型，面板直径295mm±5mm，中间有内弧造型，深度为10mm±2mm，表面防滑不发光，凳面中间镶嵌有≥4mm厚，直径225mm±5mm的TPR灰色圆形软性材料，并采用包胶工艺与凳面组合，且表面平整、无凹凸。</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2、脚钢架：椭圆形无缝钢管，脚钢架尺寸：≥16mm*32mm*1.2mm，焊接完成，结构牢固，经高温粉体烤漆处理，长时间使用也不会产生表面烤漆剥落现象。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3、脚垫：材质：采用PP加耐磨纤维质塑料，实心倒勾式一体射出成型。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4、凳子可通过旋转螺杆来升降凳子高度。</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880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48</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923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条</w:t>
            </w:r>
          </w:p>
        </w:tc>
      </w:tr>
      <w:tr w14:paraId="4B65200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E61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1496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教师低背椅</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F712">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1、尺寸：W440mm*D440mm*H550mm±1%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2、结构：工字形钢架，科学支撑，钢架前端有踏脚垫，磨砂界面；</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座面规格：采用PP塑料一体注塑成型，长≥389mm*宽≥352mm*高≥149mm，椅背提手设计（提手规格：182mm*36mm±1%），提拉方便。人性化圆角设计（坐垫、钢架），有效防止磕碰撞伤。座椅底部可悬挂功能设计，不用时，可悬挂桌面之上，方便打扫，节省空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4、材质：座椅面采用双色双质，有内弧造型，表面防滑不发光，座椅面镶嵌TPR灰色软性材料，并采用包胶工艺与凳面组合，且表面平整、无凹凸，注塑包胶成型。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5、工艺：钢管直径≥22mm，壁厚≥1.8mm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6、脚垫：有效防滑，防刮伤，前防滑脚垫尺寸：40mm*19mm±1%，后防滑脚垫尺寸：73mm*22mm±1%，脚垫材质为PP塑料材质。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E33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FAF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条</w:t>
            </w:r>
          </w:p>
        </w:tc>
      </w:tr>
      <w:tr w14:paraId="2B6BA18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0AB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65D5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电气线路耗材及安装</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240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面改造并修复，铺设PVC地胶。1、主线采用≥3*4²铜芯线接到教师电源上，学生端分支采用≥3*2.5mm²铜芯线和≥2*1.5mm²铜芯线，穿入≥φ25mmPVC电线管中，配合直接、管卡、电工胶布等。每个电源接口位置预留电线长度约1000mm，使每个学生桌之间串联起来接入学生电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F19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C0F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w:t>
            </w:r>
          </w:p>
        </w:tc>
      </w:tr>
      <w:tr w14:paraId="24D5204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42C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F891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文化改造</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7A5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后墙文化墙，墙面文化挂画，符合学科文化特点。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797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43C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w:t>
            </w:r>
          </w:p>
        </w:tc>
      </w:tr>
      <w:tr w14:paraId="5CD3FFA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16A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EEA6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顶面吊顶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F35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标高放线在墙的四周弹出标高水平线2、安装主龙骨，安装边龙骨，安装‌U型铝方通龙骨3、‌方通吊顶面板安装在空间的中心位置拉一条基准线，基准线与次龙骨的方向垂直，从基准线开始向两侧安装面板。将铝格栅（50*50mm）放地上组拼完整后，再将铝格栅扣进龙骨相应的齿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A6B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2F6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w:t>
            </w:r>
          </w:p>
        </w:tc>
      </w:tr>
      <w:tr w14:paraId="42A95FFE">
        <w:tblPrEx>
          <w:tblCellMar>
            <w:top w:w="0" w:type="dxa"/>
            <w:left w:w="108" w:type="dxa"/>
            <w:bottom w:w="0" w:type="dxa"/>
            <w:right w:w="108" w:type="dxa"/>
          </w:tblCellMar>
        </w:tblPrEx>
        <w:tc>
          <w:tcPr>
            <w:tcW w:w="8670" w:type="dxa"/>
            <w:gridSpan w:val="6"/>
            <w:tcBorders>
              <w:top w:val="single" w:color="000000" w:sz="4" w:space="0"/>
              <w:left w:val="single" w:color="000000" w:sz="4" w:space="0"/>
              <w:bottom w:val="single" w:color="000000" w:sz="4" w:space="0"/>
              <w:right w:val="nil"/>
            </w:tcBorders>
            <w:shd w:val="clear" w:color="auto" w:fill="auto"/>
            <w:vAlign w:val="center"/>
          </w:tcPr>
          <w:p w14:paraId="73E68F4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物理准备室</w:t>
            </w:r>
          </w:p>
        </w:tc>
      </w:tr>
      <w:tr w14:paraId="453AAD8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554FF9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42FC3B4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产品名称</w:t>
            </w:r>
          </w:p>
        </w:tc>
        <w:tc>
          <w:tcPr>
            <w:tcW w:w="582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EE4CECB">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技术参数、规格、功能</w:t>
            </w:r>
          </w:p>
        </w:tc>
        <w:tc>
          <w:tcPr>
            <w:tcW w:w="61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51BC48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c>
          <w:tcPr>
            <w:tcW w:w="64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8D18C13">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r>
      <w:tr w14:paraId="3B30365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4C6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3F8D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准备台</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410E">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1、规格：2400*1200*760mm*760mm±10mm。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2、台面：采用一体化12mm±1mm实芯理化板台面，耐强酸碱、耐腐蚀、耐有机溶剂，抗菌、抗污染、防水、防火，并经精密加工、倒角、打磨，呈光滑半圆形，注重人性化设计，美观实用。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3、台身结构：新型塑铝结构，整体尺寸为≥1200*600*760mm，四张桌架拼接而成。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书包斗：整体尺寸≥400*250*100mm,采用环保型ABS塑料工程一次性注塑成型，底、面部加设经纬加强筋，防止变形弯曲。在书包斗的前端中心位置注塑出螺孔，通过螺钉将书包斗与中间横梁固定相接，可拆卸易于组装。中间设置内凹圆槽挂凳卡槽，便于收纳、放置实验凳。</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侧面采用三段式高强度铝合金结构，整体规格：≥586*809mm，其中上支架尺寸：≥586*122*46mm,下支架尺寸：≥545*83*55mm。立柱采用倾斜式设计，内嵌入上下铸铝支架≥30mm，后端配备加固支撑梁。侧面上下支架采用≥3mm厚的铝压铸一次成型，各部分连接设置专用定位件，并用高强度内六角自攻螺丝≥6mm*25mm上下各两支连接固定。</w:t>
            </w:r>
          </w:p>
          <w:p w14:paraId="29CA40D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立柱采用菱形八边型结构设计，规格：≥95mm*41mm，厚度≥1.5mm。垂直面与斜面各有四面，正面垂直面与斜面夹角约为10度，侧面垂直面与斜面夹角约为80度。立柱外立面中间无凹槽。前横梁、后横梁和中下横梁全部采用高强度挤出铝合金模具型材，铝材表面经环氧树脂户外粉末静电喷涂处理。前后横梁尺寸：≥40*30mm，采用前端半圆弧人体工程学设计，圆弧角度约为R18，安装螺丝处的厚度≥2mm，其它厚度为≥1.1mm。中下横梁尺寸：≥50mm*25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下支架脚：下支架脚两端各设置一个直径：≥8.7mm的圆形孔位，可通过拉爆螺丝与地面固定或搭配直径：≥30mm的调节脚使用。调节脚：≥10mm*30mm国标螺杆与优质塑料一体注塑成型，承重性强。前后桌脚配有不同装饰颜色的PP脚套装饰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907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93C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r>
      <w:tr w14:paraId="25A81F0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F52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EB71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器材架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B541">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1、整体规格：L2000mm*D600mm*H2000mm±10mm（节/组的尺寸），≥4层双面存取。每层架间距离可均匀调整。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2、材料：层板由优质钢板折弯冲压制成，立柱为货架专用C型钢材，尺寸：≥40mm*60mm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3、生产工艺：喷塑前经脱脂、酸洗、磷化。表面喷涂环保塑粉。喷塑冲击力≥4N/m，附着力不低于2级要求。载荷；搁板每层承重≥200Kg，每架≥800Kg，层距可调。</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4、整体要求：组件连接紧密牢固，无松动摇晃，边缘光滑，无毛刺，书架底脚无尖锐棱角，表面喷涂均匀。</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537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AD8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042A833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336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0AB1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仪器车</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C3D6">
            <w:pPr>
              <w:widowControl/>
              <w:jc w:val="left"/>
              <w:textAlignment w:val="center"/>
              <w:rPr>
                <w:rFonts w:ascii="仿宋" w:hAnsi="仿宋" w:eastAsia="仿宋" w:cs="仿宋"/>
                <w:color w:val="000000"/>
                <w:sz w:val="20"/>
                <w:szCs w:val="20"/>
              </w:rPr>
            </w:pP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1、规格：650mm*400mm*900mm±10mm。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2、仪器车应分为2层，层间距不小于300mm。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3、车架用直径不小于20*20mm方管制成、壁厚不小于0.5mm的不锈钢管制成，架高不低于800mm。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4、车架脚安装有不小于φ50mm、厚≥15mm转动灵活的万向轮。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5、车隔板为不薄于0.5mm的不锈钢制成。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6、整车安装好后应载重≥50Kg，应运行平稳，不得变形、摇晃、松动。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11D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E6A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辆</w:t>
            </w:r>
          </w:p>
        </w:tc>
      </w:tr>
      <w:tr w14:paraId="33FB8900">
        <w:tblPrEx>
          <w:tblCellMar>
            <w:top w:w="0" w:type="dxa"/>
            <w:left w:w="108" w:type="dxa"/>
            <w:bottom w:w="0" w:type="dxa"/>
            <w:right w:w="108" w:type="dxa"/>
          </w:tblCellMar>
        </w:tblPrEx>
        <w:tc>
          <w:tcPr>
            <w:tcW w:w="8670" w:type="dxa"/>
            <w:gridSpan w:val="6"/>
            <w:tcBorders>
              <w:top w:val="nil"/>
              <w:left w:val="nil"/>
              <w:bottom w:val="nil"/>
              <w:right w:val="nil"/>
            </w:tcBorders>
            <w:shd w:val="clear" w:color="auto" w:fill="auto"/>
            <w:noWrap/>
            <w:vAlign w:val="center"/>
          </w:tcPr>
          <w:p w14:paraId="01D16E07">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物理教学仪器</w:t>
            </w:r>
          </w:p>
        </w:tc>
      </w:tr>
      <w:tr w14:paraId="5B25368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3CF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9B716">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名称</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88AF">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规格 型号 功能</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24D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DFB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r>
      <w:tr w14:paraId="4DA58FD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2E5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F9B8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游标卡尺</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1B5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量程 0 mm～150 mm，分度值 0.02 mm；尺框微动装置沿尺身移动平稳、无卡滞和松动现象，用制动螺钉能准确、可靠的固定在尺身上；带深度尺</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BF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DE8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把</w:t>
            </w:r>
          </w:p>
        </w:tc>
      </w:tr>
      <w:tr w14:paraId="1D98912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404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44E9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数显游标卡尺</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B14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量程 0 mm～150 mm，分辨力 0.01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F7D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2F4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把</w:t>
            </w:r>
          </w:p>
        </w:tc>
      </w:tr>
      <w:tr w14:paraId="7B9EBCD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FDA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321D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外径千分尺(螺旋测微器)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847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量程 0 mm～25 mm，分度值 0.01 mm；螺杆和螺母全量程范围内充分啮合，配合良好，无明显卡滞和轴向窜动，螺杆与轴套配合良好无明显径向摆动，锁紧装置能有效锁紧测微装置</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3D3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68C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65E26B2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3AE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ED36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演示测力计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F6B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平板式；量程 0 N〜2 N，分度值 0.1 N；示值误差≤1/4 分度，升降示差≤1/2 分度，重复性偏差≤1/4 分度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33A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278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FDA76A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C41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8848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弹簧测力计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6ED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平板式；量程 0 N〜5 N，分度值 0.1 N；示值误差≤1/4 分度，升降示差≤1/2 分度，重复性偏差≤1/4 分度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8C4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8D8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136095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E19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228B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金属钩码</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8B2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 g（</w:t>
            </w:r>
            <w:r>
              <w:rPr>
                <w:rFonts w:hint="eastAsia" w:ascii="仿宋" w:hAnsi="仿宋" w:eastAsia="仿宋" w:cs="仿宋"/>
                <w:i/>
                <w:iCs/>
                <w:color w:val="000000"/>
                <w:kern w:val="0"/>
                <w:sz w:val="20"/>
                <w:szCs w:val="20"/>
                <w:lang w:bidi="ar"/>
              </w:rPr>
              <w:t>Φ</w:t>
            </w:r>
            <w:r>
              <w:rPr>
                <w:rFonts w:hint="eastAsia" w:ascii="仿宋" w:hAnsi="仿宋" w:eastAsia="仿宋" w:cs="仿宋"/>
                <w:color w:val="000000"/>
                <w:kern w:val="0"/>
                <w:sz w:val="20"/>
                <w:szCs w:val="20"/>
                <w:lang w:bidi="ar"/>
              </w:rPr>
              <w:t>22 mm）×l，20 g（</w:t>
            </w:r>
            <w:r>
              <w:rPr>
                <w:rFonts w:hint="eastAsia" w:ascii="仿宋" w:hAnsi="仿宋" w:eastAsia="仿宋" w:cs="仿宋"/>
                <w:i/>
                <w:iCs/>
                <w:color w:val="000000"/>
                <w:kern w:val="0"/>
                <w:sz w:val="20"/>
                <w:szCs w:val="20"/>
                <w:lang w:bidi="ar"/>
              </w:rPr>
              <w:t>Φ</w:t>
            </w:r>
            <w:r>
              <w:rPr>
                <w:rFonts w:hint="eastAsia" w:ascii="仿宋" w:hAnsi="仿宋" w:eastAsia="仿宋" w:cs="仿宋"/>
                <w:color w:val="000000"/>
                <w:kern w:val="0"/>
                <w:sz w:val="20"/>
                <w:szCs w:val="20"/>
                <w:lang w:bidi="ar"/>
              </w:rPr>
              <w:t>26 mm）×250 g（Φ30 mm）×2，200 g（Φ48 mm）×1 允许误差：10 g±0.1 g，20 g±0.2 g，50 g±0.5 g，200 g±2.0 g</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D25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C7D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25495E7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3FD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E066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金属钩码</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F72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 g±0.5 g，每盒 10 个，可叠放</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7E1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D2F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4C6C296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3E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E348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轴承模型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3EB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包括滚动轴承和滑动轴承 2 种：滑动轴承由工程塑料制轴承架、金属制转轴、铜轴套组成；滚动轴承由透明塑料外圈和内圈、钢滚珠（直径≥15 mm）组成，外圈外径≥120 mm 内圈内径≥55 mm，能看清滚动轴承内部结构</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84F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51B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1BAB08A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715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2C02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伽利略理想斜面演示器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B18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由轨道、面板、支脚、手柄、长度标尺、角度标尺、记忆游标、圆球、挡球板、金属衬条、支点和捕球网组成；面板长度≥1100 mm，高度≥200 mm；轨道采用可弯曲的软性材料， 套长≥1200 mm，内侧宽度为9 mm，平行度公差≤0.2 mm。轨道下行段固定，上行段倾斜角应能在0°～15°之间连续可调</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CD4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50F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C2922D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0B5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F4FA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物体浮沉条件演示器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EF4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由透明盛液筒（内径≥95 mm，深度≥285 mm）、浮体及附件（U 形杯、叉子、注射器、密度计）组成；悬浮应有微调，浮体可处于漂浮、悬浮、下沉三种状态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AC5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AAF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1D2328A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0FE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2F01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潜水艇浮沉演示器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3D9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由潜水艇模型、注射器、软乳胶管组成；潜水艇模型中间为透明气室，顶部有吸排气孔，下端有进水孔，用注射器控制沉浮；能连续完成下沉、上浮交替动作不小于 2 次，悬浮时倾斜不超过 10°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47C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07D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146DF3D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1AB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F8A9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压力和压强演示器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0B0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压强小桌，尺寸≥200 mm×100 mm×100 mm； 配套多孔弹性材料，尺寸≥220 mm×120 mm×50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81F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46C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3654E3A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D88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4F15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液体内部压强实验器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16E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由承压盒、支杆、过渡接头、硅橡胶管、硅橡胶膜组成；承压盒内径</w:t>
            </w:r>
            <w:r>
              <w:rPr>
                <w:rFonts w:hint="eastAsia" w:ascii="仿宋" w:hAnsi="仿宋" w:eastAsia="仿宋" w:cs="仿宋"/>
                <w:i/>
                <w:iCs/>
                <w:color w:val="000000"/>
                <w:kern w:val="0"/>
                <w:sz w:val="20"/>
                <w:szCs w:val="20"/>
                <w:lang w:bidi="ar"/>
              </w:rPr>
              <w:t>Φ</w:t>
            </w:r>
            <w:r>
              <w:rPr>
                <w:rFonts w:hint="eastAsia" w:ascii="仿宋" w:hAnsi="仿宋" w:eastAsia="仿宋" w:cs="仿宋"/>
                <w:color w:val="000000"/>
                <w:kern w:val="0"/>
                <w:sz w:val="20"/>
                <w:szCs w:val="20"/>
                <w:lang w:bidi="ar"/>
              </w:rPr>
              <w:t>36 mm～</w:t>
            </w:r>
            <w:r>
              <w:rPr>
                <w:rFonts w:hint="eastAsia" w:ascii="仿宋" w:hAnsi="仿宋" w:eastAsia="仿宋" w:cs="仿宋"/>
                <w:i/>
                <w:iCs/>
                <w:color w:val="000000"/>
                <w:kern w:val="0"/>
                <w:sz w:val="20"/>
                <w:szCs w:val="20"/>
                <w:lang w:bidi="ar"/>
              </w:rPr>
              <w:t>Φ</w:t>
            </w:r>
            <w:r>
              <w:rPr>
                <w:rFonts w:hint="eastAsia" w:ascii="仿宋" w:hAnsi="仿宋" w:eastAsia="仿宋" w:cs="仿宋"/>
                <w:color w:val="000000"/>
                <w:kern w:val="0"/>
                <w:sz w:val="20"/>
                <w:szCs w:val="20"/>
                <w:lang w:bidi="ar"/>
              </w:rPr>
              <w:t>38 mm 硅橡胶膜厚 0.5 mm，支杆长度不小于 300 mm 有手动转动机构，有标尺</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8FC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AA2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4C5441E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79E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B1E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透明盛液筒</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577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高 300 mm±5 mm，筒底外径≥110 mm，壁厚≥1.5 mm。筒身有深度标尺，标尺长≥250 mm， 分度值 1 mm，透光率应≥90％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C83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31E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41FFBA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A0E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F86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液体对器壁压强演示器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82E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透明圆筒壁同一直线上不同高度处应有3个喷嘴，对面应有1个喷嘴；配 4 个喷嘴塞或盖，有表示深度的标尺</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FB0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D46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7D4BAE5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04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C3E6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液体压强与深度关系实验器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A48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由低重心实验筒、砝码组（放入实验筒内）、 浮标环等组成；实验筒在水中倾斜不应超过8°</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B87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3BA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5FAD299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722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9937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马德堡半球</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402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由半球、拉手、气嘴、阀门、橡胶管 2 根以及底座等组成；球体外径应≥80 mm，气嘴外径 8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1BA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AEC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EFFE27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FA9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5449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流体压强与流速关系演示器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4A4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气体式，由气体流动管道、气体接入部件、压强观测部件组成，应带气源</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BA2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A79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16A297C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ACD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BC04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飞机升力原理演示器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82A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由机翼模型（或飞机模型，硬质塑料制成） 平行风源风机、底座、滑杆等组成，机翼下表面水平；若有调速电位器的Ⅱ类电器，金属外壳（以及与金属外壳相连的螺母）不应露在外</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580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0EE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53881D6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B52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98B1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杠杆</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B54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由杠杆、轴、调平装置和 6 个挂钩组成，挂钩在标尺上能连续移动，杠杆长≥500 mm，木杠杆尺端需包头加固</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0B6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7EF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35A5D46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A74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91F2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智能滑轮组实验装置</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A4C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1、本装置内置滑轮驱动系统、传感器测量采集系统，可以定性的验证动滑轮省力、定滑轮省距离以及通过传感器采集到的数据定量分析滑轮组的拉力、位移关系。</w:t>
            </w:r>
            <w:r>
              <w:rPr>
                <w:rFonts w:hint="eastAsia" w:ascii="仿宋" w:hAnsi="仿宋" w:eastAsia="仿宋" w:cs="仿宋"/>
                <w:color w:val="000000"/>
                <w:kern w:val="0"/>
                <w:sz w:val="20"/>
                <w:szCs w:val="20"/>
                <w:lang w:bidi="ar"/>
              </w:rPr>
              <w:br w:type="textWrapping"/>
            </w:r>
            <w:r>
              <w:rPr>
                <w:rFonts w:hint="eastAsia" w:ascii="仿宋" w:hAnsi="仿宋" w:eastAsia="仿宋" w:cs="仿宋"/>
                <w:sz w:val="21"/>
                <w:szCs w:val="21"/>
                <w:lang w:val="zh-CN"/>
              </w:rPr>
              <w:t>▲</w:t>
            </w:r>
            <w:r>
              <w:rPr>
                <w:rFonts w:hint="eastAsia" w:ascii="仿宋" w:hAnsi="仿宋" w:eastAsia="仿宋" w:cs="仿宋"/>
                <w:color w:val="000000"/>
                <w:kern w:val="0"/>
                <w:sz w:val="20"/>
                <w:szCs w:val="20"/>
                <w:lang w:bidi="ar"/>
              </w:rPr>
              <w:t>2、整体规格：300*700*65mm±1%，机身采用PP塑料环保材质，由2个300*350*65mm±1%的实验箱体通过不锈钢合页连接而成。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3、操作面板采用PVC材质，面板上刻有0-700mm的刻度尺，用于直观观察砝码与动滑轮拉力端上升移动的距离。</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4、箱体内置滑轮驱动电机，拉力和位移传感器测量系统以及自动化控制实验系统。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5、箱体采用≥1.8寸彩色液晶显示屏，显示当前动滑轮驱动的拉力、移动的位移、运行方向以及运行状态。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6、箱体控制区内嵌5个功能按键，驱动方向按键、启动、停止、力值清零、位移清零等功能。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7、箱体集成驱动滑轮1组、定滑轮1组、活动动滑轮1组、力传感器1组、位移传感器1组。</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8、箱体内置电池，支持备电使用。</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2EB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620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421C541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CB8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959" w:type="dxa"/>
            <w:gridSpan w:val="2"/>
            <w:tcBorders>
              <w:top w:val="single" w:color="000000" w:sz="4" w:space="0"/>
              <w:left w:val="single" w:color="000000" w:sz="4" w:space="0"/>
              <w:bottom w:val="nil"/>
              <w:right w:val="single" w:color="000000" w:sz="4" w:space="0"/>
            </w:tcBorders>
            <w:shd w:val="clear" w:color="auto" w:fill="auto"/>
            <w:vAlign w:val="center"/>
          </w:tcPr>
          <w:p w14:paraId="6C12E8B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阿基米德原理实验器</w:t>
            </w:r>
          </w:p>
        </w:tc>
        <w:tc>
          <w:tcPr>
            <w:tcW w:w="5826" w:type="dxa"/>
            <w:tcBorders>
              <w:top w:val="single" w:color="000000" w:sz="4" w:space="0"/>
              <w:left w:val="single" w:color="000000" w:sz="4" w:space="0"/>
              <w:bottom w:val="nil"/>
              <w:right w:val="single" w:color="000000" w:sz="4" w:space="0"/>
            </w:tcBorders>
            <w:shd w:val="clear" w:color="auto" w:fill="auto"/>
            <w:vAlign w:val="center"/>
          </w:tcPr>
          <w:p w14:paraId="2C06F47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本装置内置物体上下升降驱动系统、传感器测量采集系统，可以实时的测量物理浮力、G排以及物体侵入水中的深度，既可以独立使用，也可以可以支持无线将数据实时传输至数据分析软件进行显示。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一、实验装置介绍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整体规格：该装置底部集成了操作平台底座，配备四个高度可灵活调节的地脚，以确保设备平稳放置，还设有溢水杯支撑架与盛水杯支撑架，便于实验过程中的液体容器安置，中间采用500*30*30mm±1%的铝型材支撑杆，杆体表面并配有刻度线，顶部搭载180*76*100mm±1%的控制箱，左侧固定安装有电机驱动的滑轮系统，可实现自动化升降控制的滑轮运动，右侧内置了一块≥3.5英寸电容触摸屏，用户可通过该屏幕进行直观的软件功能交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2、控制箱体内置滑轮驱动电机，可以通过屏幕实现物块的自动上升、下降以及暂停功能；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3、本装置不采用外接压力传感器的形式，箱体内部一体化集成≥2个压力传感器，可以实时测量物体所受浮力大小以及被物体排开的液体所受的重力，可以通过集成的≥3.5英寸屏幕进行实时的数据显示；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4、装置集成的屏幕上可以实时显示物体的实时拉力F、实时重力G、物体侵入水中的深度h；</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装置集成的屏幕上可通过按钮进行采集，将采集到的实时数据以表格的形式显示物体重力、拉力、物体所受的浮力F浮、被物体排开的液体所受的重力、桶重、空桶重力等测量数据，也可以通过清屏按钮实现数据的一键清空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6、装置集成的屏幕上可以将采集到的数据进行拟合曲线，绘制物体所受的浮力的大小与被物体排开的液体所受的重力关系曲线；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7、装置集成的屏幕上可以实时绘制物体所受的浮力与时间的曲线以及物体所受的浮力与深度的曲线；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8、本装置可以不依赖其他实验软件，可以独立完成阿基米德原理等实验的验证功能，探究浸在液体中的物体所受的浮力的大小等于被物体排开的液体所受的重力；</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9、本装置也支持无线数据传输，可配套专用实验软件进行控制和采集装置内的实验数据，同样支持以表格和曲线等形式自动记录数据变化情况，实验结果更直观明显。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阿基米德原理等实验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C93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DD0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00A2AB3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366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C21A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数字化摩擦力实验器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CE1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本装置内置电机调速驱动系统、传感器测量采集系统，可以实时的测量物块所受到的摩擦力，既可以独立使用，也可以可以支持无线将数据实时传输至数据分析软件进行显示。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一、实验装置介绍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1.整体规格：该装置由控制器、轨道、摩擦面、物块、金属钩码五部分组成，轨道由600*100*16mm±1%，包含三种摩擦面：光面、橡胶面、毛毯面。</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2、控制器内置驱动电机，可以通过屏幕实现物块的正转、反转、暂停等功能，同时支持正转和反转后驱动电机自动停止；</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3、本装置不采用外接压力传感器的形式，控制器内部一体化集成压力传感器，可以实时测量物块在移动过程中，可以通过集成的3.5英寸屏幕进行实时的数据显示；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本装置可以通过集成的≥3.5英寸屏幕选择探究滑动摩擦力与压力的关系实验、通过增加物块上的钩码来增加正向压力，点击屏幕上的正转按钮，自动驱动电机拉动物块，并支持电机自动停止，自动采集摩擦力数据填入表格，也支持在运动过程中手动采集摩擦力数据，实验过程中在屏幕上自动绘制不同压力下的实时曲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本装置可以通过集成的≥3.5英寸屏幕选择“探究滑动摩擦力与接触面粗糙程度的关系实验”、“探究滑动摩擦力与接触面粗糙程度的关系”、“探究滑动摩擦力与接触面积的关系”、“探究滑动摩擦力与运动速度的关系”，根据选择的不同模块，进行不同的实验探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本装置可以通过点击屏幕上的正转按钮，自动驱动电机拉动物块，并支持电机自动停止，自动采集摩擦力数据填入表格，也支持在运动过程中手动采集摩擦力数据，实验过程中在屏幕上可自动绘制不同实验条件的摩擦力实时曲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6、本装置可以通过集成的屏幕选择低速、中速、高速来更换物块移动的速度；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7、本装置可以提供三种不同的摩擦面，并进行快速切换；</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本装置可以不依赖其他实验软件，即可以独立完成摩擦力实验探究的验证功能，也可以配套专用实验软件进行控制和采集装置内的实验数据，支持以表格和曲线等形式自动记录数据变化情况，实验结果更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1、探究滑动摩擦力与接触面粗糙程度的关系实验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2、探究滑动摩擦力与接触面粗糙程度的关系</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3、探究滑动摩擦力与接触面积的关系</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4、探究滑动摩擦力与运动速度的关系</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5、探究最大静摩擦力与滑动摩擦力的关系</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C70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8D8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1F05612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B5C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54AE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滑轮组</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A46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由单滑轮 4 件、二并滑轮 2 件、二串滑轮 2件、支杆滑轮 2 件构成，每个滑轮组中至少有 1 个可止动滑轮，附滑轮绳；额定负荷：单滑轮 9.8 N，串及并滑轮为 19.6 N，支杆滑轮为 9.8 N；满负荷时，单、支杆滑轮的效率不应低于 90％，并、串滑轮的效率不应低于 75％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B5C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F4D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6C227B5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BAF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2E7A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音叉</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8A2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256 Hz±0.3 Hz；由音叉、共鸣箱、音叉槌等组成；松木共鸣箱，尺寸 300 mm×80 mm×40 mm；在环境噪声不大于 30 dB 的室内，用音叉槌敲击音叉，距音叉 1000 mm 处声强应不小于 90 dB</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89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F20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4C36453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470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3B44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音叉</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41E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512 Hz±0.4 Hz；由音叉、共鸣箱、音叉槌等组成；松木共鸣箱，尺寸 140 mm×80 mm×40 mm；在环境噪声不大于 30 dB 的室内，用音叉槌敲击音叉，距音叉 1000 mm 处声强应不小于 90 dB</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6C2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DC6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0A16C3F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2E7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7BAD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电铃</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A6D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在 15 m 范围内铃声清晰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701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4AC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D8AF5B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80E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81D2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声传播演示器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1B5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由透明可密封容器、音频发生器、扬声器（含放大器）、传声棒、连接皮管等组成；可密封容器密封性好，能将容器内气压抽到低于-0.085 MPa ， 并在 10 s 内保持气压低于-0.080 MPa；可演示声音在气体、液体、固体中的传播以及真空不能传声等实验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B17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185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5C87F7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1B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EF2B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发音齿轮</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4E0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包括 3 片齿板、转轴、振动片等；齿板齿数分别为 80、40、20，半圆形齿；齿板为金属材质，转动轴应采用碳钢或不锈钢材料，振动片应采用聚苯乙烯塑料</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498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169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D9B81B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B9B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6B8C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纸盆扬声器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923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动圈式，直径≥200 mm，8 Ω</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619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CDE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4A6C454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937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418E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声音能量演示器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6EF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带扬声器的大功率音频放大器，演示声悬浮或者声波吹蜡烛火焰等</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FCD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C86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6F66D7B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E46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9CF9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平行光源</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20A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至少 2 条平行光，非激光光源</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7F2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50E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43B7F44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CFD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5E40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凹面镜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B12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直径 100 mm，焦距 65 mm，镜片为玻璃基质镀反射膜，配支架和镜座</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763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6B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块</w:t>
            </w:r>
          </w:p>
        </w:tc>
      </w:tr>
      <w:tr w14:paraId="7AAD350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537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72A4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凸面镜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CCB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直径 100 mm，焦距-65 mm，镜片为玻璃基质镀反射膜，配支架和镜座</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95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4D1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块</w:t>
            </w:r>
          </w:p>
        </w:tc>
      </w:tr>
      <w:tr w14:paraId="2DC5115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AD1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B76F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哈哈镜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2D0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纵向、横向</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489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353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块</w:t>
            </w:r>
          </w:p>
        </w:tc>
      </w:tr>
      <w:tr w14:paraId="7EFA66D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15F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A042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LED光源</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05A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距光源 500mm 处照度 800 1x～900 1x；发光形状、亮度均可调，能形成 F 光源、T 光源等发光形状</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A83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778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55E4E8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0A0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4336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透明水槽</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5E1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250 mm×180 mm×100 mm，透明塑料制，透光率≥85％，壁厚≥2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F98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4F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51136AD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90A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55E7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凹透镜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DDF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焦距-50 mm，误差±2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5B8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109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面</w:t>
            </w:r>
          </w:p>
        </w:tc>
      </w:tr>
      <w:tr w14:paraId="6112043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A74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032B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凸透镜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C40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焦距 75 mm，误差±2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99B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3EF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面</w:t>
            </w:r>
          </w:p>
        </w:tc>
      </w:tr>
      <w:tr w14:paraId="585D1E1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B1C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F900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透镜及其应用实验器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050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简单测量凸透镜的焦距，用凸透镜和凹透镜做望远镜，用凸透镜做投影、照相的原理等</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59D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F3B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盒</w:t>
            </w:r>
          </w:p>
        </w:tc>
      </w:tr>
      <w:tr w14:paraId="2EB63DB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147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0A79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眼球仪</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3FB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用于眼睛的工作原理及视力矫正实验；模拟晶状体曲度可调节，能实现正常、远视、近视三种状态，近视镜、远视镜与眼球匹配， 能将远视眼、近视眼调节为正常视力</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CD1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CF0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2DE44A0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432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A342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照相机原理模型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639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凸透镜成像，像距可调</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BA2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935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F0C285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527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834C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白光的色散与合成演示器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93A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由光源、三棱镜、三棱镜台、光屏、支承系统等组成；两块棱镜应配对，用 ZF3 玻璃制其折射率之差不大于 0.003，中部色散之差不大于 0.0004。实验效果：做白光的色散实验时，可见光区域内光谱连续清晰；能把白光色散后的七色光谱带还原成白光</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D09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B46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1D747E9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537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8C2D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颜料的三原色</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63F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品红、黄、青</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01D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B2D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DEEDCC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6DB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4C11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光的三原色合成实验器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C54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可单独显示红、绿、蓝三原色，也可显示双色光混合色和三色光混合色</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731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3B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47A49D2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227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1BA8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三棱镜</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0DE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重火石玻璃制</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425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4B7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B4E634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4D0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ADEF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玻璃砖</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03E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无色光学玻璃，上底边长 35 mm，高度 35 mm厚度 15 mm；一梯形面为粗加工面，其余为精加工面；上下底面平行度为 0.10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1D0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044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块</w:t>
            </w:r>
          </w:p>
        </w:tc>
      </w:tr>
      <w:tr w14:paraId="75BF948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9C7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D69B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玻棒(附丝绸)</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EE9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或有机玻棒(附丝绸)，丝绸面积≥350 mm×350 mm。在规定工作条件下，用丝绸裹住玻棒（或有机玻棒），做一次快速拉出，棒上所带的电荷用 D－YDQ－Z－100 型指针验电器检验张角≥30°（≥50°）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79A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770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对</w:t>
            </w:r>
          </w:p>
        </w:tc>
      </w:tr>
      <w:tr w14:paraId="1EFAEF7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344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478B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胶棒(附毛皮)</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3A8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或聚碳酸酯棒(附毛皮)，毛皮面积≥150 mm×150 mm。在规定工作条件下，用毛皮裹胶棒（或聚碳酸脂棒），做一次快速拉出，棒上所带的电荷用 D－YDQ－Z－100 型指针验电器检验张角≥30°（≥45°）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FD4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512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对</w:t>
            </w:r>
          </w:p>
        </w:tc>
      </w:tr>
      <w:tr w14:paraId="2DA97CF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110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A6CB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箔片验电器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21B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由外壳、圆盘、导电杆、绝缘子、箔片、中位卡、接线柱和底座等组成。外壳应由不能带静电的材料制成，观察面应采用透明材料透明材料透光率≥90%；箔片长度≥25 mm。性能要求：相对湿度≤65%环境，圆盘上面加8 kV直流高压，箔片张开与中位片角度应≥45°；移去高压后，箔片张开角度保持30°以上的时间≥10 min</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800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3AD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对</w:t>
            </w:r>
          </w:p>
        </w:tc>
      </w:tr>
      <w:tr w14:paraId="5C8E867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A07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4586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感应起电机</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6AB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由起电盘、底座、莱顿瓶、集电杆、放电杆电刷、电刷杆、皮带轮、连接片等组成。起电盘上导电膜应采用铝箔和纸箔交替分布； 莱顿瓶应采用塑料制成，电容量应≥30 pF 击穿电压应≥42 kV；集电杆采用直径不低于4 mm 的冷拉圆钢制成，电梳应由针状金属杆或束状裸铜线制成，与起电盘距离不应小于6 mm；放电杆采用直径为 3 mm 的冷拉圆钢制成，表面镀铬，绝缘手柄长度应≥80 mm，体积电阻率≥1016 Ω·m；电刷应采用束状磷铜线；导电膜与起电盘的 90°剥离强度应≥ 8 N。性能要求：在温度为 20 ℃、相对湿度为 65%±5%的环境中，摇柄转速 120 r/min 火花放电距离应≥55 mm；在温度为 5 ℃～30 ℃范围，相对湿度为 85%±5%的条件下，仪器应正常工作，火花放电距离应≥30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7F7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564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40A6114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180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9B8D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电子起电机</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AEA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放电距离应为 5 mm～35 mm，输出高压电流应≤500 μA，有短路保护和开路保护，连续工作时间不少于 30 min；输出电压对地正负对称；安全要求：变压器的一次绕阻和二次绕阻抗电强度应达到交流 3000 V，电源与高压部分的电气间隙和爬电距离符合高压电气要求，宜采用外接的电源变换器（II 类电器</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1DF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58A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6986FDB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CB3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3C79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条形磁铁</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39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D-CG-LT-180，表面磁感应强度≥0.07 T</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92C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360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对</w:t>
            </w:r>
          </w:p>
        </w:tc>
      </w:tr>
      <w:tr w14:paraId="3F19384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6BB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48C2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蹄形磁铁</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ECD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D-CG-LU-100，表面磁感应强度≥0.055 T</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A16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D57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49FB320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5DE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7DBE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菱形小磁针</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255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 支，磁针 28 mm×8 mm，座</w:t>
            </w:r>
            <w:r>
              <w:rPr>
                <w:rFonts w:hint="eastAsia" w:ascii="仿宋" w:hAnsi="仿宋" w:eastAsia="仿宋" w:cs="仿宋"/>
                <w:i/>
                <w:iCs/>
                <w:color w:val="000000"/>
                <w:kern w:val="0"/>
                <w:sz w:val="20"/>
                <w:szCs w:val="20"/>
                <w:lang w:bidi="ar"/>
              </w:rPr>
              <w:t>Φ</w:t>
            </w:r>
            <w:r>
              <w:rPr>
                <w:rFonts w:hint="eastAsia" w:ascii="仿宋" w:hAnsi="仿宋" w:eastAsia="仿宋" w:cs="仿宋"/>
                <w:color w:val="000000"/>
                <w:kern w:val="0"/>
                <w:sz w:val="20"/>
                <w:szCs w:val="20"/>
                <w:lang w:bidi="ar"/>
              </w:rPr>
              <w:t>25 mm×25 mm 磁针体中间铆接铜轴承套，内嵌玻璃轴承， 平均磁感应强度≥5 mT</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7AD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25A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0150F4F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339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37CA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电磁铁实验器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B57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电磁铁线圈 2 组、柱形铁芯 1 个、蹄形铁芯1 个、衔铁 2 个组成，附连接导线 3 根。能组装成条形电磁铁或蹄形电磁铁，当通过线圈的直流电流为 500 mA 时，产生的吸力应能提起质量≥200 g 的物体</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62E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093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22B5AA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B72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339D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螺线管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5D2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透明底板，纯铜漆包线，单层绕线，线圈绕向清晰可见，宜附带手柄磁针</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D0B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B48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48B2C65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6A4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9401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演示电磁继电器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1C9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包括电磁线圈、铁芯、轭铁、衔铁、常开触点、常闭触点、弹簧、底座等。电磁铁额定工作电压直流 9 V，工作电流 100 mA±15 mA 吸合电流≤70 mA，释放电流 20 mA～40 mA 触点常闭电阻≤1 Ω，常开电阻≤0.5 Ω， 开距≥2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2EA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BF5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456FCF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B3B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21EF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电磁继电器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0EA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电磁铁额定工作电压 6 V，工作电流 80 mA±10 mA，吸合电流≤50 mA，释放电流 15 mA～20 mA。触点最高电压 16 V，额定电流 1 A 常闭电阻≤0.2 Ω，常开电阻≤0.2 Ω，开距≥0.3 mm。动合触点闭合后应无抖动现象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6F8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6ED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1565B69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631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5683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磁场对电流作用实验器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822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包括Φ2 mm 铜棒 1 根、接线柱、导轨、U 形磁铁、底板等，底板有固定磁铁装置，磁铁磁极方向可互换，与滑动变阻器配合使用， 动作电流≤2 A</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D95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EC1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2049E10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268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89B1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电机原理演示器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FED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卧式，包括定子、转子线圈、集流环和换向器、电刷、底座等；定子与转子串励，额定工作电压应为 24 V；在额定工作电压下连续工作 1 h，温升应不高于 55 ℃；导体与机座之间的绝缘电阻≥10 MΩ</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317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33E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415D5AC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328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8364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小型电动机实验器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536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由定子、转子、电刷、转子支架和底座等组成。直流工作电压 1.5V～8V，工作电流 0.5A～1A；启动性能：永磁≤3V，励磁并励≤3V，励磁串励≤6 V；电枢线圈在任何位置时换向器都不应将两电刷短路</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244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DA9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3A9116D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9CA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5D1A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方形线圈</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860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非金属材料正方形框架；线圈应由直径Φ0.41 mmQZ 型漆包线绕 150 匝以上制成，线圈边长为 63 mm±3 mm；线圈引线为截面积为 0.20 mm2～0.25 mm2、长 320 mm 的多股软线，线端接线叉；接线棒由绝缘材料制成， 长度 150 mm～160 mm，安装红、黑接插两用接线柱，两接线柱的间距等于线圈宽度；接线棒固定端外径 10 mm，能固定在方座支架的垂直夹上</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06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B0A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36A5B04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D09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DC8D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电磁感应线圈</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52E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由单匝线圈及 4 匝线圈构成，线圈应固定在绝缘板上，绝缘板应能固定在方座支架上</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4C9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BBA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4287E93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E56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18F4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手摇交直流发电机</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8CC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 1600 r/min 空载时，输出端交流和直流电压均应≥8 V 接 16 Ω电阻负载时，输出端交流和直流电压均应≥5 V；不带皮带轮用作电动机使用时启动电压应≤4 V，电流应≤0.4 A</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9BE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0C7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28B67C7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D7B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806B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电话原理模型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F06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模拟炭粒送话器振动片振动时电阻变化引起电流变化，使受话器的振动片相应在平衡位置两边振动</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058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020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0A3D8C0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C9C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B534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单摆</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724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由摆球（钢球、塑料球）、摆线和单摆夹组成，不少于 5 个摆球。摆球直径 20 mm，穿线孔两端直径相同，线长 1500 mm。单摆夹应由金属材料制成，夹口应为 V 形，单摆在摆动过程中摆线上的固定点应不变</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527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845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A3B481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991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3AEA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滚摆</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F0D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包括摆体（摆轮和摆轴）、悬线和支架等。摆轮采用金属材质，直径 125 mm；摆轴采用钢材制作，直径 8 mm，长 160 mm；支架高460 mm，横梁长 300 mm；摆体质量为 0.6 kg～0.8 kg。摆体前 10 次的回升累计递减量应≤65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483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D9C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1B0C20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C6F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49B4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重力势能实验演示器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C1E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由直径相同、质量不同的 2 个金属球，直径相同、质量相同的 2 个金属球，金属球释放系统，势能大小观察或比较系统，铝合金支架等组成。可调节金属球释放的高度，能够同时测量不少于 3 组实验数据。通过机械控制或电子控制保证金属球能同时释放，势能大小观测系统带有标尺，能定性观察和比较势能的大小</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04E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96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1734DE4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BF6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4228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机械能内能互变演示器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401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由导热管、塞盖、弓形夹、摩擦绳等组成； 导热管用紫铜管制成，</w:t>
            </w:r>
            <w:r>
              <w:rPr>
                <w:rFonts w:hint="eastAsia" w:ascii="仿宋" w:hAnsi="仿宋" w:eastAsia="仿宋" w:cs="仿宋"/>
                <w:i/>
                <w:iCs/>
                <w:color w:val="000000"/>
                <w:kern w:val="0"/>
                <w:sz w:val="20"/>
                <w:szCs w:val="20"/>
                <w:lang w:bidi="ar"/>
              </w:rPr>
              <w:t>Φ</w:t>
            </w:r>
            <w:r>
              <w:rPr>
                <w:rFonts w:hint="eastAsia" w:ascii="仿宋" w:hAnsi="仿宋" w:eastAsia="仿宋" w:cs="仿宋"/>
                <w:color w:val="000000"/>
                <w:kern w:val="0"/>
                <w:sz w:val="20"/>
                <w:szCs w:val="20"/>
                <w:lang w:bidi="ar"/>
              </w:rPr>
              <w:t>16 mm，厚 1 mm， 长 65 mm；摩擦绳为约</w:t>
            </w:r>
            <w:r>
              <w:rPr>
                <w:rFonts w:hint="eastAsia" w:ascii="仿宋" w:hAnsi="仿宋" w:eastAsia="仿宋" w:cs="仿宋"/>
                <w:i/>
                <w:iCs/>
                <w:color w:val="000000"/>
                <w:kern w:val="0"/>
                <w:sz w:val="20"/>
                <w:szCs w:val="20"/>
                <w:lang w:bidi="ar"/>
              </w:rPr>
              <w:t>Φ</w:t>
            </w:r>
            <w:r>
              <w:rPr>
                <w:rFonts w:hint="eastAsia" w:ascii="仿宋" w:hAnsi="仿宋" w:eastAsia="仿宋" w:cs="仿宋"/>
                <w:color w:val="000000"/>
                <w:kern w:val="0"/>
                <w:sz w:val="20"/>
                <w:szCs w:val="20"/>
                <w:lang w:bidi="ar"/>
              </w:rPr>
              <w:t>4.5 mm 腊旗绳，长度不小于 1 m；弓形夹有效夹持厚度为 5 mm～ 55 mm，夹持深度≥30 mm，夹紧压力≥1960 N</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1ED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D6C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6E6BC0E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ED1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FCFA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空气压缩引火仪</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0DF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由气缸、底座、端盖、活塞等部分组成。气缸用透明有机玻璃制作，内径Φ10 mm，外径Φ25 mm，长 130 mm，底座Φ65 mm，手柄Φ 40 mm，活塞杆Φ8 mm。活塞体应使用弹性材料制成，活塞与气缸气密性应良好，连续压缩引火 100 次后密封圈性能不变。应能引燃脱脂棉，不应使用硝化棉</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EDE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BF6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61E5EB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299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98F9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汽油机模型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0CC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四冲程，单缸，示结构原理。由进气管、进气阀、排气管、排气阀、气缸、活塞、连杆、 曲轴、火花塞、齿轮凸轮总成、飞轮、挺杆等组成。手动转动，活塞运动压缩比 6:1～ 8:1，整体高不小于 300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C93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C11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r>
      <w:tr w14:paraId="2D50F32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E93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1752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柴油机模型</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BCD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四冲程，单缸，示结构原理。由进气管、进气阀、排气管、排气阀、气缸、活塞、连杆、曲轴、喷油嘴、齿轮凸轮总成、飞轮、挺杆组成。手动转动，活塞运动压缩比 14∶1～ 16∶1，整体高不小于 300 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548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BA0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65F763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FDB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7FD6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演示电表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83F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 级，直流电流：200 μA、0.5 A、2.5 A， 直流电压：2.5 V、10 V，检流：－100 μA～100 μA，电压灵敏度：5 kΩ/V</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6B3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97F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3E8A3BA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E0F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09AF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直流电流表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14E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0.6 A、3 A 双量程，2.5 级，基本误差、升降变差、平衡误差不超过量程上限的 2.5％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4C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5BC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40FBF8A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F52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9EE4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直流电压表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E3E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 V、15 V 双量程，2.5 级，基本误差、升降变差、平衡误差不超过量程上限的 2.5％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2EE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FF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2B8936B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E2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B01C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灵敏电流计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568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300 μA，G0 档表头内阻 80 Ω～125 Ω，G1 档表头内阻 2400 Ω～3000 Ω</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6D2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728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17B9C10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A60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2753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绝缘电阻表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678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ZC25-3 型，额定电压 500 V，量程 0 MΩ～500 MΩ，准确度 10 级</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427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2DB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3E58841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C2E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DBC3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电池盒</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F7D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R20（1＃）电池用，有接线柱，负极可用弹簧或弹性磷铜片，有串联接插口，电池装反时不能接通</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D6C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5E6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2ABBF1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CEF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B9CD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教学用E10螺口灯座</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926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由底座、接线柱和灯座等组成。底座应采用硬质绝缘材料制成，最高工作电压应为 36 V最大工作电流应为 2.5 A。灯座口圈应采用厚 0.4 mm～0.5 mm 的黄铜材料制作，中心触点应采用厚 0.3 mm～0.4 mm 的磷铜材料制作。两接线柱之间绝缘电阻应≥2 MΩ</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BEC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CD0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5E51A1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0D8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98DC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电珠(小灯泡)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4A6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 V、0.3 A</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617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1B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E0D778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C0B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CE44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电珠(小灯泡)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59C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 V、0.3 A</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C90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D8B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74ADE62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7C7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7316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电珠(小灯泡)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4A3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3.8 V、0.3 A</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FAC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BE6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329C205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D53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88A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单刀双掷开关</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F62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最高工作电压 36 V，额定工作电流 6 A。开关闸刀、接线柱、垫片均为铜质。闸刀宽度≥7 mm，闸刀厚度≥0.7 mm。接线柱直径为4 mm，有效行程≥4 mm。通额定电流，导电部分允许温升≤35 ℃，操作手柄允许温升≤25 ℃。开关的绝缘强度应能承受 1200 V 在额定直流电流工作条件下，接线两端直流电压降≤100 mV</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70F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F81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4630E9D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A14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40FD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滑动变阻器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275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 Ω，3 A 误差应&lt;±10%；滑杆应采用正六边形、正四边形或正三角形截面，不应采用圆形截面；电阻丝采用康铜丝，接线柱应有防松动装置；额定电流工作 30 min 温升≤300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A97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CE8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68CBF77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8B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4337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滑动变阻器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89D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 Ω，2 A 误差应&lt;±10%；滑杆应采用正六边形、正四边形或正三角形截面，不应采用圆形截面；电阻丝采用康铜丝，接线柱应有防松动装置；额定电流工作 30 min 温升≤300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D97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509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0455265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7D1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96FC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滑动变阻器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85A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 Ω，1.5 A 误差应&lt;±10%；滑杆应采用正六边形、正四边形或正三角形截面，不应采用圆形截面；电阻丝采用康铜丝，接线柱应有防松动装置；额定电流工作 30 min 温升≤300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E38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DE2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r>
      <w:tr w14:paraId="20DFA00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EC2D">
            <w:pPr>
              <w:jc w:val="center"/>
              <w:rPr>
                <w:rFonts w:ascii="仿宋" w:hAnsi="仿宋" w:eastAsia="仿宋" w:cs="仿宋"/>
                <w:color w:val="000000"/>
                <w:sz w:val="20"/>
                <w:szCs w:val="20"/>
              </w:rPr>
            </w:pPr>
          </w:p>
        </w:tc>
        <w:tc>
          <w:tcPr>
            <w:tcW w:w="80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ED37C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理化生传感器</w:t>
            </w:r>
          </w:p>
        </w:tc>
      </w:tr>
      <w:tr w14:paraId="5EE6CCB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4DCF">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2705A">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名称</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EB43">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产品技术参数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111C">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4080">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r>
      <w:tr w14:paraId="63D0162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88F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08B40">
            <w:pPr>
              <w:jc w:val="left"/>
              <w:rPr>
                <w:rFonts w:ascii="仿宋" w:hAnsi="仿宋" w:eastAsia="仿宋" w:cs="仿宋"/>
                <w:b/>
                <w:bCs/>
                <w:color w:val="000000"/>
                <w:sz w:val="20"/>
                <w:szCs w:val="20"/>
              </w:rPr>
            </w:pPr>
          </w:p>
        </w:tc>
        <w:tc>
          <w:tcPr>
            <w:tcW w:w="5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111C">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教师端器材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C5E0">
            <w:pPr>
              <w:jc w:val="center"/>
              <w:rPr>
                <w:rFonts w:ascii="仿宋" w:hAnsi="仿宋" w:eastAsia="仿宋" w:cs="仿宋"/>
                <w:color w:val="000000"/>
                <w:sz w:val="20"/>
                <w:szCs w:val="20"/>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537D">
            <w:pPr>
              <w:jc w:val="center"/>
              <w:rPr>
                <w:rFonts w:ascii="仿宋" w:hAnsi="仿宋" w:eastAsia="仿宋" w:cs="仿宋"/>
                <w:color w:val="000000"/>
                <w:sz w:val="20"/>
                <w:szCs w:val="20"/>
              </w:rPr>
            </w:pPr>
          </w:p>
        </w:tc>
      </w:tr>
      <w:tr w14:paraId="7A7298D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19A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4D07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无线智能电压传感器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DDE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电压传感器无需连接数据采集器，通过蓝牙或USB直连电脑、手机或平板等终端可直接进行数据采集，在终端上实时显示并记录电压的变化，绘制电压-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主体正面有电源按钮、电源和蓝牙指示灯、传感器名称；背面有蓝牙编号；底部有Type-C接口；上端为导线插孔，附件红黑导线可一端接入传感器，另一端接入电路进行测量。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1.用于测量电路、电器两端的电压。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6.可实现校零功能。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1.量程：-30V~30V</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2.分辨率：0.02V</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3.精度：±1%F.S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4.采样速率：蓝牙：1000次/秒；USB：10000次/秒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串联电路中用电器两端的电压与电源两端电压的关系、探究并联电路中各支路用电器两端的电压与电源两端电压的关系、练习使用滑动变阻器、探究电流和电压的关系、探究电流和电阻的关系、伏安法测电阻、伏安法测灯泡电阻、额定功率与实际功率、测量小灯泡的功率、观察电容器的充放电、研究伏安特性曲线（小灯泡，电阻，导体，晶体二极管）、串并联电路中的电压、串并联电路中的电阻、自感、伏安法测金属的电阻率、电磁感应、振荡电路（电压）、电池及电源电动势和内阻的测量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A50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905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18B51D3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BF1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CCC9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无线智能电流传感器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BDA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电流传感器无需连接数据采集器，通过蓝牙或USB直连电脑、手机或平板等终端可直接进行数据采集，在终端上实时显示并记录电流的变化，绘制电流-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主体正面有电源按钮、电源和蓝牙指示灯、传感器名称；背面有蓝牙编号；底部有Type-C接口；上端为导线插孔，附件红黑导线可一端接入传感器，另一端接入电路进行测量。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1.用于测量电路中的电流。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6.可实现校零功能。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1.量程：-1A~1A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2.分辨率：0.5mA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3.精度：±1%F.S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4.采样速率：蓝牙：1000次/秒；USB：10000次/秒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串、并联电路电流的特点、比较灯泡亮度、探究影响导体电阻大小的因素、探究电流和电压的关系、探究电流和电阻的关系、半导体电阻的应用（酒精浓度检测仪）、伏安法测（定值）电阻、伏安法测灯泡电阻、额定功率与实际功率、测量小灯泡的功率、电热跟什么因素有关、研究导体电阻与长度、横截面积及材料的定量关系、金属丝电阻率的测量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864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BF7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2C9D241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07A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0F7E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无线智能磁感应强度传感器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A59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磁感应强度传感器无需连接数据采集器，通过蓝牙或USB直连电脑、手机或平板等终端可直接进行数据采集，在终端上实时显示并记录磁感应强度的变化，并可绘制磁感应强度-时间图像。本传感器也可以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由传感器主体和前端磁场探头连接构成。主体正面有电源按钮、电源和蓝牙指示灯、传感器名称；背面有蓝牙编号；底部有Type-C接口。</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1.用于测量磁场的磁场强度。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6.可测量地磁场、永磁体、通电线圈的磁感强度。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10.支持固件空中升级。                                                                                                               11.支持平台：Windows、Android、iOS/iPadOS、MacOS、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1.量程：-64mT~64mT</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2.分辨率：0.04mT</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3.精度：±3%F.S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4.采样速率：500次/秒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探究磁场的方向、探究通电螺线管外部的磁场分布、电磁铁的磁性等实验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D8F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C56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2F73D5D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492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10B2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无线智能力传感器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E76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力传感器无需连接数据采集器，通过蓝牙或USB直连电脑、手机或平板等终端可直接进行数据采集，在终端上实时显示并记录力的变化，绘制相应变化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本传感器造型方正，在其顶部有用于手拎的两个开孔，一个用于固定于铁杆的异形孔，背部和底部分别设有能用于固定在小车等处的螺丝孔；正面有电源按钮、电源和蓝牙指示灯、蓝牙编号、传感器名称及量程范围；下端为力传感器接口，可拧上钩子（测量拉力）或防撞塑料件（测量推力）。</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1.用于测量拉力或压力。</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6.使用（固定）方式：手（指）拎、固定在连接杆上。</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7.可实现校零功能。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10.支持固件空中升级。                                                                                                                         11.支持平台：Windows、Android、iOS/iPadOS、MacOS、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1.量程：-50N~50N</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2.分辨率：0.03N</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3.精度：±1%F.S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4.采样速率：蓝牙：1000次/秒；USB：5000次/秒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力的作用的是相互、探究重力与质量的关系、测量摩擦力、探究影响滑动摩擦力的因素、大气压的测量、测量浮力的大小、探究浮力的大小跟哪些因素有关、探究浮力的大小跟排开液体所受重力的关系、探究杠杆的平衡条件、研究定滑轮与动滑轮的特点、使用动滑轮是否省功、测量滑轮组的机械效率、探究弹性形变与外力的关系、测量提升物体所做的功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89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410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63F6A3D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9E3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D9B0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无线智能温度传感器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0F0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温度传感器无需连接数据采集器，探头与传感器一体设计，通过蓝牙直连电脑、手机或平板等终端可直接进行数据采集，在终端上实时显示并记录温度的变化，绘制温度-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由传感器主体和前端探头连接构成。主体正面有电源按钮、电源和蓝牙指示灯、传感器名称；背面有蓝牙编号及电池仓，机身外壳与电池仓用密封圈密封。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1.用于测量物体表面、气体、酸碱等液体的温度。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6.使用纽扣电池，电池可更换，一枚电池可正常课堂使用1年以上。</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7.可实现微小的温度变化快速采样。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9.连接方式：蓝牙无线。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10.节能方式：传感器打开电源，无连接或连接无活动，几分钟后自动关闭电源。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11.支持固件空中升级。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12.可切换单位：℃、℉、K。                                                                                              13.支持平台：Windows、Android、iOS/iPadOS、MacOS、 Linux、Harmony OS、统信UOS、麒麟等。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1.量程：-40℃~125℃</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2.分辨率：0.01℃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3.精度：±0.5℃</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5.连续使用时间：≥120小时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6.防水等级：IP67</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不同颜色物体的吸热散热研究实验、不同液体的吸热散热研究、水的降温规律、摩擦做功、水的沸腾实验、沸点与压强关系、焦耳定律、酸碱反应热、铁的吸氧腐蚀、探究非生物因素对鼠妇分布的影响实验、种子萌发产生热量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E93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3AB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10862AD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896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D8F5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无线智能绝对压强传感器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B11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绝对压强传感器无需连接数据采集器，探头与传感器一体设计，通过蓝牙或USB直连电脑、手机或平板等终端可直接进行数据采集，在终端上实时显示并记录绝对压强的变化，绘制绝对压强-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由传感器主体正面有电源按钮、电源和蓝牙指示灯、传感器名称；背面有蓝牙编号；底部有Type-C接口，前端是鲁尔公接头，可连接软管等多种附件接入环境中进行测量。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1.用于测量大气环境下或密闭空间内的气体的压强。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6.可实现校准功能。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1.量程：0~400kPa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2.分辨率：0.1kPa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3.精度：±2%</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4.采样速率：500次/秒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研究液体内部的压强、气体被压缩内能增大（压缩气体做功）、探究气体等温变化的规律（波意耳定律)、分解过氧化氢制氧气的反应中二氧化锰的作用、探究金属与盐酸、硫酸的反应、探究酸碱盐之间反应条件、影响化学反应速率的因素、模拟肺部呼吸、比较过氧化氢在不同条件下的分解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53B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40D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10E4A87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0D5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C24D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无线智能位移传感器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77C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位移传感器利用发射和接收到被反射回来的超声波脉冲来测量与物体的距离，进一步可以计算出物体运动的速度和加速度，无需连接数据采集器，通过蓝牙或USB直连电脑、手机或平板等终端可直接进行数据采集，在终端上实时显示并记录物体的运动变化，绘制相应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由传感器主体正面有电源按钮、电源和蓝牙指示灯、传感器名称；背面有蓝牙编号；底部有Type-C接口，前端是超声波收发装置。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1.用于测量物体运动的位移。</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1.量程：20cm~200cm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2.分辨率：0.1cm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3.精度：±1cm或读数的±2%</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4.采样速率：50次/秒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匀变速直线运动位移与时间的关系、胡克定律实验等实验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B21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F2E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40A8773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905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E144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无线智能光电门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4C5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无线智能光电门传感器无需连接数据采集器，通过蓝牙直连电脑、手机或平板等终端可直接进行数据采集，在终端上实时显示并记录物体运动时间，计算出物体的运动速度、加速度等。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有A、B两个光电门，整体为门式结构，A光电门正面有A门标识、电源和蓝牙指示灯，两侧有电源开关、USB接口、AB光电门连接口；B光电门正面有B门标识、电源和工作状态指示灯，侧面有AB门连接口。两个光电门顶部，两侧和门内侧设有六个用于固定的螺丝孔。</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1.用于测量物体通过光电门的挡光时间以及速度、加速度、动量、动能等物理量。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2.传感器内置蓝牙无线模块，使用蓝牙5.0技术，低功耗运行和待机。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5.光电门机身上具有多个开孔，方便固定于测量轨道上，也可在光电门内安装滑轮。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                                                 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1.量程：0~∞s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2.分辨率：0.01ms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3.精度：±0.01ms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5.连续使用时间：≥100小时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比较物体运动快慢、测量平均速度、阻力对运动的影响、探究物体的动能跟哪些因素有关、观察摆球动能和重力势能的转化、借助传感器与计算机测速度、探究小车速度与时间变化关系、探究加速度与力和质量的关系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56B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A7C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35E27A7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6F1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02F6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无线智能声音传感器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11B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声音传感器内置声强、声波两种传感器模块，无需连接数据采集器，通过蓝牙或USB直连电脑、手机或平板等终端可直接进行数据采集，在终端上实时显示并记录声强、声波的变化，绘制相应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由传感器主体和麦克风探头构成。主体正面有电源按钮、电源和蓝牙指示灯、传感器名称；背面有蓝牙编号；底部有Type-C接口；主体前端设有标准3.5mm音频接口，可与麦克风探头连接进行测量。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1.使用驻极体话筒采集声音信号，用于测量声音的强度或声音的波形。</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2.传感器内置蓝牙无线模块，使用蓝牙5.0技术，低力和加速度运行和待机。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3.传感器与数据采集终端（电脑、平板或手机）直接通过蓝牙无线连接，便于运动情况下的数据测量及各种实验环境中的数据采集，无需数据采集器；传感器两种测量二合一，可测量声强、声波。</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声强：55dB~110dB；声波：最大频率10000Hz、最大声强110dB（麦克风频率范围100Hz~15000Hz）</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声强：0.1dB</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声强：±3dB</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4.采样速率：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声波：有线32kHz、无线8kHz</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声强：1000次/秒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声音的传播形式、声音波形（音调与频率）、探究影响声音响度的因素、响度与振幅、音色与波形等实验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2E5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36A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2B8B08D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675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48C7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无线智能表面温度传感器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CAB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表面温度传感器无需连接数据采集器，通过蓝牙或USB直连电脑、手机或平板等终端可直接进行数据采集，在终端上实时显示并记录温度的变化，绘制温度-时间图像。表面温度传感器探头的敏感元件为密封在金属空腔内的NTC热敏电阻，测量时探头直接与待测物体接触，拥有非常快的响应速度。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由传感器主体和表面温度传感器探头组成。主体正面有电源按钮、电源和蓝牙指示灯、传感器名称；背面有蓝牙编号；底部有Type-C接口。</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1.用于测量物体的表面温度。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1.量程:-25℃~125℃</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3.精度:±0.5℃</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红外线的热效应、压缩气体做功、查理定律等实验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3D5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EED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2CB9912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5E2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F5C8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无线智能光强传感器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012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光强传感器无需连接数据采集器，探头与传感器一体设计，通过蓝牙或USB直连电脑、手机或平板等终端可直接进行数据采集，在终端上实时显示并记录光强的变化，绘制光强-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由传感器主体正面有电源按钮、电源和蓝牙指示灯、传感器名称、进光孔；背面有蓝牙编号；底部有Type-C接口。</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1.用于测量被测环境的光强值。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2.传感器内置蓝牙无线模块，使用蓝牙5.0技术，低功耗运行和待机。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1.量程：0~128kLux</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2.分辨率：1Lux</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3.精度：±4%F.S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5.连续使用时间：≥20小时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光强的测量、探究光照强度与距离的关系、外界条件对植物光合作用的影响因素实验等</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45F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B15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2338F5C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A3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3DE8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无线智能pH传感器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E33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pH传感器无需连接数据采集器，通过蓝牙直连电脑、手机或平板等终端可直接进行数据采集，在终端上实时显示并记录pH值的变化，绘制pH-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由传感器主体和pH探头构成。主体正面有电源按钮、电源和蓝牙指示灯、传感器名称；背面有蓝牙编号及电池仓，机身外壳与电池仓用密封圈密封。主体前端为BNC接口，可与pH探头连接用于测量溶液pH值。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1.用于测量溶液的pH值。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3.传感器与数据采集终端（电脑、平板或手机）直接通过蓝牙无线连接，便于运动情况下的数据测量及各种实验环境中的数据采集，无需数据采集器。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5.传感器具有唯一蓝牙编号，便于数据终端选择性连接。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6.使用纽扣电池，电池可更换，一枚电池可正常课堂使用1年以上。</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7.可实现标定功能。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8.连接方式：蓝牙无线。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9.节能方式：传感器打开电源，但无连接或连接无活动，几分钟后自动关闭电源。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10.支持固件空中升级。                                                                                                       11.支持平台：Windows、Android、iOS/iPadOS、MacOS、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1.量程：0~14</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2.分辨率：0.01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3.采样速率：100次/秒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4.连续使用时间：≥120小时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5.防水等级：IP67</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二氧化碳的性质、二氧化碳的溶解性实验、比较不同盐溶液的酸碱性、观察氢氧化钠与二氧化碳的反应、酸碱中和反应、探究洗发剂和护发剂的酸碱性、钠与水的反应、测量盐溶液的酸碱性、强酸和强碱的中和滴定、酸雨对生物的影响、影响酶活性的条件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07D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763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408BD50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CF2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EF71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无线智能电导率传感器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58C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电导率传感器内置电导率、温度两种传感器模块，无需连接数据采集器，通过蓝牙直连电脑、手机或平板等终端可直接进行数据采集，在终端上实时显示并记录电导率/温度的变化，绘制电导率/温度-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由传感器主体和前端电导率探头连接构成。主体正面有电源按钮、电源和蓝牙指示灯、传感器名称；背面有蓝牙编号及电池仓，机身外壳与电池仓用密封圈密封。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1.用于测量溶液的电导率值和温度值。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3.传感器与数据采集终端（电脑、平板或手机）直接通过蓝牙无线连接，便于运动情况下的数据测量及各种实验环境中的数据采集，无需数据采集器；传感器两种测量二合一，可测量电导率、温度。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4.可脱机进行数据采集。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5.传感器具有唯一蓝牙编号，便于数据终端选择性连接。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6.使用纽扣电池，电池可更换，一枚电池可正常课堂使用2年。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7.测量数据可用于测定总溶解固体。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8.传感器会自动进行温度补偿。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9.可实现标定功能。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10.连接方式：蓝牙无线。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11.节能方式：传感器打开电源，但无连接或连接无活动，几分钟后自动关闭电源。                                             12.支持平台：Windows、Android、iOS/iPadOS、MacOS、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电导率：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1.量程：0~20000μS/cm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2.分辨率：8μS/cm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3.精度：±3%F.S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温度：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1.量程：0~60℃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2.分辨率：0.1℃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3.精度：0.5℃</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5.连续使用时间：≥120小时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6.防水等级：IP67</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观察氢氧化钙与二氧化碳的反应、测量溶液的电导率、试验物质的导电性、渗透研究等实验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37B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631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5D263AC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A55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F64C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无线智能相对湿度传感器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FD3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相对湿度传感器无需连接数据采集器，探头与传感器一体设计，通过蓝牙或USB直连电脑、手机或平板等终端可直接进行数据采集，在终端上实时显示并记录相对湿度的变化，绘制相对湿度-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由传感器主体和前端探头连接构成。主体正面有电源按钮、电源和蓝牙指示灯、传感器名称；背面有蓝牙编号；底部有Type-C接口。</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1.用于测量空气的相对湿度。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1.量程：0~100%</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3.精度:±4%  (0~80%)</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5.连续使用时间:≥20小时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蜡烛及其燃烧的探究、探究人体吸入的空气与呼出的气体的不同、设计并制作生态缸，观察其稳定性等实验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93B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8C5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4E7CD9F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16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C9FF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无线智能毫电流传感器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CA6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毫电流传感器无需连接数据采集器，通过蓝牙直连电脑、手机或平板等终端可直接进行数据采集，在终端上实时显示并记录电流的变化，绘制电流-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主体正面有电源按钮、电源和蓝牙指示灯、传感器名称；背面有蓝牙编号；底部有Type-C接口；上端为导线插孔，附件红黑导线可一端接入传感器，另一端接入电路进行测量。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1.用于测量电路中毫安数量级的电流。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6.可实现校零功能。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1.量程：-20mA~20mA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2.分辨率：0.02mA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3.精度：±5%F.S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4.采样速率：蓝牙：1000次/秒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水果电池、用传感器观察电容器的充放电、LC振荡电路等实验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10D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C44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5DFD55D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517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C0FC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无线智能微电流传感器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1CB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微电流传感器无需连接数据采集器，通过蓝牙直连电脑、手机或平板等终端可直接进行数据采集，在终端上实时显示并记录电流的变化，绘制电流-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主体正面有电源按钮、电源和蓝牙指示灯、传感器名称；背面有蓝牙编号；底部有Type-C接口；上端为导线插孔，附件红黑导线可一端接入传感器，另一端接入电路进行测量。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1.用于测量电路中的微电流。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6.可实现校零功能。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1.量程：-10μA~10μA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2.分辨率：0.01μA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3.精度：±5%F.S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4.采样速率：蓝牙：1000次/秒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探究导体在磁场中运动时产生感应电流的条件、地磁场发电等实验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179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DA9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780E7F7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D5F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F4C6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无线智能快速温度传感器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A8D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快速温度传感器无需连接数据采集器，通过蓝牙直连电脑、手机或平板等终端可直接进行数据采集，在终端上实时显示并记录温度的变化，绘制温度-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由传感器主体和快速温度传感器探头组成。主体正面有电源按钮、电源和蓝牙指示灯、传感器名称；背面有蓝牙编号；底部有Type-C接口。</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1.用于快速测量物体表面的温度、无腐蚀性气体、液体的温度。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1.量程:-25℃~125℃</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3.精度:±0.5℃</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压缩气体做功、查理定律等实验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FEE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109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67E9719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20D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EF1B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无线智能高温传感器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CCD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高温传感器无需连接数据采集器，通过蓝牙或USB直连电脑、手机或平板等终端可直接进行数据采集，在终端上实时显示并记录温度的变化，绘制温度-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由传感器主体和高温传感器探头组成。主体正面有电源按钮、电源和蓝牙指示灯、传感器名称、蓝牙编号；底部有Type-C接口。高温传感器探头采用耐高温材料组成，可测量酒精灯火焰等高温环境温度。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1.用于测量物体表面、气体、酸碱等液体的温度，也可用于超低温及高温的测量。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1.量程：-200℃~1200℃</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3.精度：±3%F.S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酒精灯的火焰各层温度比较等实验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EC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E72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31459EE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FCD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7459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无线智能溶氧气氧传感器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FCC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溶氧气氧传感器内置溶解氧、氧气两种传感器，无需连接数据采集器，通过蓝牙或USB直连电脑、手机或平板等终端可直接进行数据采集，在终端上实时显示并记录溶解氧、氧气的变化，并绘制相应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由传感器主体和溶解氧气氧探头构成。主体正面有电源按钮、电源和蓝牙指示灯、传感器名称；背面有蓝牙编号；底部有Type-C接口；主体前端为BNC接口，可与溶解氧气氧探头连接用于测量溶解氧/氧气含量。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1.用于测量气体和液体中的氧气含量。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2.传感器内置蓝牙无线模块，使用蓝牙5.0技术，低功耗运行和待机。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3.传感器与数据采集终端（电脑、平板或手机）直接通过蓝牙无线连接，便于运动情况下的数据测量及各种实验环境中的数据采集，无需数据采集器；传感器多种测量多合一，可测量溶解氧、气氧。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6.可实现溶解氧标定，气氧校准功能。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溶解氧：0~20 mg/L；氧气：0~100%</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溶解氧：0.01 mg/L；氧气：0.1%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溶解氧：±0.5mg/L（10~35℃）；氧气：±2%F.S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蜡烛及其燃烧的探究、探究人体吸入的空气与呼出的气体的不同、观察氧气中的燃烧现象、探究灭火的原理、过氧化钠与水反应及产物探究、种子萌发的环境条件（模拟实验）、光合作用的影响、设计并制作生态缸，观察其稳定性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64D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EF3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3558716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4E7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644D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无线智能二氧化碳传感器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5FD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二氧化碳传感器无需连接数据采集器，通过蓝牙或USB直连电脑、手机或平板等终端可直接进行数据采集，在终端上实时显示并记录二氧化碳的变化，并绘制相应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由传感器主体和前端探头连接构成。主体正面有电源按钮、电源和蓝牙指示灯、传感器名称；背面有蓝牙编号；底部有Type-C接口。探头外壳为黑色塑料，通过数个栅栏与外界相通，栅栏内有过滤层。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1.用于测量气体中二氧化碳的含量。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1.量程：0~100000 ppm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2.分辨率：1ppm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3.精度：±100ppm(0~1000ppm)；±(100ppm＋5%读数值)(1000~10000ppm)；±10%(10000~50000ppm)；±15%(50000~100000ppm)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5.连续使用时间:≥10小时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蜡烛及其燃烧的探究、探究人体吸入的空气与呼出的气体的不同、碳还原氧化物的反应、实验室制取二氧化碳、碳酸钠与盐酸的反应、探究酸碱盐之间反应条件、比较碳酸钠与碳酸氢钠的热稳定性、种子萌发的环境条件、二氧化碳是光合作用必需的原料吗、植物的呼吸作用产生二氧化碳、设计并制作生态缸，观察其稳定性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2E1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6A2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7106338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8DD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92A1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无线智能色度计&amp;浊度计</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B6E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色度计&amp;浊度计内置色度计、浊度计2种传感器模块，无需连接数据采集器，通过蓝牙或USB直连电脑、手机或平板等终端可直接进行数据采集，在终端上实时显示并记录数据的变化，绘制相应图像。使用电源按钮或软件设置切换色度、浊度功能，并且可切换红、橙、黄、绿、蓝、紫6种入射光。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传感器主体正面有电源按钮、电源和蓝牙指示灯、传感器名称、蓝牙编号、0.96英寸OLED显示屏；主体前部为开合舱体，可放入比色皿进行实验。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1.用于测量溶液对于不同颜色的入射光的吸光度、透光率，以及溶液的浊度。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2.传感器内置蓝牙无线模块，使用蓝牙5.0技术，低功耗运行和待机。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3.传感器与数据采集终端（电脑、平板或手机）直接通过蓝牙无线连接，便于运动情况下的数据测量及各种实验环境中的数据采集，无需数据采集器；多种传感器合一，可测量：透光率、吸光度、浊度等。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★5.色度/浊度切换简单，通过电源按钮或软件设置切换，提供多种波长选择。须提供由第三方检测机构出具的有效检测报告复印件（报告需在网站可查，查询网址：http://cx.cnca.cn/CertECloud/qts/qts/qtsPage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10.支持固件空中升级。                                                                                               11.支持平台：Windows、Android、iOS/iPadOS、MacOS、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红光（645nm）：透光率0~100%、吸光度0~3A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橙光（611nm）：透光率0~100%、吸光度0~3A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黄光（570nm）：透光率0~100%、吸光度0~3A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绿光（520nm）：透光率0~100%、吸光度0~3A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蓝光（470nm）：透光率0~100%、吸光度0~3A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紫光（430nm）：透光率0~100%、吸光度0~3A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浊度：0~400 NTU</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2.精度：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红光（645nm）：透光率±2%F.S、吸光度±0.03A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橙光（611nm）：透光率±2%F.S、吸光度±0.03A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黄光（570nm）：透光率±2%F.S、吸光度±0.03A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绿光（520nm）：透光率±2%F.S、吸光度±0.03A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蓝光（470nm）：透光率±2%F.S、吸光度±0.03A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紫光（430nm）：透光率±2%F.S、吸光度±0.03A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浊度：±5% NTU</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3.分辨率：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红光（645nm）：透光率0.1%、吸光度0.01A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橙光（611nm）：透光率0.1%、吸光度0.01A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黄光（570nm）：透光率0.1%、吸光度0.01A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绿光（520nm）：透光率0.1%、吸光度0.01A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蓝光（470nm）：透光率0.1%、吸光度0.01A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紫光（430nm）：透光率0.1%、吸光度0.01A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浊度：0.1 NTU</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5.连续使用时间:≥50 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水质检测、用肥皂水区分软水和硬水、观察氢氧化钙与二氧化碳的反应、探究反应条件对氯化铁水解平衡的影响、绿叶中色素的提取和分离等实验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A48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A6B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1195F78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12B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4E21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无线智能心率传感器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BDF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心率传感器无需连接数据采集器，通过蓝牙或USB直连电脑、手机或平板等终端可直接进行数据采集，在终端上实时显示并记录心率数值，并绘制相应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传感器正面有电源按钮、电源和蓝牙指示灯、传感器名称；背面有蓝牙编号；底部有Type-C接口；前端设有标准3.5mm音频接口，用于连接心率耳夹，数据以每分钟心跳次数 (BPM) 显示。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1.用于测量人体的心率值。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1.量程：0~200BPM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2.分辨率：1BPM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3.精度：±2BPM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测量心率、运动对心率的影响等实验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A86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F5C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223EF3D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184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92D2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无线智能呼吸率传感器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5C2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呼吸率传感器无需连接数据采集器，通过蓝牙或USB直连电脑、手机或平板等终端可直接进行数据采集，终端实时显示呼出气体流速，并可以通过积分自动计算出呼出气体体积（肺活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传感器正面有电源按钮、电源和蓝牙指示灯、传感器名称、蓝牙编号；底部有Type-C接口；前端透明部分的中央有一个筛网，被吹入的气体在筛网前后会形成压强差，传感器可以将所得的压强数据转化为气流的速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1.用于测量呼出肺部的空气的量。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4.可脱机进行数据采集，脱机采集数据时间可达30小时（电量充足）。</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6.可实现校准功能。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1.量程：-10L/s~10L/s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2.分辨率：0.01L/s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3.精度：±3%</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测量和计算肺活量等实验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BDA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A33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356C15A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93C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487A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无线智能高温传感器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63F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高温传感器无需连接数据采集器，通过蓝牙或USB直连电脑、手机或平板等终端可直接进行数据采集，在终端上实时显示并记录温度的变化，绘制温度-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由传感器主体和高温传感器探头组成。主体正面有电源按钮、电源和蓝牙指示灯、传感器名称、蓝牙编号；底部有Type-C接口。高温传感器探头采用耐高温材料组成，可测量酒精灯火焰等高温环境温度。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1.用于测量物体表面、气体、酸碱等液体的温度，也可用于超低温及高温的测量。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1.量程：-200℃~1200℃</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3.精度：±3%F.S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酒精灯的火焰各层温度比较等实验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DCF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83C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08A1B21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D4D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3B4C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无线智能气象传感器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DF5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气象传感器内置风速、风向、环境温度、相对湿度、绝对湿度、露点、风寒指数、气压（压强）、亮度（光强）、紫外线指数、光合有效辐射、辐照、海拔、经纬度、速度、对地真北17种传感器模块，无需连接数据采集器，通过蓝牙或USB直连电脑、手机或平板等终端可直接进行数据采集，在终端上实时显示并记录数据的变化，绘制相应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由传感器主体正面有电源按钮、上下选择功能键、电源和蓝牙指示灯、传感器名称、1.44英寸显示屏；背面有蓝牙编号；底部有Type-C接口；主体前端设有风扇叶片；顶部设有紫外线探测窗口。</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1.用于测量风速、风向、气压、湿度、环境温度、光强、紫外线、纬度、经度、高度和速度等物理量，并可计算得出露点、风向、风寒指数、绝对湿度和酷热指数等量。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2.传感器内置蓝牙无线模块，使用蓝牙5.0技术，低功耗运行和待机。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多种传感器合一，可测量风速、风向、环境温度、相对湿度、绝对湿度、露点、风寒指数、气压（压强）、亮度（光强）、紫外线指数、光合有效辐射、辐照、海拔、经纬度、速度、对地真北等。须提供由第三方检测机构出具的有效检测报告复印件（报告需在网站可查，查询网址：http://cx.cnca.cn/CertECloud/qts/qts/qtsPage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风速：2km/h~50km/h；风向：0°~360°，定向测量；环境温度：-40℃~125℃；相对湿度：0~100%；绝对湿度：0~600g/m³；露点：-10℃~40℃；风寒指数：-70℃~10℃；气压：45kPa~110kPa；亮度：0~128000 Lux；紫外线指数：1~12；光合有效辐射：0~2400μmol/㎡/s；辐照：0~510W/㎡；海拔高度：-90m~180m；经度：-180°~180°；纬度：-90°~90°；速度：0~800km/h；对地真北：0°~360°</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风速：0.1 km/h；风向：1°；环境温度：0.01℃；相对湿度：0.1%；绝对湿度：0.01g/m³；露点：0.01℃；风寒指数：0.01℃；气压：0.01kPa；亮度：1Lux；紫外线指数：0.01；光合有效辐射：0.01μmol/㎡/s；辐照：0.1W/㎡；海拔高度：0.01m；经度：1″；纬度：1″；速度：0.1km/h；对地正北：0.01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3.采样速率：最大5次/秒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4.连续使用时间：≥200 小时(熄屏关GPS)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气象分析-数字气象站等实验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173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5AD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3076A76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AF9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0FCA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物理无线智能传感器配件盒</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525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包含：磁吸多管夹（1个）、无线智能产品软胶固定件（1个）、miniUSB线（2根）。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9A6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5CC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7DBC0E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A6F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2F79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无线智能传感器收纳箱</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D3E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手提式箱式设计，可翻盖，采用ABS材质，外形尺寸（长宽高）：435mm*325mm*170mm（两箱叠加高度H=330mm），最大承重：30-35公斤；箱体底部设有底部凸起，与上部设计凹槽相互咬合，通过独特的纽扣式锁止机构，实现箱子与箱子之前的锁合，可多个垒叠放置，便于携带和搬运，最多可垒5箱；</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00D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7C8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03463A7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D4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A83A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小车导轨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66D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微型L型支架1个、多功能导轨1个（1.2m）、动力学小车1个、L型支架2个、宽L型支架、L型滑轮组、砝码5个（2g）、钩码1个（10g）、钩码1个（20g）、砝码3个（50g）、小龙虾扣2个、细绳1卷、U型挡光片1个、小桶1个、缓冲器组件1个、U型滑轮组件1个、紧固件1宗、梅花螺丝2个（M6*15mm）、六角螺丝1个（M6*35mm）、六角螺丝5个（M6*20mm）、手紧螺丝1个（M4*16mm）、手紧螺丝2个（M6*12mm）、螺杆螺母1套（M4*45mm）、蝶形螺母6个（M6），备用小车轮2个、燕尾螺丝1个（M5*15mm）、手紧螺丝1个（M6*8mm）、蝶形螺丝1个（M4*35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1.用于动力学为核心的包含位移、时间、速度、加速度等物理量等实验。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小车导轨是一套能完成初高中动力学实验的实验平台，实验器功能多样，配件齐全，轨道预留多种传感器固定孔及光电门固定支架，可搭配位移传感器、分体式位移传感器、光电门传感器等不同组合进行实验，测得小车各类运动数据，并在Windows、Android、iOS/iPadOS、MacOS、 Linux、Harmony OS、统信UOS、麒麟等系统终端上实时呈现数据，支持各类动力学DIY设计实验。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3.专用动力学小车，车轮刀片式设计，与轨道摩擦小，具有弹簧减震结构，有效保证小车在同一平面直线运动。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4.动力学小车预留力钩柱、紧固件螺口、挡光片的专用手拧螺丝接口，可快速安装对应的拉力组件、砝码、挡光片等配件。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5.滑轮及车轮轮轴摩擦力极小，能有效减小轮轴摩擦对实验的影响。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6.导轨采用铝型材，坚固耐用，导轨两侧标有清晰的刻度，可直接读取小车运动距离，导轨面具有小车运动槽，保证小车不脱轨。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匀变速直线运动的位移与时间的关系、借助传感器用计算机测速度、匀速直线运动的位移、匀变速直线运动的速度与时间的关系、探究加速度与拉力的关系、 探究加速度与质量的关系、用两个光电门测加速度等实验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EA6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B0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5909ED7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A9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7D2F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牛顿第三定律实验器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203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底板部件、磁铁部件（N极2个、S极1个）、滑块部件、连接杆部件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1.用于牛顿第三定律实验。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2.底板部件与滑块部件可保证两个作用力在同一直线上受力，配合两个力传感器，测得两个力的具体数值和变化趋势，并在Windows、Android、iOS/iPadOS、MacOS、 Linux、Harmony OS、统信UOS、麒麟等系统终端上实时呈现数据，实验规律明显。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3.通过更换力传感器间的连接装置磁铁部件或连接杆部件，可探究非接触性力或接触性力下的的相互作用和牛顿第三定律。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4.专用软件可描绘出力的变化曲线，并进行“映像”使两个力分布与轴线两侧，利于学生理解力的相互作用原理。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5.通过移动终端扫描仪器上的二维码可浏览该仪器配套的实验指导和使用说明。</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力的作用是相互的、牛顿第三定律等实验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70B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CA4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3CF9634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FDA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9F19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胡克定律实验器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FDE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实验器主体（含面板、铁架台、传感器固定座）、弹簧组件（内置拉力限量和弹力系数不同的5个弹簧）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1.用于探究弹簧的伸长特性、弹簧伸长量与弹力的关系等实验。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2.配合力传感器和位移传感器使用可得到准确的数据，并在Windows、Android、iOS/iPadOS、MacOS、 Linux、Harmony OS、统信UOS、麒麟等系统终端上实时呈现数据，实验结果明显。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3.面板标有刻度，学生使用过程中可根据刻度计算，加深学生对实验的理解。</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4.实验器具有传感器固定座，与传感器适配性高，搭建简单，减轻器材准备负担，满足演示及分组实验，让课堂教学高效。</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5.提供5个弹力系数不同的弹簧，可探究弹性系数对弹力的影响。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6.通过移动终端扫描仪器上的二维码可浏览该仪器配套的实验指导和使用说明。</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弹簧的伸长特性、研究弹簧伸长量与弹力的关系等实验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997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942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4715B75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5C5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58B8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压缩气体做功实验器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8B9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支架、注射器（100mL）、橡胶管、快速温度传感器探头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1.用于压缩气体做功实验，探究一定质量的气体被压缩时的温度变化。</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2.缓慢推动注射器活塞，配合快速温度传感器测量注射器内部空气温度变化，在Windows、Android、iOS/iPadOS、MacOS、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3.通过支架固定注射器，避免人手与注射器直接接触，有效减小热传递导致的实验误差。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4.快速温度传感器探头直接测量注射器内部温度，测量数值科学准确。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一定质量的气体被压缩时的温度变化等实验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8DE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69D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4F0F0B5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8AF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8BE1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水凝固与冰熔化实验器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DD4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制冰器（含散热器）、试管（φ12mm、75mm）、水槽、电源适配器、注射器、硅胶管、胶头滴管、玻璃棒、快速温度传感器探头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1.用于探究水的瞬间结冰与冰熔化的规律及图线。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2.制冰器将试管内水的热量传递至水槽中的冰水混合物，实现持续降温，配合传感器得到水凝固与冰熔化的温度变化曲线，在Windows、Android、iOS/iPadOS、MacOS、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3.金属围挡设有观察口，保证制冰效率又可完整观察水凝固冰熔化的全过程。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4.通过注射器及胶管抽动水槽中的水使其热量散布更均匀。</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水凝固与冰熔化的规律等实验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659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8C4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5ACF18D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2CC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1A74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液体吸热研究实验器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4BB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远红外加热器（220V 80W）、三脚架、试管架、温度传感器支撑柱部件*2、温度传感器固定环*2、试管*2</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1.用于探究不同液体的吸热和散热性能。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2.利用远红外加热不同液体，配合温度传感器测得液体温度的变化情况，在Windows、Android、iOS/iPadOS、MacOS、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3.试管架可同时装入2支试管，控制试管内液体吸热或散热同时进行，保证实验环境相同。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4.支撑柱部件可调节传感器探头位置，控制测温区域相同；固定环可保证温度传感器探头不触碰试管壁。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5.吸热实验结束，将试管架直接取出放在三脚架上可无缝衔接液体散热实验，配合实验专用软件可使吸热和散热实验数据呈现在同一图像上。</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不同液体的吸热和散热能力、比较不同物质的吸热情况、温室效应等实验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B5F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E30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66D3B5B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0F5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5FB8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固体熔化时温度的变化规律实验器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704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试管（18mm×150mm，带刻度）、温度计、烧瓶夹*1、蝶形螺丝*4、转接头*2、烧杯（250mL）、大铁圈烧杯托架、石棉网、酒精灯、海波2包、橡胶塞</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1.用于固体的熔化特点，探究固体熔化前后以及熔化时的温度变化特点。</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2.传感器试管支架便于固定传感器，配合快速温度传感器测得温度的变化情况，并在Windows、安卓、iOS系统终端上实时呈现数据。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3.提供海波，与传统实验用材一致，方便教师准备实验。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固体的熔化特点等实验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CA2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3D2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508342C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A6E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70AB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电阻定律实验器Ⅱ</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8B9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亚克力底座、镍铬丝（0.2mm）、镍铬丝（0.4mm）、镍铬丝（0.6mm）、锰铜丝（0.6mm）、铁铬丝（0.6mm）、夹式测试钩1对（带4mm插孔钩）</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1.用于电阻定律实验，探究电阻的材料、长度、横截面积对导体电阻大小的影响。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2.电阻定律实验器配合电源、电流传感器，通过传感器测得的电流大小来比较接入的金属丝电阻大小，在Windows、Android、iOS/iPadOS、MacOS、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3.夹式测试钩可自由选择接入金属丝的长度，探究导体长度对电阻的影响。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4.提供三种材料相同，直径不同的金属丝，便于探究导体横截面积对电阻的影响。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5.提供三条直径相同的材料不同的镍铬丝、锰铜丝、铁铬丝，探究导体材料对电阻的影响。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6.底座标有刻度及金属丝的名称和直径，并在每条金属丝下方标有长度标记，可直接读出长度数值。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7.通过移动终端扫描仪器上的二维码可浏览该仪器配套的实验指导和使用说明。</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探究电阻的影响因素等实验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10F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11B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11197DF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563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2C1E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查理定律实验器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410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探头支架、试管、盖子、快速温度探头、宝塔接头、烧杯（150mL）</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1.用于探究一定质量的气体在体积不变的情况下，压强与温度的关系。</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实验器营造等体积实验环境，具有良好的密封性，通过试管内的快速温度探头连接快速温度传感器、宝塔接头连接绝对压强传感器，测得一定质量的气体在体积不变时压强与温度的变化关系，并在Windows、Android、iOS/iPadOS、MacOS、 Linux、Harmony OS、统信UOS、麒麟等系统终端上实时呈现数据。减轻准备器材的负担，满足演示及分组实验，让课堂教学高效。</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3.探头支架底座平稳，采用夹子设计，角度可调，可轻松取下或固定试管。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4.配套专用实验软件，可描绘压强与温度的变化曲线，得出压强与温度成正比关系的实验结论。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查理定律等实验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B90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8E6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1A2D24E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82E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B560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水的沸腾实验器（初中）</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14C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铁架台、不锈钢酒精灯、大铁圈、石棉网、烧杯（250mL）、转接头、温度传感器固定杆、手紧螺丝、纸盖</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1.用于物理“汽化”实验，探究水沸腾时的现象以及热水持续沸腾的条件。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温度传感器固定杆具备三个不同位置的安装孔，可根据实验需要调节探头不同位置，支持同时接入多个温度传感器并可控制传感器探头等高等距，测量水温及其变化过程，也可探究同一杯水不同位置的温度变化规律，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3.酒精灯为不锈钢材质，高强度高硬度，经久耐用，灯芯与灯体紧密结合，加注口采用螺口设计，有效防止酒精倾倒造成酒精外流，安全性高。</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4.配备纸盖，可有效保温并防止冷凝水回流对实验造成影响。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探究水沸腾前后的温度变化、气泡上升的变化规律、热水持续沸腾的条件等实验。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D82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A6D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5912B22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560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7992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沸点与压强关系实验器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3C0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气路组件、螺口锥形烧瓶（250mL）、铁圈（φ100mm）、石棉网、烧瓶夹、烧瓶夹固定块（转接头）、软管固定组件、不锈钢酒精灯</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1.用于探究沸点与压强之间的关系。</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2.实验器可配合绝对压强传感器和温度传感器，同时测得水在某个压强下沸腾时温度的大小，并在Windows、Android、iOS/iPadOS、MacOS、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3.气路组件配有泄压阀（泄压阀安全值150±10kPa），压强过高时会自动泄压，实验安全。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4.软管固定组件可保证气路通畅不缠绕，实验环境整洁，加热安全。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5.酒精灯为不锈钢材质，高强度高硬度，经久耐用，灯芯与灯体紧密结合，加注口采用螺口设计，有效防止酒精倾倒造成酒精外流，安全性高。</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沸点与压强的关系等实验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503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EA8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3B58239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783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B20F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焦耳定律实验器（初中）</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D35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面板组件（3Ω电阻丝*2、1.5Ω电阻丝*1、3Ω金属膜电阻*1）、底座组件、杯体组件、传感器固定组件、导线*8</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1.用于探究电流热效应与电流、电阻的关系。</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2.电阻丝对应面板位置有传感器插入孔，与传感器适配性高，配合温度传感器，能定量的反映出电流热效应与电流、导体电阻和通电时间的关系，1分钟内即有明显数据变化，并在Windows、Android、iOS/iPadOS、MacOS、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3.双层保温杯体设计，有效防止热量散失，四周透明化设计，可保证温度传感器探头插入的深度相同。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4.采用不同规格电阻丝，并包含插线孔，方便进行开放式的电路串并联设计，鼓励学生动手搭建。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5.底座具有垫脚，稳定防滑。</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焦耳定律等实验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142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FA7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004F242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6CC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0CA8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地磁场发电机</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947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底座、矩形线圈、导电滑环、轴承、托架轴、压环、支承盘</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1.用于磁生电现象认知、动生电动势的学习，可探究线圈转动切割地磁场，转动速度、方向与电流大小、方向的关系。</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2.实验器设有导线插孔，配合微电流传感器可探究线圈转动切割磁场时，转动速度、方向与电流大小、方向的关系，在Windows、Android、iOS/iPadOS、MacOS、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3.器材一体化设计，实验环境搭建简单，易操作。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4.原装进口轴承，转动流畅，实验数据曲线平滑。</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5.底座具有垫脚，稳定防滑。</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6.通过移动终端扫描仪器上的二维码可浏览该仪器配套的实验指导和使用说明。</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7.配套专用实验软件，预设模板，以曲线形式自动记录数据变化情况，实验结果直观明显。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观察磁生电现象、探究动生电动势等实验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FE6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B6A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C28771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649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B3EE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初中物理光学实验包</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740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F光源、遮光筒、电源适配器、雾化器、磁吸式凹凸透明块、激光笔、漫反射镜片、反光镜片、半月形透明块、电池、插头、三线平行激光器、数据线、激光笔固定装置、刻度板、L型挂钩、水箱、带小孔膜片、底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1.用于探究光的直线传播、光的反射、光的折射、凸透镜成像的规律及小孔成像等实验。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2.配置三线平行激光器可发射三组平行光，穿过水箱主体可观察光的直线传播，穿过内部透镜可观察光的折射及凸透镜成像。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3.雾化器产生水雾可使穿过的光路清晰可见，方便观察。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4.方形、圆形、三角形多种规格的小孔膜片配合F光源，可探究小孔成像特点。</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5.平台化设计，组件丰富，可搭建完成多种光学实验，通过刻度板可观察光的入射出射角，探究光的反射实验。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光的直线传播、光的反射、光的折射、凸透镜成像的规律及小孔成像等实验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611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1EC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3844F5C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CDA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2DD1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液体内部压强实验器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EC4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液体内部压强组件（圆形压强探头、乳胶管、T型宝塔三通接头）、水槽组件、刻度标、U型管、乳胶管夹、传感器接头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1.用于探究影响液体内部压强的因素。</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2.水槽组件上贴有刻度标识，配合绝对压强传感器可得到不同水深对应的具体压强数值，并在Windows、Android、iOS/iPadOS、MacOS、 Linux、Harmony OS、统信UOS、麒麟等系统终端上实时呈现数据，实验规律明显，验证液体压强公式。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3.圆形压强探头可0～360°旋转，探究液体内部同一深度各个方向压强的规律。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4.水槽组件上带有U型管，可通过U型管中液面的变化来探究液体内部压强与深度的关系，贴合传统实验。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液体内部压强等实验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1EF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25E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079DC90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A14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432A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流体压强实验器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F3D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电机管组件（含风机、三节通风管（粗、中、细不同管径））、支撑座、软管*3（含鲁尔公接头）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1.用于探究流体压强和流速的关系实验。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2.三节不同管径的通风管，按照粗中细异形接通，风机使气流通过通风管，配合相对压强传感器可一次性测得不同流速的流体的相对压强，在Windows、Android、iOS/iPadOS、MacOS、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3.通风管采用三色设计，易分辨。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4.通风管颜色标识与软件一致，可分辨不同流速下压强的大小关系曲线。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探究流体压强与流速关系等实验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E80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DA1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492B478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991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25D2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红光外侧热效应实验器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0EE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光源主体（内含卤素灯、凸透镜、散热系统、三棱镜固定座）、屏幕主体（内含白屏固定座、铝制光学导轨、凸透镜聚焦系统、快速温度传感器探头）、三棱镜、白屏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1.用于探究红光外侧热效应实验。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2.通过光源主体发射平行光，经三棱镜折射后在白屏上得到一条明显的光的色散图，配合快速温度传感器可测得不同色光区域的温度，在Windows、Android、iOS/iPadOS、MacOS、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3.屏幕主体与光源主体之间做扇形等距移动，保证不同色光测温距离相等，有效降低实验系统误差。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4.光源主体内部卤素灯模拟太阳光光谱，不受光源条件的影响，通电后可随时实验且实验效果明显。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5.配合快速温度传感器，可在2分钟内看到明显的温度变化。</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6.终端软件每次计时30秒，保证不同色光都能达到稳定区间后记录温度。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7.搭配采集器可支持有线、无线两种工作方式。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观察光的色散、探究红光外侧热效应等实验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497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2C8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1D9A45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CB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A8D8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摩擦做功实验器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248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铜管、桌边夹、温度传感器专用孔塞、摩擦棉绳</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1.用于摩擦做功使温度升高实验。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2.拉动棉绳摩擦铜管，配合温度传感器可测得铜管内空气的温度，可在Windows、Android、iOS/iPadOS、MacOS、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探究摩擦生热、机械能转化为内能等实验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7D3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183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4396F55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9CF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EA67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酸碱反应热实验器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AC9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绝热桶、隔热泡沫、带孔桶盖、硅胶塞、烧杯（100mL）</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1.用于化学反应热的精确测量相关实验。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2.实验器可容纳液体、固体和液体，为溶液反应和固体的溶解提供保温的实验环境。通过温度传感器，可测得温度变化情况，并在Windows、Android、iOS/iPadOS、MacOS、 Linux、Harmony OS、统信UOS、麒麟等系统终端上实时呈现数据，取点准确，计算数据误差小。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3.双层隔热设计保温性能好，实验数据准确。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4.带孔桶盖适配常规温度计和温度传感器，支持传统实验教学及数字化实验设计，实验灵活。</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5.大小适用，既可以节省试剂，也可以测量溶液温度的变化。</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6.通用性高，一个实验器可完成多个教材实验，还可以满足多种溶液反应吸放热实验的测量。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7.配套专用实验软件，预设模板，以曲线等形式自动记录数据变化情况，实验结果直观明显。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酸碱反应热、固体溶解时的吸热放热现象、化学反应热的测量、氢氧化钡与氯化铵的反应等实验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EC3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479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3936B91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DE4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1435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离子-滴定计数器装置</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FE0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无线智能离子-滴定计数器、滴定组件（注射器针筒*1、三通阀*2、滴嘴*1）、滴定套装（多向转接头*2、铝杆、长尾夹）、铁架台、梅花螺栓、手紧螺丝、pH传感器探头、Type-C数据线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1.用于生物、化学学科中各种滴定类实验和部分离子含量的测定，如酸碱中和滴定、酸碱反应热实验、钠钾钙等离子浓度的检测。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2.滴定计数器可通过光电门计量液滴滴落的数量，同时传感器可直接接入滴定计数器中，测得溶液中待测量的数据变化，智能采集，无需手工记录和画图，自动生成滴定曲线，并在Windows、Android、iOS/iPadOS、MacOS、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内置滴数、pH、亚硝酸根离子、氯离子、钠离子、铵根离子、硝酸根离子、钙离子、钾离子、温度10种传感器模块，配置lightning接口、Q9接口、3.5mm接口，支持接入10余种离子传感器探头，如：pH传感器、温度传感器、溶解二氧化碳、亚硝酸根离子传感器、硝酸根离子传感器、氯离子传感器、铵根离子传感器、钠离子传感器、钾离子传感器、钙离子传感器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4.配置两套三通阀，可实现液体滴落开关和流速控制独立操作。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5.滴定计数器带有传感器安装孔，方便固定传感器探头。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实验结果准确，pH传感器精度为0.1，能够精确地测量在滴定过程中溶液中微小的pH变化，自动生成滴定曲线，可在曲线坐标查找滴定终点（pH=7）时溶液的体积，用于计算待测液的浓度，让学生理解酸碱中和滴定的意义及pH突变的存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7.最大滴定速度：30滴/s。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8.低功耗蓝牙技术，数据传输距离远，安全稳定。</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9.电池容量：1000mAh锂电池，独立供电，续航持久，可连续工作24小时，待机时间大于5个月。</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10.支持独立采集模式，支持外接设备采集，支持无线传输。</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11.配套专用实验软件，预设模板，以表格和曲线等形式自动记录数据变化情况，实验结果直观明显。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用于生物、化学学科中各种滴定类实验和部分离子含量的测定、如酸碱中和滴定、酸碱反应热、钠钾钙等离子浓度的检测等实验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22B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1F8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6DAF157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9BB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ACE3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磁力搅拌器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044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搅拌器（开关、转速旋钮）、电源适配器、磁子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1.专用于液体搅拌，用于生化学科中需要溶液搅拌的相关实验，适合于常规实验化学分析、液体处理、生物试剂混合等领域。</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2.通过调节转速旋钮调节速度，转速支持0rpm～1800rpm，可调范围广。工作台尺寸：130*130mm，外观尺寸：150*200*55mm，净重：0.5kg，电源电压：12V。</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6ED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CA9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3056B0E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59C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8E67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多功能电极支架</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C3B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底座、多功能支架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1.用于固定传感器探头。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2.底座与支架插拔式连接，安装简单。</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3.支架可360°旋转，自由伸缩。</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4.支架上臂有电缆线固定口，可固定传感器电缆线或探头连线。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5.支架顶部可同时固定7个传感器，例如pH、电导率、温度、氧气、二氧化碳、离子类等多种传感器。</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D85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08F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3480812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EE6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954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袖珍生化密封实验器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23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实验桶、上盖、硅胶塞*2、硅胶堵头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1.用于生化实验中光合作用、呼吸作用、过氧化氢的分解等实验。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实验桶、上盖均留有传感器插孔，与传感器适配性好，可配合压强、二氧化碳等多种传感器轻松搭建密封的实验环境，并在Windows、安卓、iOS系统终端上实时呈现数据。减轻准备器材的负担，轻松满足演示及分组实验，让课堂教学更高效。</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3.实验桶透明设计，便于观察实验现象。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4.配合二氧化碳传感器可做种子萌发释放二氧化碳实验。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5.配合压强传感器可做过氧化氢分解实验。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6.配套专用实验软件，预设模板，以表格和曲线等形式自动记录数据变化情况，实验结果更直观明显。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种子萌发、过氧化氢分解、光合作用、探究土壤微生物对淀粉的分解作用等实验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249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5C9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214687A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47A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AC3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气液相密封实验器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B37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实验器罐体、护线圈*5、硅胶堵头*5、塑料吸管*20</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1.用于生化实验中光合作用、酵母菌的呼吸作用等实验。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2.实验器罐体配合硅胶堵头、护线圈，可连接气体酒精传感器、氧气传感器、二氧化碳传感器、相对湿度传感器等，搭建密封实验环境，配合传感器使用可在Windows、Android、iOS/iPadOS、MacOS、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3.实验桶透明设计，便于观察实验现象。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4.配合二氧化碳传感器、氧气传感器可做光合作用吸收二氧化碳产生氧气的实验。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5.配合二氧化碳传感器、氧气传感器、气体酒精传感器可做酵母菌的细胞呼吸实验。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6.配合二氧化碳传感器、氧气传感器、相对湿度传感器可做人体吸入与呼出气体成分的探究实验。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7.通过移动终端扫描仪器上的二维码可浏览该仪器配套的使用说明。</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光合作用、酵母菌的细胞呼吸、人体吸入与呼出气体成分的探究等实验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8F1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644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2C7CB71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DD1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BB0E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质量守恒实验器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0DA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数字化高精度电子秤（0～500g）（含高精度微力传感器、托盘、金属底盘）、数据线、蓝牙适配器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1.用于质量守恒定律的探究，能检测化学反应过程中质量的微小变化情况，验证质量守恒定律。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2.实验器配有高精度微力传感器，无需采集器，直接与终端连接可测得化学反应过程中质量的微小变化，并在Windows、Android、iOS/iPadOS、MacOS、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3.托盘设有硅胶垫片，具有防滑功能。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4.底座采用金属材质，实验过程中有效保持平稳，设有脚垫，有效防滑。</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5.实验环境搭建简单，无需繁琐操作。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6.可支持有线、无线两种工作方式。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验证质量守恒定律等实验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A36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714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049252A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4A5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A35F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空气中氧气含量测定实验器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0C7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高压电源、反应发生装置（底座、集气瓶、燃烧匙、孔塞、烧杯）、电源线、香蕉插头转鳄鱼夹导线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1.用于空气中氧气含量的测量，不仅能观察到红磷燃烧的现象，还可以监测红磷燃烧过程中氧气含量的变化以及瓶中压强的变化情况。</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2.利用高压电源产生电火花点火，实验过程不直接接触燃烧的红磷，有效减少燃烧物及其产物对人体的危害，实验安全性高。</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3.反应发生及检测全程密闭，有效减少红磷燃烧后再放入集气瓶导致内部空气受热膨胀外泄产生的误差，实验数据精准。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4.集气瓶上有传感器插入孔，适配性好，可配合氧气传感器、绝对压强传感器直观的显示氧气含量和瓶内气压的变化过程，在Windows、Android、iOS/iPadOS、MacOS、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空气中氧气含量测定等实验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16C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BA6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1C427B15">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B6E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2D31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铁的吸氧腐蚀实验器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D58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平口圆底试管（52*100mm）、橡胶塞、宝塔头、硅胶堵头*2</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1.用于铁的吸氧腐蚀实验的探究，通过测量反应过程中温度、压强、氧气含量的变化，探究铁的吸氧腐蚀现象。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2.实验器具有匹配不同传感器探头的孔径，密封性良好，配合温度传感器、溶解氧-气中氧一体传感器、绝对压强传感器测量铁在吸氧腐蚀过程中温度、氧气含量、压强的变化，并在Windows、Android、iOS/iPadOS、MacOS、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3.试管体积足够大，增加反应物的接触面积，能使反应物在试管内部充分反应，实验效果明显。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4.透明瓶体设计，便于观察实验现象，可从多维度了解实验。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5.与传感器适配性好，搭建密封的实验环境，可拓展完成多种化学实验。减轻准备器材的负担，轻松满足演示及分组实验，让课堂教学高效。</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探究铁的吸氧腐蚀现象等实验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6F6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30A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27A894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DD9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D5AB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鼠妇分布研究实验器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E75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环境室、过渡室、盖子*3（透明盖子、茶色盖子、带加热器的茶色盖子）、硅胶塞、海绵、电源适配器、O型圈</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1.用于探究影响鼠妇分布的非生物因素实验，探究温度、光照、湿度等非生物因素对鼠妇分布的影响。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2.环境室可以创造多种实验环境，如不同光照强度、不同温度、不同湿度等，模拟鼠妇、面包虫等小型动物生存环境，适配多种传感器，探究光照强度、温度、土壤湿度等多种非生物条件对其分布的影响。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3.过渡室连通两个环境室，利用转动门实现放置阶段鼠妇与实验环境分离，减少人为因素对实验的干扰，科学严谨。一体化实验器，鼠妇起始位置科学可控。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4.透明盖板可视化设计，方便计数。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5.使用碳膜加热电阻加热，温度可调，环境数据实时监测，低功率电子元器件，安全性高，对动物无伤害。</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6.通过移动终端扫描仪器上的二维码可浏览该仪器配套的实验指导和使用说明。</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探究温度对鼠妇分布的影响、探究湿度对鼠妇分布的影响、探究光强对鼠妇分布的影响等实验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335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B9E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4067A4D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72C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7317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蚯蚓运动快慢实验器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016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底座、光电门传感器2个（0～∞s）、爬行轨道3根（含亚克力光滑面、美纹纸面、铁氟龙面）、镊子、美纹纸胶带、铁氟龙胶带、蓝牙适配器、刷子、电源适配器、数据线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1.用于探究蚯蚓在不同粗糙面上的爬行速度，同时可观测到蚯蚓在爬行时的不同形态。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2.实验器提供3根不同粗糙面的爬行轨道，内置光电门传感器，可直接测量蚯蚓爬行所需时间，同时软件可算出蚯蚓爬行的速度，并在Windows、Android、iOS/iPadOS、MacOS、 Linux、Harmony OS、统信UOS、麒麟等系统终端上实时呈现数据，可进行多次实验数据对比。</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3.爬行轨道可更换不同的爬行面，且提供美纹纸面和铁氟龙面两种不同的粗糙面可供更换，满足不同粗糙面的条件。轨道内径宽约1cm，可以实现蚯蚓的单向爬行。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4.透明轨道设计，可观测到蚯蚓爬行时的不同形态。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5.通过移动终端扫描仪器上的二维码可浏览该仪器配套的使用说明。</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6.内置充电电池，无需采集器，可支持有线、无线连接终端直接实验。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7.配套专用实验软件，预设模板，以表格形式自动记录数据变化情况，实验结果直观明显。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探究蚯蚓运动的快慢等实验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276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8D4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1C194D33">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1BB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9BB9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变温动物体表测温实验器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930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恒温加热装置（含传感器支架、恒温加热器）、变温动物盛杯、烧杯（250mL）、电源适配器、温度探头卡圈</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1.用于探究环境温度对变温动物体表温度的影响。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2.配合红外温度传感器实时监测变温动物体表温度变化，通过软件可实时显示变温动物体表温度变化曲线，在Windows、Android、iOS/iPadOS、MacOS、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3.内置恒温加热器均衡加热，提供相对稳定的外界环境温度，真实的模拟动物生存的环境，实验数据准确。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4.变温动物盛杯透明设计，可视性强，方便观察实验过程中动物的状态。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5.配有温控开关，60℃自动关闭，安全性高。</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6.通过移动终端扫描仪器上的二维码可浏览该仪器配套的使用说明。</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7.连接采集器可支持有线、无线两种工作方式。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8.配套专用实验软件，预设模板，以曲线形式自动记录数据变化情况，实验结果直观明显。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用于探究变温动物的体表温度随环境温度变化的关系等实验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2AA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993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0E46B3B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E11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027D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光合作用实验箱</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9CF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透明亚克力实验箱、密封盖、橡胶塞14个（含侧面全封塞*2（φ30mm）、顶面全封塞*3（φ33mm）、单边槽无孔塞*2（φ33mm，开槽φ4mm）、双边槽无孔塞*3（开槽φ4mm）、温度传感器探头孔塞*1（中孔φ5mm）、二氧化碳传感器探头孔塞*1（中孔φ15mm）、湿度传感器探头孔塞*1（中孔φ10mm）、溶解氧-气中氧一体传感器探头孔塞*1（中孔φ12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1.用于水陆生植物的光合作用、种子萌发、呼吸作用、酶的特性、蒸腾作用等实验。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2.实验箱、密封盖、橡胶塞可轻松搭建密闭实验环境，透明箱体便于观察箱体内部的实验现象。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3.可配合温度传感器、二氧化碳传感器、溶解氧-气中氧一体传感器、相对湿度传感器等多个传感器使用，也可单独测量某一个量，并在Windows、Android、iOS/iPadOS、MacOS、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4.支持带线的传感器（如电导率、pH传感器、溶氧、溶解二氧化碳、盐度等传感器的电缆线）探头主体完全进入实验器，支持教师DIY设计实验。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植物的光合作用、呼吸作用、种子萌发、蒸腾作用、酶的特性、蜡烛的燃烧、模拟生态环境等实验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A31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D83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01C3EE1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7FE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AE84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渗透研究实验器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D85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U型连通器（含L型管*2、底座、硅胶板、梅花手柄螺丝*4）、导气配件*2、半透膜*6</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1.用于初中生物、高中生物研究渗透实验。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实验器应用U型管连通原理，贴合教学需要，配合压强传感器、离子类传感器（如氯离子传感器）、电导率传感器使用，可探究渗透过程中半透膜两侧产生的压力变化或渗透过程中膜两侧离子浓度的变化，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3.装置隔膜位置配有发泡硅胶板及4个梅花手紧螺丝，有效保证密封性，实验环境搭建简单，易操作。</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4.可自由更换半透膜种类，根据教学要求拓展探究实验的深度和广度。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5.U型连通器两侧设有刻度标贴，可以观察液面高度的变化。</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6.配套专用实验软件，预设模板，以曲线形式自动记录数据变化情况，实验结果直观明显。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观察渗透现象、测量渗透压等实验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E22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1C7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690EC38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931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7984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化学反应速率实验器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96B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密封反应瓶、注液阀门开关、注射器（10mL）、压强传感器接口、泄压组件（260±10kPa）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1.用于探究催化剂对过氧化氢分解的影响、金属与酸反应、酶催化的高效性等。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密封反应瓶，保证实验器的密封性，实验数据精确，支持固体、液体和气体任意组合的产气或吸收气体的相关的生化反应，配合绝对压强传感器，通过测量压强的变化，探究化学反应速率的快慢，在Windows、Android、iOS/iPadOS、MacOS、 Linux、Harmony OS、统信UOS、麒麟等系统终端上实时呈现数据，实验规律更加直观，适用范围广泛。</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3.装置设有螺口注射器及注液阀门开关，保证全程密封的情况下，注入液体定量可控，可一次或分段多次注入，实验高效且保证安全性。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4.装置设有泄压阀（泄压阀安全值260±10kPa），压强过高时会自动泄压，保证了实验的安全性。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5.透明瓶体设计，便于观察实验现象，可从多维度了解实验。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6.与传感器适配性好，搭建密封的实验环境，减轻准备器材的负担，满足演示及分组实验，让课堂教学高效。</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7.通过移动终端扫描仪器上的二维码可浏览该仪器配套的使用说明。</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催化剂对化学反应速率的影响、金属与酸反应、酶催化的高效性等实验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499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792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EC9077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2B7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893E2">
            <w:pPr>
              <w:jc w:val="left"/>
              <w:rPr>
                <w:rFonts w:ascii="仿宋" w:hAnsi="仿宋" w:eastAsia="仿宋" w:cs="仿宋"/>
                <w:b/>
                <w:bCs/>
                <w:color w:val="000000"/>
                <w:sz w:val="20"/>
                <w:szCs w:val="20"/>
              </w:rPr>
            </w:pPr>
          </w:p>
        </w:tc>
        <w:tc>
          <w:tcPr>
            <w:tcW w:w="5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5328">
            <w:pPr>
              <w:jc w:val="left"/>
              <w:rPr>
                <w:rFonts w:ascii="仿宋" w:hAnsi="仿宋" w:eastAsia="仿宋" w:cs="仿宋"/>
                <w:b/>
                <w:bCs/>
                <w:color w:val="000000"/>
                <w:sz w:val="20"/>
                <w:szCs w:val="20"/>
              </w:rPr>
            </w:pPr>
            <w:r>
              <w:rPr>
                <w:rFonts w:hint="eastAsia" w:ascii="仿宋" w:hAnsi="仿宋" w:eastAsia="仿宋" w:cs="仿宋"/>
                <w:b/>
                <w:bCs/>
                <w:color w:val="000000"/>
                <w:sz w:val="20"/>
                <w:szCs w:val="20"/>
              </w:rPr>
              <w:t>学生端器材</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DD75">
            <w:pPr>
              <w:jc w:val="center"/>
              <w:rPr>
                <w:rFonts w:ascii="仿宋" w:hAnsi="仿宋" w:eastAsia="仿宋" w:cs="仿宋"/>
                <w:color w:val="000000"/>
                <w:sz w:val="20"/>
                <w:szCs w:val="20"/>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BE05">
            <w:pPr>
              <w:jc w:val="center"/>
              <w:rPr>
                <w:rFonts w:ascii="仿宋" w:hAnsi="仿宋" w:eastAsia="仿宋" w:cs="仿宋"/>
                <w:color w:val="000000"/>
                <w:sz w:val="20"/>
                <w:szCs w:val="20"/>
              </w:rPr>
            </w:pPr>
          </w:p>
        </w:tc>
      </w:tr>
      <w:tr w14:paraId="0B3883A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D0E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E0D0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无线智能电压传感器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9DE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电压传感器无需连接数据采集器，通过蓝牙或USB直连电脑、手机或平板等终端可直接进行数据采集，在终端上实时显示并记录电压的变化，绘制电压-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主体正面有电源按钮、电源和蓝牙指示灯、传感器名称；背面有蓝牙编号；底部有Type-C接口；上端为导线插孔，附件红黑导线可一端接入传感器，另一端接入电路进行测量。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1.用于测量电路、电器两端的电压。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6.可实现校零功能。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1.量程：-30V~30V</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2.分辨率：0.02V</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3.精度：±1%F.S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4.采样速率：蓝牙：1000次/秒；USB：10000次/秒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串联电路中用电器两端的电压与电源两端电压的关系、探究并联电路中各支路用电器两端的电压与电源两端电压的关系、练习使用滑动变阻器、探究电流和电压的关系、探究电流和电阻的关系、伏安法测电阻、伏安法测灯泡电阻、额定功率与实际功率、测量小灯泡的功率、观察电容器的充放电、研究伏安特性曲线（小灯泡，电阻，导体，晶体二极管）、串并联电路中的电压、串并联电路中的电阻、自感、伏安法测金属的电阻率、电磁感应、振荡电路（电压）、电池及电源电动势和内阻的测量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11E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EEE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4FE2D58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E87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0FC8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无线智能电流传感器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25C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电流传感器无需连接数据采集器，通过蓝牙或USB直连电脑、手机或平板等终端可直接进行数据采集，在终端上实时显示并记录电流的变化，绘制电流-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主体正面有电源按钮、电源和蓝牙指示灯、传感器名称；背面有蓝牙编号；底部有Type-C接口；上端为导线插孔，附件红黑导线可一端接入传感器，另一端接入电路进行测量。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1.用于测量电路中的电流。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6.可实现校零功能。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1.量程：-1A~1A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2.分辨率：0.5mA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3.精度：±1%F.S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4.采样速率：蓝牙：1000次/秒；USB：10000次/秒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串、并联电路电流的特点、比较灯泡亮度、探究影响导体电阻大小的因素、探究电流和电压的关系、探究电流和电阻的关系、半导体电阻的应用（酒精浓度检测仪）、伏安法测（定值）电阻、伏安法测灯泡电阻、额定功率与实际功率、测量小灯泡的功率、电热跟什么因素有关、研究导体电阻与长度、横截面积及材料的定量关系、金属丝电阻率的测量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2C2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4E6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78754CA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63B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729C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无线智能磁感应强度传感器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F52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磁感应强度传感器无需连接数据采集器，通过蓝牙或USB直连电脑、手机或平板等终端可直接进行数据采集，在终端上实时显示并记录磁感应强度的变化，并可绘制磁感应强度-时间图像。本传感器也可以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由传感器主体和前端磁场探头连接构成。主体正面有电源按钮、电源和蓝牙指示灯、传感器名称；背面有蓝牙编号；底部有Type-C接口。</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1.用于测量磁场的磁场强度。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6.可测量地磁场、永磁体、通电线圈的磁感强度。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10.支持固件空中升级。                                                                                                               11.支持平台：Windows、Android、iOS/iPadOS、MacOS、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1.量程：-64mT~64mT</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2.分辨率：0.04mT</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3.精度：±3%F.S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4.采样速率：500次/秒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探究磁场的方向、探究通电螺线管外部的磁场分布、电磁铁的磁性等实验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D0B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9AB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7967A3C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440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30C1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无线智能力传感器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433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力传感器无需连接数据采集器，通过蓝牙或USB直连电脑、手机或平板等终端可直接进行数据采集，在终端上实时显示并记录力的变化，绘制相应变化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本传感器造型方正，在其顶部有用于手拎的两个开孔，一个用于固定于铁杆的异形孔，背部和底部分别设有能用于固定在小车等处的螺丝孔；正面有电源按钮、电源和蓝牙指示灯、蓝牙编号、传感器名称及量程范围；下端为力传感器接口，可拧上钩子（测量拉力）或防撞塑料件（测量推力）。</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1.用于测量拉力或压力。</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6.使用（固定）方式：手（指）拎、固定在连接杆上。</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7.可实现校零功能。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10.支持固件空中升级。                                                                                                                         11.支持平台：Windows、Android、iOS/iPadOS、MacOS、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1.量程：-50N~50N</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2.分辨率：0.03N</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3.精度：±1%F.S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4.采样速率：蓝牙：1000次/秒；USB：5000次/秒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力的作用的是相互、探究重力与质量的关系、测量摩擦力、探究影响滑动摩擦力的因素、大气压的测量、测量浮力的大小、探究浮力的大小跟哪些因素有关、探究浮力的大小跟排开液体所受重力的关系、探究杠杆的平衡条件、研究定滑轮与动滑轮的特点、使用动滑轮是否省功、测量滑轮组的机械效率、探究弹性形变与外力的关系、测量提升物体所做的功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8A2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7F1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0BDD95AF">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7D1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FE75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无线智能绝对压强传感器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D74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绝对压强传感器无需连接数据采集器，探头与传感器一体设计，通过蓝牙或USB直连电脑、手机或平板等终端可直接进行数据采集，在终端上实时显示并记录绝对压强的变化，绘制绝对压强-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由传感器主体正面有电源按钮、电源和蓝牙指示灯、传感器名称；背面有蓝牙编号；底部有Type-C接口，前端是鲁尔公接头，可连接软管等多种附件接入环境中进行测量。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1.用于测量大气环境下或密闭空间内的气体的压强。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6.可实现校准功能。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1.量程：0~400kPa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2.分辨率：0.1kPa</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3.精度：±2%</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4.采样速率：500次/秒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研究液体内部的压强、气体被压缩内能增大（压缩气体做功）、探究气体等温变化的规律（波意耳定律)、分解过氧化氢制氧气的反应中二氧化锰的作用、探究金属与盐酸、硫酸的反应、探究酸碱盐之间反应条件、影响化学反应速率的因素、模拟肺部呼吸、比较过氧化氢在不同条件下的分解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3E6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12C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34728F4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CAB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E736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无线智能位移传感器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5F1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位移传感器利用发射和接收到被反射回来的超声波脉冲来测量与物体的距离，进一步可以计算出物体运动的速度和加速度，无需连接数据采集器，通过蓝牙或USB直连电脑、手机或平板等终端可直接进行数据采集，在终端上实时显示并记录物体的运动变化，绘制相应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由传感器主体正面有电源按钮、电源和蓝牙指示灯、传感器名称；背面有蓝牙编号；底部有Type-C接口，前端是超声波收发装置。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1.用于测量物体运动的位移。</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1.量程：20cm~200cm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2.分辨率：0.1cm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3.精度：±1cm或读数的±2%</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4.采样速率：50次/秒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匀变速直线运动位移与时间的关系、胡克定律实验等实验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9B3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F9C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482E336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AF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9EF7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无线智能光电门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352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无线智能光电门传感器无需连接数据采集器，通过蓝牙直连电脑、手机或平板等终端可直接进行数据采集，在终端上实时显示并记录物体运动时间，计算出物体的运动速度、加速度等。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有A、B两个光电门，整体为门式结构，A光电门正面有A门标识、电源和蓝牙指示灯，两侧有电源开关、USB接口、AB光电门连接口；B光电门正面有B门标识、电源和工作状态指示灯，侧面有AB门连接口。两个光电门顶部，两侧和门内侧设有六个用于固定的螺丝孔。</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1.用于测量物体通过光电门的挡光时间以及速度、加速度、动量、动能等物理量。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2.传感器内置蓝牙无线模块，使用蓝牙5.0技术，低功耗运行和待机。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5.光电门机身上具有多个开孔，方便固定于测量轨道上，也可在光电门内安装滑轮。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                                                 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1.量程：0~∞s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2.分辨率：0.01ms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3.精度：±0.01ms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5.连续使用时间：≥100小时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比较物体运动快慢、测量平均速度、阻力对运动的影响、探究物体的动能跟哪些因素有关、观察摆球动能和重力势能的转化、借助传感器与计算机测速度、探究小车速度与时间变化关系、探究加速度与力和质量的关系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229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16B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35A7F69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602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A1F2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无线智能pH传感器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509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pH传感器无需连接数据采集器，通过蓝牙直连电脑、手机或平板等终端可直接进行数据采集，在终端上实时显示并记录pH值的变化，绘制pH-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由传感器主体和pH探头构成。主体正面有电源按钮、电源和蓝牙指示灯、传感器名称；背面有蓝牙编号及电池仓，机身外壳与电池仓用密封圈密封。主体前端为BNC接口，可与pH探头连接用于测量溶液pH值。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1.用于测量溶液的pH值。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3.传感器与数据采集终端（电脑、平板或手机）直接通过蓝牙无线连接，便于运动情况下的数据测量及各种实验环境中的数据采集，无需数据采集器。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5.传感器具有唯一蓝牙编号，便于数据终端选择性连接。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6.使用纽扣电池，电池可更换，一枚电池可正常课堂使用1年以上。</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7.可实现标定功能。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8.连接方式：蓝牙无线。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9.节能方式：传感器打开电源，但无连接或连接无活动，几分钟后自动关闭电源。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10.支持固件空中升级。                                                                                                       11.支持平台：Windows、Android、iOS/iPadOS、MacOS、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1.量程：0~14</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2.分辨率：0.01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3.采样速率：100次/秒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4.连续使用时间：≥120小时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5.防水等级：IP67</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二氧化碳的性质、二氧化碳的溶解性实验、比较不同盐溶液的酸碱性、观察氢氧化钠与二氧化碳的反应、酸碱中和反应、探究洗发剂和护发剂的酸碱性、钠与水的反应、测量盐溶液的酸碱性、强酸和强碱的中和滴定、酸雨对生物的影响、影响酶活性的条件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302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337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08B1AE7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32E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5DAC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无线智能温度传感器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2D7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温度传感器无需连接数据采集器，探头与传感器一体设计，通过蓝牙直连电脑、手机或平板等终端可直接进行数据采集，在终端上实时显示并记录温度的变化，绘制温度-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由传感器主体和前端探头连接构成。主体正面有电源按钮、电源和蓝牙指示灯、传感器名称；背面有蓝牙编号及电池仓，机身外壳与电池仓用密封圈密封。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1.用于测量物体表面、气体、酸碱等液体的温度。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6.使用纽扣电池，电池可更换，一枚电池可正常课堂使用1年以上。</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7.可实现微小的温度变化快速采样。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9.连接方式：蓝牙无线。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10.节能方式：传感器打开电源，无连接或连接无活动，几分钟后自动关闭电源。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11.支持固件空中升级。</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12.可切换单位：℃、℉、K。                                                                                              13.支持平台：Windows、Android、iOS/iPadOS、MacOS、 Linux、Harmony OS、统信UOS、麒麟等。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1.量程：-40℃~125℃</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2.分辨率：0.01℃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3.精度：±0.5℃</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5.连续使用时间：≥120小时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6.防水等级：IP67</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不同颜色物体的吸热散热研究实验、不同液体的吸热散热研究、水的降温规律、摩擦做功、水的沸腾实验、沸点与压强关系、焦耳定律、酸碱反应热、铁的吸氧腐蚀、探究非生物因素对鼠妇分布的影响实验、种子萌发产生热量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6EB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70C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0EE0DE5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8B9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2AFE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无线智能电导率传感器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E30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电导率传感器内置电导率、温度两种传感器模块，无需连接数据采集器，通过蓝牙直连电脑、手机或平板等终端可直接进行数据采集，在终端上实时显示并记录电导率/温度的变化，绘制电导率/温度-时间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由传感器主体和前端电导率探头连接构成。主体正面有电源按钮、电源和蓝牙指示灯、传感器名称；背面有蓝牙编号及电池仓，机身外壳与电池仓用密封圈密封。</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1.用于测量溶液的电导率值和温度值。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3.传感器与数据采集终端（电脑、平板或手机）直接通过蓝牙无线连接，便于运动情况下的数据测量及各种实验环境中的数据采集，无需数据采集器；传感器两种测量二合一，可测量电导率、温度。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4.可脱机进行数据采集。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5.传感器具有唯一蓝牙编号，便于数据终端选择性连接。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6.使用纽扣电池，电池可更换，一枚电池可正常课堂使用2年。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7.测量数据可用于测定总溶解固体。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8.传感器会自动进行温度补偿。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9.可实现标定功能。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10.连接方式：蓝牙无线。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11.节能方式：传感器打开电源，但无连接或连接无活动，几分钟后自动关闭电源。                                             12.支持平台：Windows、Android、iOS/iPadOS、MacOS、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电导率：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1.量程：0~20000μS/cm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2.分辨率：8μS/cm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3.精度：±3%F.S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温度：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1.量程：0~60℃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2.分辨率：0.1℃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3.精度：0.5℃</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5.连续使用时间：≥120小时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6.防水等级：IP67</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观察氢氧化钙与二氧化碳的反应、测量溶液的电导率、试验物质的导电性、渗透研究等实验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535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410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3AE1892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944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1677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无线智能溶氧气氧传感器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C55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溶氧气氧传感器内置溶解氧、氧气两种传感器，无需连接数据采集器，通过蓝牙或USB直连电脑、手机或平板等终端可直接进行数据采集，在终端上实时显示并记录溶解氧、氧气的变化，并绘制相应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由传感器主体和溶解氧气氧探头构成。主体正面有电源按钮、电源和蓝牙指示灯、传感器名称；背面有蓝牙编号；底部有Type-C接口；主体前端为BNC接口，可与溶解氧气氧探头连接用于测量溶解氧/氧气含量。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1.用于测量气体和液体中的氧气含量。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2.传感器内置蓝牙无线模块，使用蓝牙5.0技术，低功耗运行和待机。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传感器多种测量多合一，可测量溶解氧、气氧。须提供由第三方检测机构出具的有效检测报告复印件（报告需在网站可查，查询网址：http://cx.cnca.cn/CertECloud/qts/qts/qtsPage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6.可实现溶解氧标定，气氧校准功能。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溶解氧：0~20 mg/L；氧气：0~100%</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溶解氧：0.01 mg/L；氧气：0.1%</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溶解氧：±0.5mg/L（10~35℃）；氧气：±2%F.S</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4.采样速率:100次/秒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5.连续使用时间:≥30小时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蜡烛及其燃烧的探究、探究人体吸入的空气与呼出的气体的不同、观察氧气中的燃烧现象、探究灭火的原理、过氧化钠与水反应及产物探究、种子萌发的环境条件（模拟实验）、光合作用的影响、设计并制作生态缸，观察其稳定性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0A5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CE0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5FE9591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69E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10B4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无线智能二氧化碳传感器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FC6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二氧化碳传感器无需连接数据采集器，通过蓝牙或USB直连电脑、手机或平板等终端可直接进行数据采集，在终端上实时显示并记录二氧化碳的变化，并绘制相应图像。可脱离终端而独立地记录所探测到的实验数据并加以保存，并随时供下载和分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一、结构及外观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由传感器主体和前端探头连接构成。主体正面有电源按钮、电源和蓝牙指示灯、传感器名称；背面有蓝牙编号；底部有Type-C接口。探头外壳为黑色塑料，通过数个栅栏与外界相通，栅栏内有过滤层。</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1.用于测量气体中二氧化碳的含量。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 xml:space="preserve">2.传感器内置蓝牙无线模块，使用蓝牙5.0技术，低功耗运行和待机。 </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3.传感器与数据采集终端（电脑、平板或手机）直接通过蓝牙无线连接，便于运动情况下的数据测量及各种实验环境中的数据采集，无需数据采集器。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4.可脱机进行数据采集。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5.传感器具有唯一蓝牙编号，便于数据终端选择性连接。</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6.无需校准，即连即用。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7.连接方式：蓝牙无线或有线。</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8.节能方式：传感器打开电源，但无连接或连接无活动，几分钟后自动关闭电源。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9.支持固件空中升级。                                                                                               10.支持平台：Windows、Android、iOS/iPadOS、MacOS、 Linux、Harmony OS、统信UOS、麒麟等。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三、规格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1.量程：0~100000 ppm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2.分辨率：1ppm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3.精度：±100ppm(0~1000ppm)；±(100ppm＋5%读数值)(1000~10000ppm)；±10%(10000~50000ppm)；±15%(50000~100000ppm)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4.采样速率:1次/秒</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5.连续使用时间:≥10小时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6.通讯距离:≥30m（空旷无遮挡）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四、典型实验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蜡烛及其燃烧的探究、探究人体吸入的空气与呼出的气体的不同、碳还原氧化物的反应、实验室制取二氧化碳、碳酸钠与盐酸的反应、探究酸碱盐之间反应条件、比较碳酸钠与碳酸氢钠的热稳定性、种子萌发的环境条件、二氧化碳是光合作用必需的原料吗、植物的呼吸作用产生二氧化碳、设计并制作生态缸，观察其稳定性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596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B7B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只</w:t>
            </w:r>
          </w:p>
        </w:tc>
      </w:tr>
      <w:tr w14:paraId="592C3F3B">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E2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AFEA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无线智能传感器收纳箱</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16C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手提式箱式设计，可翻盖，采用ABS材质，外形尺寸（长宽高）：435mm*325mm*170mm（两箱叠加高度H=330mm），最大承重：30-35公斤；箱体底部设有底部凸起，与上部设计凹槽相互咬合，通过独特的纽扣式锁止机构，实现箱子与箱子之前的锁合，可多个垒叠放置，便于携带和搬运，最多可垒5箱；</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937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F8E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55A5C7A9">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747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80A98">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小车导轨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6EA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微型L型支架1个、多功能导轨1个（1.2m）、动力学小车1个、L型支架2个、宽L型支架、L型滑轮组、砝码5个（2g）、钩码1个（10g）、钩码1个（20g）、砝码3个（50g）、小龙虾扣2个、细绳1卷、U型挡光片1个、小桶1个、缓冲器组件1个、U型滑轮组件1个、紧固件1宗、梅花螺丝2个（M6*15mm）、六角螺丝1个（M6*35mm）、六角螺丝5个（M6*20mm）、手紧螺丝1个（M4*16mm）、手紧螺丝2个（M6*12mm）、螺杆螺母1套（M4*45mm）、蝶形螺母6个（M6），备用小车轮2个、燕尾螺丝1个（M5*15mm）、手紧螺丝1个（M6*8mm）、蝶形螺丝1个（M4*35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1.用于动力学为核心的包含位移、时间、速度、加速度等物理量等实验。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小车导轨是一套能完成初高中动力学实验的实验平台，实验器功能多样，配件齐全，轨道预留多种传感器固定孔及光电门固定支架，可搭配位移传感器、分体式位移传感器、光电门传感器等不同组合进行实验，测得小车各类运动数据，并在Windows、Android、iOS/iPadOS、MacOS、 Linux、Harmony OS、统信UOS、麒麟等系统终端上实时呈现数据，支持各类动力学DIY设计实验。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3.专用动力学小车，车轮刀片式设计，与轨道摩擦小，具有弹簧减震结构，有效保证小车在同一平面直线运动。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4.动力学小车预留力钩柱、紧固件螺口、挡光片的专用手拧螺丝接口，可快速安装对应的拉力组件、砝码、挡光片等配件。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5.滑轮及车轮轮轴摩擦力极小，能有效减小轮轴摩擦对实验的影响。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6.导轨采用铝型材，坚固耐用，导轨两侧标有清晰的刻度，可直接读取小车运动距离，导轨面具有小车运动槽，保证小车不脱轨。</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匀变速直线运动的位移与时间的关系、借助传感器用计算机测速度、匀速直线运动的位移、匀变速直线运动的速度与时间的关系、探究加速度与拉力的关系、 探究加速度与质量的关系、用两个光电门测加速度等实验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4E7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827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2916F2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622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331D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牛顿第三定律实验器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5E7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底板部件、磁铁部件（N极2个、S极1个）、滑块部件、连接杆部件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1.用于牛顿第三定律实验。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2.底板部件与滑块部件可保证两个作用力在同一直线上受力，配合两个力传感器，测得两个力的具体数值和变化趋势，并在Windows、Android、iOS/iPadOS、MacOS、 Linux、Harmony OS、统信UOS、麒麟等系统终端上实时呈现数据，实验规律明显。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3.通过更换力传感器间的连接装置磁铁部件或连接杆部件，可探究非接触性力或接触性力下的的相互作用和牛顿第三定律。</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4.专用软件可描绘出力的变化曲线，并进行“映像”使两个力分布与轴线两侧，利于学生理解力的相互作用原理。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5.通过移动终端扫描仪器上的二维码可浏览该仪器配套的实验指导和使用说明。</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力的作用是相互的、牛顿第三定律等实验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66D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920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2A03D9E8">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7A5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FE8D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水的沸腾实验器（初中）</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69C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铁架台、不锈钢酒精灯、大铁圈、石棉网、烧杯（250mL）、转接头、温度传感器固定杆、手紧螺丝、纸盖</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1.用于物理“汽化”实验，探究水沸腾时的现象以及热水持续沸腾的条件。</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温度传感器固定杆具备三个不同位置的安装孔，可根据实验需要调节探头不同位置，支持同时接入多个温度传感器并可控制传感器探头等高等距，测量水温及其变化过程，也可探究同一杯水不同位置的温度变化规律，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3.酒精灯为不锈钢材质，高强度高硬度，经久耐用，灯芯与灯体紧密结合，加注口采用螺口设计，有效防止酒精倾倒造成酒精外流，安全性高。</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4.配备纸盖，可有效保温并防止冷凝水回流对实验造成影响。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探究水沸腾前后的温度变化、气泡上升的变化规律、热水持续沸腾的条件等实验。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CC9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B72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3275FA0">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A14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79</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A71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袖珍生化密封实验器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E56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实验桶、上盖、硅胶塞*2、硅胶堵头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1.用于生化实验中光合作用、呼吸作用、过氧化氢的分解等实验。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实验桶、上盖均留有传感器插孔，与传感器适配性好，可配合压强、二氧化碳等多种传感器轻松搭建密封的实验环境，并在Windows、安卓、iOS系统终端上实时呈现数据。减轻准备器材的负担，轻松满足演示及分组实验，让课堂教学更高效。</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3.实验桶透明设计，便于观察实验现象。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4.配合二氧化碳传感器可做种子萌发释放二氧化碳实验。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5.配合压强传感器可做过氧化氢分解实验。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6.配套专用实验软件，预设模板，以表格和曲线等形式自动记录数据变化情况，实验结果更直观明显。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种子萌发、过氧化氢分解、光合作用、探究土壤微生物对淀粉的分解作用等实验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6E5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E3C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5AC7B35E">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466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914F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焦耳定律实验器（初中）</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40C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面板组件（3Ω电阻丝*2、1.5Ω电阻丝*1、3Ω金属膜电阻*1）、底座组件、杯体组件、传感器固定组件、导线*8</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1.用于探究电流热效应与电流、电阻的关系。</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2.电阻丝对应面板位置有传感器插入孔，与传感器适配性高，配合温度传感器，能定量的反映出电流热效应与电流、导体电阻和通电时间的关系，1分钟内即有明显数据变化，并在Windows、Android、iOS/iPadOS、MacOS、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3.双层保温杯体设计，有效防止热量散失，四周透明化设计，可保证温度传感器探头插入的深度相同。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4.采用不同规格电阻丝，并包含插线孔，方便进行开放式的电路串并联设计，鼓励学生动手搭建。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5.底座具有垫脚，稳定防滑。</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焦耳定律等实验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D7E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420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7756D4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342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81</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9F34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电阻定律实验器Ⅱ</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278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亚克力底座、镍铬丝（0.2mm）、镍铬丝（0.4mm）、镍铬丝（0.6mm）、锰铜丝（0.6mm）、铁铬丝（0.6mm）、夹式测试钩1对（带4mm插孔钩）</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1.用于电阻定律实验，探究电阻的材料、长度、横截面积对导体电阻大小的影响。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2.电阻定律实验器配合电源、电流传感器，通过传感器测得的电流大小来比较接入的金属丝电阻大小，在Windows、Android、iOS/iPadOS、MacOS、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3.夹式测试钩可自由选择接入金属丝的长度，探究导体长度对电阻的影响。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4.提供三种材料相同，直径不同的金属丝，便于探究导体横截面积对电阻的影响。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5.提供三条直径相同的材料不同的镍铬丝、锰铜丝、铁铬丝，探究导体材料对电阻的影响。</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6.底座标有刻度及金属丝的名称和直径，并在每条金属丝下方标有长度标记，可直接读出长度数值。</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7.通过移动终端扫描仪器上的二维码可浏览该仪器配套的实验指导和使用说明。</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探究电阻的影响因素等实验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CAF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A07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70C99E0C">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F15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82</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B6F4B">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压缩气体做功实验器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5F8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支架、注射器（100mL）、橡胶管、快速温度传感器探头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1.用于压缩气体做功实验，探究一定质量的气体被压缩时的温度变化。</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2.缓慢推动注射器活塞，配合快速温度传感器测量注射器内部空气温度变化，在Windows、Android、iOS/iPadOS、MacOS、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3.通过支架固定注射器，避免人手与注射器直接接触，有效减小热传递导致的实验误差。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4.快速温度传感器探头直接测量注射器内部温度，测量数值科学准确。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一定质量的气体被压缩时的温度变化等实验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BDC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E9C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30F179A2">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555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83</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81032">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光合作用实验箱</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598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透明亚克力实验箱、密封盖、橡胶塞14个（含侧面全封塞*2（φ30mm）、顶面全封塞*3（φ33mm）、单边槽无孔塞*2（φ33mm，开槽φ4mm）、双边槽无孔塞*3（开槽φ4mm）、温度传感器探头孔塞*1（中孔φ5mm）、二氧化碳传感器探头孔塞*1（中孔φ15mm）、湿度传感器探头孔塞*1（中孔φ10mm）、溶解氧-气中氧一体传感器探头孔塞*1（中孔φ12mm））</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1.用于水陆生植物的光合作用、种子萌发、呼吸作用、酶的特性、蒸腾作用等实验。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2.实验箱、密封盖、橡胶塞可轻松搭建密闭实验环境，透明箱体便于观察箱体内部的实验现象。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3.可配合温度传感器、二氧化碳传感器、溶解氧-气中氧一体传感器、相对湿度传感器等多个传感器使用，也可单独测量某一个量，并在Windows、Android、iOS/iPadOS、MacOS、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4.支持带线的传感器（如电导率、pH传感器、溶氧、溶解二氧化碳、盐度等传感器的电缆线）探头主体完全进入实验器，支持教师DIY设计实验。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植物的光合作用、呼吸作用、种子萌发、蒸腾作用、酶的特性、蜡烛的燃烧、模拟生态环境等实验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3A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67A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03603FD4">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D2F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84</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CFE6">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气液相密封实验器</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384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一、组成</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实验器罐体、护线圈*5、硅胶堵头*5、塑料吸管*20</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二、功能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1.用于生化实验中光合作用、酵母菌的呼吸作用等实验。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2.实验器罐体配合硅胶堵头、护线圈，可连接气体酒精传感器、氧气传感器、二氧化碳传感器、相对湿度传感器等，搭建密封实验环境，配合传感器使用可在Windows、Android、iOS/iPadOS、MacOS、 Linux、Harmony OS、统信UOS、麒麟等系统终端上实时呈现数据。</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3.实验桶透明设计，便于观察实验现象。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4.配合二氧化碳传感器、氧气传感器可做光合作用吸收二氧化碳产生氧气的实验。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5.配合二氧化碳传感器、氧气传感器、气体酒精传感器可做酵母菌的细胞呼吸实验。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6.配合二氧化碳传感器、氧气传感器、相对湿度传感器可做人体吸入与呼出气体成分的探究实验。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7.通过移动终端扫描仪器上的二维码可浏览该仪器配套的使用说明。</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8.配套专用实验软件，预设模板，以表格和曲线等形式自动记录数据变化情况，实验结果直观明显。</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三、实验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光合作用、酵母菌的细胞呼吸、人体吸入与呼出气体成分的探究等实验</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B07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43E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2AEE4611">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FAD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85</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60D0A">
            <w:pPr>
              <w:jc w:val="left"/>
              <w:rPr>
                <w:rFonts w:ascii="仿宋" w:hAnsi="仿宋" w:eastAsia="仿宋" w:cs="仿宋"/>
                <w:b/>
                <w:bCs/>
                <w:color w:val="000000"/>
                <w:sz w:val="20"/>
                <w:szCs w:val="20"/>
              </w:rPr>
            </w:pPr>
          </w:p>
        </w:tc>
        <w:tc>
          <w:tcPr>
            <w:tcW w:w="5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4D42">
            <w:pPr>
              <w:jc w:val="left"/>
              <w:rPr>
                <w:rFonts w:ascii="仿宋" w:hAnsi="仿宋" w:eastAsia="仿宋" w:cs="仿宋"/>
                <w:b/>
                <w:bCs/>
                <w:color w:val="000000"/>
                <w:sz w:val="20"/>
                <w:szCs w:val="20"/>
              </w:rPr>
            </w:pPr>
            <w:r>
              <w:rPr>
                <w:rFonts w:hint="eastAsia" w:ascii="仿宋" w:hAnsi="仿宋" w:eastAsia="仿宋" w:cs="仿宋"/>
                <w:b/>
                <w:bCs/>
                <w:color w:val="000000"/>
                <w:sz w:val="20"/>
                <w:szCs w:val="20"/>
              </w:rPr>
              <w:t>实验终端及软件</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0389">
            <w:pPr>
              <w:jc w:val="center"/>
              <w:rPr>
                <w:rFonts w:ascii="仿宋" w:hAnsi="仿宋" w:eastAsia="仿宋" w:cs="仿宋"/>
                <w:b/>
                <w:bCs/>
                <w:color w:val="000000"/>
                <w:sz w:val="20"/>
                <w:szCs w:val="20"/>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796C">
            <w:pPr>
              <w:jc w:val="center"/>
              <w:rPr>
                <w:rFonts w:ascii="仿宋" w:hAnsi="仿宋" w:eastAsia="仿宋" w:cs="仿宋"/>
                <w:b/>
                <w:bCs/>
                <w:color w:val="000000"/>
                <w:sz w:val="20"/>
                <w:szCs w:val="20"/>
              </w:rPr>
            </w:pPr>
          </w:p>
        </w:tc>
      </w:tr>
      <w:tr w14:paraId="3571389D">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A9C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86</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E465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数字化实验系统</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638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支持windows、ios、android操作系统；2、支持有线连接，无线蓝牙连接，传感器自动识别，蓝牙传输会根据设备距离进行排序，便于分组实验的展开；3、可同时连接多个采集器，并支持多个采集器同时工作；可同时支持20个传感器同时采集；4、通用界面采用多种功能风格显示，并且可自定义界面设计；5、通过坐标图像曲线、表格、数值、仪表盘等方式，实时、直观、精确显示实验数据；6、根据实验需要，可进行公式（变量）编辑，自主添加实验变量（或增量等），并通过公式编辑实现不同物理量之间的转换；7、可对数据图表操作，包括对图表的移动、缩放、改变曲线颜色及粗细等，极大方便实验前后的数据分析处理，适合于教学中实验结果的精确测定与验证；8、具有完善的数据处理功能，包含多种数据拟合：导数拟合、直线拟合、双曲线拟合、抛物线拟合等；9、可根据需求将实验及实验结果以不同方式保存，可后续查看或继续对结果进行编辑操作；10、包含小学科学、初中物理、初中化学、初中生物、高中物理、高中生物、高中化学7个专用实验模块，全定制化的实验界面及实验操作，贴合教学过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4A2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E5E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0FF5620A">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15E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87</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5273">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实验资源管理云平台</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AED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实验资源管理云平台涵盖了实验课程、实验视频、实验方案、实验仪器的基于云端的管理平台：</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1、云端多学校管理方式，子学校独立运营维护。</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2、独立的子学校实验库+海量的云端实验库助力，目前云端实验库已有1000+教学实验，单个实验方案涵盖教师指导页，学生指导页和学生报告页，以此巩固课前预习，课中练习，课后复习的教学模式。</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3、独立的子学校仪器库+云端仪器库，一键可知仪器可做实验，一键打印实验课所需仪器准备清单。</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4、云平台同步实验课程计划，从备课组长学期备课，到老师同步预约上课，实验室管理员审核，实验课的仪器准备，打造全链式的智能化管理。</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5、数据统计，自动化实时统计学校的实验课情况，开课率，完成率，实验室使用率，仪器使用率，仪器损耗情况，仪器采购情况等。</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6、平台围绕这些核心功能提供了一系列辅助功能，推动学校的智能化管理，如仓库实验室管理，库存管理，年级组管理，课程编排，系统管理，心愿单管理。为老师提高探究水平，可视化掌握学校已有仪器资源，并应用在教学中，透明化的云平台，提升了老师间相互促进的环境，为学校教育资源同步到同一水平提供了可能。</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7、学校账号角色和数量：①、学校管理员*1；②、实验室总管理员*1；③、理化生三个学科实验室管理员*2（实验室总管理员兼任一个学科管理员）；④、理化生三个学科备课组长各年级各1个*9（共9个）；⑤、理化生三个学科教师各年级各10个*9（共90个）；共计：103个账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8、支持数字化实验系统软件在平台注册和登录，登录之后可使用“实验资源管理云平台”，可随时查看实验相关的指导手册、器材信息、实验视频的等资料。</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11A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FA9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6E5610F7">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4F6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88</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7A38">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探究实验智能终端</w:t>
            </w: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409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1.屏幕尺寸：10英寸及以上。</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2.内存/存储：≧3GB+32GB。</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3.屏幕：分辨率≧1920*1200。</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val="en-US" w:eastAsia="zh-CN" w:bidi="ar"/>
              </w:rPr>
              <w:t>4</w:t>
            </w:r>
            <w:r>
              <w:rPr>
                <w:rFonts w:hint="eastAsia" w:ascii="仿宋" w:hAnsi="仿宋" w:eastAsia="仿宋" w:cs="仿宋"/>
                <w:color w:val="000000"/>
                <w:kern w:val="0"/>
                <w:sz w:val="20"/>
                <w:szCs w:val="20"/>
                <w:lang w:bidi="ar"/>
              </w:rPr>
              <w:t>.支持无线蓝牙。</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CA3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568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r>
      <w:tr w14:paraId="00167646">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34E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89</w:t>
            </w:r>
          </w:p>
        </w:tc>
        <w:tc>
          <w:tcPr>
            <w:tcW w:w="959" w:type="dxa"/>
            <w:gridSpan w:val="2"/>
            <w:tcBorders>
              <w:top w:val="nil"/>
              <w:left w:val="single" w:color="000000" w:sz="4" w:space="0"/>
              <w:bottom w:val="single" w:color="000000" w:sz="4" w:space="0"/>
              <w:right w:val="single" w:color="000000" w:sz="4" w:space="0"/>
            </w:tcBorders>
            <w:shd w:val="clear" w:color="auto" w:fill="auto"/>
            <w:noWrap/>
            <w:vAlign w:val="center"/>
          </w:tcPr>
          <w:p w14:paraId="2E476065">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智能终端储存柜</w:t>
            </w:r>
          </w:p>
        </w:tc>
        <w:tc>
          <w:tcPr>
            <w:tcW w:w="5826" w:type="dxa"/>
            <w:tcBorders>
              <w:top w:val="nil"/>
              <w:left w:val="single" w:color="000000" w:sz="4" w:space="0"/>
              <w:bottom w:val="single" w:color="000000" w:sz="4" w:space="0"/>
              <w:right w:val="single" w:color="000000" w:sz="4" w:space="0"/>
            </w:tcBorders>
            <w:shd w:val="clear" w:color="auto" w:fill="auto"/>
            <w:vAlign w:val="center"/>
          </w:tcPr>
          <w:p w14:paraId="4CAF8E0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用于集中存放、集中补能探究实验智能终端</w:t>
            </w:r>
          </w:p>
        </w:tc>
        <w:tc>
          <w:tcPr>
            <w:tcW w:w="618" w:type="dxa"/>
            <w:tcBorders>
              <w:top w:val="nil"/>
              <w:left w:val="single" w:color="000000" w:sz="4" w:space="0"/>
              <w:bottom w:val="single" w:color="000000" w:sz="4" w:space="0"/>
              <w:right w:val="single" w:color="000000" w:sz="4" w:space="0"/>
            </w:tcBorders>
            <w:shd w:val="clear" w:color="auto" w:fill="auto"/>
            <w:vAlign w:val="center"/>
          </w:tcPr>
          <w:p w14:paraId="13B1DDE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49" w:type="dxa"/>
            <w:tcBorders>
              <w:top w:val="nil"/>
              <w:left w:val="single" w:color="000000" w:sz="4" w:space="0"/>
              <w:bottom w:val="single" w:color="000000" w:sz="4" w:space="0"/>
              <w:right w:val="single" w:color="000000" w:sz="4" w:space="0"/>
            </w:tcBorders>
            <w:shd w:val="clear" w:color="auto" w:fill="auto"/>
            <w:vAlign w:val="center"/>
          </w:tcPr>
          <w:p w14:paraId="58B1A2B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r>
      <w:tr w14:paraId="57D0274E">
        <w:tblPrEx>
          <w:tblCellMar>
            <w:top w:w="0" w:type="dxa"/>
            <w:left w:w="108" w:type="dxa"/>
            <w:bottom w:w="0" w:type="dxa"/>
            <w:right w:w="108" w:type="dxa"/>
          </w:tblCellMar>
        </w:tblPrEx>
        <w:tc>
          <w:tcPr>
            <w:tcW w:w="86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DC669FD">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b/>
                <w:bCs/>
                <w:color w:val="000000"/>
                <w:kern w:val="0"/>
                <w:sz w:val="20"/>
                <w:szCs w:val="20"/>
                <w:lang w:bidi="ar"/>
              </w:rPr>
              <w:t>一体机设备</w:t>
            </w:r>
          </w:p>
        </w:tc>
      </w:tr>
      <w:tr w14:paraId="09DFD328">
        <w:tblPrEx>
          <w:tblCellMar>
            <w:top w:w="0" w:type="dxa"/>
            <w:left w:w="108" w:type="dxa"/>
            <w:bottom w:w="0" w:type="dxa"/>
            <w:right w:w="108" w:type="dxa"/>
          </w:tblCellMar>
        </w:tblPrEx>
        <w:tc>
          <w:tcPr>
            <w:tcW w:w="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0E454B">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4FDEC">
            <w:pPr>
              <w:widowControl/>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教学一体机</w:t>
            </w:r>
          </w:p>
        </w:tc>
        <w:tc>
          <w:tcPr>
            <w:tcW w:w="5826" w:type="dxa"/>
            <w:tcBorders>
              <w:top w:val="single" w:color="auto" w:sz="4" w:space="0"/>
              <w:left w:val="single" w:color="auto" w:sz="4" w:space="0"/>
              <w:bottom w:val="single" w:color="auto" w:sz="4" w:space="0"/>
              <w:right w:val="single" w:color="auto" w:sz="4" w:space="0"/>
            </w:tcBorders>
            <w:shd w:val="clear" w:color="auto" w:fill="auto"/>
            <w:vAlign w:val="center"/>
          </w:tcPr>
          <w:p w14:paraId="2CF7EA1E">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一、整体设计</w:t>
            </w:r>
          </w:p>
          <w:p w14:paraId="4B5C5E79">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1、整机采用全金属外壳一体设计，防潮耐盐雾蚀锈。屏幕采用86英寸超高清LED液晶显示屏，显示比例16:9，分辨率3840×2160。</w:t>
            </w:r>
          </w:p>
          <w:p w14:paraId="428D7C36">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2、采用全物理钢化防眩光玻璃，钢化玻璃表面硬度≥9H，有效保护屏幕显示画面；支持防眩光功能，减少用眼疲劳。</w:t>
            </w:r>
          </w:p>
          <w:p w14:paraId="6649127F">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3、侧置输入接口具备2路HDMI、1路RS232、1路USB；输出接口具备1路音频输出、1路触控USB输出。前置1路Type-C、2路USB。</w:t>
            </w:r>
          </w:p>
          <w:p w14:paraId="19C55637">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4、前置USB接口具备防撞挡板设计，防撞挡板采用转轴式翻转。</w:t>
            </w:r>
          </w:p>
          <w:p w14:paraId="578A66D9">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5、内置摄像头、麦克风无需外接线材连接，无任何可见外接线材及模块化拼接痕迹，未占用整机设备端口。</w:t>
            </w:r>
          </w:p>
          <w:p w14:paraId="6DD09E4B">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6、整机内置扬声器采用缝隙发声技术，槽式开口设计，不大于5.8mm；采用2.2声道扬声器，位于设备上边框，顶置朝前发声，额定总功率60W。</w:t>
            </w:r>
          </w:p>
          <w:p w14:paraId="68FDA82B">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7、整机可选择高级音效设置，支持修改左右声道平衡，调节中低频段、高频段。扬声器在100%音量下，可做到1米处声压级≥88db，10米处声压级≥79dB。</w:t>
            </w:r>
          </w:p>
          <w:p w14:paraId="0B87601C">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8、支持标准、听力、观影和AI空间感知音效模式，内置麦克风可采集教室物理环境声音，自动生成符合当前教室物理环境的频段、音量、音效，优化学习体验。</w:t>
            </w:r>
          </w:p>
          <w:p w14:paraId="50D95D9D">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9、整机内置非独立外扩展的8阵列麦克风，拾音角度≥180°，拾音距离≥12米，全面覆盖，保证教室内声音的清晰收录。</w:t>
            </w:r>
          </w:p>
          <w:p w14:paraId="7B46E99C">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10、整机背光系统支持DC调光方式，避免频闪调光引起的视觉疲劳，在白颜色背景下可做到最暗亮度≤100nit，保护师生视力。</w:t>
            </w:r>
          </w:p>
          <w:p w14:paraId="65FDB07F">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整机系统支持人工智能画质调节模式（AI-PQ），在安卓通道下可根据屏幕内容自动调节画质参数，如调整对比度、饱和度、锐利度、色调色相值、高光/阴影等，以达到更好的观看体验；整机屏幕蓝光占比＜50%；视网膜蓝光危害满足IECTR62778:2014蓝光危害RG0级别，低蓝光显示保护用眼安全。</w:t>
            </w:r>
          </w:p>
          <w:p w14:paraId="4A49F8EA">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12、整机在sRGB色彩空间下可做到高色准△E≤1，提供细腻的色彩表现，减少绚丽画面带来的用眼疲劳。</w:t>
            </w:r>
          </w:p>
          <w:p w14:paraId="4F575415">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13、整机支持5个自定义前置按键，可将按键设置为批注、截屏、放大镜等教学小工具以及节能、护眼、自动亮度等模式的快捷开关。</w:t>
            </w:r>
          </w:p>
          <w:p w14:paraId="498C59BE">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14、整机支持蓝牙Bluetooth5.4标准，设备连接更加稳定。</w:t>
            </w:r>
          </w:p>
          <w:p w14:paraId="3B126CED">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15、整机内置传屏接收模块，无需附加设备，可将外部电脑、手机的音视频信号实时传输到整机；外部电脑传屏时，支持触摸回传及控制、勿扰模式、暂停投屏；开启勿扰模式时，不允许其他人传屏；投屏时可以选择过滤特定应用窗口，保障隐私安全。</w:t>
            </w:r>
          </w:p>
          <w:p w14:paraId="074C457B">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16、整机内置双WiFi6无线网卡（不接受外接），Wi-Fi制式IEEE802.11a/b/g/n/ac/ax。在Android下支持无线设备同时连接数量≥32个，Windows系统下支持数量≥8个。</w:t>
            </w:r>
          </w:p>
          <w:p w14:paraId="022700B1">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17、整机上边框内置非独立式广角摄像头和智能拼接摄像头，采用一体化集成设计，摄像头数量≥4个，均支持3D降噪算法和数字宽动态范围成像WDR技术。</w:t>
            </w:r>
          </w:p>
          <w:p w14:paraId="0933F836">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18、智能拼接摄像头，视场角≥141度且水平视场角≥139度，可拍摄≥1600万像素的照片，支持输出8192×2048分辨率的照片和视频，支持画面畸变矫正功能。可同时输出至少3路视频流。</w:t>
            </w:r>
          </w:p>
          <w:p w14:paraId="49B17B48">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19、广角高清摄像头，视场角≥142度且水平视场角≥121度，在清晰度为2592 x 1944分辨率下，支持30帧的视频输出；整机摄像头支持人脸识别进行登录账号；支持识别所有学生，同时显示标记不少于60人，可随机抽选1人。支持距离摄像头位置≥10米的AI识别人脸。</w:t>
            </w:r>
          </w:p>
          <w:p w14:paraId="1403D909">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二、触摸系统</w:t>
            </w:r>
          </w:p>
          <w:p w14:paraId="6166B8E6">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1、采用红外触控技术，支持Windows系统中进行40点或以上触控，Android系统中进行40点或以上触控。</w:t>
            </w:r>
          </w:p>
          <w:p w14:paraId="148623EA">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2、整机在书写速度≥50cm/s，笔迹与笔的距离小于20mm，书写过程流畅。</w:t>
            </w:r>
          </w:p>
          <w:p w14:paraId="00FF9FFF">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3、触摸分辨率32768×32768，书写触控延迟≤25ms。触摸响应≤4ms，触摸最小识别物≤3mm，有效识别高度≤1.5mm；定位精度高，保证书写准确性。</w:t>
            </w:r>
          </w:p>
          <w:p w14:paraId="0A33DB06">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4、整机检测到红外笔尖接触屏幕时，自动进入书写模式；并在唤醒提笔书写后，支持手笔分离功能，使用笔正常书写，使用手指可点击操作，满足多场景使用。</w:t>
            </w:r>
          </w:p>
          <w:p w14:paraId="6F3D29BC">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三、主要功能</w:t>
            </w:r>
          </w:p>
          <w:p w14:paraId="0A124F6F">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1、整机支持故障检测、系统还原功能，，无需额外工具辅助。</w:t>
            </w:r>
          </w:p>
          <w:p w14:paraId="14021672">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2、整机支持通过Type-C接口进行手机充电，最大充电功率15W。</w:t>
            </w:r>
          </w:p>
          <w:p w14:paraId="5AEDC1F0">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3、外接电脑设备经双头Type-C线连接至整机，可调用整机内置的摄像头、麦克风、扬声器，在外接电脑即可控制整机拍摄教室画面；同时可将外接电脑的音视频、触摸信号传输到整机。</w:t>
            </w:r>
          </w:p>
          <w:p w14:paraId="60159F6D">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4、整机全通道侧边栏快捷菜单支持简洁、常规模式切换。侧边栏及中控菜单支持应用自由切换，全屏应用下无需退出即可进行切换。</w:t>
            </w:r>
          </w:p>
          <w:p w14:paraId="178EF417">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5、整机全通道侧边栏快捷菜单中可实时查看物联设备，如视频展台、音响、麦克风、智能笔、传屏器的连接情况，支持读取设备型号，显示对应实物图片，点击设备图标即可调出中控菜单进行管控。</w:t>
            </w:r>
          </w:p>
          <w:p w14:paraId="0D2F4210">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6、整机支持多人同时将手机文件传输到整机上，无需借助第三方网页、应用，当手机端登录账号与整机一致时，可快速接收文件，无需二次确认，传输文件格式支持文档、图片、音视频、压缩包等多类型。</w:t>
            </w:r>
          </w:p>
          <w:p w14:paraId="233FCDDE">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7、整机支持文件传输应用，传输方式支持公网传输、局域网传输、WiFi 直连传输。支持通过扫码、wifi直联、超声三种方式与手机进行握手连接，实现文件传输功能。</w:t>
            </w:r>
          </w:p>
          <w:p w14:paraId="79AC591B">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8、开启文件传输应用后，可自动打开整机热点并显示热点信息；接收的文件支持单份删除、全部清空；为防止误清空，全部清空需要经过二次确认。</w:t>
            </w:r>
          </w:p>
          <w:p w14:paraId="68E31761">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9、整机设备教学桌面支持进行重启、关机、锁屏操作。当设备有其他输入源时，可在桌面点击信号源进行输入源切换。</w:t>
            </w:r>
          </w:p>
          <w:p w14:paraId="2BA64D9C">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10、整机侧边栏内置朗读工具，通过整机麦克风内置音频检测算法监测教室中学生的朗读情况，以游戏化界面呈现朗读积极性，调动学生朗读兴趣。</w:t>
            </w:r>
          </w:p>
          <w:p w14:paraId="61BC5D7F">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11、整机侧边栏内置自习工具，通过整机麦克风内置AI音频检测算法监测教室中学生音量大小，当学生音量大于阈值时，屏幕自动弹窗提醒进行自习纪律干预。</w:t>
            </w:r>
          </w:p>
          <w:p w14:paraId="0C5D5C78">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四、硬件模块</w:t>
            </w:r>
          </w:p>
          <w:p w14:paraId="00C83AE7">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1、8G内存，256G固态硬盘；</w:t>
            </w:r>
          </w:p>
          <w:p w14:paraId="1518EBE6">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PC模块可抽拉式插入整机，实现无单独接线的拔插。采用按压式卡扣，无需工具即可快速拆卸电脑模块；具有≥1路HDMI输出，≥3个USB3.0接口；和整机的连接接口针脚数≤80pin，采用万兆级接口，传输速率≥10Gbps。</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14C36532">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18415858">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台</w:t>
            </w:r>
          </w:p>
        </w:tc>
      </w:tr>
      <w:tr w14:paraId="0978ABFF">
        <w:tblPrEx>
          <w:tblCellMar>
            <w:top w:w="0" w:type="dxa"/>
            <w:left w:w="108" w:type="dxa"/>
            <w:bottom w:w="0" w:type="dxa"/>
            <w:right w:w="108" w:type="dxa"/>
          </w:tblCellMar>
        </w:tblPrEx>
        <w:tc>
          <w:tcPr>
            <w:tcW w:w="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89081C">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E91B2">
            <w:pPr>
              <w:widowControl/>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推拉黑板</w:t>
            </w:r>
          </w:p>
        </w:tc>
        <w:tc>
          <w:tcPr>
            <w:tcW w:w="5826" w:type="dxa"/>
            <w:tcBorders>
              <w:top w:val="single" w:color="auto" w:sz="4" w:space="0"/>
              <w:left w:val="single" w:color="auto" w:sz="4" w:space="0"/>
              <w:bottom w:val="single" w:color="auto" w:sz="4" w:space="0"/>
              <w:right w:val="single" w:color="auto" w:sz="4" w:space="0"/>
            </w:tcBorders>
            <w:shd w:val="clear" w:color="auto" w:fill="auto"/>
            <w:vAlign w:val="center"/>
          </w:tcPr>
          <w:p w14:paraId="788BFDE8">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1、基本尺寸：外径≥4000mm*1240mm(可根据一体机微调)，左右推拉结构，外框（滑道）一次成型设计；配套的活动黑板装备锁定装置。</w:t>
            </w:r>
          </w:p>
          <w:p w14:paraId="271C576A">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2.书写面：优质烤漆板面，墨绿色、亚光,没有明显眩光。</w:t>
            </w:r>
          </w:p>
          <w:p w14:paraId="35F4AF94">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3.内芯材料：防潮、吸音，书写无吱咔声，改善书写手感。</w:t>
            </w:r>
          </w:p>
          <w:p w14:paraId="3928C2CD">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4.背板：采用优质防锈热镀锌钢板</w:t>
            </w:r>
          </w:p>
          <w:p w14:paraId="330065AF">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5.板面与衬板粘贴：采用环保多元醇胶，机械化制作，高温一次成型</w:t>
            </w:r>
          </w:p>
          <w:p w14:paraId="2B555F2F">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6.边框：外边框整体采用高强度铝合金，厚度≥1.0mm，，活动书写板边框采用静电喷涂工艺，与外框色调一致。</w:t>
            </w:r>
          </w:p>
          <w:p w14:paraId="665052A7">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7.书写板滑轮：配装镶嵌式滑轮，带减震胶套，保证滑动流畅、经久耐用</w:t>
            </w:r>
          </w:p>
          <w:p w14:paraId="33289CDC">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8.限位档：书写板边框内部一侧安装隐形式限位档，保证活动书写板打开时不会碰撞立框，卡手。</w:t>
            </w:r>
          </w:p>
          <w:p w14:paraId="5D593C22">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9.除尘装置：边框自带粉笔槽，隐藏式粉笔灰盒，亦避免粉笔灰落入轨道而难以清理，确保移动板面左右推拉顺畅无滞；保证滑动流畅，经久耐用。</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053322D4">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9627D31">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块</w:t>
            </w:r>
          </w:p>
        </w:tc>
      </w:tr>
      <w:tr w14:paraId="64A52603">
        <w:tblPrEx>
          <w:tblCellMar>
            <w:top w:w="0" w:type="dxa"/>
            <w:left w:w="108" w:type="dxa"/>
            <w:bottom w:w="0" w:type="dxa"/>
            <w:right w:w="108" w:type="dxa"/>
          </w:tblCellMar>
        </w:tblPrEx>
        <w:tc>
          <w:tcPr>
            <w:tcW w:w="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9BC30E">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F1C5C">
            <w:pPr>
              <w:widowControl/>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智能笔</w:t>
            </w:r>
          </w:p>
        </w:tc>
        <w:tc>
          <w:tcPr>
            <w:tcW w:w="5826" w:type="dxa"/>
            <w:tcBorders>
              <w:top w:val="single" w:color="auto" w:sz="4" w:space="0"/>
              <w:left w:val="single" w:color="auto" w:sz="4" w:space="0"/>
              <w:bottom w:val="single" w:color="auto" w:sz="4" w:space="0"/>
              <w:right w:val="single" w:color="auto" w:sz="4" w:space="0"/>
            </w:tcBorders>
            <w:shd w:val="clear" w:color="auto" w:fill="auto"/>
            <w:vAlign w:val="center"/>
          </w:tcPr>
          <w:p w14:paraId="63417154">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1、外观：笔身造型采用圆润一体化笔型设计，表面采用手感漆工艺便于握持；笔身长度≤17cm,笔身直径≤13mm，笔身重量≤18g；</w:t>
            </w:r>
          </w:p>
          <w:p w14:paraId="038C82E7">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2、笔身配置不少于五个按键，具备上下翻页，智能语音，远程聚光灯/放大，书写颜色切换，兼顾触摸书写以及远程操控的握持姿态；</w:t>
            </w:r>
          </w:p>
          <w:p w14:paraId="0F29698B">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3、笔头：采用锥型笔尖设计，直径≤3mm；同时支持电容，红外触控设备书写，书写最小精度2mm，连续书写距离不小于7km；</w:t>
            </w:r>
          </w:p>
          <w:p w14:paraId="7461E862">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4、批注：支持按键调起批注功能，可通过按键实现批注颜色切换，长按按键可实现橡皮擦功能</w:t>
            </w:r>
          </w:p>
          <w:p w14:paraId="5C02E8E2">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5、无线：为保障用户在不同场景使用智能笔，支持无线dongle及蓝牙两种连接方式，支持蓝牙5.1协议；无线dongle&amp;蓝牙连接距离≥12m，上下翻页/语音控制/远程批注实现距离≥12m，覆盖标准教室。</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14:paraId="652D7AE6">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BB691D1">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w:t>
            </w:r>
          </w:p>
        </w:tc>
      </w:tr>
    </w:tbl>
    <w:p w14:paraId="47C6E57F">
      <w:pPr>
        <w:pStyle w:val="2"/>
        <w:ind w:firstLineChars="175"/>
        <w:rPr>
          <w:rFonts w:hint="eastAsia" w:ascii="仿宋" w:hAnsi="仿宋" w:eastAsia="仿宋" w:cs="仿宋"/>
          <w:szCs w:val="24"/>
          <w:lang w:val="en-US"/>
        </w:rPr>
      </w:pPr>
    </w:p>
    <w:p w14:paraId="59D3C0C0">
      <w:pPr>
        <w:pStyle w:val="2"/>
        <w:ind w:firstLineChars="175"/>
        <w:rPr>
          <w:rFonts w:hint="default" w:ascii="仿宋" w:hAnsi="仿宋" w:eastAsia="仿宋" w:cs="仿宋"/>
          <w:szCs w:val="24"/>
          <w:lang w:val="en-US" w:eastAsia="zh-CN"/>
        </w:rPr>
      </w:pPr>
      <w:r>
        <w:rPr>
          <w:rFonts w:hint="eastAsia" w:ascii="仿宋" w:hAnsi="仿宋" w:eastAsia="仿宋" w:cs="仿宋"/>
          <w:szCs w:val="24"/>
          <w:lang w:val="en-US"/>
        </w:rPr>
        <w:t>备注：</w:t>
      </w:r>
      <w:r>
        <w:rPr>
          <w:rFonts w:hint="eastAsia" w:ascii="仿宋" w:hAnsi="仿宋" w:eastAsia="仿宋" w:cs="仿宋"/>
          <w:sz w:val="21"/>
          <w:szCs w:val="21"/>
          <w:lang w:val="zh-CN"/>
        </w:rPr>
        <w:t>▲</w:t>
      </w:r>
      <w:r>
        <w:rPr>
          <w:rFonts w:hint="eastAsia" w:ascii="仿宋" w:hAnsi="仿宋" w:eastAsia="仿宋" w:cs="仿宋"/>
          <w:szCs w:val="24"/>
          <w:lang w:val="en-US" w:eastAsia="zh-CN"/>
        </w:rPr>
        <w:t>1、质保期3年</w:t>
      </w:r>
    </w:p>
    <w:p w14:paraId="05A2800D">
      <w:pPr>
        <w:pStyle w:val="2"/>
        <w:ind w:firstLineChars="175"/>
        <w:rPr>
          <w:rFonts w:hint="eastAsia" w:ascii="仿宋" w:hAnsi="仿宋" w:eastAsia="仿宋" w:cs="仿宋"/>
          <w:szCs w:val="24"/>
          <w:lang w:val="en-US" w:eastAsia="zh-CN"/>
        </w:rPr>
      </w:pPr>
      <w:r>
        <w:rPr>
          <w:rFonts w:hint="eastAsia" w:ascii="仿宋" w:hAnsi="仿宋" w:eastAsia="仿宋" w:cs="仿宋"/>
          <w:szCs w:val="24"/>
          <w:lang w:val="en-US" w:eastAsia="zh-CN"/>
        </w:rPr>
        <w:t xml:space="preserve">      2、</w:t>
      </w:r>
      <w:r>
        <w:rPr>
          <w:rFonts w:hint="eastAsia" w:ascii="仿宋" w:hAnsi="仿宋" w:eastAsia="仿宋" w:cs="仿宋"/>
          <w:szCs w:val="24"/>
          <w:lang w:val="en-US"/>
        </w:rPr>
        <w:t>清单中部分仪器设备标定的尺寸大小为参考值，在合理范围内允许有偏差。</w:t>
      </w:r>
      <w:r>
        <w:rPr>
          <w:rFonts w:hint="eastAsia" w:ascii="仿宋" w:hAnsi="仿宋" w:eastAsia="仿宋" w:cs="仿宋"/>
          <w:szCs w:val="24"/>
          <w:lang w:val="en-US" w:eastAsia="zh-CN"/>
        </w:rPr>
        <w:t xml:space="preserve"> </w:t>
      </w:r>
    </w:p>
    <w:p w14:paraId="7313E4BA">
      <w:pPr>
        <w:pStyle w:val="2"/>
        <w:ind w:firstLineChars="175"/>
        <w:rPr>
          <w:rFonts w:hint="eastAsia" w:ascii="仿宋" w:hAnsi="仿宋" w:eastAsia="仿宋" w:cs="仿宋"/>
          <w:szCs w:val="24"/>
          <w:lang w:val="en-US"/>
        </w:rPr>
      </w:pPr>
    </w:p>
    <w:p w14:paraId="452165D4">
      <w:pPr>
        <w:pStyle w:val="2"/>
        <w:ind w:firstLineChars="175"/>
        <w:rPr>
          <w:rFonts w:hint="eastAsia" w:ascii="仿宋" w:hAnsi="仿宋" w:eastAsia="仿宋" w:cs="仿宋"/>
          <w:szCs w:val="24"/>
          <w:lang w:val="en-US"/>
        </w:rPr>
      </w:pPr>
    </w:p>
    <w:p w14:paraId="4C0EE3FE">
      <w:pPr>
        <w:rPr>
          <w:rFonts w:hint="eastAsia" w:ascii="仿宋" w:hAnsi="仿宋" w:eastAsia="仿宋" w:cs="仿宋"/>
        </w:rPr>
      </w:pPr>
    </w:p>
    <w:bookmarkEnd w:id="17"/>
    <w:p w14:paraId="6F3C9A36">
      <w:pPr>
        <w:tabs>
          <w:tab w:val="left" w:pos="0"/>
        </w:tabs>
        <w:spacing w:line="360" w:lineRule="auto"/>
        <w:ind w:firstLine="480"/>
        <w:rPr>
          <w:rFonts w:hint="eastAsia" w:ascii="仿宋" w:hAnsi="仿宋" w:eastAsia="仿宋" w:cs="仿宋"/>
          <w:kern w:val="0"/>
          <w:sz w:val="24"/>
        </w:rPr>
        <w:sectPr>
          <w:headerReference r:id="rId5" w:type="first"/>
          <w:footerReference r:id="rId8" w:type="first"/>
          <w:headerReference r:id="rId4" w:type="default"/>
          <w:footerReference r:id="rId6" w:type="default"/>
          <w:footerReference r:id="rId7" w:type="even"/>
          <w:pgSz w:w="11906" w:h="16838"/>
          <w:pgMar w:top="1440" w:right="1080" w:bottom="1440" w:left="1080" w:header="851" w:footer="992" w:gutter="0"/>
          <w:cols w:space="720" w:num="1"/>
          <w:titlePg/>
          <w:docGrid w:linePitch="312" w:charSpace="0"/>
        </w:sectPr>
      </w:pPr>
      <w:bookmarkStart w:id="18" w:name="_Hlt75236101"/>
      <w:bookmarkEnd w:id="18"/>
      <w:bookmarkStart w:id="19" w:name="_Hlt74707468"/>
      <w:bookmarkEnd w:id="19"/>
      <w:bookmarkStart w:id="20" w:name="_Hlt68073093"/>
      <w:bookmarkEnd w:id="20"/>
      <w:bookmarkStart w:id="21" w:name="_Hlt68072990"/>
      <w:bookmarkEnd w:id="21"/>
      <w:bookmarkStart w:id="22" w:name="_Hlt68403820"/>
      <w:bookmarkEnd w:id="22"/>
      <w:bookmarkStart w:id="23" w:name="_Hlt75236290"/>
      <w:bookmarkEnd w:id="23"/>
      <w:bookmarkStart w:id="24" w:name="_Hlt74729768"/>
      <w:bookmarkEnd w:id="24"/>
      <w:bookmarkStart w:id="25" w:name="_Hlt74714665"/>
      <w:bookmarkEnd w:id="25"/>
      <w:bookmarkStart w:id="26" w:name="_Hlt68072998"/>
      <w:bookmarkEnd w:id="26"/>
      <w:bookmarkStart w:id="27" w:name="_Hlt75236011"/>
      <w:bookmarkEnd w:id="27"/>
      <w:bookmarkStart w:id="28" w:name="_Hlt68057669"/>
      <w:bookmarkEnd w:id="28"/>
      <w:bookmarkStart w:id="29" w:name="_Hlt74730295"/>
      <w:bookmarkEnd w:id="29"/>
    </w:p>
    <w:bookmarkEnd w:id="13"/>
    <w:bookmarkEnd w:id="14"/>
    <w:p w14:paraId="437BA331">
      <w:pPr>
        <w:pStyle w:val="3"/>
        <w:jc w:val="center"/>
        <w:rPr>
          <w:rFonts w:hint="eastAsia" w:ascii="仿宋" w:hAnsi="仿宋" w:eastAsia="仿宋" w:cs="仿宋"/>
        </w:rPr>
      </w:pPr>
      <w:bookmarkStart w:id="30" w:name="第四部分"/>
      <w:r>
        <w:rPr>
          <w:rFonts w:hint="eastAsia" w:ascii="仿宋" w:hAnsi="仿宋" w:eastAsia="仿宋" w:cs="仿宋"/>
        </w:rPr>
        <w:t>第四部分</w:t>
      </w:r>
      <w:bookmarkStart w:id="31" w:name="_Toc184310287"/>
      <w:bookmarkEnd w:id="31"/>
      <w:bookmarkStart w:id="32" w:name="_Toc184314425"/>
      <w:bookmarkEnd w:id="32"/>
      <w:bookmarkStart w:id="33" w:name="_Toc184310278"/>
      <w:bookmarkEnd w:id="33"/>
      <w:bookmarkStart w:id="34" w:name="_Toc184310338"/>
      <w:bookmarkEnd w:id="34"/>
      <w:bookmarkStart w:id="35" w:name="_Toc184314447"/>
      <w:bookmarkEnd w:id="35"/>
      <w:bookmarkStart w:id="36" w:name="_Toc184308081"/>
      <w:bookmarkEnd w:id="36"/>
      <w:bookmarkStart w:id="37" w:name="_Toc184310275"/>
      <w:bookmarkEnd w:id="37"/>
      <w:bookmarkStart w:id="38" w:name="_Toc184313285"/>
      <w:bookmarkEnd w:id="38"/>
      <w:bookmarkStart w:id="39" w:name="_Toc184310326"/>
      <w:bookmarkEnd w:id="39"/>
      <w:bookmarkStart w:id="40" w:name="_Toc184313239"/>
      <w:bookmarkEnd w:id="40"/>
      <w:bookmarkStart w:id="41" w:name="_Toc184314438"/>
      <w:bookmarkEnd w:id="41"/>
      <w:bookmarkStart w:id="42" w:name="_Toc184310310"/>
      <w:bookmarkEnd w:id="42"/>
      <w:bookmarkStart w:id="43" w:name="_Toc184314470"/>
      <w:bookmarkEnd w:id="43"/>
      <w:bookmarkStart w:id="44" w:name="_Toc184308083"/>
      <w:bookmarkEnd w:id="44"/>
      <w:bookmarkStart w:id="45" w:name="_Toc184313240"/>
      <w:bookmarkEnd w:id="45"/>
      <w:bookmarkStart w:id="46" w:name="_Toc184308089"/>
      <w:bookmarkEnd w:id="46"/>
      <w:bookmarkStart w:id="47" w:name="_Toc184310341"/>
      <w:bookmarkEnd w:id="47"/>
      <w:bookmarkStart w:id="48" w:name="_Toc184314451"/>
      <w:bookmarkEnd w:id="48"/>
      <w:bookmarkStart w:id="49" w:name="_Toc184314463"/>
      <w:bookmarkEnd w:id="49"/>
      <w:bookmarkStart w:id="50" w:name="_Toc184310342"/>
      <w:bookmarkEnd w:id="50"/>
      <w:bookmarkStart w:id="51" w:name="_Toc184313293"/>
      <w:bookmarkEnd w:id="51"/>
      <w:bookmarkStart w:id="52" w:name="_Toc184310306"/>
      <w:bookmarkEnd w:id="52"/>
      <w:bookmarkStart w:id="53" w:name="_Toc184308078"/>
      <w:bookmarkEnd w:id="53"/>
      <w:bookmarkStart w:id="54" w:name="_Toc184313289"/>
      <w:bookmarkEnd w:id="54"/>
      <w:bookmarkStart w:id="55" w:name="_Toc184314434"/>
      <w:bookmarkEnd w:id="55"/>
      <w:bookmarkStart w:id="56" w:name="_Toc184310336"/>
      <w:bookmarkEnd w:id="56"/>
      <w:bookmarkStart w:id="57" w:name="_Toc184314432"/>
      <w:bookmarkEnd w:id="57"/>
      <w:bookmarkStart w:id="58" w:name="_Toc184310286"/>
      <w:bookmarkEnd w:id="58"/>
      <w:bookmarkStart w:id="59" w:name="_Toc184310318"/>
      <w:bookmarkEnd w:id="59"/>
      <w:bookmarkStart w:id="60" w:name="_Toc184308059"/>
      <w:bookmarkEnd w:id="60"/>
      <w:bookmarkStart w:id="61" w:name="_Toc184308056"/>
      <w:bookmarkEnd w:id="61"/>
      <w:bookmarkStart w:id="62" w:name="_Toc184312104"/>
      <w:bookmarkEnd w:id="62"/>
      <w:bookmarkStart w:id="63" w:name="_Toc184310315"/>
      <w:bookmarkEnd w:id="63"/>
      <w:bookmarkStart w:id="64" w:name="_Toc184310285"/>
      <w:bookmarkEnd w:id="64"/>
      <w:bookmarkStart w:id="65" w:name="_Toc184314458"/>
      <w:bookmarkEnd w:id="65"/>
      <w:bookmarkStart w:id="66" w:name="_Toc184312095"/>
      <w:bookmarkEnd w:id="66"/>
      <w:bookmarkStart w:id="67" w:name="_Toc184308070"/>
      <w:bookmarkEnd w:id="67"/>
      <w:bookmarkStart w:id="68" w:name="_Toc184312081"/>
      <w:bookmarkEnd w:id="68"/>
      <w:bookmarkStart w:id="69" w:name="_Toc184313310"/>
      <w:bookmarkEnd w:id="69"/>
      <w:bookmarkStart w:id="70" w:name="_Toc184312134"/>
      <w:bookmarkEnd w:id="70"/>
      <w:bookmarkStart w:id="71" w:name="_Toc184313255"/>
      <w:bookmarkEnd w:id="71"/>
      <w:bookmarkStart w:id="72" w:name="_Toc184314420"/>
      <w:bookmarkEnd w:id="72"/>
      <w:bookmarkStart w:id="73" w:name="_Toc184312070"/>
      <w:bookmarkEnd w:id="73"/>
      <w:bookmarkStart w:id="74" w:name="_Toc184312132"/>
      <w:bookmarkEnd w:id="74"/>
      <w:bookmarkStart w:id="75" w:name="_Toc184313266"/>
      <w:bookmarkEnd w:id="75"/>
      <w:bookmarkStart w:id="76" w:name="_Toc184308085"/>
      <w:bookmarkEnd w:id="76"/>
      <w:bookmarkStart w:id="77" w:name="_Toc184314457"/>
      <w:bookmarkEnd w:id="77"/>
      <w:bookmarkStart w:id="78" w:name="_Toc184308066"/>
      <w:bookmarkEnd w:id="78"/>
      <w:bookmarkStart w:id="79" w:name="_Toc184312087"/>
      <w:bookmarkEnd w:id="79"/>
      <w:bookmarkStart w:id="80" w:name="_Toc184310277"/>
      <w:bookmarkEnd w:id="80"/>
      <w:bookmarkStart w:id="81" w:name="_Toc184310276"/>
      <w:bookmarkEnd w:id="81"/>
      <w:bookmarkStart w:id="82" w:name="_Toc184310322"/>
      <w:bookmarkEnd w:id="82"/>
      <w:bookmarkStart w:id="83" w:name="_Toc184313270"/>
      <w:bookmarkEnd w:id="83"/>
      <w:bookmarkStart w:id="84" w:name="_Toc184313301"/>
      <w:bookmarkEnd w:id="84"/>
      <w:bookmarkStart w:id="85" w:name="_Toc184314417"/>
      <w:bookmarkEnd w:id="85"/>
      <w:bookmarkStart w:id="86" w:name="_Toc184308061"/>
      <w:bookmarkEnd w:id="86"/>
      <w:bookmarkStart w:id="87" w:name="_Toc184312119"/>
      <w:bookmarkEnd w:id="87"/>
      <w:bookmarkStart w:id="88" w:name="_Toc184312108"/>
      <w:bookmarkEnd w:id="88"/>
      <w:bookmarkStart w:id="89" w:name="_Toc184314481"/>
      <w:bookmarkEnd w:id="89"/>
      <w:bookmarkStart w:id="90" w:name="_Toc184314477"/>
      <w:bookmarkEnd w:id="90"/>
      <w:bookmarkStart w:id="91" w:name="_Toc184314437"/>
      <w:bookmarkEnd w:id="91"/>
      <w:bookmarkStart w:id="92" w:name="_Toc184313247"/>
      <w:bookmarkEnd w:id="92"/>
      <w:bookmarkStart w:id="93" w:name="_Toc184313281"/>
      <w:bookmarkEnd w:id="93"/>
      <w:bookmarkStart w:id="94" w:name="_Toc184308044"/>
      <w:bookmarkEnd w:id="94"/>
      <w:bookmarkStart w:id="95" w:name="_Toc184314413"/>
      <w:bookmarkEnd w:id="95"/>
      <w:bookmarkStart w:id="96" w:name="_Toc184310340"/>
      <w:bookmarkEnd w:id="96"/>
      <w:bookmarkStart w:id="97" w:name="_Toc184308047"/>
      <w:bookmarkEnd w:id="97"/>
      <w:bookmarkStart w:id="98" w:name="_Toc184314424"/>
      <w:bookmarkEnd w:id="98"/>
      <w:bookmarkStart w:id="99" w:name="_Toc184314419"/>
      <w:bookmarkEnd w:id="99"/>
      <w:bookmarkStart w:id="100" w:name="_Toc184313261"/>
      <w:bookmarkEnd w:id="100"/>
      <w:bookmarkStart w:id="101" w:name="_Toc184314443"/>
      <w:bookmarkEnd w:id="101"/>
      <w:bookmarkStart w:id="102" w:name="_Toc184314442"/>
      <w:bookmarkEnd w:id="102"/>
      <w:bookmarkStart w:id="103" w:name="_Toc184312098"/>
      <w:bookmarkEnd w:id="103"/>
      <w:bookmarkStart w:id="104" w:name="_Toc184312137"/>
      <w:bookmarkEnd w:id="104"/>
      <w:bookmarkStart w:id="105" w:name="_Toc184313275"/>
      <w:bookmarkEnd w:id="105"/>
      <w:bookmarkStart w:id="106" w:name="_Toc184310321"/>
      <w:bookmarkEnd w:id="106"/>
      <w:bookmarkStart w:id="107" w:name="_Toc184312114"/>
      <w:bookmarkEnd w:id="107"/>
      <w:bookmarkStart w:id="108" w:name="_Toc184312091"/>
      <w:bookmarkEnd w:id="108"/>
      <w:bookmarkStart w:id="109" w:name="_Toc184313288"/>
      <w:bookmarkEnd w:id="109"/>
      <w:bookmarkStart w:id="110" w:name="_Toc184314455"/>
      <w:bookmarkEnd w:id="110"/>
      <w:bookmarkStart w:id="111" w:name="_Toc184308036"/>
      <w:bookmarkEnd w:id="111"/>
      <w:bookmarkStart w:id="112" w:name="_Toc184312083"/>
      <w:bookmarkEnd w:id="112"/>
      <w:bookmarkStart w:id="113" w:name="_Toc184310305"/>
      <w:bookmarkEnd w:id="113"/>
      <w:bookmarkStart w:id="114" w:name="_Toc184313252"/>
      <w:bookmarkEnd w:id="114"/>
      <w:bookmarkStart w:id="115" w:name="_Toc184313276"/>
      <w:bookmarkEnd w:id="115"/>
      <w:bookmarkStart w:id="116" w:name="_Toc184314411"/>
      <w:bookmarkEnd w:id="116"/>
      <w:bookmarkStart w:id="117" w:name="_Toc184310289"/>
      <w:bookmarkEnd w:id="117"/>
      <w:bookmarkStart w:id="118" w:name="_Toc184312097"/>
      <w:bookmarkEnd w:id="118"/>
      <w:bookmarkStart w:id="119" w:name="_Toc184314453"/>
      <w:bookmarkEnd w:id="119"/>
      <w:bookmarkStart w:id="120" w:name="_Toc184308092"/>
      <w:bookmarkEnd w:id="120"/>
      <w:bookmarkStart w:id="121" w:name="_Toc184308052"/>
      <w:bookmarkEnd w:id="121"/>
      <w:bookmarkStart w:id="122" w:name="_Toc184308077"/>
      <w:bookmarkEnd w:id="122"/>
      <w:bookmarkStart w:id="123" w:name="_Toc184314462"/>
      <w:bookmarkEnd w:id="123"/>
      <w:bookmarkStart w:id="124" w:name="_Toc184310298"/>
      <w:bookmarkEnd w:id="124"/>
      <w:bookmarkStart w:id="125" w:name="_Toc184313308"/>
      <w:bookmarkEnd w:id="125"/>
      <w:bookmarkStart w:id="126" w:name="_Toc184313282"/>
      <w:bookmarkEnd w:id="126"/>
      <w:bookmarkStart w:id="127" w:name="_Toc184313291"/>
      <w:bookmarkEnd w:id="127"/>
      <w:bookmarkStart w:id="128" w:name="_Toc184313263"/>
      <w:bookmarkEnd w:id="128"/>
      <w:bookmarkStart w:id="129" w:name="_Toc184308048"/>
      <w:bookmarkEnd w:id="129"/>
      <w:bookmarkStart w:id="130" w:name="_Toc184310309"/>
      <w:bookmarkEnd w:id="130"/>
      <w:bookmarkStart w:id="131" w:name="_Toc184312078"/>
      <w:bookmarkEnd w:id="131"/>
      <w:bookmarkStart w:id="132" w:name="_Toc184308084"/>
      <w:bookmarkEnd w:id="132"/>
      <w:bookmarkStart w:id="133" w:name="_Toc184314444"/>
      <w:bookmarkEnd w:id="133"/>
      <w:bookmarkStart w:id="134" w:name="_Toc184312106"/>
      <w:bookmarkEnd w:id="134"/>
      <w:bookmarkStart w:id="135" w:name="_Toc184310328"/>
      <w:bookmarkEnd w:id="135"/>
      <w:bookmarkStart w:id="136" w:name="_Toc184308049"/>
      <w:bookmarkEnd w:id="136"/>
      <w:bookmarkStart w:id="137" w:name="_Toc184308051"/>
      <w:bookmarkEnd w:id="137"/>
      <w:bookmarkStart w:id="138" w:name="_Toc184312075"/>
      <w:bookmarkEnd w:id="138"/>
      <w:bookmarkStart w:id="139" w:name="_Toc184314446"/>
      <w:bookmarkEnd w:id="139"/>
      <w:bookmarkStart w:id="140" w:name="_Toc184312094"/>
      <w:bookmarkEnd w:id="140"/>
      <w:bookmarkStart w:id="141" w:name="_Toc184314474"/>
      <w:bookmarkEnd w:id="141"/>
      <w:bookmarkStart w:id="142" w:name="_Toc184312113"/>
      <w:bookmarkEnd w:id="142"/>
      <w:bookmarkStart w:id="143" w:name="_Toc184310291"/>
      <w:bookmarkEnd w:id="143"/>
      <w:bookmarkStart w:id="144" w:name="_Toc184308075"/>
      <w:bookmarkEnd w:id="144"/>
      <w:bookmarkStart w:id="145" w:name="_Toc184313296"/>
      <w:bookmarkEnd w:id="145"/>
      <w:bookmarkStart w:id="146" w:name="_Toc184312074"/>
      <w:bookmarkEnd w:id="146"/>
      <w:bookmarkStart w:id="147" w:name="_Toc184314416"/>
      <w:bookmarkEnd w:id="147"/>
      <w:bookmarkStart w:id="148" w:name="_Toc184308039"/>
      <w:bookmarkEnd w:id="148"/>
      <w:bookmarkStart w:id="149" w:name="_Toc184312115"/>
      <w:bookmarkEnd w:id="149"/>
      <w:bookmarkStart w:id="150" w:name="_Toc184313280"/>
      <w:bookmarkEnd w:id="150"/>
      <w:bookmarkStart w:id="151" w:name="_Toc184313245"/>
      <w:bookmarkEnd w:id="151"/>
      <w:bookmarkStart w:id="152" w:name="_Toc184310282"/>
      <w:bookmarkEnd w:id="152"/>
      <w:bookmarkStart w:id="153" w:name="_Toc184314428"/>
      <w:bookmarkEnd w:id="153"/>
      <w:bookmarkStart w:id="154" w:name="_Toc184313265"/>
      <w:bookmarkEnd w:id="154"/>
      <w:bookmarkStart w:id="155" w:name="_Toc184310302"/>
      <w:bookmarkEnd w:id="155"/>
      <w:bookmarkStart w:id="156" w:name="_Toc184313304"/>
      <w:bookmarkEnd w:id="156"/>
      <w:bookmarkStart w:id="157" w:name="_Toc184314449"/>
      <w:bookmarkEnd w:id="157"/>
      <w:bookmarkStart w:id="158" w:name="_Toc184310323"/>
      <w:bookmarkEnd w:id="158"/>
      <w:bookmarkStart w:id="159" w:name="_Toc184310299"/>
      <w:bookmarkEnd w:id="159"/>
      <w:bookmarkStart w:id="160" w:name="_Toc184310304"/>
      <w:bookmarkEnd w:id="160"/>
      <w:bookmarkStart w:id="161" w:name="_Toc184310313"/>
      <w:bookmarkEnd w:id="161"/>
      <w:bookmarkStart w:id="162" w:name="_Toc184313251"/>
      <w:bookmarkEnd w:id="162"/>
      <w:bookmarkStart w:id="163" w:name="_Toc184308045"/>
      <w:bookmarkEnd w:id="163"/>
      <w:bookmarkStart w:id="164" w:name="_Toc184310344"/>
      <w:bookmarkEnd w:id="164"/>
      <w:bookmarkStart w:id="165" w:name="_Toc184312127"/>
      <w:bookmarkEnd w:id="165"/>
      <w:bookmarkStart w:id="166" w:name="_Toc184310303"/>
      <w:bookmarkEnd w:id="166"/>
      <w:bookmarkStart w:id="167" w:name="_Toc184312101"/>
      <w:bookmarkEnd w:id="167"/>
      <w:bookmarkStart w:id="168" w:name="_Toc184312084"/>
      <w:bookmarkEnd w:id="168"/>
      <w:bookmarkStart w:id="169" w:name="_Toc184313259"/>
      <w:bookmarkEnd w:id="169"/>
      <w:bookmarkStart w:id="170" w:name="_Toc184312105"/>
      <w:bookmarkEnd w:id="170"/>
      <w:bookmarkStart w:id="171" w:name="_Toc184314465"/>
      <w:bookmarkEnd w:id="171"/>
      <w:bookmarkStart w:id="172" w:name="_Toc184314452"/>
      <w:bookmarkEnd w:id="172"/>
      <w:bookmarkStart w:id="173" w:name="_Toc184310337"/>
      <w:bookmarkEnd w:id="173"/>
      <w:bookmarkStart w:id="174" w:name="_Toc184312068"/>
      <w:bookmarkEnd w:id="174"/>
      <w:bookmarkStart w:id="175" w:name="_Toc184310294"/>
      <w:bookmarkEnd w:id="175"/>
      <w:bookmarkStart w:id="176" w:name="_Toc184312092"/>
      <w:bookmarkEnd w:id="176"/>
      <w:bookmarkStart w:id="177" w:name="_Toc184313294"/>
      <w:bookmarkEnd w:id="177"/>
      <w:bookmarkStart w:id="178" w:name="_Toc184314466"/>
      <w:bookmarkEnd w:id="178"/>
      <w:bookmarkStart w:id="179" w:name="_Toc184312117"/>
      <w:bookmarkEnd w:id="179"/>
      <w:bookmarkStart w:id="180" w:name="_Toc184310274"/>
      <w:bookmarkEnd w:id="180"/>
      <w:bookmarkStart w:id="181" w:name="_Toc184314448"/>
      <w:bookmarkEnd w:id="181"/>
      <w:bookmarkStart w:id="182" w:name="_Toc184314480"/>
      <w:bookmarkEnd w:id="182"/>
      <w:bookmarkStart w:id="183" w:name="_Toc184308058"/>
      <w:bookmarkEnd w:id="183"/>
      <w:bookmarkStart w:id="184" w:name="_Toc184313242"/>
      <w:bookmarkEnd w:id="184"/>
      <w:bookmarkStart w:id="185" w:name="_Toc184308105"/>
      <w:bookmarkEnd w:id="185"/>
      <w:bookmarkStart w:id="186" w:name="_Toc184310332"/>
      <w:bookmarkEnd w:id="186"/>
      <w:bookmarkStart w:id="187" w:name="_Toc184310330"/>
      <w:bookmarkEnd w:id="187"/>
      <w:bookmarkStart w:id="188" w:name="_Toc184312100"/>
      <w:bookmarkEnd w:id="188"/>
      <w:bookmarkStart w:id="189" w:name="_Toc184308069"/>
      <w:bookmarkEnd w:id="189"/>
      <w:bookmarkStart w:id="190" w:name="_Toc184308098"/>
      <w:bookmarkEnd w:id="190"/>
      <w:bookmarkStart w:id="191" w:name="_Toc184313305"/>
      <w:bookmarkEnd w:id="191"/>
      <w:bookmarkStart w:id="192" w:name="_Toc184313264"/>
      <w:bookmarkEnd w:id="192"/>
      <w:bookmarkStart w:id="193" w:name="_Toc184313241"/>
      <w:bookmarkEnd w:id="193"/>
      <w:bookmarkStart w:id="194" w:name="_Toc184314476"/>
      <w:bookmarkEnd w:id="194"/>
      <w:bookmarkStart w:id="195" w:name="_Toc184312086"/>
      <w:bookmarkEnd w:id="195"/>
      <w:bookmarkStart w:id="196" w:name="_Toc184310335"/>
      <w:bookmarkEnd w:id="196"/>
      <w:bookmarkStart w:id="197" w:name="_Toc184313279"/>
      <w:bookmarkEnd w:id="197"/>
      <w:bookmarkStart w:id="198" w:name="_Toc184313284"/>
      <w:bookmarkEnd w:id="198"/>
      <w:bookmarkStart w:id="199" w:name="_Toc184312124"/>
      <w:bookmarkEnd w:id="199"/>
      <w:bookmarkStart w:id="200" w:name="_Toc184314439"/>
      <w:bookmarkEnd w:id="200"/>
      <w:bookmarkStart w:id="201" w:name="_Toc184310324"/>
      <w:bookmarkEnd w:id="201"/>
      <w:bookmarkStart w:id="202" w:name="_Toc184308101"/>
      <w:bookmarkEnd w:id="202"/>
      <w:bookmarkStart w:id="203" w:name="_Toc184314422"/>
      <w:bookmarkEnd w:id="203"/>
      <w:bookmarkStart w:id="204" w:name="_Toc184312103"/>
      <w:bookmarkEnd w:id="204"/>
      <w:bookmarkStart w:id="205" w:name="_Toc184313309"/>
      <w:bookmarkEnd w:id="205"/>
      <w:bookmarkStart w:id="206" w:name="_Toc184308087"/>
      <w:bookmarkEnd w:id="206"/>
      <w:bookmarkStart w:id="207" w:name="_Toc184314445"/>
      <w:bookmarkEnd w:id="207"/>
      <w:bookmarkStart w:id="208" w:name="_Toc184314461"/>
      <w:bookmarkEnd w:id="208"/>
      <w:bookmarkStart w:id="209" w:name="_Toc184313306"/>
      <w:bookmarkEnd w:id="209"/>
      <w:bookmarkStart w:id="210" w:name="_Toc184310311"/>
      <w:bookmarkEnd w:id="210"/>
      <w:bookmarkStart w:id="211" w:name="_Toc184308055"/>
      <w:bookmarkEnd w:id="211"/>
      <w:bookmarkStart w:id="212" w:name="_Toc184310283"/>
      <w:bookmarkEnd w:id="212"/>
      <w:bookmarkStart w:id="213" w:name="_Toc184313295"/>
      <w:bookmarkEnd w:id="213"/>
      <w:bookmarkStart w:id="214" w:name="_Toc184313287"/>
      <w:bookmarkEnd w:id="214"/>
      <w:bookmarkStart w:id="215" w:name="_Toc184308103"/>
      <w:bookmarkEnd w:id="215"/>
      <w:bookmarkStart w:id="216" w:name="_Toc184312096"/>
      <w:bookmarkEnd w:id="216"/>
      <w:bookmarkStart w:id="217" w:name="_Toc184314479"/>
      <w:bookmarkEnd w:id="217"/>
      <w:bookmarkStart w:id="218" w:name="_Toc184312089"/>
      <w:bookmarkEnd w:id="218"/>
      <w:bookmarkStart w:id="219" w:name="_Toc184308090"/>
      <w:bookmarkEnd w:id="219"/>
      <w:bookmarkStart w:id="220" w:name="_Toc184312122"/>
      <w:bookmarkEnd w:id="220"/>
      <w:bookmarkStart w:id="221" w:name="_Toc184310325"/>
      <w:bookmarkEnd w:id="221"/>
      <w:bookmarkStart w:id="222" w:name="_Toc184310300"/>
      <w:bookmarkEnd w:id="222"/>
      <w:bookmarkStart w:id="223" w:name="_Toc184308072"/>
      <w:bookmarkEnd w:id="223"/>
      <w:bookmarkStart w:id="224" w:name="_Toc184314414"/>
      <w:bookmarkEnd w:id="224"/>
      <w:bookmarkStart w:id="225" w:name="_Toc184308108"/>
      <w:bookmarkEnd w:id="225"/>
      <w:bookmarkStart w:id="226" w:name="_Toc184314464"/>
      <w:bookmarkEnd w:id="226"/>
      <w:bookmarkStart w:id="227" w:name="_Toc184310281"/>
      <w:bookmarkEnd w:id="227"/>
      <w:bookmarkStart w:id="228" w:name="_Toc184310319"/>
      <w:bookmarkEnd w:id="228"/>
      <w:bookmarkStart w:id="229" w:name="_Toc184312077"/>
      <w:bookmarkEnd w:id="229"/>
      <w:bookmarkStart w:id="230" w:name="_Toc184308099"/>
      <w:bookmarkEnd w:id="230"/>
      <w:bookmarkStart w:id="231" w:name="_Toc184308071"/>
      <w:bookmarkEnd w:id="231"/>
      <w:bookmarkStart w:id="232" w:name="_Toc184312133"/>
      <w:bookmarkEnd w:id="232"/>
      <w:bookmarkStart w:id="233" w:name="_Toc184312123"/>
      <w:bookmarkEnd w:id="233"/>
      <w:bookmarkStart w:id="234" w:name="_Toc184314426"/>
      <w:bookmarkEnd w:id="234"/>
      <w:bookmarkStart w:id="235" w:name="_Toc184313302"/>
      <w:bookmarkEnd w:id="235"/>
      <w:bookmarkStart w:id="236" w:name="_Toc184313260"/>
      <w:bookmarkEnd w:id="236"/>
      <w:bookmarkStart w:id="237" w:name="_Toc184310295"/>
      <w:bookmarkEnd w:id="237"/>
      <w:bookmarkStart w:id="238" w:name="_Toc184312067"/>
      <w:bookmarkEnd w:id="238"/>
      <w:bookmarkStart w:id="239" w:name="_Toc184308097"/>
      <w:bookmarkEnd w:id="239"/>
      <w:bookmarkStart w:id="240" w:name="_Toc184312121"/>
      <w:bookmarkEnd w:id="240"/>
      <w:bookmarkStart w:id="241" w:name="_Toc184313307"/>
      <w:bookmarkEnd w:id="241"/>
      <w:bookmarkStart w:id="242" w:name="_Toc184310280"/>
      <w:bookmarkEnd w:id="242"/>
      <w:bookmarkStart w:id="243" w:name="_Toc184314436"/>
      <w:bookmarkEnd w:id="243"/>
      <w:bookmarkStart w:id="244" w:name="_Toc184310307"/>
      <w:bookmarkEnd w:id="244"/>
      <w:bookmarkStart w:id="245" w:name="_Toc184314469"/>
      <w:bookmarkEnd w:id="245"/>
      <w:bookmarkStart w:id="246" w:name="_Toc184312109"/>
      <w:bookmarkEnd w:id="246"/>
      <w:bookmarkStart w:id="247" w:name="_Toc184314473"/>
      <w:bookmarkEnd w:id="247"/>
      <w:bookmarkStart w:id="248" w:name="_Toc184308053"/>
      <w:bookmarkEnd w:id="248"/>
      <w:bookmarkStart w:id="249" w:name="_Toc184313303"/>
      <w:bookmarkEnd w:id="249"/>
      <w:bookmarkStart w:id="250" w:name="_Toc184308086"/>
      <w:bookmarkEnd w:id="250"/>
      <w:bookmarkStart w:id="251" w:name="_Toc184313250"/>
      <w:bookmarkEnd w:id="251"/>
      <w:bookmarkStart w:id="252" w:name="_Toc184310272"/>
      <w:bookmarkEnd w:id="252"/>
      <w:bookmarkStart w:id="253" w:name="_Toc184312071"/>
      <w:bookmarkEnd w:id="253"/>
      <w:bookmarkStart w:id="254" w:name="_Toc184308088"/>
      <w:bookmarkEnd w:id="254"/>
      <w:bookmarkStart w:id="255" w:name="_Toc184313258"/>
      <w:bookmarkEnd w:id="255"/>
      <w:bookmarkStart w:id="256" w:name="_Toc184312111"/>
      <w:bookmarkEnd w:id="256"/>
      <w:bookmarkStart w:id="257" w:name="_Toc184312110"/>
      <w:bookmarkEnd w:id="257"/>
      <w:bookmarkStart w:id="258" w:name="_Toc184313269"/>
      <w:bookmarkEnd w:id="258"/>
      <w:bookmarkStart w:id="259" w:name="_Toc184308096"/>
      <w:bookmarkEnd w:id="259"/>
      <w:bookmarkStart w:id="260" w:name="_Toc184314435"/>
      <w:bookmarkEnd w:id="260"/>
      <w:bookmarkStart w:id="261" w:name="_Toc184308065"/>
      <w:bookmarkEnd w:id="261"/>
      <w:bookmarkStart w:id="262" w:name="_Toc184312112"/>
      <w:bookmarkEnd w:id="262"/>
      <w:bookmarkStart w:id="263" w:name="_Toc184312138"/>
      <w:bookmarkEnd w:id="263"/>
      <w:bookmarkStart w:id="264" w:name="_Toc184310329"/>
      <w:bookmarkEnd w:id="264"/>
      <w:bookmarkStart w:id="265" w:name="_Toc184313244"/>
      <w:bookmarkEnd w:id="265"/>
      <w:bookmarkStart w:id="266" w:name="_Toc184308095"/>
      <w:bookmarkEnd w:id="266"/>
      <w:bookmarkStart w:id="267" w:name="_Toc184313271"/>
      <w:bookmarkEnd w:id="267"/>
      <w:bookmarkStart w:id="268" w:name="_Toc184314430"/>
      <w:bookmarkEnd w:id="268"/>
      <w:bookmarkStart w:id="269" w:name="_Toc184313257"/>
      <w:bookmarkEnd w:id="269"/>
      <w:bookmarkStart w:id="270" w:name="_Toc184313272"/>
      <w:bookmarkEnd w:id="270"/>
      <w:bookmarkStart w:id="271" w:name="_Toc184314472"/>
      <w:bookmarkEnd w:id="271"/>
      <w:bookmarkStart w:id="272" w:name="_Toc184308073"/>
      <w:bookmarkEnd w:id="272"/>
      <w:bookmarkStart w:id="273" w:name="_Toc184313262"/>
      <w:bookmarkEnd w:id="273"/>
      <w:bookmarkStart w:id="274" w:name="_Toc184308093"/>
      <w:bookmarkEnd w:id="274"/>
      <w:bookmarkStart w:id="275" w:name="_Toc184310331"/>
      <w:bookmarkEnd w:id="275"/>
      <w:bookmarkStart w:id="276" w:name="_Toc184312135"/>
      <w:bookmarkEnd w:id="276"/>
      <w:bookmarkStart w:id="277" w:name="_Toc184314471"/>
      <w:bookmarkEnd w:id="277"/>
      <w:bookmarkStart w:id="278" w:name="_Toc184310292"/>
      <w:bookmarkEnd w:id="278"/>
      <w:bookmarkStart w:id="279" w:name="_Toc184313243"/>
      <w:bookmarkEnd w:id="279"/>
      <w:bookmarkStart w:id="280" w:name="_Toc184308057"/>
      <w:bookmarkEnd w:id="280"/>
      <w:bookmarkStart w:id="281" w:name="_Toc184313286"/>
      <w:bookmarkEnd w:id="281"/>
      <w:bookmarkStart w:id="282" w:name="_Toc184312072"/>
      <w:bookmarkEnd w:id="282"/>
      <w:bookmarkStart w:id="283" w:name="_Toc184314478"/>
      <w:bookmarkEnd w:id="283"/>
      <w:bookmarkStart w:id="284" w:name="_Toc184312088"/>
      <w:bookmarkEnd w:id="284"/>
      <w:bookmarkStart w:id="285" w:name="_Toc184313238"/>
      <w:bookmarkEnd w:id="285"/>
      <w:bookmarkStart w:id="286" w:name="_Toc184313274"/>
      <w:bookmarkEnd w:id="286"/>
      <w:bookmarkStart w:id="287" w:name="_Toc184310327"/>
      <w:bookmarkEnd w:id="287"/>
      <w:bookmarkStart w:id="288" w:name="_Toc184313268"/>
      <w:bookmarkEnd w:id="288"/>
      <w:bookmarkStart w:id="289" w:name="_Toc184314423"/>
      <w:bookmarkEnd w:id="289"/>
      <w:bookmarkStart w:id="290" w:name="_Toc184314456"/>
      <w:bookmarkEnd w:id="290"/>
      <w:bookmarkStart w:id="291" w:name="_Toc184310333"/>
      <w:bookmarkEnd w:id="291"/>
      <w:bookmarkStart w:id="292" w:name="_Toc184312090"/>
      <w:bookmarkEnd w:id="292"/>
      <w:bookmarkStart w:id="293" w:name="_Toc184308046"/>
      <w:bookmarkEnd w:id="293"/>
      <w:bookmarkStart w:id="294" w:name="_Toc184310297"/>
      <w:bookmarkEnd w:id="294"/>
      <w:bookmarkStart w:id="295" w:name="_Toc184312131"/>
      <w:bookmarkEnd w:id="295"/>
      <w:bookmarkStart w:id="296" w:name="_Toc184313300"/>
      <w:bookmarkEnd w:id="296"/>
      <w:bookmarkStart w:id="297" w:name="_Toc184312120"/>
      <w:bookmarkEnd w:id="297"/>
      <w:bookmarkStart w:id="298" w:name="_Toc184310317"/>
      <w:bookmarkEnd w:id="298"/>
      <w:bookmarkStart w:id="299" w:name="_Toc184312126"/>
      <w:bookmarkEnd w:id="299"/>
      <w:bookmarkStart w:id="300" w:name="_Toc184310279"/>
      <w:bookmarkEnd w:id="300"/>
      <w:bookmarkStart w:id="301" w:name="_Toc184314418"/>
      <w:bookmarkEnd w:id="301"/>
      <w:bookmarkStart w:id="302" w:name="_Toc184313256"/>
      <w:bookmarkEnd w:id="302"/>
      <w:bookmarkStart w:id="303" w:name="_Toc184312069"/>
      <w:bookmarkEnd w:id="303"/>
      <w:bookmarkStart w:id="304" w:name="_Toc184313290"/>
      <w:bookmarkEnd w:id="304"/>
      <w:bookmarkStart w:id="305" w:name="_Toc184308060"/>
      <w:bookmarkEnd w:id="305"/>
      <w:bookmarkStart w:id="306" w:name="_Toc184308043"/>
      <w:bookmarkEnd w:id="306"/>
      <w:bookmarkStart w:id="307" w:name="_Toc184308080"/>
      <w:bookmarkEnd w:id="307"/>
      <w:bookmarkStart w:id="308" w:name="_Toc184313278"/>
      <w:bookmarkEnd w:id="308"/>
      <w:bookmarkStart w:id="309" w:name="_Toc184313253"/>
      <w:bookmarkEnd w:id="309"/>
      <w:bookmarkStart w:id="310" w:name="_Toc184314410"/>
      <w:bookmarkEnd w:id="310"/>
      <w:bookmarkStart w:id="311" w:name="_Toc184310343"/>
      <w:bookmarkEnd w:id="311"/>
      <w:bookmarkStart w:id="312" w:name="_Toc184312079"/>
      <w:bookmarkEnd w:id="312"/>
      <w:bookmarkStart w:id="313" w:name="_Toc184310296"/>
      <w:bookmarkEnd w:id="313"/>
      <w:bookmarkStart w:id="314" w:name="_Toc184312102"/>
      <w:bookmarkEnd w:id="314"/>
      <w:bookmarkStart w:id="315" w:name="_Toc184312139"/>
      <w:bookmarkEnd w:id="315"/>
      <w:bookmarkStart w:id="316" w:name="_Toc184312099"/>
      <w:bookmarkEnd w:id="316"/>
      <w:bookmarkStart w:id="317" w:name="_Toc184314415"/>
      <w:bookmarkEnd w:id="317"/>
      <w:bookmarkStart w:id="318" w:name="_Toc184314454"/>
      <w:bookmarkEnd w:id="318"/>
      <w:bookmarkStart w:id="319" w:name="_Toc184314482"/>
      <w:bookmarkEnd w:id="319"/>
      <w:bookmarkStart w:id="320" w:name="_Toc184314468"/>
      <w:bookmarkEnd w:id="320"/>
      <w:bookmarkStart w:id="321" w:name="_Toc184308082"/>
      <w:bookmarkEnd w:id="321"/>
      <w:bookmarkStart w:id="322" w:name="_Toc184314412"/>
      <w:bookmarkEnd w:id="322"/>
      <w:bookmarkStart w:id="323" w:name="_Toc184312080"/>
      <w:bookmarkEnd w:id="323"/>
      <w:bookmarkStart w:id="324" w:name="_Toc184308062"/>
      <w:bookmarkEnd w:id="324"/>
      <w:bookmarkStart w:id="325" w:name="_Toc184308040"/>
      <w:bookmarkEnd w:id="325"/>
      <w:bookmarkStart w:id="326" w:name="_Toc184312116"/>
      <w:bookmarkEnd w:id="326"/>
      <w:bookmarkStart w:id="327" w:name="_Toc184313248"/>
      <w:bookmarkEnd w:id="327"/>
      <w:bookmarkStart w:id="328" w:name="_Toc184313249"/>
      <w:bookmarkEnd w:id="328"/>
      <w:bookmarkStart w:id="329" w:name="_Toc184308091"/>
      <w:bookmarkEnd w:id="329"/>
      <w:bookmarkStart w:id="330" w:name="_Toc184312129"/>
      <w:bookmarkEnd w:id="330"/>
      <w:bookmarkStart w:id="331" w:name="_Toc184310290"/>
      <w:bookmarkEnd w:id="331"/>
      <w:bookmarkStart w:id="332" w:name="_Toc184314460"/>
      <w:bookmarkEnd w:id="332"/>
      <w:bookmarkStart w:id="333" w:name="_Toc184308042"/>
      <w:bookmarkEnd w:id="333"/>
      <w:bookmarkStart w:id="334" w:name="_Toc184314431"/>
      <w:bookmarkEnd w:id="334"/>
      <w:bookmarkStart w:id="335" w:name="_Toc184308094"/>
      <w:bookmarkEnd w:id="335"/>
      <w:bookmarkStart w:id="336" w:name="_Toc184313273"/>
      <w:bookmarkEnd w:id="336"/>
      <w:bookmarkStart w:id="337" w:name="_Toc184313297"/>
      <w:bookmarkEnd w:id="337"/>
      <w:bookmarkStart w:id="338" w:name="_Toc184312085"/>
      <w:bookmarkEnd w:id="338"/>
      <w:bookmarkStart w:id="339" w:name="_Toc184308037"/>
      <w:bookmarkEnd w:id="339"/>
      <w:bookmarkStart w:id="340" w:name="_Toc184314441"/>
      <w:bookmarkEnd w:id="340"/>
      <w:bookmarkStart w:id="341" w:name="_Toc184308106"/>
      <w:bookmarkEnd w:id="341"/>
      <w:bookmarkStart w:id="342" w:name="_Toc184313299"/>
      <w:bookmarkEnd w:id="342"/>
      <w:bookmarkStart w:id="343" w:name="_Toc184312118"/>
      <w:bookmarkEnd w:id="343"/>
      <w:bookmarkStart w:id="344" w:name="_Toc184308104"/>
      <w:bookmarkEnd w:id="344"/>
      <w:bookmarkStart w:id="345" w:name="_Toc184308102"/>
      <w:bookmarkEnd w:id="345"/>
      <w:bookmarkStart w:id="346" w:name="_Toc184314427"/>
      <w:bookmarkEnd w:id="346"/>
      <w:bookmarkStart w:id="347" w:name="_Toc184314459"/>
      <w:bookmarkEnd w:id="347"/>
      <w:bookmarkStart w:id="348" w:name="_Toc184310339"/>
      <w:bookmarkEnd w:id="348"/>
      <w:bookmarkStart w:id="349" w:name="_Toc184310288"/>
      <w:bookmarkEnd w:id="349"/>
      <w:bookmarkStart w:id="350" w:name="_Toc184313267"/>
      <w:bookmarkEnd w:id="350"/>
      <w:bookmarkStart w:id="351" w:name="_Toc184308107"/>
      <w:bookmarkEnd w:id="351"/>
      <w:bookmarkStart w:id="352" w:name="_Toc184308068"/>
      <w:bookmarkEnd w:id="352"/>
      <w:bookmarkStart w:id="353" w:name="_Toc184312073"/>
      <w:bookmarkEnd w:id="353"/>
      <w:bookmarkStart w:id="354" w:name="_Toc184310334"/>
      <w:bookmarkEnd w:id="354"/>
      <w:bookmarkStart w:id="355" w:name="_Toc184308050"/>
      <w:bookmarkEnd w:id="355"/>
      <w:bookmarkStart w:id="356" w:name="_Toc184314440"/>
      <w:bookmarkEnd w:id="356"/>
      <w:bookmarkStart w:id="357" w:name="_Toc184308041"/>
      <w:bookmarkEnd w:id="357"/>
      <w:bookmarkStart w:id="358" w:name="_Toc184312107"/>
      <w:bookmarkEnd w:id="358"/>
      <w:bookmarkStart w:id="359" w:name="_Toc184313246"/>
      <w:bookmarkEnd w:id="359"/>
      <w:bookmarkStart w:id="360" w:name="_Toc184313292"/>
      <w:bookmarkEnd w:id="360"/>
      <w:bookmarkStart w:id="361" w:name="_Toc184308064"/>
      <w:bookmarkEnd w:id="361"/>
      <w:bookmarkStart w:id="362" w:name="_Toc184312136"/>
      <w:bookmarkEnd w:id="362"/>
      <w:bookmarkStart w:id="363" w:name="_Toc184310284"/>
      <w:bookmarkEnd w:id="363"/>
      <w:bookmarkStart w:id="364" w:name="_Toc184314475"/>
      <w:bookmarkEnd w:id="364"/>
      <w:bookmarkStart w:id="365" w:name="_Toc184310308"/>
      <w:bookmarkEnd w:id="365"/>
      <w:bookmarkStart w:id="366" w:name="_Toc184314433"/>
      <w:bookmarkEnd w:id="366"/>
      <w:bookmarkStart w:id="367" w:name="_Toc184308063"/>
      <w:bookmarkEnd w:id="367"/>
      <w:bookmarkStart w:id="368" w:name="_Toc184310301"/>
      <w:bookmarkEnd w:id="368"/>
      <w:bookmarkStart w:id="369" w:name="_Toc184312130"/>
      <w:bookmarkEnd w:id="369"/>
      <w:bookmarkStart w:id="370" w:name="_Toc184308054"/>
      <w:bookmarkEnd w:id="370"/>
      <w:bookmarkStart w:id="371" w:name="_Toc184312076"/>
      <w:bookmarkEnd w:id="371"/>
      <w:bookmarkStart w:id="372" w:name="_Toc184308074"/>
      <w:bookmarkEnd w:id="372"/>
      <w:bookmarkStart w:id="373" w:name="_Toc184310293"/>
      <w:bookmarkEnd w:id="373"/>
      <w:bookmarkStart w:id="374" w:name="_Toc184310273"/>
      <w:bookmarkEnd w:id="374"/>
      <w:bookmarkStart w:id="375" w:name="_Toc184314421"/>
      <w:bookmarkEnd w:id="375"/>
      <w:bookmarkStart w:id="376" w:name="_Toc184308076"/>
      <w:bookmarkEnd w:id="376"/>
      <w:bookmarkStart w:id="377" w:name="_Toc184310320"/>
      <w:bookmarkEnd w:id="377"/>
      <w:bookmarkStart w:id="378" w:name="_Toc184312125"/>
      <w:bookmarkEnd w:id="378"/>
      <w:bookmarkStart w:id="379" w:name="_Toc184312093"/>
      <w:bookmarkEnd w:id="379"/>
      <w:bookmarkStart w:id="380" w:name="_Toc184313298"/>
      <w:bookmarkEnd w:id="380"/>
      <w:bookmarkStart w:id="381" w:name="_Toc184310316"/>
      <w:bookmarkEnd w:id="381"/>
      <w:bookmarkStart w:id="382" w:name="_Toc184313254"/>
      <w:bookmarkEnd w:id="382"/>
      <w:bookmarkStart w:id="383" w:name="_Toc184314467"/>
      <w:bookmarkEnd w:id="383"/>
      <w:bookmarkStart w:id="384" w:name="_Toc184308100"/>
      <w:bookmarkEnd w:id="384"/>
      <w:bookmarkStart w:id="385" w:name="_Toc184312128"/>
      <w:bookmarkEnd w:id="385"/>
      <w:bookmarkStart w:id="386" w:name="_Toc184312082"/>
      <w:bookmarkEnd w:id="386"/>
      <w:bookmarkStart w:id="387" w:name="_Toc184313277"/>
      <w:bookmarkEnd w:id="387"/>
      <w:bookmarkStart w:id="388" w:name="_Toc184308067"/>
      <w:bookmarkEnd w:id="388"/>
      <w:bookmarkStart w:id="389" w:name="_Toc184310314"/>
      <w:bookmarkEnd w:id="389"/>
      <w:bookmarkStart w:id="390" w:name="_Toc184310312"/>
      <w:bookmarkEnd w:id="390"/>
      <w:bookmarkStart w:id="391" w:name="_Toc184308079"/>
      <w:bookmarkEnd w:id="391"/>
      <w:bookmarkStart w:id="392" w:name="_Toc184314450"/>
      <w:bookmarkEnd w:id="392"/>
      <w:bookmarkStart w:id="393" w:name="_Toc184308038"/>
      <w:bookmarkEnd w:id="393"/>
      <w:bookmarkStart w:id="394" w:name="_Toc184314429"/>
      <w:bookmarkEnd w:id="394"/>
      <w:bookmarkStart w:id="395" w:name="_Toc184313283"/>
      <w:bookmarkEnd w:id="395"/>
      <w:r>
        <w:rPr>
          <w:rFonts w:hint="eastAsia" w:ascii="仿宋" w:hAnsi="仿宋" w:eastAsia="仿宋" w:cs="仿宋"/>
          <w:lang w:val="en-US" w:eastAsia="zh-CN"/>
        </w:rPr>
        <w:t xml:space="preserve"> </w:t>
      </w:r>
      <w:r>
        <w:rPr>
          <w:rFonts w:hint="eastAsia" w:ascii="仿宋" w:hAnsi="仿宋" w:eastAsia="仿宋" w:cs="仿宋"/>
        </w:rPr>
        <w:t>评标办法</w:t>
      </w:r>
    </w:p>
    <w:tbl>
      <w:tblPr>
        <w:tblStyle w:val="63"/>
        <w:tblW w:w="9014"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30"/>
        <w:gridCol w:w="5555"/>
        <w:gridCol w:w="992"/>
      </w:tblGrid>
      <w:tr w14:paraId="2BFD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37" w:type="dxa"/>
            <w:tcBorders>
              <w:top w:val="single" w:color="auto" w:sz="4" w:space="0"/>
              <w:left w:val="single" w:color="auto" w:sz="4" w:space="0"/>
              <w:bottom w:val="single" w:color="auto" w:sz="4" w:space="0"/>
              <w:right w:val="single" w:color="auto" w:sz="4" w:space="0"/>
            </w:tcBorders>
            <w:vAlign w:val="center"/>
          </w:tcPr>
          <w:p w14:paraId="1ACA30F9">
            <w:pPr>
              <w:widowControl/>
              <w:jc w:val="center"/>
              <w:textAlignment w:val="center"/>
              <w:rPr>
                <w:rFonts w:ascii="仿宋" w:hAnsi="仿宋" w:eastAsia="仿宋" w:cs="仿宋"/>
                <w:kern w:val="0"/>
                <w:sz w:val="21"/>
                <w:szCs w:val="21"/>
                <w:lang w:val="zh-CN"/>
              </w:rPr>
            </w:pPr>
            <w:bookmarkStart w:id="396" w:name="RANGE_A1"/>
            <w:r>
              <w:rPr>
                <w:rFonts w:hint="eastAsia" w:ascii="仿宋" w:hAnsi="仿宋" w:eastAsia="仿宋" w:cs="仿宋"/>
                <w:kern w:val="0"/>
                <w:sz w:val="21"/>
                <w:szCs w:val="21"/>
                <w:lang w:val="zh-CN"/>
              </w:rPr>
              <w:t>评分项</w:t>
            </w:r>
            <w:bookmarkEnd w:id="396"/>
          </w:p>
        </w:tc>
        <w:tc>
          <w:tcPr>
            <w:tcW w:w="1230" w:type="dxa"/>
            <w:tcBorders>
              <w:top w:val="single" w:color="auto" w:sz="4" w:space="0"/>
              <w:left w:val="single" w:color="auto" w:sz="4" w:space="0"/>
              <w:bottom w:val="single" w:color="auto" w:sz="4" w:space="0"/>
              <w:right w:val="single" w:color="auto" w:sz="4" w:space="0"/>
            </w:tcBorders>
            <w:vAlign w:val="center"/>
          </w:tcPr>
          <w:p w14:paraId="6A097BF7">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评分内容</w:t>
            </w:r>
          </w:p>
        </w:tc>
        <w:tc>
          <w:tcPr>
            <w:tcW w:w="5555" w:type="dxa"/>
            <w:tcBorders>
              <w:top w:val="single" w:color="auto" w:sz="4" w:space="0"/>
              <w:left w:val="single" w:color="auto" w:sz="4" w:space="0"/>
              <w:bottom w:val="single" w:color="auto" w:sz="4" w:space="0"/>
              <w:right w:val="single" w:color="auto" w:sz="4" w:space="0"/>
            </w:tcBorders>
            <w:vAlign w:val="center"/>
          </w:tcPr>
          <w:p w14:paraId="439BA735">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14:paraId="7F41803B">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分值</w:t>
            </w:r>
          </w:p>
        </w:tc>
      </w:tr>
      <w:tr w14:paraId="7EC4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1237" w:type="dxa"/>
            <w:tcBorders>
              <w:top w:val="single" w:color="auto" w:sz="4" w:space="0"/>
              <w:left w:val="single" w:color="auto" w:sz="4" w:space="0"/>
              <w:bottom w:val="single" w:color="auto" w:sz="4" w:space="0"/>
              <w:right w:val="single" w:color="auto" w:sz="4" w:space="0"/>
            </w:tcBorders>
            <w:vAlign w:val="center"/>
          </w:tcPr>
          <w:p w14:paraId="2169BF56">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投标报价</w:t>
            </w:r>
          </w:p>
          <w:p w14:paraId="0774AB22">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(30分）</w:t>
            </w:r>
          </w:p>
        </w:tc>
        <w:tc>
          <w:tcPr>
            <w:tcW w:w="1230" w:type="dxa"/>
            <w:tcBorders>
              <w:top w:val="single" w:color="auto" w:sz="4" w:space="0"/>
              <w:left w:val="single" w:color="auto" w:sz="4" w:space="0"/>
              <w:bottom w:val="single" w:color="auto" w:sz="4" w:space="0"/>
              <w:right w:val="single" w:color="auto" w:sz="4" w:space="0"/>
            </w:tcBorders>
            <w:vAlign w:val="center"/>
          </w:tcPr>
          <w:p w14:paraId="61D015B3">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报价</w:t>
            </w:r>
          </w:p>
          <w:p w14:paraId="03207C4B">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（30</w:t>
            </w:r>
            <w:r>
              <w:rPr>
                <w:rFonts w:hint="eastAsia" w:ascii="仿宋" w:hAnsi="仿宋" w:eastAsia="仿宋" w:cs="仿宋"/>
                <w:kern w:val="0"/>
                <w:sz w:val="21"/>
                <w:szCs w:val="21"/>
              </w:rPr>
              <w:t>分</w:t>
            </w:r>
            <w:r>
              <w:rPr>
                <w:rFonts w:hint="eastAsia" w:ascii="仿宋" w:hAnsi="仿宋" w:eastAsia="仿宋" w:cs="仿宋"/>
                <w:kern w:val="0"/>
                <w:sz w:val="21"/>
                <w:szCs w:val="21"/>
                <w:lang w:val="zh-CN"/>
              </w:rPr>
              <w:t>）</w:t>
            </w:r>
          </w:p>
        </w:tc>
        <w:tc>
          <w:tcPr>
            <w:tcW w:w="5555" w:type="dxa"/>
            <w:tcBorders>
              <w:top w:val="single" w:color="auto" w:sz="4" w:space="0"/>
              <w:left w:val="single" w:color="auto" w:sz="4" w:space="0"/>
              <w:bottom w:val="single" w:color="auto" w:sz="4" w:space="0"/>
              <w:right w:val="single" w:color="auto" w:sz="4" w:space="0"/>
            </w:tcBorders>
            <w:vAlign w:val="center"/>
          </w:tcPr>
          <w:p w14:paraId="41B92F51">
            <w:pPr>
              <w:widowControl/>
              <w:jc w:val="left"/>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基准价为满足评标要求且投标价格最低的报价，投标报价得分=(基准价／投标报价)×30，四舍五入，保留两位小数。报价高于预算价的，为无效投标文件。</w:t>
            </w:r>
          </w:p>
          <w:p w14:paraId="6C2D9F72">
            <w:pPr>
              <w:widowControl/>
              <w:jc w:val="left"/>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992" w:type="dxa"/>
            <w:tcBorders>
              <w:top w:val="single" w:color="auto" w:sz="4" w:space="0"/>
              <w:left w:val="single" w:color="auto" w:sz="4" w:space="0"/>
              <w:bottom w:val="single" w:color="auto" w:sz="4" w:space="0"/>
              <w:right w:val="single" w:color="auto" w:sz="4" w:space="0"/>
            </w:tcBorders>
            <w:vAlign w:val="center"/>
          </w:tcPr>
          <w:p w14:paraId="113EA1C6">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0-30分</w:t>
            </w:r>
          </w:p>
        </w:tc>
      </w:tr>
      <w:tr w14:paraId="29C6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237" w:type="dxa"/>
            <w:vMerge w:val="restart"/>
            <w:tcBorders>
              <w:top w:val="single" w:color="auto" w:sz="4" w:space="0"/>
              <w:left w:val="single" w:color="auto" w:sz="4" w:space="0"/>
              <w:right w:val="single" w:color="auto" w:sz="4" w:space="0"/>
            </w:tcBorders>
            <w:vAlign w:val="center"/>
          </w:tcPr>
          <w:p w14:paraId="0655BD96">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技术性能</w:t>
            </w:r>
          </w:p>
          <w:p w14:paraId="2B55102F">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w:t>
            </w:r>
            <w:r>
              <w:rPr>
                <w:rFonts w:hint="eastAsia" w:ascii="仿宋" w:hAnsi="仿宋" w:eastAsia="仿宋" w:cs="仿宋"/>
                <w:kern w:val="0"/>
                <w:sz w:val="21"/>
                <w:szCs w:val="21"/>
                <w:lang w:val="en-US" w:eastAsia="zh-CN"/>
              </w:rPr>
              <w:t>51</w:t>
            </w:r>
            <w:r>
              <w:rPr>
                <w:rFonts w:hint="eastAsia" w:ascii="仿宋" w:hAnsi="仿宋" w:eastAsia="仿宋" w:cs="仿宋"/>
                <w:kern w:val="0"/>
                <w:sz w:val="21"/>
                <w:szCs w:val="21"/>
                <w:lang w:val="zh-CN"/>
              </w:rPr>
              <w:t>分）</w:t>
            </w:r>
          </w:p>
        </w:tc>
        <w:tc>
          <w:tcPr>
            <w:tcW w:w="1230" w:type="dxa"/>
            <w:tcBorders>
              <w:top w:val="single" w:color="auto" w:sz="4" w:space="0"/>
              <w:left w:val="single" w:color="auto" w:sz="4" w:space="0"/>
              <w:bottom w:val="single" w:color="auto" w:sz="4" w:space="0"/>
              <w:right w:val="single" w:color="auto" w:sz="4" w:space="0"/>
            </w:tcBorders>
            <w:vAlign w:val="center"/>
          </w:tcPr>
          <w:p w14:paraId="410351F5">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参数响应程度</w:t>
            </w:r>
          </w:p>
          <w:p w14:paraId="01EFA2E7">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w:t>
            </w: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8</w:t>
            </w:r>
            <w:r>
              <w:rPr>
                <w:rFonts w:hint="eastAsia" w:ascii="仿宋" w:hAnsi="仿宋" w:eastAsia="仿宋" w:cs="仿宋"/>
                <w:kern w:val="0"/>
                <w:sz w:val="21"/>
                <w:szCs w:val="21"/>
                <w:lang w:val="zh-CN"/>
              </w:rPr>
              <w:t>分）</w:t>
            </w:r>
          </w:p>
        </w:tc>
        <w:tc>
          <w:tcPr>
            <w:tcW w:w="5555" w:type="dxa"/>
            <w:tcBorders>
              <w:top w:val="single" w:color="auto" w:sz="4" w:space="0"/>
              <w:left w:val="single" w:color="auto" w:sz="4" w:space="0"/>
              <w:bottom w:val="single" w:color="auto" w:sz="4" w:space="0"/>
              <w:right w:val="single" w:color="auto" w:sz="4" w:space="0"/>
            </w:tcBorders>
            <w:vAlign w:val="center"/>
          </w:tcPr>
          <w:p w14:paraId="6BBAAFD6">
            <w:pPr>
              <w:rPr>
                <w:rFonts w:hint="eastAsia" w:ascii="仿宋" w:hAnsi="仿宋" w:eastAsia="仿宋" w:cs="仿宋"/>
                <w:sz w:val="21"/>
                <w:szCs w:val="21"/>
                <w:lang w:val="zh-CN"/>
              </w:rPr>
            </w:pPr>
            <w:r>
              <w:rPr>
                <w:rFonts w:hint="eastAsia" w:ascii="仿宋" w:hAnsi="仿宋" w:eastAsia="仿宋" w:cs="仿宋"/>
                <w:sz w:val="21"/>
                <w:szCs w:val="21"/>
                <w:lang w:val="zh-CN"/>
              </w:rPr>
              <w:t>根据投标人的项目偏离表，投标人所投产品参数完全满足招标文件技术参数及要求的得满分</w:t>
            </w:r>
            <w:r>
              <w:rPr>
                <w:rFonts w:hint="eastAsia" w:ascii="仿宋" w:hAnsi="仿宋" w:eastAsia="仿宋" w:cs="仿宋"/>
                <w:sz w:val="21"/>
                <w:szCs w:val="21"/>
                <w:lang w:val="en-US" w:eastAsia="zh-CN"/>
              </w:rPr>
              <w:t>38</w:t>
            </w:r>
            <w:r>
              <w:rPr>
                <w:rFonts w:hint="eastAsia" w:ascii="仿宋" w:hAnsi="仿宋" w:eastAsia="仿宋" w:cs="仿宋"/>
                <w:sz w:val="21"/>
                <w:szCs w:val="21"/>
                <w:lang w:val="zh-CN"/>
              </w:rPr>
              <w:t>分；标▲号指标为实质性要求，如有负偏离将作为无效投标；标★项技术参数属负偏离或缺漏项的，每条扣</w:t>
            </w:r>
            <w:r>
              <w:rPr>
                <w:rFonts w:hint="eastAsia" w:ascii="仿宋" w:hAnsi="仿宋" w:eastAsia="仿宋" w:cs="仿宋"/>
                <w:sz w:val="21"/>
                <w:szCs w:val="21"/>
              </w:rPr>
              <w:t>1</w:t>
            </w:r>
            <w:r>
              <w:rPr>
                <w:rFonts w:hint="eastAsia" w:ascii="仿宋" w:hAnsi="仿宋" w:eastAsia="仿宋" w:cs="仿宋"/>
                <w:sz w:val="21"/>
                <w:szCs w:val="21"/>
                <w:lang w:val="zh-CN"/>
              </w:rPr>
              <w:t>分；其他参数属负偏离或缺漏项的，每条扣</w:t>
            </w:r>
            <w:r>
              <w:rPr>
                <w:rFonts w:hint="eastAsia" w:ascii="仿宋" w:hAnsi="仿宋" w:eastAsia="仿宋" w:cs="仿宋"/>
                <w:sz w:val="21"/>
                <w:szCs w:val="21"/>
              </w:rPr>
              <w:t>0.5</w:t>
            </w:r>
            <w:r>
              <w:rPr>
                <w:rFonts w:hint="eastAsia" w:ascii="仿宋" w:hAnsi="仿宋" w:eastAsia="仿宋" w:cs="仿宋"/>
                <w:sz w:val="21"/>
                <w:szCs w:val="21"/>
                <w:lang w:val="zh-CN"/>
              </w:rPr>
              <w:t>分。</w:t>
            </w:r>
          </w:p>
          <w:p w14:paraId="32B5D044">
            <w:pPr>
              <w:rPr>
                <w:rFonts w:ascii="仿宋" w:hAnsi="仿宋" w:eastAsia="仿宋" w:cs="仿宋"/>
                <w:kern w:val="0"/>
                <w:sz w:val="21"/>
                <w:szCs w:val="21"/>
              </w:rPr>
            </w:pPr>
            <w:r>
              <w:rPr>
                <w:rFonts w:hint="eastAsia" w:ascii="仿宋" w:hAnsi="仿宋" w:eastAsia="仿宋" w:cs="仿宋"/>
                <w:sz w:val="21"/>
                <w:szCs w:val="21"/>
              </w:rPr>
              <w:t>（注：招标文件要求提供相关证明材料的，必须提供相关材料；否则，该条技术参数在评审中将认定为负偏离，标★项技术参数负偏离</w:t>
            </w:r>
            <w:r>
              <w:rPr>
                <w:rFonts w:hint="eastAsia" w:ascii="仿宋" w:hAnsi="仿宋" w:eastAsia="仿宋" w:cs="仿宋"/>
                <w:sz w:val="21"/>
                <w:szCs w:val="21"/>
                <w:lang w:val="en-US" w:eastAsia="zh-CN"/>
              </w:rPr>
              <w:t>5</w:t>
            </w:r>
            <w:r>
              <w:rPr>
                <w:rFonts w:hint="eastAsia" w:ascii="仿宋" w:hAnsi="仿宋" w:eastAsia="仿宋" w:cs="仿宋"/>
                <w:sz w:val="21"/>
                <w:szCs w:val="21"/>
              </w:rPr>
              <w:t>条及以上，或其他参数负偏离1</w:t>
            </w:r>
            <w:r>
              <w:rPr>
                <w:rFonts w:hint="eastAsia" w:ascii="仿宋" w:hAnsi="仿宋" w:eastAsia="仿宋" w:cs="仿宋"/>
                <w:sz w:val="21"/>
                <w:szCs w:val="21"/>
                <w:lang w:val="en-US" w:eastAsia="zh-CN"/>
              </w:rPr>
              <w:t>5</w:t>
            </w:r>
            <w:r>
              <w:rPr>
                <w:rFonts w:hint="eastAsia" w:ascii="仿宋" w:hAnsi="仿宋" w:eastAsia="仿宋" w:cs="仿宋"/>
                <w:sz w:val="21"/>
                <w:szCs w:val="21"/>
              </w:rPr>
              <w:t>条及以上，视作无效投标。）</w:t>
            </w:r>
          </w:p>
        </w:tc>
        <w:tc>
          <w:tcPr>
            <w:tcW w:w="992" w:type="dxa"/>
            <w:tcBorders>
              <w:top w:val="single" w:color="auto" w:sz="4" w:space="0"/>
              <w:left w:val="single" w:color="auto" w:sz="4" w:space="0"/>
              <w:bottom w:val="single" w:color="auto" w:sz="4" w:space="0"/>
              <w:right w:val="single" w:color="auto" w:sz="4" w:space="0"/>
            </w:tcBorders>
            <w:vAlign w:val="center"/>
          </w:tcPr>
          <w:p w14:paraId="40A80689">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0-</w:t>
            </w: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8</w:t>
            </w:r>
            <w:r>
              <w:rPr>
                <w:rFonts w:hint="eastAsia" w:ascii="仿宋" w:hAnsi="仿宋" w:eastAsia="仿宋" w:cs="仿宋"/>
                <w:kern w:val="0"/>
                <w:sz w:val="21"/>
                <w:szCs w:val="21"/>
              </w:rPr>
              <w:t>分客观分</w:t>
            </w:r>
          </w:p>
        </w:tc>
      </w:tr>
      <w:tr w14:paraId="6762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237" w:type="dxa"/>
            <w:vMerge w:val="continue"/>
            <w:tcBorders>
              <w:left w:val="single" w:color="auto" w:sz="4" w:space="0"/>
              <w:right w:val="single" w:color="auto" w:sz="4" w:space="0"/>
            </w:tcBorders>
            <w:vAlign w:val="center"/>
          </w:tcPr>
          <w:p w14:paraId="34D9D7DC">
            <w:pPr>
              <w:widowControl/>
              <w:jc w:val="center"/>
              <w:textAlignment w:val="center"/>
              <w:rPr>
                <w:rFonts w:ascii="仿宋" w:hAnsi="仿宋" w:eastAsia="仿宋" w:cs="仿宋"/>
                <w:kern w:val="0"/>
                <w:sz w:val="21"/>
                <w:szCs w:val="21"/>
                <w:lang w:val="zh-CN"/>
              </w:rPr>
            </w:pPr>
          </w:p>
        </w:tc>
        <w:tc>
          <w:tcPr>
            <w:tcW w:w="1230" w:type="dxa"/>
            <w:vMerge w:val="restart"/>
            <w:tcBorders>
              <w:top w:val="single" w:color="auto" w:sz="4" w:space="0"/>
              <w:left w:val="single" w:color="auto" w:sz="4" w:space="0"/>
              <w:right w:val="single" w:color="auto" w:sz="4" w:space="0"/>
            </w:tcBorders>
            <w:vAlign w:val="center"/>
          </w:tcPr>
          <w:p w14:paraId="0CD4847B">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组织实施情况（</w:t>
            </w:r>
            <w:r>
              <w:rPr>
                <w:rFonts w:hint="eastAsia" w:ascii="仿宋" w:hAnsi="仿宋" w:eastAsia="仿宋" w:cs="仿宋"/>
                <w:kern w:val="0"/>
                <w:sz w:val="21"/>
                <w:szCs w:val="21"/>
                <w:lang w:val="en-US" w:eastAsia="zh-CN"/>
              </w:rPr>
              <w:t>0-9</w:t>
            </w:r>
            <w:r>
              <w:rPr>
                <w:rFonts w:hint="eastAsia" w:ascii="仿宋" w:hAnsi="仿宋" w:eastAsia="仿宋" w:cs="仿宋"/>
                <w:kern w:val="0"/>
                <w:sz w:val="21"/>
                <w:szCs w:val="21"/>
                <w:lang w:val="zh-CN"/>
              </w:rPr>
              <w:t>分）</w:t>
            </w:r>
          </w:p>
        </w:tc>
        <w:tc>
          <w:tcPr>
            <w:tcW w:w="5555" w:type="dxa"/>
            <w:tcBorders>
              <w:top w:val="single" w:color="auto" w:sz="4" w:space="0"/>
              <w:left w:val="single" w:color="auto" w:sz="4" w:space="0"/>
              <w:bottom w:val="single" w:color="auto" w:sz="4" w:space="0"/>
              <w:right w:val="single" w:color="auto" w:sz="4" w:space="0"/>
            </w:tcBorders>
            <w:vAlign w:val="center"/>
          </w:tcPr>
          <w:p w14:paraId="6411E6C9">
            <w:pPr>
              <w:rPr>
                <w:rFonts w:ascii="仿宋" w:hAnsi="仿宋" w:eastAsia="仿宋" w:cs="仿宋"/>
                <w:sz w:val="21"/>
                <w:szCs w:val="21"/>
              </w:rPr>
            </w:pPr>
            <w:r>
              <w:rPr>
                <w:rFonts w:hint="eastAsia" w:ascii="仿宋" w:hAnsi="仿宋" w:eastAsia="仿宋" w:cs="仿宋"/>
                <w:sz w:val="21"/>
                <w:szCs w:val="21"/>
              </w:rPr>
              <w:t>根据建设项目的采购需求，主要针对以下方面提交相关技术方案：</w:t>
            </w:r>
          </w:p>
          <w:p w14:paraId="1FF3CBAD">
            <w:pPr>
              <w:rPr>
                <w:rFonts w:ascii="仿宋" w:hAnsi="仿宋" w:eastAsia="仿宋" w:cs="仿宋"/>
                <w:sz w:val="21"/>
                <w:szCs w:val="21"/>
              </w:rPr>
            </w:pPr>
            <w:r>
              <w:rPr>
                <w:rFonts w:hint="eastAsia" w:ascii="仿宋" w:hAnsi="仿宋" w:eastAsia="仿宋" w:cs="仿宋"/>
                <w:sz w:val="21"/>
                <w:szCs w:val="21"/>
              </w:rPr>
              <w:t>（1）根据投标单位针对项目现场情况，提供整体规划设计、整体平面布置、图纸的得2分。</w:t>
            </w:r>
          </w:p>
          <w:p w14:paraId="4C56AF61">
            <w:pPr>
              <w:rPr>
                <w:rFonts w:ascii="仿宋" w:hAnsi="仿宋" w:eastAsia="仿宋" w:cs="仿宋"/>
                <w:sz w:val="21"/>
                <w:szCs w:val="21"/>
              </w:rPr>
            </w:pPr>
            <w:r>
              <w:rPr>
                <w:rFonts w:hint="eastAsia" w:ascii="仿宋" w:hAnsi="仿宋" w:eastAsia="仿宋" w:cs="仿宋"/>
                <w:sz w:val="21"/>
                <w:szCs w:val="21"/>
              </w:rPr>
              <w:t>（2）根据投标单位针对各实验室和准备室采购需求提供效果图的得2分。</w:t>
            </w:r>
          </w:p>
          <w:p w14:paraId="300885B6">
            <w:pPr>
              <w:rPr>
                <w:rFonts w:ascii="仿宋" w:hAnsi="仿宋" w:eastAsia="仿宋" w:cs="仿宋"/>
                <w:sz w:val="21"/>
                <w:szCs w:val="21"/>
              </w:rPr>
            </w:pPr>
            <w:r>
              <w:rPr>
                <w:rFonts w:hint="eastAsia" w:ascii="仿宋" w:hAnsi="仿宋" w:eastAsia="仿宋" w:cs="仿宋"/>
                <w:sz w:val="21"/>
                <w:szCs w:val="21"/>
              </w:rPr>
              <w:t>（3）根据投标单位针对项目现场及采购需求，提供对应的水电点位图、提供匹配的配套图纸得2分</w:t>
            </w:r>
          </w:p>
          <w:p w14:paraId="79F4B48C">
            <w:pPr>
              <w:widowControl/>
              <w:jc w:val="left"/>
              <w:textAlignment w:val="center"/>
              <w:rPr>
                <w:rFonts w:ascii="仿宋" w:hAnsi="仿宋" w:eastAsia="仿宋" w:cs="仿宋"/>
                <w:sz w:val="21"/>
                <w:szCs w:val="21"/>
              </w:rPr>
            </w:pPr>
            <w:r>
              <w:rPr>
                <w:rFonts w:hint="eastAsia" w:ascii="仿宋" w:hAnsi="仿宋" w:eastAsia="仿宋" w:cs="仿宋"/>
                <w:sz w:val="21"/>
                <w:szCs w:val="21"/>
              </w:rPr>
              <w:t>内容不全的不得分，不提供不得分。</w:t>
            </w:r>
          </w:p>
          <w:p w14:paraId="0E1CD90B">
            <w:pPr>
              <w:pStyle w:val="2"/>
              <w:ind w:firstLine="0"/>
              <w:rPr>
                <w:rFonts w:eastAsia="仿宋"/>
                <w:sz w:val="21"/>
                <w:szCs w:val="21"/>
              </w:rPr>
            </w:pPr>
            <w:r>
              <w:rPr>
                <w:rFonts w:hint="eastAsia" w:ascii="仿宋" w:hAnsi="仿宋" w:eastAsia="仿宋" w:cs="仿宋"/>
                <w:sz w:val="21"/>
                <w:szCs w:val="21"/>
              </w:rPr>
              <w:t>本项目不统一组织现场勘查，需要了解现场情况的请自行前往。</w:t>
            </w:r>
          </w:p>
        </w:tc>
        <w:tc>
          <w:tcPr>
            <w:tcW w:w="992" w:type="dxa"/>
            <w:tcBorders>
              <w:top w:val="single" w:color="auto" w:sz="4" w:space="0"/>
              <w:left w:val="single" w:color="auto" w:sz="4" w:space="0"/>
              <w:bottom w:val="single" w:color="auto" w:sz="4" w:space="0"/>
              <w:right w:val="single" w:color="auto" w:sz="4" w:space="0"/>
            </w:tcBorders>
            <w:vAlign w:val="center"/>
          </w:tcPr>
          <w:p w14:paraId="7F88C613">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zh-CN"/>
              </w:rPr>
              <w:t>0-</w:t>
            </w:r>
            <w:r>
              <w:rPr>
                <w:rFonts w:hint="eastAsia" w:ascii="仿宋" w:hAnsi="仿宋" w:eastAsia="仿宋" w:cs="仿宋"/>
                <w:kern w:val="0"/>
                <w:sz w:val="21"/>
                <w:szCs w:val="21"/>
              </w:rPr>
              <w:t>6分</w:t>
            </w:r>
          </w:p>
          <w:p w14:paraId="6B0F4BB1">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rPr>
              <w:t>客观分</w:t>
            </w:r>
          </w:p>
        </w:tc>
      </w:tr>
      <w:tr w14:paraId="7EB4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vAlign w:val="center"/>
          </w:tcPr>
          <w:p w14:paraId="7F29F4DD">
            <w:pPr>
              <w:widowControl/>
              <w:jc w:val="center"/>
              <w:textAlignment w:val="center"/>
              <w:rPr>
                <w:rFonts w:ascii="仿宋" w:hAnsi="仿宋" w:eastAsia="仿宋" w:cs="仿宋"/>
                <w:kern w:val="0"/>
                <w:sz w:val="21"/>
                <w:szCs w:val="21"/>
                <w:lang w:val="zh-CN"/>
              </w:rPr>
            </w:pPr>
          </w:p>
        </w:tc>
        <w:tc>
          <w:tcPr>
            <w:tcW w:w="1230" w:type="dxa"/>
            <w:vMerge w:val="continue"/>
            <w:tcBorders>
              <w:left w:val="single" w:color="auto" w:sz="4" w:space="0"/>
              <w:bottom w:val="single" w:color="auto" w:sz="4" w:space="0"/>
              <w:right w:val="single" w:color="auto" w:sz="4" w:space="0"/>
            </w:tcBorders>
            <w:vAlign w:val="center"/>
          </w:tcPr>
          <w:p w14:paraId="52561815">
            <w:pPr>
              <w:widowControl/>
              <w:jc w:val="center"/>
              <w:textAlignment w:val="center"/>
              <w:rPr>
                <w:rFonts w:ascii="仿宋" w:hAnsi="仿宋" w:eastAsia="仿宋" w:cs="仿宋"/>
                <w:kern w:val="0"/>
                <w:sz w:val="21"/>
                <w:szCs w:val="21"/>
                <w:lang w:val="zh-CN"/>
              </w:rPr>
            </w:pPr>
          </w:p>
        </w:tc>
        <w:tc>
          <w:tcPr>
            <w:tcW w:w="5555" w:type="dxa"/>
            <w:tcBorders>
              <w:top w:val="single" w:color="auto" w:sz="4" w:space="0"/>
              <w:left w:val="single" w:color="auto" w:sz="4" w:space="0"/>
              <w:bottom w:val="single" w:color="auto" w:sz="4" w:space="0"/>
              <w:right w:val="single" w:color="auto" w:sz="4" w:space="0"/>
            </w:tcBorders>
            <w:vAlign w:val="center"/>
          </w:tcPr>
          <w:p w14:paraId="533A8BCF">
            <w:pPr>
              <w:widowControl/>
              <w:jc w:val="left"/>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组织实施方案的科学性、合理性、规范性、可操作性，包括设备供货、验货、安装调试、测试、调优、检测等内容。1.内容齐全的得基本分</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lang w:val="zh-CN"/>
              </w:rPr>
              <w:t>分；</w:t>
            </w:r>
          </w:p>
          <w:p w14:paraId="25F2E1EB">
            <w:pPr>
              <w:widowControl/>
              <w:jc w:val="left"/>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2.方案较全面、较科学合理的</w:t>
            </w:r>
            <w:r>
              <w:rPr>
                <w:rFonts w:hint="eastAsia" w:ascii="仿宋" w:hAnsi="仿宋" w:eastAsia="仿宋" w:cs="仿宋"/>
                <w:kern w:val="0"/>
                <w:sz w:val="21"/>
                <w:szCs w:val="21"/>
              </w:rPr>
              <w:t>加</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lang w:val="zh-CN"/>
              </w:rPr>
              <w:t>分；</w:t>
            </w:r>
          </w:p>
          <w:p w14:paraId="6D8EF0B8">
            <w:pPr>
              <w:widowControl/>
              <w:jc w:val="left"/>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3.方案全面、科学合理的</w:t>
            </w:r>
            <w:r>
              <w:rPr>
                <w:rFonts w:hint="eastAsia" w:ascii="仿宋" w:hAnsi="仿宋" w:eastAsia="仿宋" w:cs="仿宋"/>
                <w:kern w:val="0"/>
                <w:sz w:val="21"/>
                <w:szCs w:val="21"/>
              </w:rPr>
              <w:t>加</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val="zh-CN"/>
              </w:rPr>
              <w:t>分。</w:t>
            </w:r>
          </w:p>
          <w:p w14:paraId="633CC254">
            <w:pPr>
              <w:widowControl/>
              <w:jc w:val="left"/>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本项最高得</w:t>
            </w:r>
            <w:r>
              <w:rPr>
                <w:rFonts w:hint="eastAsia" w:ascii="仿宋" w:hAnsi="仿宋" w:eastAsia="仿宋" w:cs="仿宋"/>
                <w:kern w:val="0"/>
                <w:sz w:val="21"/>
                <w:szCs w:val="21"/>
              </w:rPr>
              <w:t>5</w:t>
            </w:r>
            <w:r>
              <w:rPr>
                <w:rFonts w:hint="eastAsia" w:ascii="仿宋" w:hAnsi="仿宋" w:eastAsia="仿宋" w:cs="仿宋"/>
                <w:kern w:val="0"/>
                <w:sz w:val="21"/>
                <w:szCs w:val="21"/>
                <w:lang w:val="zh-CN"/>
              </w:rPr>
              <w:t>分，未提及或内容不全的不得分，</w:t>
            </w:r>
            <w:r>
              <w:rPr>
                <w:rFonts w:hint="eastAsia" w:ascii="仿宋" w:hAnsi="仿宋" w:eastAsia="仿宋" w:cs="仿宋"/>
                <w:kern w:val="0"/>
                <w:sz w:val="21"/>
                <w:szCs w:val="21"/>
              </w:rPr>
              <w:t>不提供不得分</w:t>
            </w:r>
            <w:r>
              <w:rPr>
                <w:rFonts w:hint="eastAsia" w:ascii="仿宋" w:hAnsi="仿宋" w:eastAsia="仿宋" w:cs="仿宋"/>
                <w:kern w:val="0"/>
                <w:sz w:val="21"/>
                <w:szCs w:val="21"/>
                <w:lang w:val="zh-CN"/>
              </w:rPr>
              <w:t>。</w:t>
            </w:r>
          </w:p>
        </w:tc>
        <w:tc>
          <w:tcPr>
            <w:tcW w:w="992" w:type="dxa"/>
            <w:tcBorders>
              <w:top w:val="single" w:color="auto" w:sz="4" w:space="0"/>
              <w:left w:val="single" w:color="auto" w:sz="4" w:space="0"/>
              <w:bottom w:val="single" w:color="auto" w:sz="4" w:space="0"/>
              <w:right w:val="single" w:color="auto" w:sz="4" w:space="0"/>
            </w:tcBorders>
            <w:vAlign w:val="center"/>
          </w:tcPr>
          <w:p w14:paraId="0DEA3BA1">
            <w:pPr>
              <w:widowControl/>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zh-CN"/>
              </w:rPr>
              <w:t>0-</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w:t>
            </w:r>
          </w:p>
          <w:p w14:paraId="3147CF64">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rPr>
              <w:t>主观分</w:t>
            </w:r>
          </w:p>
        </w:tc>
      </w:tr>
      <w:tr w14:paraId="6A94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7" w:type="dxa"/>
            <w:vMerge w:val="continue"/>
            <w:tcBorders>
              <w:left w:val="single" w:color="auto" w:sz="4" w:space="0"/>
              <w:right w:val="single" w:color="auto" w:sz="4" w:space="0"/>
            </w:tcBorders>
            <w:vAlign w:val="center"/>
          </w:tcPr>
          <w:p w14:paraId="50BFA7EF">
            <w:pPr>
              <w:widowControl/>
              <w:jc w:val="center"/>
              <w:textAlignment w:val="center"/>
              <w:rPr>
                <w:rFonts w:ascii="仿宋" w:hAnsi="仿宋" w:eastAsia="仿宋" w:cs="仿宋"/>
                <w:kern w:val="0"/>
                <w:sz w:val="21"/>
                <w:szCs w:val="21"/>
                <w:lang w:val="zh-CN"/>
              </w:rPr>
            </w:pPr>
          </w:p>
        </w:tc>
        <w:tc>
          <w:tcPr>
            <w:tcW w:w="1230" w:type="dxa"/>
            <w:tcBorders>
              <w:top w:val="single" w:color="auto" w:sz="4" w:space="0"/>
              <w:left w:val="single" w:color="auto" w:sz="4" w:space="0"/>
              <w:bottom w:val="single" w:color="auto" w:sz="4" w:space="0"/>
              <w:right w:val="single" w:color="auto" w:sz="4" w:space="0"/>
            </w:tcBorders>
            <w:vAlign w:val="center"/>
          </w:tcPr>
          <w:p w14:paraId="02D31856">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供货进度保障（</w:t>
            </w: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4</w:t>
            </w:r>
            <w:r>
              <w:rPr>
                <w:rFonts w:hint="eastAsia" w:ascii="仿宋" w:hAnsi="仿宋" w:eastAsia="仿宋" w:cs="仿宋"/>
                <w:kern w:val="0"/>
                <w:sz w:val="21"/>
                <w:szCs w:val="21"/>
                <w:lang w:val="zh-CN"/>
              </w:rPr>
              <w:t>分）</w:t>
            </w:r>
          </w:p>
        </w:tc>
        <w:tc>
          <w:tcPr>
            <w:tcW w:w="5555" w:type="dxa"/>
            <w:tcBorders>
              <w:top w:val="single" w:color="auto" w:sz="4" w:space="0"/>
              <w:left w:val="single" w:color="auto" w:sz="4" w:space="0"/>
              <w:bottom w:val="single" w:color="auto" w:sz="4" w:space="0"/>
              <w:right w:val="single" w:color="auto" w:sz="4" w:space="0"/>
            </w:tcBorders>
            <w:vAlign w:val="center"/>
          </w:tcPr>
          <w:p w14:paraId="52EA7EBF">
            <w:pPr>
              <w:widowControl/>
              <w:jc w:val="left"/>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根据甲方供货时间要求，拟定合理的工作时间进度表、工作程序和步骤、管理和协调方法、关键步骤的思路和要点等.</w:t>
            </w:r>
          </w:p>
          <w:p w14:paraId="51AF7AF2">
            <w:pPr>
              <w:widowControl/>
              <w:jc w:val="left"/>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1.内容齐全的得基本分</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lang w:val="zh-CN"/>
              </w:rPr>
              <w:t>分；</w:t>
            </w:r>
          </w:p>
          <w:p w14:paraId="51970478">
            <w:pPr>
              <w:widowControl/>
              <w:jc w:val="left"/>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2.方案较全面、较科学合理的</w:t>
            </w:r>
            <w:r>
              <w:rPr>
                <w:rFonts w:hint="eastAsia" w:ascii="仿宋" w:hAnsi="仿宋" w:eastAsia="仿宋" w:cs="仿宋"/>
                <w:kern w:val="0"/>
                <w:sz w:val="21"/>
                <w:szCs w:val="21"/>
              </w:rPr>
              <w:t>加</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lang w:val="zh-CN"/>
              </w:rPr>
              <w:t>分；</w:t>
            </w:r>
          </w:p>
          <w:p w14:paraId="24850666">
            <w:pPr>
              <w:widowControl/>
              <w:jc w:val="left"/>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3.方案全面、科学合理的</w:t>
            </w:r>
            <w:r>
              <w:rPr>
                <w:rFonts w:hint="eastAsia" w:ascii="仿宋" w:hAnsi="仿宋" w:eastAsia="仿宋" w:cs="仿宋"/>
                <w:kern w:val="0"/>
                <w:sz w:val="21"/>
                <w:szCs w:val="21"/>
              </w:rPr>
              <w:t>加</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val="zh-CN"/>
              </w:rPr>
              <w:t>分。</w:t>
            </w:r>
          </w:p>
          <w:p w14:paraId="4CF26EE6">
            <w:pPr>
              <w:widowControl/>
              <w:jc w:val="left"/>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本项最高得</w:t>
            </w:r>
            <w:r>
              <w:rPr>
                <w:rFonts w:hint="eastAsia" w:ascii="仿宋" w:hAnsi="仿宋" w:eastAsia="仿宋" w:cs="仿宋"/>
                <w:kern w:val="0"/>
                <w:sz w:val="21"/>
                <w:szCs w:val="21"/>
              </w:rPr>
              <w:t>5</w:t>
            </w:r>
            <w:r>
              <w:rPr>
                <w:rFonts w:hint="eastAsia" w:ascii="仿宋" w:hAnsi="仿宋" w:eastAsia="仿宋" w:cs="仿宋"/>
                <w:kern w:val="0"/>
                <w:sz w:val="21"/>
                <w:szCs w:val="21"/>
                <w:lang w:val="zh-CN"/>
              </w:rPr>
              <w:t>分，未提及或内容不全的不得分，</w:t>
            </w:r>
            <w:r>
              <w:rPr>
                <w:rFonts w:hint="eastAsia" w:ascii="仿宋" w:hAnsi="仿宋" w:eastAsia="仿宋" w:cs="仿宋"/>
                <w:kern w:val="0"/>
                <w:sz w:val="21"/>
                <w:szCs w:val="21"/>
              </w:rPr>
              <w:t>不提供不得分</w:t>
            </w:r>
            <w:r>
              <w:rPr>
                <w:rFonts w:hint="eastAsia" w:ascii="仿宋" w:hAnsi="仿宋" w:eastAsia="仿宋" w:cs="仿宋"/>
                <w:kern w:val="0"/>
                <w:sz w:val="21"/>
                <w:szCs w:val="21"/>
                <w:lang w:val="zh-CN"/>
              </w:rPr>
              <w:t>。</w:t>
            </w:r>
          </w:p>
        </w:tc>
        <w:tc>
          <w:tcPr>
            <w:tcW w:w="992" w:type="dxa"/>
            <w:tcBorders>
              <w:top w:val="single" w:color="auto" w:sz="4" w:space="0"/>
              <w:left w:val="single" w:color="auto" w:sz="4" w:space="0"/>
              <w:bottom w:val="single" w:color="auto" w:sz="4" w:space="0"/>
              <w:right w:val="single" w:color="auto" w:sz="4" w:space="0"/>
            </w:tcBorders>
            <w:vAlign w:val="center"/>
          </w:tcPr>
          <w:p w14:paraId="5FED5A0C">
            <w:pPr>
              <w:widowControl/>
              <w:jc w:val="center"/>
              <w:textAlignment w:val="center"/>
              <w:rPr>
                <w:rFonts w:hint="eastAsia" w:ascii="仿宋" w:hAnsi="仿宋" w:eastAsia="仿宋" w:cs="仿宋"/>
                <w:kern w:val="0"/>
                <w:sz w:val="21"/>
                <w:szCs w:val="21"/>
                <w:lang w:val="zh-CN"/>
              </w:rPr>
            </w:pPr>
            <w:r>
              <w:rPr>
                <w:rFonts w:hint="eastAsia" w:ascii="仿宋" w:hAnsi="仿宋" w:eastAsia="仿宋" w:cs="仿宋"/>
                <w:kern w:val="0"/>
                <w:sz w:val="21"/>
                <w:szCs w:val="21"/>
                <w:lang w:val="zh-CN"/>
              </w:rPr>
              <w:t>0-</w:t>
            </w:r>
            <w:r>
              <w:rPr>
                <w:rFonts w:hint="eastAsia" w:ascii="仿宋" w:hAnsi="仿宋" w:eastAsia="仿宋" w:cs="仿宋"/>
                <w:kern w:val="0"/>
                <w:sz w:val="21"/>
                <w:szCs w:val="21"/>
              </w:rPr>
              <w:t>4</w:t>
            </w:r>
            <w:r>
              <w:rPr>
                <w:rFonts w:hint="eastAsia" w:ascii="仿宋" w:hAnsi="仿宋" w:eastAsia="仿宋" w:cs="仿宋"/>
                <w:kern w:val="0"/>
                <w:sz w:val="21"/>
                <w:szCs w:val="21"/>
                <w:lang w:val="zh-CN"/>
              </w:rPr>
              <w:t>分</w:t>
            </w:r>
          </w:p>
          <w:p w14:paraId="2D6FEAA5">
            <w:pPr>
              <w:widowControl/>
              <w:jc w:val="center"/>
              <w:textAlignment w:val="center"/>
              <w:rPr>
                <w:rFonts w:ascii="仿宋" w:hAnsi="仿宋" w:eastAsia="仿宋" w:cs="仿宋"/>
                <w:kern w:val="0"/>
                <w:sz w:val="21"/>
                <w:szCs w:val="21"/>
              </w:rPr>
            </w:pPr>
            <w:r>
              <w:rPr>
                <w:rFonts w:hint="eastAsia" w:ascii="仿宋" w:hAnsi="仿宋" w:eastAsia="仿宋" w:cs="仿宋"/>
                <w:kern w:val="0"/>
                <w:sz w:val="21"/>
                <w:szCs w:val="21"/>
              </w:rPr>
              <w:t>主观分</w:t>
            </w:r>
          </w:p>
        </w:tc>
      </w:tr>
      <w:tr w14:paraId="3C5B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37" w:type="dxa"/>
            <w:tcBorders>
              <w:top w:val="single" w:color="auto" w:sz="4" w:space="0"/>
              <w:left w:val="single" w:color="auto" w:sz="4" w:space="0"/>
              <w:bottom w:val="single" w:color="auto" w:sz="4" w:space="0"/>
              <w:right w:val="single" w:color="auto" w:sz="4" w:space="0"/>
            </w:tcBorders>
            <w:vAlign w:val="center"/>
          </w:tcPr>
          <w:p w14:paraId="63005248">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业绩(</w:t>
            </w:r>
            <w:r>
              <w:rPr>
                <w:rFonts w:hint="eastAsia" w:ascii="仿宋" w:hAnsi="仿宋" w:eastAsia="仿宋" w:cs="仿宋"/>
                <w:kern w:val="0"/>
                <w:sz w:val="21"/>
                <w:szCs w:val="21"/>
              </w:rPr>
              <w:t>3</w:t>
            </w:r>
            <w:r>
              <w:rPr>
                <w:rFonts w:hint="eastAsia" w:ascii="仿宋" w:hAnsi="仿宋" w:eastAsia="仿宋" w:cs="仿宋"/>
                <w:kern w:val="0"/>
                <w:sz w:val="21"/>
                <w:szCs w:val="21"/>
                <w:lang w:val="zh-CN"/>
              </w:rPr>
              <w:t>分）</w:t>
            </w:r>
          </w:p>
        </w:tc>
        <w:tc>
          <w:tcPr>
            <w:tcW w:w="1230" w:type="dxa"/>
            <w:tcBorders>
              <w:top w:val="single" w:color="auto" w:sz="4" w:space="0"/>
              <w:left w:val="single" w:color="auto" w:sz="4" w:space="0"/>
              <w:bottom w:val="single" w:color="auto" w:sz="4" w:space="0"/>
              <w:right w:val="single" w:color="auto" w:sz="4" w:space="0"/>
            </w:tcBorders>
            <w:vAlign w:val="center"/>
          </w:tcPr>
          <w:p w14:paraId="5CCDF7C9">
            <w:pPr>
              <w:widowControl/>
              <w:jc w:val="center"/>
              <w:textAlignment w:val="center"/>
              <w:rPr>
                <w:rFonts w:ascii="仿宋" w:hAnsi="仿宋" w:eastAsia="仿宋" w:cs="仿宋"/>
                <w:kern w:val="0"/>
                <w:sz w:val="21"/>
                <w:szCs w:val="21"/>
                <w:lang w:val="zh-CN"/>
              </w:rPr>
            </w:pPr>
            <w:r>
              <w:rPr>
                <w:rFonts w:hint="eastAsia" w:ascii="仿宋" w:hAnsi="仿宋" w:eastAsia="仿宋" w:cs="仿宋"/>
                <w:kern w:val="0"/>
                <w:sz w:val="21"/>
                <w:szCs w:val="21"/>
                <w:lang w:val="zh-CN"/>
              </w:rPr>
              <w:t>业绩案例（</w:t>
            </w: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3</w:t>
            </w:r>
            <w:r>
              <w:rPr>
                <w:rFonts w:hint="eastAsia" w:ascii="仿宋" w:hAnsi="仿宋" w:eastAsia="仿宋" w:cs="仿宋"/>
                <w:kern w:val="0"/>
                <w:sz w:val="21"/>
                <w:szCs w:val="21"/>
                <w:lang w:val="zh-CN"/>
              </w:rPr>
              <w:t>分）</w:t>
            </w:r>
          </w:p>
        </w:tc>
        <w:tc>
          <w:tcPr>
            <w:tcW w:w="5555" w:type="dxa"/>
            <w:tcBorders>
              <w:top w:val="single" w:color="auto" w:sz="4" w:space="0"/>
              <w:left w:val="single" w:color="auto" w:sz="4" w:space="0"/>
              <w:bottom w:val="single" w:color="auto" w:sz="4" w:space="0"/>
              <w:right w:val="single" w:color="auto" w:sz="4" w:space="0"/>
            </w:tcBorders>
            <w:vAlign w:val="center"/>
          </w:tcPr>
          <w:p w14:paraId="74745AE0">
            <w:pPr>
              <w:widowControl/>
              <w:jc w:val="left"/>
              <w:textAlignment w:val="center"/>
              <w:rPr>
                <w:rFonts w:ascii="仿宋" w:hAnsi="仿宋" w:eastAsia="仿宋" w:cs="仿宋"/>
                <w:kern w:val="0"/>
                <w:sz w:val="21"/>
                <w:szCs w:val="21"/>
              </w:rPr>
            </w:pPr>
            <w:r>
              <w:rPr>
                <w:rFonts w:hint="eastAsia" w:ascii="仿宋" w:hAnsi="仿宋" w:eastAsia="仿宋" w:cs="仿宋"/>
                <w:kern w:val="0"/>
                <w:sz w:val="21"/>
                <w:szCs w:val="21"/>
              </w:rPr>
              <w:t>投标人提供2022年1月1日至今所中标实施的类似实验室设备政府采购项目案例，每提供1个得1分，本项最高得3分。（须提供中标通知书及合同扫描件，否则不得分）</w:t>
            </w:r>
          </w:p>
        </w:tc>
        <w:tc>
          <w:tcPr>
            <w:tcW w:w="992" w:type="dxa"/>
            <w:tcBorders>
              <w:top w:val="single" w:color="auto" w:sz="4" w:space="0"/>
              <w:left w:val="single" w:color="auto" w:sz="4" w:space="0"/>
              <w:bottom w:val="single" w:color="auto" w:sz="4" w:space="0"/>
              <w:right w:val="single" w:color="auto" w:sz="4" w:space="0"/>
            </w:tcBorders>
            <w:vAlign w:val="center"/>
          </w:tcPr>
          <w:p w14:paraId="4A36C438">
            <w:pPr>
              <w:widowControl/>
              <w:jc w:val="center"/>
              <w:textAlignment w:val="center"/>
              <w:rPr>
                <w:rFonts w:hint="eastAsia" w:ascii="仿宋" w:hAnsi="仿宋" w:eastAsia="仿宋" w:cs="仿宋"/>
                <w:kern w:val="0"/>
                <w:sz w:val="21"/>
                <w:szCs w:val="21"/>
                <w:lang w:val="zh-CN"/>
              </w:rPr>
            </w:pPr>
            <w:r>
              <w:rPr>
                <w:rFonts w:hint="eastAsia" w:ascii="仿宋" w:hAnsi="仿宋" w:eastAsia="仿宋" w:cs="仿宋"/>
                <w:kern w:val="0"/>
                <w:sz w:val="21"/>
                <w:szCs w:val="21"/>
                <w:lang w:val="zh-CN"/>
              </w:rPr>
              <w:t>0-</w:t>
            </w:r>
            <w:r>
              <w:rPr>
                <w:rFonts w:hint="eastAsia" w:ascii="仿宋" w:hAnsi="仿宋" w:eastAsia="仿宋" w:cs="仿宋"/>
                <w:kern w:val="0"/>
                <w:sz w:val="21"/>
                <w:szCs w:val="21"/>
              </w:rPr>
              <w:t>3</w:t>
            </w:r>
            <w:r>
              <w:rPr>
                <w:rFonts w:hint="eastAsia" w:ascii="仿宋" w:hAnsi="仿宋" w:eastAsia="仿宋" w:cs="仿宋"/>
                <w:kern w:val="0"/>
                <w:sz w:val="21"/>
                <w:szCs w:val="21"/>
                <w:lang w:val="zh-CN"/>
              </w:rPr>
              <w:t>分</w:t>
            </w:r>
          </w:p>
          <w:p w14:paraId="7EE2BE15">
            <w:pPr>
              <w:widowControl/>
              <w:jc w:val="center"/>
              <w:textAlignment w:val="center"/>
              <w:rPr>
                <w:rFonts w:ascii="仿宋" w:hAnsi="仿宋" w:eastAsia="仿宋" w:cs="仿宋"/>
                <w:kern w:val="0"/>
                <w:sz w:val="21"/>
                <w:szCs w:val="21"/>
              </w:rPr>
            </w:pPr>
            <w:r>
              <w:rPr>
                <w:rFonts w:hint="eastAsia" w:ascii="仿宋" w:hAnsi="仿宋" w:eastAsia="仿宋" w:cs="仿宋"/>
                <w:kern w:val="0"/>
                <w:sz w:val="21"/>
                <w:szCs w:val="21"/>
              </w:rPr>
              <w:t>客观分</w:t>
            </w:r>
          </w:p>
        </w:tc>
      </w:tr>
      <w:tr w14:paraId="6641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37" w:type="dxa"/>
            <w:tcBorders>
              <w:top w:val="single" w:color="auto" w:sz="4" w:space="0"/>
              <w:left w:val="single" w:color="auto" w:sz="4" w:space="0"/>
              <w:right w:val="single" w:color="auto" w:sz="4" w:space="0"/>
            </w:tcBorders>
            <w:vAlign w:val="center"/>
          </w:tcPr>
          <w:p w14:paraId="06B11966">
            <w:pPr>
              <w:pStyle w:val="2"/>
              <w:ind w:firstLine="0"/>
              <w:jc w:val="center"/>
              <w:rPr>
                <w:rFonts w:ascii="仿宋" w:hAnsi="仿宋" w:eastAsia="仿宋" w:cs="仿宋"/>
                <w:kern w:val="0"/>
                <w:sz w:val="21"/>
                <w:szCs w:val="21"/>
              </w:rPr>
            </w:pPr>
            <w:r>
              <w:rPr>
                <w:rFonts w:hint="eastAsia" w:ascii="仿宋" w:hAnsi="仿宋" w:eastAsia="仿宋" w:cs="仿宋"/>
                <w:kern w:val="0"/>
                <w:sz w:val="21"/>
                <w:szCs w:val="21"/>
              </w:rPr>
              <w:t>产品</w:t>
            </w:r>
          </w:p>
          <w:p w14:paraId="73114864">
            <w:pPr>
              <w:pStyle w:val="2"/>
              <w:ind w:firstLine="0"/>
              <w:jc w:val="center"/>
              <w:rPr>
                <w:rFonts w:ascii="仿宋" w:hAnsi="仿宋" w:eastAsia="仿宋" w:cs="仿宋"/>
                <w:kern w:val="0"/>
                <w:sz w:val="21"/>
                <w:szCs w:val="21"/>
              </w:rPr>
            </w:pPr>
            <w:r>
              <w:rPr>
                <w:rFonts w:hint="eastAsia" w:ascii="仿宋" w:hAnsi="仿宋" w:eastAsia="仿宋" w:cs="仿宋"/>
                <w:kern w:val="0"/>
                <w:sz w:val="21"/>
                <w:szCs w:val="21"/>
              </w:rPr>
              <w:t>（10分）</w:t>
            </w:r>
          </w:p>
        </w:tc>
        <w:tc>
          <w:tcPr>
            <w:tcW w:w="1230" w:type="dxa"/>
            <w:tcBorders>
              <w:top w:val="single" w:color="auto" w:sz="4" w:space="0"/>
              <w:left w:val="single" w:color="auto" w:sz="4" w:space="0"/>
              <w:right w:val="single" w:color="auto" w:sz="4" w:space="0"/>
            </w:tcBorders>
            <w:vAlign w:val="center"/>
          </w:tcPr>
          <w:p w14:paraId="41CA8842">
            <w:pPr>
              <w:pStyle w:val="2"/>
              <w:ind w:firstLine="0"/>
              <w:jc w:val="center"/>
              <w:rPr>
                <w:rFonts w:ascii="仿宋" w:hAnsi="仿宋" w:eastAsia="仿宋" w:cs="仿宋"/>
                <w:kern w:val="0"/>
                <w:sz w:val="21"/>
                <w:szCs w:val="21"/>
              </w:rPr>
            </w:pPr>
            <w:r>
              <w:rPr>
                <w:rFonts w:hint="eastAsia" w:ascii="仿宋" w:hAnsi="仿宋" w:eastAsia="仿宋" w:cs="仿宋"/>
                <w:kern w:val="0"/>
                <w:sz w:val="21"/>
                <w:szCs w:val="21"/>
              </w:rPr>
              <w:t>产品演示（</w:t>
            </w: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10分）</w:t>
            </w:r>
          </w:p>
        </w:tc>
        <w:tc>
          <w:tcPr>
            <w:tcW w:w="5555" w:type="dxa"/>
            <w:tcBorders>
              <w:top w:val="single" w:color="auto" w:sz="4" w:space="0"/>
              <w:left w:val="single" w:color="auto" w:sz="4" w:space="0"/>
              <w:bottom w:val="single" w:color="auto" w:sz="4" w:space="0"/>
              <w:right w:val="single" w:color="auto" w:sz="4" w:space="0"/>
            </w:tcBorders>
            <w:vAlign w:val="center"/>
          </w:tcPr>
          <w:p w14:paraId="69FFBEDE">
            <w:pPr>
              <w:widowControl/>
              <w:jc w:val="left"/>
              <w:textAlignment w:val="center"/>
              <w:rPr>
                <w:rFonts w:ascii="仿宋" w:hAnsi="仿宋" w:eastAsia="仿宋" w:cs="仿宋"/>
                <w:sz w:val="21"/>
                <w:szCs w:val="21"/>
              </w:rPr>
            </w:pPr>
            <w:r>
              <w:rPr>
                <w:rFonts w:hint="eastAsia" w:ascii="仿宋" w:hAnsi="仿宋" w:eastAsia="仿宋" w:cs="仿宋"/>
                <w:sz w:val="21"/>
                <w:szCs w:val="21"/>
              </w:rPr>
              <w:t>对本项目产品功能演示的评价：</w:t>
            </w:r>
          </w:p>
          <w:p w14:paraId="27005CB2">
            <w:pPr>
              <w:widowControl/>
              <w:jc w:val="left"/>
              <w:textAlignment w:val="center"/>
              <w:rPr>
                <w:rFonts w:ascii="仿宋" w:hAnsi="仿宋" w:eastAsia="仿宋" w:cs="仿宋"/>
                <w:sz w:val="21"/>
                <w:szCs w:val="21"/>
              </w:rPr>
            </w:pPr>
            <w:r>
              <w:rPr>
                <w:rFonts w:hint="eastAsia" w:ascii="仿宋" w:hAnsi="仿宋" w:eastAsia="仿宋" w:cs="仿宋"/>
                <w:sz w:val="21"/>
                <w:szCs w:val="21"/>
              </w:rPr>
              <w:t>投标人针对以下要求提供视频演示，视频储存介质为U盘，视频格式为MP4，演示时间控制在15分钟以内。</w:t>
            </w:r>
          </w:p>
          <w:p w14:paraId="6C382633">
            <w:pPr>
              <w:snapToGrid w:val="0"/>
              <w:textAlignment w:val="center"/>
              <w:rPr>
                <w:rFonts w:ascii="仿宋" w:hAnsi="仿宋" w:eastAsia="仿宋" w:cs="仿宋"/>
                <w:b/>
                <w:sz w:val="21"/>
                <w:szCs w:val="21"/>
              </w:rPr>
            </w:pPr>
            <w:r>
              <w:rPr>
                <w:rFonts w:hint="eastAsia" w:ascii="仿宋" w:hAnsi="仿宋" w:eastAsia="仿宋" w:cs="仿宋"/>
                <w:b/>
                <w:sz w:val="21"/>
                <w:szCs w:val="21"/>
                <w:lang w:bidi="ar"/>
              </w:rPr>
              <w:t>1、</w:t>
            </w:r>
            <w:r>
              <w:rPr>
                <w:rFonts w:hint="eastAsia" w:ascii="仿宋" w:hAnsi="仿宋" w:eastAsia="仿宋" w:cs="仿宋"/>
                <w:b/>
                <w:bCs/>
                <w:sz w:val="21"/>
                <w:szCs w:val="21"/>
              </w:rPr>
              <w:t>阿基米德原理实验器</w:t>
            </w:r>
            <w:r>
              <w:rPr>
                <w:rFonts w:hint="eastAsia" w:ascii="仿宋" w:hAnsi="仿宋" w:eastAsia="仿宋" w:cs="仿宋"/>
                <w:b/>
                <w:sz w:val="21"/>
                <w:szCs w:val="21"/>
              </w:rPr>
              <w:t>（3分）</w:t>
            </w:r>
          </w:p>
          <w:p w14:paraId="7FA241AA">
            <w:pPr>
              <w:snapToGrid w:val="0"/>
              <w:textAlignment w:val="center"/>
              <w:rPr>
                <w:rFonts w:ascii="仿宋" w:hAnsi="仿宋" w:eastAsia="仿宋" w:cs="仿宋"/>
                <w:sz w:val="21"/>
                <w:szCs w:val="21"/>
              </w:rPr>
            </w:pPr>
            <w:r>
              <w:rPr>
                <w:rFonts w:hint="eastAsia" w:ascii="仿宋" w:hAnsi="仿宋" w:eastAsia="仿宋" w:cs="仿宋"/>
                <w:sz w:val="21"/>
                <w:szCs w:val="21"/>
              </w:rPr>
              <w:t>（1）演示装置不采用外接压力传感器的形式，箱体内部一体化集成2个压力传感器，可以实时测量物体所受浮力大小以及被物体排开的液体所受的重力，装置内置位移传感器可以实时测量物体侵入水中的深度，整个装置不依赖其他外接显示设备，自身集成≥3.5英寸屏幕进行控制操作和实时数据显示。</w:t>
            </w:r>
            <w:r>
              <w:rPr>
                <w:rFonts w:hint="eastAsia" w:ascii="仿宋" w:hAnsi="仿宋" w:eastAsia="仿宋" w:cs="仿宋"/>
                <w:sz w:val="21"/>
                <w:szCs w:val="21"/>
                <w:lang w:bidi="ar"/>
              </w:rPr>
              <w:t>（1分）</w:t>
            </w:r>
          </w:p>
          <w:p w14:paraId="38E83C92">
            <w:pPr>
              <w:rPr>
                <w:rFonts w:ascii="仿宋" w:hAnsi="仿宋" w:eastAsia="仿宋" w:cs="仿宋"/>
                <w:sz w:val="21"/>
                <w:szCs w:val="21"/>
              </w:rPr>
            </w:pPr>
            <w:r>
              <w:rPr>
                <w:rFonts w:hint="eastAsia" w:ascii="仿宋" w:hAnsi="仿宋" w:eastAsia="仿宋" w:cs="仿宋"/>
                <w:sz w:val="21"/>
                <w:szCs w:val="21"/>
              </w:rPr>
              <w:t>（2）演示装置自身集成的≥3.5英寸屏幕可以实时的显示实时拉力、实时重力、深度，实验过程中可以通过点击屏幕上的上升、下降按钮驱动物块的上升和下降操作，待物块暂停稳定后可以将采集到的数据以表格的方式呈现，表格里面的内容包括物体重力、拉力、浮力、桶重、空桶重力等参数，并可将表格中的数据进行拟合曲线，绘制物体所受的浮力的大小与被物体排开的液体所受的重力关系曲线。</w:t>
            </w:r>
            <w:r>
              <w:rPr>
                <w:rFonts w:hint="eastAsia" w:ascii="仿宋" w:hAnsi="仿宋" w:eastAsia="仿宋" w:cs="仿宋"/>
                <w:sz w:val="21"/>
                <w:szCs w:val="21"/>
                <w:lang w:bidi="ar"/>
              </w:rPr>
              <w:t>（1分）</w:t>
            </w:r>
          </w:p>
          <w:p w14:paraId="619E3689">
            <w:pPr>
              <w:rPr>
                <w:rFonts w:ascii="仿宋" w:hAnsi="仿宋" w:eastAsia="仿宋" w:cs="仿宋"/>
                <w:sz w:val="21"/>
                <w:szCs w:val="21"/>
                <w:lang w:bidi="ar"/>
              </w:rPr>
            </w:pPr>
            <w:r>
              <w:rPr>
                <w:rFonts w:hint="eastAsia" w:ascii="仿宋" w:hAnsi="仿宋" w:eastAsia="仿宋" w:cs="仿宋"/>
                <w:sz w:val="21"/>
                <w:szCs w:val="21"/>
              </w:rPr>
              <w:t>（3）演示装置可以支持无线数据传输，可配套专用实验软件进行控制和采集装置内的实验数据，同样支持以表格和曲线等形式自动记录数据变化情况，曲线包括浮力时间曲线、浮力深度曲线、G排深度曲线。</w:t>
            </w:r>
            <w:r>
              <w:rPr>
                <w:rFonts w:hint="eastAsia" w:ascii="仿宋" w:hAnsi="仿宋" w:eastAsia="仿宋" w:cs="仿宋"/>
                <w:sz w:val="21"/>
                <w:szCs w:val="21"/>
                <w:lang w:bidi="ar"/>
              </w:rPr>
              <w:t>（1分）</w:t>
            </w:r>
          </w:p>
          <w:p w14:paraId="610B1DA6">
            <w:pPr>
              <w:snapToGrid w:val="0"/>
              <w:textAlignment w:val="center"/>
              <w:rPr>
                <w:rFonts w:ascii="仿宋" w:hAnsi="仿宋" w:eastAsia="仿宋" w:cs="仿宋"/>
                <w:b/>
                <w:sz w:val="21"/>
                <w:szCs w:val="21"/>
              </w:rPr>
            </w:pPr>
            <w:r>
              <w:rPr>
                <w:rFonts w:hint="eastAsia" w:ascii="仿宋" w:hAnsi="仿宋" w:eastAsia="仿宋" w:cs="仿宋"/>
                <w:b/>
                <w:sz w:val="21"/>
                <w:szCs w:val="21"/>
                <w:lang w:bidi="ar"/>
              </w:rPr>
              <w:t>2、</w:t>
            </w:r>
            <w:r>
              <w:rPr>
                <w:rFonts w:hint="eastAsia" w:ascii="仿宋" w:hAnsi="仿宋" w:eastAsia="仿宋" w:cs="仿宋"/>
                <w:b/>
                <w:bCs/>
                <w:sz w:val="21"/>
                <w:szCs w:val="21"/>
              </w:rPr>
              <w:t>数字化摩擦力实验器</w:t>
            </w:r>
            <w:r>
              <w:rPr>
                <w:rFonts w:hint="eastAsia" w:ascii="仿宋" w:hAnsi="仿宋" w:eastAsia="仿宋" w:cs="仿宋"/>
                <w:b/>
                <w:sz w:val="21"/>
                <w:szCs w:val="21"/>
              </w:rPr>
              <w:t>（3分）</w:t>
            </w:r>
          </w:p>
          <w:p w14:paraId="56E480AF">
            <w:pPr>
              <w:snapToGrid w:val="0"/>
              <w:textAlignment w:val="center"/>
              <w:rPr>
                <w:rFonts w:ascii="仿宋" w:hAnsi="仿宋" w:eastAsia="仿宋" w:cs="仿宋"/>
                <w:sz w:val="21"/>
                <w:szCs w:val="21"/>
              </w:rPr>
            </w:pPr>
            <w:r>
              <w:rPr>
                <w:rFonts w:hint="eastAsia" w:ascii="仿宋" w:hAnsi="仿宋" w:eastAsia="仿宋" w:cs="仿宋"/>
                <w:sz w:val="21"/>
                <w:szCs w:val="21"/>
              </w:rPr>
              <w:t>（1）演示装置内置驱动电机，可以通过一体化集成的≥3.5英寸屏幕实现物块的正转、反转、暂停等功能，同时支持物块正转和反转至终点后驱动电机自动停止，可以通过屏幕点击完成“探究滑动摩擦力与压力的关系实验”、“探究滑动摩擦力与接触面粗糙程度的关系”、“探究滑动摩擦力与接触面积的关系”、“探究滑动摩擦力与运动速度的关系”</w:t>
            </w:r>
            <w:r>
              <w:rPr>
                <w:rFonts w:hint="eastAsia" w:ascii="仿宋" w:hAnsi="仿宋" w:eastAsia="仿宋" w:cs="仿宋"/>
                <w:sz w:val="21"/>
                <w:szCs w:val="21"/>
                <w:lang w:bidi="ar"/>
              </w:rPr>
              <w:t>（1分）</w:t>
            </w:r>
          </w:p>
          <w:p w14:paraId="1CA12774">
            <w:pPr>
              <w:rPr>
                <w:rFonts w:ascii="仿宋" w:hAnsi="仿宋" w:eastAsia="仿宋" w:cs="仿宋"/>
                <w:sz w:val="21"/>
                <w:szCs w:val="21"/>
                <w:lang w:bidi="ar"/>
              </w:rPr>
            </w:pPr>
            <w:r>
              <w:rPr>
                <w:rFonts w:hint="eastAsia" w:ascii="仿宋" w:hAnsi="仿宋" w:eastAsia="仿宋" w:cs="仿宋"/>
                <w:sz w:val="21"/>
                <w:szCs w:val="21"/>
              </w:rPr>
              <w:t>（2）演示通过一体化集成的≥3.5英寸屏幕选择“探究滑动摩擦力与压力的关系实验”，改变物块钩码的数量做三组对照试验，屏幕自动记录不同正压力下的滑动摩擦力，并在屏幕上实时绘制不同正压力下的摩擦力曲线；</w:t>
            </w:r>
            <w:r>
              <w:rPr>
                <w:rFonts w:hint="eastAsia" w:ascii="仿宋" w:hAnsi="仿宋" w:eastAsia="仿宋" w:cs="仿宋"/>
                <w:sz w:val="21"/>
                <w:szCs w:val="21"/>
                <w:lang w:bidi="ar"/>
              </w:rPr>
              <w:t>（1分）</w:t>
            </w:r>
          </w:p>
          <w:p w14:paraId="7F611CD9">
            <w:pPr>
              <w:pStyle w:val="27"/>
              <w:spacing w:after="0"/>
              <w:ind w:left="0" w:leftChars="0" w:firstLine="0" w:firstLineChars="0"/>
              <w:rPr>
                <w:rFonts w:ascii="仿宋" w:hAnsi="仿宋" w:eastAsia="仿宋" w:cs="仿宋"/>
                <w:sz w:val="21"/>
                <w:szCs w:val="21"/>
                <w:lang w:bidi="ar"/>
              </w:rPr>
            </w:pPr>
            <w:r>
              <w:rPr>
                <w:rFonts w:hint="eastAsia" w:ascii="仿宋" w:hAnsi="仿宋" w:eastAsia="仿宋" w:cs="仿宋"/>
                <w:sz w:val="21"/>
                <w:szCs w:val="21"/>
              </w:rPr>
              <w:t>（3）演示通过一体化集成的≥3.5英寸屏幕选择“探究滑动摩擦力与接触面粗糙程度的关系”，改变光面、橡胶面、毛毯面三种不同的摩擦面，屏幕自动记录不同摩擦面下的滑动摩擦力，并在屏幕上实时绘制不同摩擦面下的摩擦力曲线。</w:t>
            </w:r>
            <w:r>
              <w:rPr>
                <w:rFonts w:hint="eastAsia" w:ascii="仿宋" w:hAnsi="仿宋" w:eastAsia="仿宋" w:cs="仿宋"/>
                <w:sz w:val="21"/>
                <w:szCs w:val="21"/>
                <w:lang w:bidi="ar"/>
              </w:rPr>
              <w:t>（1分）</w:t>
            </w:r>
          </w:p>
          <w:p w14:paraId="2CF38670">
            <w:pPr>
              <w:snapToGrid w:val="0"/>
              <w:textAlignment w:val="center"/>
              <w:rPr>
                <w:rFonts w:ascii="仿宋" w:hAnsi="仿宋" w:eastAsia="仿宋" w:cs="仿宋"/>
                <w:b/>
                <w:sz w:val="21"/>
                <w:szCs w:val="21"/>
              </w:rPr>
            </w:pPr>
            <w:r>
              <w:rPr>
                <w:rFonts w:hint="eastAsia" w:ascii="仿宋" w:hAnsi="仿宋" w:eastAsia="仿宋" w:cs="仿宋"/>
                <w:b/>
                <w:sz w:val="21"/>
                <w:szCs w:val="21"/>
                <w:lang w:bidi="ar"/>
              </w:rPr>
              <w:t>3、</w:t>
            </w:r>
            <w:r>
              <w:rPr>
                <w:rFonts w:hint="eastAsia" w:ascii="仿宋" w:hAnsi="仿宋" w:eastAsia="仿宋" w:cs="仿宋"/>
                <w:b/>
                <w:bCs/>
                <w:sz w:val="21"/>
                <w:szCs w:val="21"/>
              </w:rPr>
              <w:t>智能滑轮组实验装置</w:t>
            </w:r>
            <w:r>
              <w:rPr>
                <w:rFonts w:hint="eastAsia" w:ascii="仿宋" w:hAnsi="仿宋" w:eastAsia="仿宋" w:cs="仿宋"/>
                <w:b/>
                <w:sz w:val="21"/>
                <w:szCs w:val="21"/>
              </w:rPr>
              <w:t>（2分）</w:t>
            </w:r>
          </w:p>
          <w:p w14:paraId="17C64D89">
            <w:pPr>
              <w:rPr>
                <w:rFonts w:ascii="仿宋" w:hAnsi="仿宋" w:eastAsia="仿宋" w:cs="仿宋"/>
                <w:sz w:val="21"/>
                <w:szCs w:val="21"/>
                <w:lang w:bidi="ar"/>
              </w:rPr>
            </w:pPr>
            <w:r>
              <w:rPr>
                <w:rFonts w:hint="eastAsia" w:ascii="仿宋" w:hAnsi="仿宋" w:eastAsia="仿宋" w:cs="仿宋"/>
                <w:sz w:val="21"/>
                <w:szCs w:val="21"/>
              </w:rPr>
              <w:t>（1）演示箱体由上下两个箱体组成，可以可实现折叠收纳功能，并配有四个可调节地脚，可用于调节水平，底座上镶嵌微型水平测量仪，配合可调节地脚让实验装置处于水平，演示操作面板上带有刻度尺卡槽，实验过程中，可以进行任意调节刻度尺零刻度位置，可以用于直观观察砝码与动滑轮拉力端上升移动的。</w:t>
            </w:r>
            <w:r>
              <w:rPr>
                <w:rFonts w:hint="eastAsia" w:ascii="仿宋" w:hAnsi="仿宋" w:eastAsia="仿宋" w:cs="仿宋"/>
                <w:sz w:val="21"/>
                <w:szCs w:val="21"/>
                <w:lang w:bidi="ar"/>
              </w:rPr>
              <w:t>（1分）</w:t>
            </w:r>
          </w:p>
          <w:p w14:paraId="1E126523">
            <w:pPr>
              <w:rPr>
                <w:rFonts w:ascii="仿宋" w:hAnsi="仿宋" w:eastAsia="仿宋" w:cs="仿宋"/>
                <w:sz w:val="21"/>
                <w:szCs w:val="21"/>
                <w:lang w:bidi="ar"/>
              </w:rPr>
            </w:pPr>
            <w:r>
              <w:rPr>
                <w:rFonts w:hint="eastAsia" w:ascii="仿宋" w:hAnsi="仿宋" w:eastAsia="仿宋" w:cs="仿宋"/>
                <w:sz w:val="21"/>
                <w:szCs w:val="21"/>
                <w:lang w:bidi="ar"/>
              </w:rPr>
              <w:t>（2）</w:t>
            </w:r>
            <w:r>
              <w:rPr>
                <w:rFonts w:hint="eastAsia" w:ascii="仿宋" w:hAnsi="仿宋" w:eastAsia="仿宋" w:cs="仿宋"/>
                <w:sz w:val="21"/>
                <w:szCs w:val="21"/>
              </w:rPr>
              <w:t>箱体集成操作面板带有≥3.5英寸彩色液晶显示屏，可显示当前动滑轮驱动的拉力、移动的位移、运行方向以及运行状态，演示动滑轮机械效率实验原理，通过操作面板上的启动按键实现电机自动驱动滑轮拉动钩码上升，并在显示屏上自动记录上升的位移,可支持屏幕输入钩码重力以及钩码上升的高度，实验结束后可自动计算当前的机械效率。</w:t>
            </w:r>
            <w:r>
              <w:rPr>
                <w:rFonts w:hint="eastAsia" w:ascii="仿宋" w:hAnsi="仿宋" w:eastAsia="仿宋" w:cs="仿宋"/>
                <w:sz w:val="21"/>
                <w:szCs w:val="21"/>
                <w:lang w:bidi="ar"/>
              </w:rPr>
              <w:t>（1分）</w:t>
            </w:r>
          </w:p>
          <w:p w14:paraId="47C6E590">
            <w:pPr>
              <w:pStyle w:val="2"/>
              <w:autoSpaceDE w:val="0"/>
              <w:autoSpaceDN w:val="0"/>
              <w:ind w:firstLine="0"/>
              <w:rPr>
                <w:rFonts w:ascii="仿宋" w:hAnsi="仿宋" w:eastAsia="仿宋" w:cs="仿宋"/>
                <w:b/>
                <w:sz w:val="21"/>
                <w:szCs w:val="21"/>
              </w:rPr>
            </w:pPr>
            <w:r>
              <w:rPr>
                <w:rFonts w:hint="eastAsia" w:ascii="仿宋" w:hAnsi="仿宋" w:eastAsia="仿宋" w:cs="仿宋"/>
                <w:sz w:val="21"/>
                <w:szCs w:val="21"/>
                <w:lang w:bidi="ar"/>
              </w:rPr>
              <w:t>4、</w:t>
            </w:r>
            <w:r>
              <w:rPr>
                <w:rFonts w:hint="eastAsia" w:eastAsia="仿宋"/>
                <w:b/>
                <w:bCs/>
                <w:sz w:val="21"/>
                <w:szCs w:val="21"/>
              </w:rPr>
              <w:t>智慧互动教考终端、</w:t>
            </w:r>
            <w:r>
              <w:rPr>
                <w:rFonts w:hint="eastAsia" w:ascii="仿宋" w:hAnsi="仿宋" w:eastAsia="仿宋" w:cs="仿宋"/>
                <w:b/>
                <w:sz w:val="21"/>
                <w:szCs w:val="21"/>
              </w:rPr>
              <w:t>离子-滴定计数器装置（2分）</w:t>
            </w:r>
          </w:p>
          <w:p w14:paraId="1764D8A7">
            <w:pPr>
              <w:pStyle w:val="53"/>
              <w:ind w:left="0" w:leftChars="0"/>
              <w:rPr>
                <w:rFonts w:ascii="仿宋" w:hAnsi="仿宋" w:eastAsia="仿宋" w:cs="仿宋"/>
                <w:sz w:val="21"/>
                <w:szCs w:val="21"/>
                <w:lang w:bidi="ar"/>
              </w:rPr>
            </w:pPr>
            <w:r>
              <w:rPr>
                <w:rFonts w:hint="eastAsia" w:ascii="仿宋" w:hAnsi="仿宋" w:eastAsia="仿宋" w:cs="仿宋"/>
                <w:sz w:val="21"/>
                <w:szCs w:val="21"/>
              </w:rPr>
              <w:t>（1）演示智慧互动教考终端正面钢化玻璃一体成型面板，终端两侧面板各预留的至少一组电源和一组视频采集终端，面板上面置的至少1个空开，集成网络接口、220V 插座接口及至少2个 USB 接口。</w:t>
            </w:r>
            <w:r>
              <w:rPr>
                <w:rFonts w:hint="eastAsia" w:ascii="仿宋" w:hAnsi="仿宋" w:eastAsia="仿宋" w:cs="仿宋"/>
                <w:sz w:val="21"/>
                <w:szCs w:val="21"/>
                <w:lang w:bidi="ar"/>
              </w:rPr>
              <w:t>（1分）</w:t>
            </w:r>
          </w:p>
          <w:p w14:paraId="3F98E063">
            <w:pPr>
              <w:rPr>
                <w:rFonts w:eastAsia="仿宋"/>
                <w:sz w:val="21"/>
                <w:szCs w:val="21"/>
              </w:rPr>
            </w:pPr>
            <w:r>
              <w:rPr>
                <w:rFonts w:hint="eastAsia" w:ascii="仿宋" w:hAnsi="仿宋" w:eastAsia="仿宋" w:cs="仿宋"/>
                <w:sz w:val="21"/>
                <w:szCs w:val="21"/>
                <w:lang w:bidi="ar"/>
              </w:rPr>
              <w:t>（2）</w:t>
            </w:r>
            <w:r>
              <w:rPr>
                <w:rFonts w:hint="eastAsia" w:ascii="仿宋" w:hAnsi="仿宋" w:eastAsia="仿宋" w:cs="仿宋"/>
                <w:sz w:val="21"/>
                <w:szCs w:val="21"/>
              </w:rPr>
              <w:t>演示离子-滴定计数器通过USB数据线直接连接智慧互动教考终端的USB接口，无需再外接任何采集器，通过终端上的≥13.3 寸电容触摸真彩显示屏完成使用离子-滴定计数器装置、磁力搅拌器、计算机完成探究酸碱中和滴定实验。</w:t>
            </w:r>
            <w:r>
              <w:rPr>
                <w:rFonts w:hint="eastAsia" w:ascii="仿宋" w:hAnsi="仿宋" w:eastAsia="仿宋" w:cs="仿宋"/>
                <w:sz w:val="21"/>
                <w:szCs w:val="21"/>
                <w:lang w:bidi="ar"/>
              </w:rPr>
              <w:t>（1分）</w:t>
            </w:r>
          </w:p>
        </w:tc>
        <w:tc>
          <w:tcPr>
            <w:tcW w:w="992" w:type="dxa"/>
            <w:tcBorders>
              <w:top w:val="single" w:color="auto" w:sz="4" w:space="0"/>
              <w:left w:val="single" w:color="auto" w:sz="4" w:space="0"/>
              <w:bottom w:val="single" w:color="auto" w:sz="4" w:space="0"/>
              <w:right w:val="single" w:color="auto" w:sz="4" w:space="0"/>
            </w:tcBorders>
            <w:vAlign w:val="center"/>
          </w:tcPr>
          <w:p w14:paraId="50A52F52">
            <w:pPr>
              <w:pStyle w:val="2"/>
              <w:ind w:firstLine="0"/>
              <w:jc w:val="center"/>
              <w:rPr>
                <w:rFonts w:ascii="仿宋" w:hAnsi="仿宋" w:eastAsia="仿宋" w:cs="仿宋"/>
                <w:kern w:val="0"/>
                <w:sz w:val="21"/>
                <w:szCs w:val="21"/>
              </w:rPr>
            </w:pPr>
            <w:r>
              <w:rPr>
                <w:rFonts w:hint="eastAsia" w:ascii="仿宋" w:hAnsi="仿宋" w:eastAsia="仿宋" w:cs="仿宋"/>
                <w:kern w:val="0"/>
                <w:sz w:val="21"/>
                <w:szCs w:val="21"/>
              </w:rPr>
              <w:t>0-10分客观分</w:t>
            </w:r>
          </w:p>
        </w:tc>
      </w:tr>
      <w:tr w14:paraId="3078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37" w:type="dxa"/>
            <w:vMerge w:val="restart"/>
            <w:tcBorders>
              <w:top w:val="single" w:color="auto" w:sz="4" w:space="0"/>
              <w:left w:val="single" w:color="auto" w:sz="4" w:space="0"/>
              <w:right w:val="single" w:color="auto" w:sz="4" w:space="0"/>
            </w:tcBorders>
            <w:vAlign w:val="center"/>
          </w:tcPr>
          <w:p w14:paraId="5FAE043B">
            <w:pPr>
              <w:pStyle w:val="2"/>
              <w:ind w:firstLine="0"/>
              <w:rPr>
                <w:rFonts w:ascii="仿宋" w:hAnsi="仿宋" w:eastAsia="仿宋" w:cs="仿宋"/>
                <w:kern w:val="0"/>
                <w:sz w:val="21"/>
                <w:szCs w:val="21"/>
              </w:rPr>
            </w:pPr>
            <w:r>
              <w:rPr>
                <w:rFonts w:hint="eastAsia" w:ascii="仿宋" w:hAnsi="仿宋" w:eastAsia="仿宋" w:cs="仿宋"/>
                <w:kern w:val="0"/>
                <w:sz w:val="21"/>
                <w:szCs w:val="21"/>
              </w:rPr>
              <w:t>售后服务</w:t>
            </w:r>
          </w:p>
          <w:p w14:paraId="76F8DD51">
            <w:pPr>
              <w:pStyle w:val="2"/>
              <w:ind w:firstLine="0"/>
              <w:rPr>
                <w:rFonts w:ascii="仿宋" w:hAnsi="仿宋" w:eastAsia="仿宋" w:cs="仿宋"/>
                <w:kern w:val="0"/>
                <w:sz w:val="21"/>
                <w:szCs w:val="21"/>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分）</w:t>
            </w:r>
          </w:p>
        </w:tc>
        <w:tc>
          <w:tcPr>
            <w:tcW w:w="1230" w:type="dxa"/>
            <w:tcBorders>
              <w:top w:val="single" w:color="auto" w:sz="4" w:space="0"/>
              <w:left w:val="single" w:color="auto" w:sz="4" w:space="0"/>
              <w:bottom w:val="single" w:color="auto" w:sz="4" w:space="0"/>
              <w:right w:val="single" w:color="auto" w:sz="4" w:space="0"/>
            </w:tcBorders>
            <w:vAlign w:val="center"/>
          </w:tcPr>
          <w:p w14:paraId="66C4CD90">
            <w:pPr>
              <w:pStyle w:val="2"/>
              <w:ind w:firstLine="0"/>
              <w:jc w:val="center"/>
              <w:rPr>
                <w:rFonts w:ascii="仿宋" w:hAnsi="仿宋" w:eastAsia="仿宋" w:cs="仿宋"/>
                <w:kern w:val="0"/>
                <w:sz w:val="21"/>
                <w:szCs w:val="21"/>
              </w:rPr>
            </w:pPr>
            <w:r>
              <w:rPr>
                <w:rFonts w:hint="eastAsia" w:ascii="仿宋" w:hAnsi="仿宋" w:eastAsia="仿宋" w:cs="仿宋"/>
                <w:kern w:val="0"/>
                <w:sz w:val="21"/>
                <w:szCs w:val="21"/>
              </w:rPr>
              <w:t>售后服务体系（</w:t>
            </w:r>
            <w:r>
              <w:rPr>
                <w:rFonts w:hint="eastAsia" w:ascii="仿宋" w:hAnsi="仿宋" w:eastAsia="仿宋" w:cs="仿宋"/>
                <w:kern w:val="0"/>
                <w:sz w:val="21"/>
                <w:szCs w:val="21"/>
                <w:lang w:val="en-US" w:eastAsia="zh-CN"/>
              </w:rPr>
              <w:t>0-3</w:t>
            </w:r>
            <w:r>
              <w:rPr>
                <w:rFonts w:hint="eastAsia" w:ascii="仿宋" w:hAnsi="仿宋" w:eastAsia="仿宋" w:cs="仿宋"/>
                <w:kern w:val="0"/>
                <w:sz w:val="21"/>
                <w:szCs w:val="21"/>
              </w:rPr>
              <w:t>分）</w:t>
            </w:r>
          </w:p>
        </w:tc>
        <w:tc>
          <w:tcPr>
            <w:tcW w:w="5555" w:type="dxa"/>
            <w:tcBorders>
              <w:top w:val="single" w:color="auto" w:sz="4" w:space="0"/>
              <w:left w:val="single" w:color="auto" w:sz="4" w:space="0"/>
              <w:bottom w:val="single" w:color="auto" w:sz="4" w:space="0"/>
              <w:right w:val="single" w:color="auto" w:sz="4" w:space="0"/>
            </w:tcBorders>
            <w:vAlign w:val="center"/>
          </w:tcPr>
          <w:p w14:paraId="5DE48BC2">
            <w:pPr>
              <w:pStyle w:val="2"/>
              <w:ind w:firstLine="480"/>
              <w:rPr>
                <w:rFonts w:ascii="仿宋" w:hAnsi="仿宋" w:eastAsia="仿宋" w:cs="仿宋"/>
                <w:kern w:val="0"/>
                <w:sz w:val="21"/>
                <w:szCs w:val="21"/>
              </w:rPr>
            </w:pPr>
            <w:r>
              <w:rPr>
                <w:rFonts w:hint="eastAsia" w:ascii="仿宋" w:hAnsi="仿宋" w:eastAsia="仿宋" w:cs="仿宋"/>
                <w:kern w:val="0"/>
                <w:sz w:val="21"/>
                <w:szCs w:val="21"/>
              </w:rPr>
              <w:t>根据服务承诺的范围和完善程度（包括服务承诺，保修部件范围，保修、服务标准，人员配备，售后服务网点远近程度，故障响应修复时间方式及保障措施、维修技术培训）等进行打分。</w:t>
            </w:r>
          </w:p>
          <w:p w14:paraId="4CEB6D1A">
            <w:pPr>
              <w:pStyle w:val="2"/>
              <w:ind w:firstLine="480"/>
              <w:rPr>
                <w:rFonts w:ascii="仿宋" w:hAnsi="仿宋" w:eastAsia="仿宋" w:cs="仿宋"/>
                <w:kern w:val="0"/>
                <w:sz w:val="21"/>
                <w:szCs w:val="21"/>
              </w:rPr>
            </w:pPr>
            <w:r>
              <w:rPr>
                <w:rFonts w:hint="eastAsia" w:ascii="仿宋" w:hAnsi="仿宋" w:eastAsia="仿宋" w:cs="仿宋"/>
                <w:kern w:val="0"/>
                <w:sz w:val="21"/>
                <w:szCs w:val="21"/>
              </w:rPr>
              <w:t>1.内容齐全的得基本分</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分；</w:t>
            </w:r>
          </w:p>
          <w:p w14:paraId="42BFB02E">
            <w:pPr>
              <w:pStyle w:val="2"/>
              <w:ind w:firstLine="480"/>
              <w:rPr>
                <w:rFonts w:ascii="仿宋" w:hAnsi="仿宋" w:eastAsia="仿宋" w:cs="仿宋"/>
                <w:kern w:val="0"/>
                <w:sz w:val="21"/>
                <w:szCs w:val="21"/>
              </w:rPr>
            </w:pPr>
            <w:r>
              <w:rPr>
                <w:rFonts w:hint="eastAsia" w:ascii="仿宋" w:hAnsi="仿宋" w:eastAsia="仿宋" w:cs="仿宋"/>
                <w:kern w:val="0"/>
                <w:sz w:val="21"/>
                <w:szCs w:val="21"/>
              </w:rPr>
              <w:t>2.方案较全面、较科学合理的加</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w:t>
            </w:r>
          </w:p>
          <w:p w14:paraId="37A5EFCD">
            <w:pPr>
              <w:pStyle w:val="2"/>
              <w:ind w:firstLine="480"/>
              <w:rPr>
                <w:rFonts w:ascii="仿宋" w:hAnsi="仿宋" w:eastAsia="仿宋" w:cs="仿宋"/>
                <w:kern w:val="0"/>
                <w:sz w:val="21"/>
                <w:szCs w:val="21"/>
              </w:rPr>
            </w:pPr>
            <w:r>
              <w:rPr>
                <w:rFonts w:hint="eastAsia" w:ascii="仿宋" w:hAnsi="仿宋" w:eastAsia="仿宋" w:cs="仿宋"/>
                <w:kern w:val="0"/>
                <w:sz w:val="21"/>
                <w:szCs w:val="21"/>
              </w:rPr>
              <w:t>3.方案更全面、更科学合理且配有专业售后服务管理人员的加</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w:t>
            </w:r>
          </w:p>
          <w:p w14:paraId="16B19E84">
            <w:pPr>
              <w:pStyle w:val="2"/>
              <w:ind w:firstLine="480"/>
              <w:rPr>
                <w:rFonts w:ascii="仿宋" w:hAnsi="仿宋" w:eastAsia="仿宋" w:cs="仿宋"/>
                <w:kern w:val="0"/>
                <w:sz w:val="21"/>
                <w:szCs w:val="21"/>
              </w:rPr>
            </w:pPr>
            <w:r>
              <w:rPr>
                <w:rFonts w:hint="eastAsia" w:ascii="仿宋" w:hAnsi="仿宋" w:eastAsia="仿宋" w:cs="仿宋"/>
                <w:kern w:val="0"/>
                <w:sz w:val="21"/>
                <w:szCs w:val="21"/>
              </w:rPr>
              <w:t>本项最高得</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分，未提及或内容不全的不得分，不提供的不得分。</w:t>
            </w:r>
          </w:p>
        </w:tc>
        <w:tc>
          <w:tcPr>
            <w:tcW w:w="992" w:type="dxa"/>
            <w:tcBorders>
              <w:top w:val="single" w:color="auto" w:sz="4" w:space="0"/>
              <w:left w:val="single" w:color="auto" w:sz="4" w:space="0"/>
              <w:bottom w:val="single" w:color="auto" w:sz="4" w:space="0"/>
              <w:right w:val="single" w:color="auto" w:sz="4" w:space="0"/>
            </w:tcBorders>
            <w:vAlign w:val="center"/>
          </w:tcPr>
          <w:p w14:paraId="3A604FF4">
            <w:pPr>
              <w:pStyle w:val="2"/>
              <w:ind w:firstLine="0"/>
              <w:jc w:val="center"/>
              <w:rPr>
                <w:rFonts w:hint="eastAsia" w:ascii="仿宋" w:hAnsi="仿宋" w:eastAsia="仿宋" w:cs="仿宋"/>
                <w:kern w:val="0"/>
                <w:sz w:val="21"/>
                <w:szCs w:val="21"/>
              </w:rPr>
            </w:pPr>
            <w:r>
              <w:rPr>
                <w:rFonts w:hint="eastAsia" w:ascii="仿宋" w:hAnsi="仿宋" w:eastAsia="仿宋" w:cs="仿宋"/>
                <w:kern w:val="0"/>
                <w:sz w:val="21"/>
                <w:szCs w:val="21"/>
              </w:rPr>
              <w:t>0-</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w:t>
            </w:r>
          </w:p>
          <w:p w14:paraId="5D1A8FD1">
            <w:pPr>
              <w:pStyle w:val="2"/>
              <w:ind w:firstLine="0"/>
              <w:jc w:val="center"/>
              <w:rPr>
                <w:rFonts w:ascii="仿宋" w:hAnsi="仿宋" w:eastAsia="仿宋" w:cs="仿宋"/>
                <w:kern w:val="0"/>
                <w:sz w:val="21"/>
                <w:szCs w:val="21"/>
              </w:rPr>
            </w:pPr>
            <w:r>
              <w:rPr>
                <w:rFonts w:hint="eastAsia" w:ascii="仿宋" w:hAnsi="仿宋" w:eastAsia="仿宋" w:cs="仿宋"/>
                <w:kern w:val="0"/>
                <w:sz w:val="21"/>
                <w:szCs w:val="21"/>
              </w:rPr>
              <w:t>主观分</w:t>
            </w:r>
          </w:p>
        </w:tc>
      </w:tr>
      <w:tr w14:paraId="701D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7" w:type="dxa"/>
            <w:vMerge w:val="continue"/>
            <w:tcBorders>
              <w:left w:val="single" w:color="auto" w:sz="4" w:space="0"/>
              <w:right w:val="single" w:color="auto" w:sz="4" w:space="0"/>
            </w:tcBorders>
            <w:vAlign w:val="center"/>
          </w:tcPr>
          <w:p w14:paraId="0BB0D4A5">
            <w:pPr>
              <w:pStyle w:val="2"/>
              <w:ind w:firstLine="0"/>
              <w:jc w:val="center"/>
              <w:rPr>
                <w:rFonts w:ascii="仿宋" w:hAnsi="仿宋" w:eastAsia="仿宋" w:cs="仿宋"/>
                <w:kern w:val="0"/>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42529A2C">
            <w:pPr>
              <w:pStyle w:val="2"/>
              <w:ind w:firstLine="0"/>
              <w:jc w:val="center"/>
              <w:rPr>
                <w:rFonts w:ascii="仿宋" w:hAnsi="仿宋" w:eastAsia="仿宋" w:cs="仿宋"/>
                <w:kern w:val="0"/>
                <w:sz w:val="21"/>
                <w:szCs w:val="21"/>
              </w:rPr>
            </w:pPr>
            <w:r>
              <w:rPr>
                <w:rFonts w:hint="eastAsia" w:ascii="仿宋" w:hAnsi="仿宋" w:eastAsia="仿宋" w:cs="仿宋"/>
                <w:kern w:val="0"/>
                <w:sz w:val="21"/>
                <w:szCs w:val="21"/>
              </w:rPr>
              <w:t>质保方案（</w:t>
            </w:r>
            <w:r>
              <w:rPr>
                <w:rFonts w:hint="eastAsia" w:ascii="仿宋" w:hAnsi="仿宋" w:eastAsia="仿宋" w:cs="仿宋"/>
                <w:kern w:val="0"/>
                <w:sz w:val="21"/>
                <w:szCs w:val="21"/>
                <w:lang w:val="en-US" w:eastAsia="zh-CN"/>
              </w:rPr>
              <w:t>0-3</w:t>
            </w:r>
            <w:r>
              <w:rPr>
                <w:rFonts w:hint="eastAsia" w:ascii="仿宋" w:hAnsi="仿宋" w:eastAsia="仿宋" w:cs="仿宋"/>
                <w:kern w:val="0"/>
                <w:sz w:val="21"/>
                <w:szCs w:val="21"/>
              </w:rPr>
              <w:t>分）</w:t>
            </w:r>
          </w:p>
        </w:tc>
        <w:tc>
          <w:tcPr>
            <w:tcW w:w="5555" w:type="dxa"/>
            <w:tcBorders>
              <w:top w:val="single" w:color="auto" w:sz="4" w:space="0"/>
              <w:left w:val="single" w:color="auto" w:sz="4" w:space="0"/>
              <w:bottom w:val="single" w:color="auto" w:sz="4" w:space="0"/>
              <w:right w:val="single" w:color="auto" w:sz="4" w:space="0"/>
            </w:tcBorders>
            <w:vAlign w:val="center"/>
          </w:tcPr>
          <w:p w14:paraId="1E278ED1">
            <w:pPr>
              <w:pStyle w:val="2"/>
              <w:ind w:firstLine="480"/>
              <w:rPr>
                <w:rFonts w:ascii="仿宋" w:hAnsi="仿宋" w:eastAsia="仿宋" w:cs="仿宋"/>
                <w:kern w:val="0"/>
                <w:sz w:val="21"/>
                <w:szCs w:val="21"/>
              </w:rPr>
            </w:pPr>
            <w:r>
              <w:rPr>
                <w:rFonts w:hint="eastAsia" w:ascii="仿宋" w:hAnsi="仿宋" w:eastAsia="仿宋" w:cs="仿宋"/>
                <w:kern w:val="0"/>
                <w:sz w:val="21"/>
                <w:szCs w:val="21"/>
              </w:rPr>
              <w:t>质保期内，详细描述针对主要设备的质保方案。质保期内，针对产品的结构配件具体会产生什么质量问题，描述如何质保）。</w:t>
            </w:r>
          </w:p>
          <w:p w14:paraId="2F741934">
            <w:pPr>
              <w:pStyle w:val="2"/>
              <w:ind w:firstLine="480"/>
              <w:rPr>
                <w:rFonts w:ascii="仿宋" w:hAnsi="仿宋" w:eastAsia="仿宋" w:cs="仿宋"/>
                <w:kern w:val="0"/>
                <w:sz w:val="21"/>
                <w:szCs w:val="21"/>
              </w:rPr>
            </w:pPr>
            <w:r>
              <w:rPr>
                <w:rFonts w:hint="eastAsia" w:ascii="仿宋" w:hAnsi="仿宋" w:eastAsia="仿宋" w:cs="仿宋"/>
                <w:kern w:val="0"/>
                <w:sz w:val="21"/>
                <w:szCs w:val="21"/>
              </w:rPr>
              <w:t>1.内容齐全的得基本分</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分；</w:t>
            </w:r>
          </w:p>
          <w:p w14:paraId="2229195D">
            <w:pPr>
              <w:pStyle w:val="2"/>
              <w:ind w:firstLine="480"/>
              <w:rPr>
                <w:rFonts w:ascii="仿宋" w:hAnsi="仿宋" w:eastAsia="仿宋" w:cs="仿宋"/>
                <w:kern w:val="0"/>
                <w:sz w:val="21"/>
                <w:szCs w:val="21"/>
              </w:rPr>
            </w:pPr>
            <w:r>
              <w:rPr>
                <w:rFonts w:hint="eastAsia" w:ascii="仿宋" w:hAnsi="仿宋" w:eastAsia="仿宋" w:cs="仿宋"/>
                <w:kern w:val="0"/>
                <w:sz w:val="21"/>
                <w:szCs w:val="21"/>
              </w:rPr>
              <w:t>2.方案较全面、较科学合理的加</w:t>
            </w:r>
            <w:r>
              <w:rPr>
                <w:rFonts w:hint="eastAsia" w:ascii="仿宋" w:hAnsi="仿宋" w:eastAsia="仿宋" w:cs="仿宋"/>
                <w:kern w:val="0"/>
                <w:sz w:val="21"/>
                <w:szCs w:val="21"/>
                <w:lang w:val="en-US" w:eastAsia="zh-CN"/>
              </w:rPr>
              <w:t>0.5</w:t>
            </w:r>
            <w:r>
              <w:rPr>
                <w:rFonts w:hint="eastAsia" w:ascii="仿宋" w:hAnsi="仿宋" w:eastAsia="仿宋" w:cs="仿宋"/>
                <w:kern w:val="0"/>
                <w:sz w:val="21"/>
                <w:szCs w:val="21"/>
              </w:rPr>
              <w:t>分；</w:t>
            </w:r>
          </w:p>
          <w:p w14:paraId="2D97692C">
            <w:pPr>
              <w:pStyle w:val="2"/>
              <w:ind w:firstLine="480"/>
              <w:rPr>
                <w:rFonts w:ascii="仿宋" w:hAnsi="仿宋" w:eastAsia="仿宋" w:cs="仿宋"/>
                <w:kern w:val="0"/>
                <w:sz w:val="21"/>
                <w:szCs w:val="21"/>
              </w:rPr>
            </w:pPr>
            <w:r>
              <w:rPr>
                <w:rFonts w:hint="eastAsia" w:ascii="仿宋" w:hAnsi="仿宋" w:eastAsia="仿宋" w:cs="仿宋"/>
                <w:kern w:val="0"/>
                <w:sz w:val="21"/>
                <w:szCs w:val="21"/>
              </w:rPr>
              <w:t>3.方案全面、科学合理的加</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w:t>
            </w:r>
          </w:p>
          <w:p w14:paraId="42041218">
            <w:pPr>
              <w:pStyle w:val="2"/>
              <w:ind w:firstLine="480"/>
              <w:rPr>
                <w:rFonts w:ascii="仿宋" w:hAnsi="仿宋" w:eastAsia="仿宋" w:cs="仿宋"/>
                <w:kern w:val="0"/>
                <w:sz w:val="21"/>
                <w:szCs w:val="21"/>
              </w:rPr>
            </w:pPr>
            <w:r>
              <w:rPr>
                <w:rFonts w:hint="eastAsia" w:ascii="仿宋" w:hAnsi="仿宋" w:eastAsia="仿宋" w:cs="仿宋"/>
                <w:kern w:val="0"/>
                <w:sz w:val="21"/>
                <w:szCs w:val="21"/>
              </w:rPr>
              <w:t>本项最高得</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分，未提及或内容不全的不得分，不提供的不得分。</w:t>
            </w:r>
          </w:p>
        </w:tc>
        <w:tc>
          <w:tcPr>
            <w:tcW w:w="992" w:type="dxa"/>
            <w:tcBorders>
              <w:top w:val="single" w:color="auto" w:sz="4" w:space="0"/>
              <w:left w:val="single" w:color="auto" w:sz="4" w:space="0"/>
              <w:bottom w:val="single" w:color="auto" w:sz="4" w:space="0"/>
              <w:right w:val="single" w:color="auto" w:sz="4" w:space="0"/>
            </w:tcBorders>
            <w:vAlign w:val="center"/>
          </w:tcPr>
          <w:p w14:paraId="50C7D12F">
            <w:pPr>
              <w:pStyle w:val="2"/>
              <w:ind w:firstLine="0"/>
              <w:jc w:val="center"/>
              <w:rPr>
                <w:rFonts w:hint="eastAsia" w:ascii="仿宋" w:hAnsi="仿宋" w:eastAsia="仿宋" w:cs="仿宋"/>
                <w:kern w:val="0"/>
                <w:sz w:val="21"/>
                <w:szCs w:val="21"/>
              </w:rPr>
            </w:pPr>
            <w:r>
              <w:rPr>
                <w:rFonts w:hint="eastAsia" w:ascii="仿宋" w:hAnsi="仿宋" w:eastAsia="仿宋" w:cs="仿宋"/>
                <w:kern w:val="0"/>
                <w:sz w:val="21"/>
                <w:szCs w:val="21"/>
              </w:rPr>
              <w:t>0-</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w:t>
            </w:r>
          </w:p>
          <w:p w14:paraId="4D9735E5">
            <w:pPr>
              <w:pStyle w:val="2"/>
              <w:ind w:firstLine="0"/>
              <w:jc w:val="center"/>
              <w:rPr>
                <w:rFonts w:ascii="仿宋" w:hAnsi="仿宋" w:eastAsia="仿宋" w:cs="仿宋"/>
                <w:kern w:val="0"/>
                <w:sz w:val="21"/>
                <w:szCs w:val="21"/>
              </w:rPr>
            </w:pPr>
            <w:r>
              <w:rPr>
                <w:rFonts w:hint="eastAsia" w:ascii="仿宋" w:hAnsi="仿宋" w:eastAsia="仿宋" w:cs="仿宋"/>
                <w:kern w:val="0"/>
                <w:sz w:val="21"/>
                <w:szCs w:val="21"/>
              </w:rPr>
              <w:t>主观分</w:t>
            </w:r>
          </w:p>
        </w:tc>
      </w:tr>
    </w:tbl>
    <w:p w14:paraId="3C7540B3"/>
    <w:p w14:paraId="750C7172">
      <w:pPr>
        <w:snapToGrid w:val="0"/>
        <w:spacing w:line="360" w:lineRule="auto"/>
        <w:rPr>
          <w:rFonts w:hint="eastAsia" w:ascii="仿宋" w:hAnsi="仿宋" w:eastAsia="仿宋" w:cs="仿宋"/>
          <w:b/>
          <w:sz w:val="24"/>
        </w:rPr>
      </w:pP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7AA0C5AB">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一、评标方法</w:t>
      </w:r>
    </w:p>
    <w:p w14:paraId="064532F3">
      <w:pPr>
        <w:pStyle w:val="2"/>
        <w:ind w:firstLine="369" w:firstLineChars="175"/>
        <w:rPr>
          <w:rFonts w:hint="eastAsia" w:ascii="仿宋" w:hAnsi="仿宋" w:eastAsia="仿宋" w:cs="仿宋"/>
          <w:kern w:val="0"/>
        </w:rPr>
      </w:pPr>
      <w:r>
        <w:rPr>
          <w:rFonts w:hint="eastAsia" w:ascii="仿宋" w:hAnsi="仿宋" w:eastAsia="仿宋" w:cs="仿宋"/>
          <w:b/>
          <w:kern w:val="0"/>
          <w:szCs w:val="24"/>
          <w:lang w:val="en-US"/>
        </w:rPr>
        <w:t>1、</w:t>
      </w:r>
      <w:r>
        <w:rPr>
          <w:rFonts w:hint="eastAsia" w:ascii="仿宋" w:hAnsi="仿宋" w:eastAsia="仿宋" w:cs="仿宋"/>
          <w:kern w:val="0"/>
        </w:rPr>
        <w:t>综合评分法，是指投标文件满足招标文件全部实质性要求，且按照评审因素的量化指标评审得分最高的投标人为中标候选人的评标方法。</w:t>
      </w:r>
    </w:p>
    <w:p w14:paraId="24BBF654">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二、评标标准</w:t>
      </w:r>
    </w:p>
    <w:p w14:paraId="0446E382">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67F20DA0">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6A4EBB32">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16121B26">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2E635F7E">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3FE24A8D">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0D520888">
      <w:pPr>
        <w:pStyle w:val="133"/>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729CCAA9">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4F8BA289">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2E81D735">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4F272F80">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4BBD85F0">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E10C9A4">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67C49201">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277D1C6A">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8A3C3A9">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940CDE7">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2EF4E9">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86CA9F5">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7906B6">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313FFEE9">
      <w:pPr>
        <w:pStyle w:val="133"/>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63B3A2">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7B02457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5655670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7D45BE6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61395F7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6883114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4C57E9B9">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1DC20EA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44237F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202A3E6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C9C274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6E7AFC8C">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2E936FB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41687BC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 投标文件不满足招标文件的其它实质性要求的；</w:t>
      </w:r>
    </w:p>
    <w:p w14:paraId="405EEA5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5B5B61A3">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0E00D005">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1F52A288">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7E417B6C">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267A0A74">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12095593">
      <w:pPr>
        <w:pStyle w:val="26"/>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14:paraId="46126B2E">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9F36FA0">
      <w:pPr>
        <w:pStyle w:val="26"/>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750A6200">
      <w:pPr>
        <w:pStyle w:val="26"/>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4398616E">
      <w:pPr>
        <w:pStyle w:val="26"/>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49D132D9">
      <w:pPr>
        <w:pStyle w:val="26"/>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0FFCF74E">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56A432AE">
      <w:pPr>
        <w:pStyle w:val="26"/>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4969ADF6">
      <w:pPr>
        <w:pStyle w:val="26"/>
        <w:snapToGrid w:val="0"/>
        <w:spacing w:line="360" w:lineRule="auto"/>
        <w:ind w:firstLine="0" w:firstLineChars="0"/>
        <w:rPr>
          <w:rFonts w:hint="eastAsia" w:ascii="仿宋" w:hAnsi="仿宋" w:eastAsia="仿宋" w:cs="仿宋"/>
        </w:rPr>
      </w:pPr>
    </w:p>
    <w:bookmarkEnd w:id="30"/>
    <w:p w14:paraId="464AAF52">
      <w:pPr>
        <w:rPr>
          <w:rFonts w:hint="eastAsia" w:ascii="仿宋" w:hAnsi="仿宋" w:eastAsia="仿宋" w:cs="仿宋"/>
          <w:b/>
          <w:sz w:val="36"/>
          <w:szCs w:val="36"/>
        </w:rPr>
      </w:pPr>
      <w:bookmarkStart w:id="397" w:name="_Toc86217003"/>
      <w:bookmarkStart w:id="398" w:name="第五部分"/>
      <w:r>
        <w:rPr>
          <w:rFonts w:hint="eastAsia" w:ascii="仿宋" w:hAnsi="仿宋" w:eastAsia="仿宋" w:cs="仿宋"/>
          <w:b/>
          <w:sz w:val="36"/>
          <w:szCs w:val="36"/>
        </w:rPr>
        <w:br w:type="page"/>
      </w:r>
    </w:p>
    <w:p w14:paraId="1414F413">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7D9B64F9">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05C0B918">
      <w:pPr>
        <w:spacing w:line="480" w:lineRule="auto"/>
        <w:jc w:val="center"/>
        <w:rPr>
          <w:rFonts w:hint="eastAsia" w:ascii="仿宋" w:hAnsi="仿宋" w:eastAsia="仿宋" w:cs="仿宋"/>
          <w:b/>
          <w:sz w:val="28"/>
          <w:szCs w:val="28"/>
        </w:rPr>
      </w:pPr>
    </w:p>
    <w:p w14:paraId="46F704A3">
      <w:pPr>
        <w:spacing w:line="480" w:lineRule="auto"/>
        <w:jc w:val="center"/>
        <w:rPr>
          <w:rFonts w:hint="eastAsia" w:ascii="仿宋" w:hAnsi="仿宋" w:eastAsia="仿宋" w:cs="仿宋"/>
          <w:b/>
          <w:sz w:val="24"/>
        </w:rPr>
      </w:pPr>
    </w:p>
    <w:p w14:paraId="767214A6">
      <w:pPr>
        <w:spacing w:line="480" w:lineRule="auto"/>
        <w:jc w:val="center"/>
        <w:rPr>
          <w:rFonts w:hint="eastAsia" w:ascii="仿宋" w:hAnsi="仿宋" w:eastAsia="仿宋" w:cs="仿宋"/>
          <w:b/>
          <w:sz w:val="24"/>
        </w:rPr>
      </w:pPr>
    </w:p>
    <w:p w14:paraId="6F4020DD">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1484DD1B">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（货物类）</w:t>
      </w:r>
    </w:p>
    <w:p w14:paraId="260FDD71">
      <w:pPr>
        <w:pStyle w:val="704"/>
        <w:rPr>
          <w:rFonts w:hint="eastAsia" w:ascii="仿宋" w:hAnsi="仿宋" w:eastAsia="仿宋" w:cs="仿宋"/>
          <w:szCs w:val="24"/>
        </w:rPr>
      </w:pPr>
    </w:p>
    <w:p w14:paraId="3FCD059D">
      <w:pPr>
        <w:pStyle w:val="704"/>
        <w:rPr>
          <w:rFonts w:hint="eastAsia" w:ascii="仿宋" w:hAnsi="仿宋" w:eastAsia="仿宋" w:cs="仿宋"/>
          <w:szCs w:val="24"/>
        </w:rPr>
      </w:pPr>
    </w:p>
    <w:p w14:paraId="44A09560">
      <w:pPr>
        <w:pStyle w:val="704"/>
        <w:jc w:val="center"/>
        <w:rPr>
          <w:rFonts w:hint="eastAsia" w:ascii="仿宋" w:hAnsi="仿宋" w:eastAsia="仿宋" w:cs="仿宋"/>
          <w:szCs w:val="24"/>
        </w:rPr>
      </w:pPr>
    </w:p>
    <w:p w14:paraId="4FAC2E83">
      <w:pPr>
        <w:pStyle w:val="704"/>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24E930CA">
      <w:pPr>
        <w:pStyle w:val="704"/>
        <w:rPr>
          <w:rFonts w:hint="eastAsia" w:ascii="仿宋" w:hAnsi="仿宋" w:eastAsia="仿宋" w:cs="仿宋"/>
          <w:szCs w:val="24"/>
        </w:rPr>
      </w:pPr>
    </w:p>
    <w:p w14:paraId="30B8414C">
      <w:pPr>
        <w:pStyle w:val="704"/>
        <w:rPr>
          <w:rFonts w:hint="eastAsia" w:ascii="仿宋" w:hAnsi="仿宋" w:eastAsia="仿宋" w:cs="仿宋"/>
          <w:szCs w:val="24"/>
        </w:rPr>
      </w:pPr>
    </w:p>
    <w:p w14:paraId="6FD38985">
      <w:pPr>
        <w:spacing w:before="120" w:line="22" w:lineRule="atLeast"/>
        <w:rPr>
          <w:rFonts w:hint="eastAsia" w:ascii="仿宋" w:hAnsi="仿宋" w:eastAsia="仿宋" w:cs="仿宋"/>
          <w:sz w:val="24"/>
        </w:rPr>
      </w:pPr>
    </w:p>
    <w:p w14:paraId="10BB88E2">
      <w:pPr>
        <w:spacing w:before="120" w:line="22" w:lineRule="atLeast"/>
        <w:ind w:left="960"/>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D68E2B3">
      <w:pPr>
        <w:pStyle w:val="2"/>
        <w:rPr>
          <w:rFonts w:hint="eastAsia" w:ascii="仿宋" w:hAnsi="仿宋" w:eastAsia="仿宋" w:cs="仿宋"/>
        </w:rPr>
      </w:pPr>
    </w:p>
    <w:p w14:paraId="5B124D84">
      <w:pPr>
        <w:spacing w:before="120" w:line="22" w:lineRule="atLeast"/>
        <w:ind w:left="960"/>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149B1326">
      <w:pPr>
        <w:pStyle w:val="601"/>
        <w:spacing w:before="120" w:line="22" w:lineRule="atLeast"/>
        <w:rPr>
          <w:rFonts w:hint="eastAsia" w:ascii="仿宋" w:hAnsi="仿宋" w:eastAsia="仿宋" w:cs="仿宋"/>
          <w:szCs w:val="24"/>
        </w:rPr>
      </w:pPr>
    </w:p>
    <w:p w14:paraId="06D6CE5C">
      <w:pPr>
        <w:rPr>
          <w:rFonts w:hint="eastAsia" w:ascii="仿宋" w:hAnsi="仿宋" w:eastAsia="仿宋" w:cs="仿宋"/>
          <w:sz w:val="24"/>
        </w:rPr>
      </w:pPr>
    </w:p>
    <w:p w14:paraId="3B83C28C">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E74AA75">
      <w:pPr>
        <w:spacing w:before="120" w:line="22" w:lineRule="atLeast"/>
        <w:rPr>
          <w:rFonts w:hint="eastAsia" w:ascii="仿宋" w:hAnsi="仿宋" w:eastAsia="仿宋" w:cs="仿宋"/>
          <w:sz w:val="24"/>
        </w:rPr>
      </w:pPr>
    </w:p>
    <w:p w14:paraId="4019A3E7">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4C4A9B71">
      <w:pPr>
        <w:spacing w:before="120" w:line="22" w:lineRule="atLeast"/>
        <w:rPr>
          <w:rFonts w:hint="eastAsia" w:ascii="仿宋" w:hAnsi="仿宋" w:eastAsia="仿宋" w:cs="仿宋"/>
          <w:sz w:val="24"/>
        </w:rPr>
      </w:pPr>
    </w:p>
    <w:p w14:paraId="240F5286">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51DC60CE">
      <w:pPr>
        <w:spacing w:before="120" w:line="22" w:lineRule="atLeast"/>
        <w:rPr>
          <w:rFonts w:hint="eastAsia" w:ascii="仿宋" w:hAnsi="仿宋" w:eastAsia="仿宋" w:cs="仿宋"/>
          <w:sz w:val="24"/>
        </w:rPr>
      </w:pPr>
    </w:p>
    <w:p w14:paraId="6ADE8827">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00F08B3">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14:paraId="78B079CB">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（项目名称、编号）  </w:t>
      </w:r>
      <w:r>
        <w:rPr>
          <w:rFonts w:hint="eastAsia" w:ascii="仿宋" w:hAnsi="仿宋" w:eastAsia="仿宋" w:cs="仿宋"/>
          <w:sz w:val="24"/>
          <w:u w:val="single"/>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w:t>
      </w:r>
      <w:r>
        <w:rPr>
          <w:rFonts w:hint="eastAsia" w:ascii="仿宋" w:hAnsi="仿宋" w:eastAsia="仿宋" w:cs="仿宋"/>
          <w:sz w:val="24"/>
        </w:rPr>
        <w:t>为该项目中标或者成交供应商。现于中标或者成交通知书发出之日起10个工作日内，按照采购文件等确定的事项签订本合同。</w:t>
      </w:r>
    </w:p>
    <w:p w14:paraId="64139A38">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（中标或者成交供应商名称）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6A0A72BE">
      <w:pPr>
        <w:spacing w:line="560" w:lineRule="exact"/>
        <w:ind w:firstLine="482" w:firstLineChars="200"/>
        <w:outlineLvl w:val="1"/>
        <w:rPr>
          <w:rFonts w:hint="eastAsia" w:ascii="仿宋" w:hAnsi="仿宋" w:eastAsia="仿宋" w:cs="仿宋"/>
          <w:b/>
          <w:sz w:val="24"/>
        </w:rPr>
      </w:pPr>
      <w:bookmarkStart w:id="399" w:name="_Toc2232"/>
      <w:bookmarkStart w:id="400" w:name="_Toc3029"/>
      <w:bookmarkStart w:id="401" w:name="_Toc24059"/>
      <w:r>
        <w:rPr>
          <w:rFonts w:hint="eastAsia" w:ascii="仿宋" w:hAnsi="仿宋" w:eastAsia="仿宋" w:cs="仿宋"/>
          <w:b/>
          <w:sz w:val="24"/>
        </w:rPr>
        <w:t>1.1 合同组成部分</w:t>
      </w:r>
      <w:bookmarkEnd w:id="399"/>
      <w:bookmarkEnd w:id="400"/>
      <w:bookmarkEnd w:id="401"/>
    </w:p>
    <w:p w14:paraId="15DD9BE8">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46E996">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651E119E">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0A8FD234">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4D8FD43D">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57DADA09">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1CEDFF28">
      <w:pPr>
        <w:spacing w:line="560" w:lineRule="exact"/>
        <w:ind w:firstLine="482" w:firstLineChars="200"/>
        <w:outlineLvl w:val="1"/>
        <w:rPr>
          <w:rFonts w:hint="eastAsia" w:ascii="仿宋" w:hAnsi="仿宋" w:eastAsia="仿宋" w:cs="仿宋"/>
          <w:b/>
          <w:sz w:val="24"/>
        </w:rPr>
      </w:pPr>
      <w:bookmarkStart w:id="402" w:name="_Toc21295"/>
      <w:bookmarkStart w:id="403" w:name="_Toc24300"/>
      <w:bookmarkStart w:id="404" w:name="_Toc27126"/>
      <w:r>
        <w:rPr>
          <w:rFonts w:hint="eastAsia" w:ascii="仿宋" w:hAnsi="仿宋" w:eastAsia="仿宋" w:cs="仿宋"/>
          <w:b/>
          <w:sz w:val="24"/>
        </w:rPr>
        <w:t>1.2 货物</w:t>
      </w:r>
      <w:bookmarkEnd w:id="402"/>
      <w:bookmarkEnd w:id="403"/>
      <w:bookmarkEnd w:id="404"/>
    </w:p>
    <w:p w14:paraId="3E1EDB0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0A1B8CEA">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14:paraId="3247665C">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货物质量：</w:t>
      </w:r>
      <w:r>
        <w:rPr>
          <w:rFonts w:hint="eastAsia" w:ascii="仿宋" w:hAnsi="仿宋" w:eastAsia="仿宋" w:cs="仿宋"/>
          <w:sz w:val="24"/>
          <w:u w:val="single"/>
        </w:rPr>
        <w:t>　　　　　　　　　                      　      ；</w:t>
      </w:r>
    </w:p>
    <w:p w14:paraId="62740E74">
      <w:pPr>
        <w:spacing w:line="560" w:lineRule="exact"/>
        <w:ind w:firstLine="482" w:firstLineChars="200"/>
        <w:outlineLvl w:val="1"/>
        <w:rPr>
          <w:rFonts w:hint="eastAsia" w:ascii="仿宋" w:hAnsi="仿宋" w:eastAsia="仿宋" w:cs="仿宋"/>
          <w:b/>
          <w:sz w:val="24"/>
        </w:rPr>
      </w:pPr>
      <w:bookmarkStart w:id="405" w:name="_Toc21631"/>
      <w:bookmarkStart w:id="406" w:name="_Toc21551"/>
      <w:bookmarkStart w:id="407" w:name="_Toc23292"/>
      <w:r>
        <w:rPr>
          <w:rFonts w:hint="eastAsia" w:ascii="仿宋" w:hAnsi="仿宋" w:eastAsia="仿宋" w:cs="仿宋"/>
          <w:b/>
          <w:sz w:val="24"/>
        </w:rPr>
        <w:t>1.3 价款</w:t>
      </w:r>
      <w:bookmarkEnd w:id="405"/>
      <w:bookmarkEnd w:id="406"/>
      <w:bookmarkEnd w:id="407"/>
    </w:p>
    <w:p w14:paraId="685F67BB">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3786F3F8">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872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43DBCE6">
            <w:pPr>
              <w:pStyle w:val="322"/>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54554CD">
            <w:pPr>
              <w:pStyle w:val="322"/>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EEB91E9">
            <w:pPr>
              <w:pStyle w:val="322"/>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09F0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C45A4B0">
            <w:pPr>
              <w:pStyle w:val="322"/>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D567179">
            <w:pPr>
              <w:pStyle w:val="322"/>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18E1999">
            <w:pPr>
              <w:pStyle w:val="322"/>
              <w:spacing w:line="560" w:lineRule="exact"/>
              <w:ind w:firstLine="200"/>
              <w:jc w:val="center"/>
              <w:rPr>
                <w:rFonts w:hint="eastAsia" w:ascii="仿宋" w:hAnsi="仿宋" w:eastAsia="仿宋" w:cs="仿宋"/>
                <w:sz w:val="24"/>
                <w:szCs w:val="24"/>
              </w:rPr>
            </w:pPr>
          </w:p>
        </w:tc>
      </w:tr>
      <w:tr w14:paraId="3A1D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798906B">
            <w:pPr>
              <w:pStyle w:val="322"/>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2159C59">
            <w:pPr>
              <w:pStyle w:val="322"/>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EDCF667">
            <w:pPr>
              <w:pStyle w:val="322"/>
              <w:spacing w:line="560" w:lineRule="exact"/>
              <w:ind w:firstLine="200"/>
              <w:jc w:val="center"/>
              <w:rPr>
                <w:rFonts w:hint="eastAsia" w:ascii="仿宋" w:hAnsi="仿宋" w:eastAsia="仿宋" w:cs="仿宋"/>
                <w:sz w:val="24"/>
                <w:szCs w:val="24"/>
              </w:rPr>
            </w:pPr>
          </w:p>
        </w:tc>
      </w:tr>
      <w:tr w14:paraId="0CAD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027C2EE">
            <w:pPr>
              <w:pStyle w:val="322"/>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D38CE86">
            <w:pPr>
              <w:pStyle w:val="322"/>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A365D38">
            <w:pPr>
              <w:pStyle w:val="322"/>
              <w:spacing w:line="560" w:lineRule="exact"/>
              <w:ind w:firstLine="200"/>
              <w:jc w:val="center"/>
              <w:rPr>
                <w:rFonts w:hint="eastAsia" w:ascii="仿宋" w:hAnsi="仿宋" w:eastAsia="仿宋" w:cs="仿宋"/>
                <w:sz w:val="24"/>
                <w:szCs w:val="24"/>
              </w:rPr>
            </w:pPr>
          </w:p>
        </w:tc>
      </w:tr>
      <w:tr w14:paraId="01B9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9A91A5A">
            <w:pPr>
              <w:pStyle w:val="322"/>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7008E6A">
            <w:pPr>
              <w:pStyle w:val="322"/>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FC631BC">
            <w:pPr>
              <w:pStyle w:val="322"/>
              <w:spacing w:line="560" w:lineRule="exact"/>
              <w:ind w:firstLine="200"/>
              <w:jc w:val="center"/>
              <w:rPr>
                <w:rFonts w:hint="eastAsia" w:ascii="仿宋" w:hAnsi="仿宋" w:eastAsia="仿宋" w:cs="仿宋"/>
                <w:sz w:val="24"/>
                <w:szCs w:val="24"/>
              </w:rPr>
            </w:pPr>
          </w:p>
        </w:tc>
      </w:tr>
      <w:tr w14:paraId="1211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2EA5B25">
            <w:pPr>
              <w:pStyle w:val="322"/>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F4ACA3F">
            <w:pPr>
              <w:pStyle w:val="322"/>
              <w:spacing w:line="560" w:lineRule="exact"/>
              <w:ind w:firstLine="200"/>
              <w:jc w:val="center"/>
              <w:rPr>
                <w:rFonts w:hint="eastAsia" w:ascii="仿宋" w:hAnsi="仿宋" w:eastAsia="仿宋" w:cs="仿宋"/>
                <w:sz w:val="24"/>
                <w:szCs w:val="24"/>
              </w:rPr>
            </w:pPr>
          </w:p>
        </w:tc>
      </w:tr>
    </w:tbl>
    <w:p w14:paraId="4FC96566">
      <w:pPr>
        <w:pStyle w:val="962"/>
        <w:spacing w:before="0" w:beforeAutospacing="0" w:after="0" w:afterAutospacing="0" w:line="360" w:lineRule="auto"/>
        <w:ind w:firstLine="480"/>
        <w:rPr>
          <w:rFonts w:hint="eastAsia" w:ascii="仿宋" w:hAnsi="仿宋" w:eastAsia="仿宋" w:cs="仿宋"/>
          <w:b/>
        </w:rPr>
      </w:pPr>
      <w:bookmarkStart w:id="408" w:name="_Toc1814"/>
      <w:bookmarkStart w:id="409" w:name="_Toc22618"/>
      <w:bookmarkStart w:id="410" w:name="_Toc10340"/>
      <w:r>
        <w:rPr>
          <w:rFonts w:hint="eastAsia" w:ascii="仿宋" w:hAnsi="仿宋" w:eastAsia="仿宋" w:cs="仿宋"/>
          <w:b/>
        </w:rPr>
        <w:t>1.4履约保证金</w:t>
      </w:r>
    </w:p>
    <w:p w14:paraId="6DD7AF9A">
      <w:pPr>
        <w:pStyle w:val="962"/>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2657B4A9">
      <w:pPr>
        <w:spacing w:line="560" w:lineRule="exact"/>
        <w:ind w:firstLine="480" w:firstLineChars="200"/>
        <w:outlineLvl w:val="1"/>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F0E4B58">
      <w:pPr>
        <w:spacing w:line="560" w:lineRule="exact"/>
        <w:ind w:firstLine="480" w:firstLineChars="200"/>
        <w:outlineLvl w:val="1"/>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0333474">
      <w:pPr>
        <w:pStyle w:val="4"/>
        <w:tabs>
          <w:tab w:val="left" w:pos="0"/>
          <w:tab w:val="clear" w:pos="432"/>
        </w:tabs>
        <w:spacing w:line="560" w:lineRule="exact"/>
        <w:ind w:left="0" w:firstLine="480" w:firstLineChars="200"/>
        <w:rPr>
          <w:rFonts w:hint="eastAsia" w:ascii="仿宋" w:hAnsi="仿宋" w:cs="仿宋"/>
          <w:lang w:val="en-US"/>
        </w:rPr>
      </w:pPr>
      <w:r>
        <w:rPr>
          <w:rFonts w:hint="eastAsia" w:ascii="仿宋" w:hAnsi="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FCF0CA9">
      <w:pPr>
        <w:spacing w:line="560" w:lineRule="exact"/>
        <w:ind w:firstLine="480" w:firstLineChars="200"/>
        <w:outlineLvl w:val="1"/>
        <w:rPr>
          <w:rFonts w:hint="eastAsia" w:ascii="仿宋" w:hAnsi="仿宋" w:eastAsia="仿宋" w:cs="仿宋"/>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6BE579C9">
      <w:pPr>
        <w:spacing w:line="560" w:lineRule="exact"/>
        <w:ind w:firstLine="482" w:firstLineChars="200"/>
        <w:outlineLvl w:val="1"/>
        <w:rPr>
          <w:rFonts w:hint="eastAsia" w:ascii="仿宋" w:hAnsi="仿宋" w:eastAsia="仿宋" w:cs="仿宋"/>
          <w:b/>
          <w:sz w:val="24"/>
        </w:rPr>
      </w:pPr>
      <w:r>
        <w:rPr>
          <w:rFonts w:hint="eastAsia" w:ascii="仿宋" w:hAnsi="仿宋" w:eastAsia="仿宋" w:cs="仿宋"/>
          <w:b/>
          <w:sz w:val="24"/>
        </w:rPr>
        <w:t>1.5</w:t>
      </w:r>
      <w:bookmarkEnd w:id="408"/>
      <w:bookmarkEnd w:id="409"/>
      <w:bookmarkEnd w:id="410"/>
      <w:r>
        <w:rPr>
          <w:rFonts w:hint="eastAsia" w:ascii="仿宋" w:hAnsi="仿宋" w:eastAsia="仿宋" w:cs="仿宋"/>
          <w:b/>
          <w:sz w:val="24"/>
        </w:rPr>
        <w:t>预付款</w:t>
      </w:r>
    </w:p>
    <w:p w14:paraId="0FFB10B4">
      <w:pPr>
        <w:pStyle w:val="962"/>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376B235C">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184977FD">
      <w:pPr>
        <w:pStyle w:val="962"/>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3947887D">
      <w:pPr>
        <w:pStyle w:val="962"/>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54AF0C75">
      <w:pPr>
        <w:pStyle w:val="962"/>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5B1E0B26">
      <w:pPr>
        <w:pStyle w:val="962"/>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2E55849">
      <w:pPr>
        <w:spacing w:line="560" w:lineRule="exact"/>
        <w:ind w:firstLine="480" w:firstLineChars="200"/>
        <w:outlineLvl w:val="1"/>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20405C64">
      <w:pPr>
        <w:spacing w:line="560" w:lineRule="exact"/>
        <w:ind w:firstLine="482" w:firstLineChars="200"/>
        <w:outlineLvl w:val="1"/>
        <w:rPr>
          <w:rFonts w:hint="eastAsia" w:ascii="仿宋" w:hAnsi="仿宋" w:eastAsia="仿宋" w:cs="仿宋"/>
          <w:b/>
          <w:sz w:val="24"/>
        </w:rPr>
      </w:pPr>
      <w:bookmarkStart w:id="411" w:name="_Toc2846"/>
      <w:bookmarkStart w:id="412" w:name="_Toc32071"/>
      <w:bookmarkStart w:id="413" w:name="_Toc19304"/>
      <w:r>
        <w:rPr>
          <w:rFonts w:hint="eastAsia" w:ascii="仿宋" w:hAnsi="仿宋" w:eastAsia="仿宋" w:cs="仿宋"/>
          <w:b/>
          <w:sz w:val="24"/>
        </w:rPr>
        <w:t>1.7货物交付期限、地点和方式</w:t>
      </w:r>
      <w:bookmarkEnd w:id="411"/>
      <w:bookmarkEnd w:id="412"/>
      <w:bookmarkEnd w:id="413"/>
    </w:p>
    <w:p w14:paraId="5E1BBF3F">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72FDDB57">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008D4DE6">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2383EC89">
      <w:pPr>
        <w:spacing w:line="560" w:lineRule="exact"/>
        <w:ind w:firstLine="482" w:firstLineChars="200"/>
        <w:outlineLvl w:val="1"/>
        <w:rPr>
          <w:rFonts w:hint="eastAsia" w:ascii="仿宋" w:hAnsi="仿宋" w:eastAsia="仿宋" w:cs="仿宋"/>
          <w:b/>
          <w:sz w:val="24"/>
        </w:rPr>
      </w:pPr>
      <w:bookmarkStart w:id="414" w:name="_Toc21423"/>
      <w:bookmarkStart w:id="415" w:name="_Toc19554"/>
      <w:bookmarkStart w:id="416" w:name="_Toc27250"/>
      <w:r>
        <w:rPr>
          <w:rFonts w:hint="eastAsia" w:ascii="仿宋" w:hAnsi="仿宋" w:eastAsia="仿宋" w:cs="仿宋"/>
          <w:b/>
          <w:sz w:val="24"/>
        </w:rPr>
        <w:t>1.8违约责任</w:t>
      </w:r>
      <w:bookmarkEnd w:id="414"/>
      <w:bookmarkEnd w:id="415"/>
      <w:bookmarkEnd w:id="416"/>
    </w:p>
    <w:p w14:paraId="03B9551A">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0.05</w:t>
      </w:r>
      <w:r>
        <w:rPr>
          <w:rFonts w:hint="eastAsia" w:ascii="仿宋" w:hAnsi="仿宋" w:eastAsia="仿宋" w:cs="仿宋"/>
          <w:kern w:val="0"/>
          <w:sz w:val="24"/>
          <w:u w:val="single"/>
        </w:rPr>
        <w:t>（可根据情况修改）</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3B27C2AC">
      <w:pPr>
        <w:spacing w:line="560" w:lineRule="exact"/>
        <w:ind w:firstLine="480" w:firstLineChars="200"/>
        <w:rPr>
          <w:rFonts w:hint="eastAsia"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0.05</w:t>
      </w:r>
      <w:r>
        <w:rPr>
          <w:rFonts w:hint="eastAsia" w:ascii="仿宋" w:hAnsi="仿宋" w:eastAsia="仿宋" w:cs="仿宋"/>
          <w:kern w:val="0"/>
          <w:sz w:val="24"/>
          <w:u w:val="single"/>
        </w:rPr>
        <w:t>（可根据情况修改）</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3623612D">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91708D">
      <w:pPr>
        <w:spacing w:line="560" w:lineRule="exact"/>
        <w:ind w:firstLine="480" w:firstLineChars="200"/>
        <w:rPr>
          <w:rFonts w:hint="eastAsia"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9C66E34">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6FB4BAA">
      <w:pPr>
        <w:spacing w:line="560" w:lineRule="exact"/>
        <w:ind w:left="-420" w:leftChars="-200" w:right="-420" w:rightChars="-200" w:firstLine="960" w:firstLineChars="400"/>
        <w:rPr>
          <w:rFonts w:hint="eastAsia" w:ascii="仿宋" w:hAnsi="仿宋" w:eastAsia="仿宋" w:cs="仿宋"/>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5008D30A">
      <w:pPr>
        <w:spacing w:line="560" w:lineRule="exact"/>
        <w:ind w:firstLine="482" w:firstLineChars="200"/>
        <w:outlineLvl w:val="1"/>
        <w:rPr>
          <w:rFonts w:hint="eastAsia" w:ascii="仿宋" w:hAnsi="仿宋" w:eastAsia="仿宋" w:cs="仿宋"/>
          <w:b/>
          <w:sz w:val="24"/>
        </w:rPr>
      </w:pPr>
      <w:bookmarkStart w:id="417" w:name="_Toc28375"/>
      <w:bookmarkStart w:id="418" w:name="_Toc16021"/>
      <w:bookmarkStart w:id="419" w:name="_Toc15583"/>
      <w:r>
        <w:rPr>
          <w:rFonts w:hint="eastAsia" w:ascii="仿宋" w:hAnsi="仿宋" w:eastAsia="仿宋" w:cs="仿宋"/>
          <w:b/>
          <w:sz w:val="24"/>
        </w:rPr>
        <w:t>1.9合同争议的解决</w:t>
      </w:r>
      <w:bookmarkEnd w:id="417"/>
      <w:bookmarkEnd w:id="418"/>
      <w:bookmarkEnd w:id="419"/>
    </w:p>
    <w:p w14:paraId="7B0616DE">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0218140F">
      <w:pPr>
        <w:spacing w:line="560" w:lineRule="exact"/>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1BF14E6A">
      <w:pPr>
        <w:spacing w:line="560" w:lineRule="exact"/>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5079DD63">
      <w:pPr>
        <w:spacing w:line="560" w:lineRule="exact"/>
        <w:ind w:firstLine="482" w:firstLineChars="200"/>
        <w:outlineLvl w:val="1"/>
        <w:rPr>
          <w:rFonts w:hint="eastAsia" w:ascii="仿宋" w:hAnsi="仿宋" w:eastAsia="仿宋" w:cs="仿宋"/>
          <w:b/>
          <w:sz w:val="24"/>
        </w:rPr>
      </w:pPr>
      <w:bookmarkStart w:id="420" w:name="_Toc11173"/>
      <w:bookmarkStart w:id="421" w:name="_Toc7245"/>
      <w:bookmarkStart w:id="422" w:name="_Toc15322"/>
      <w:r>
        <w:rPr>
          <w:rFonts w:hint="eastAsia" w:ascii="仿宋" w:hAnsi="仿宋" w:eastAsia="仿宋" w:cs="仿宋"/>
          <w:b/>
          <w:sz w:val="24"/>
        </w:rPr>
        <w:t>2.0 合同生效</w:t>
      </w:r>
      <w:bookmarkEnd w:id="420"/>
      <w:bookmarkEnd w:id="421"/>
      <w:bookmarkEnd w:id="422"/>
    </w:p>
    <w:p w14:paraId="1B00DB12">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7EF49D68">
      <w:pPr>
        <w:autoSpaceDE w:val="0"/>
        <w:autoSpaceDN w:val="0"/>
        <w:spacing w:line="560" w:lineRule="exact"/>
        <w:rPr>
          <w:rFonts w:hint="eastAsia" w:ascii="仿宋" w:hAnsi="仿宋" w:eastAsia="仿宋" w:cs="仿宋"/>
          <w:sz w:val="24"/>
          <w:lang w:val="zh-CN"/>
        </w:rPr>
      </w:pPr>
    </w:p>
    <w:p w14:paraId="4B5065C1">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479BFF2F">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719A6A73">
      <w:pPr>
        <w:autoSpaceDE w:val="0"/>
        <w:autoSpaceDN w:val="0"/>
        <w:spacing w:line="560" w:lineRule="exact"/>
        <w:rPr>
          <w:rFonts w:hint="eastAsia" w:ascii="仿宋" w:hAnsi="仿宋" w:eastAsia="仿宋" w:cs="仿宋"/>
          <w:sz w:val="24"/>
          <w:lang w:val="zh-CN"/>
        </w:rPr>
      </w:pPr>
    </w:p>
    <w:p w14:paraId="4F89F517">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4CBFCF90">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19F73EE1">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04637EB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2FF538E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58264DE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662D082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644334DD">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5E7FBFE1">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379F1366">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3DA6A3FE">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71E7B380">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76EC52A1">
      <w:pPr>
        <w:rPr>
          <w:rFonts w:hint="eastAsia" w:ascii="仿宋" w:hAnsi="仿宋" w:eastAsia="仿宋" w:cs="仿宋"/>
        </w:rPr>
      </w:pPr>
    </w:p>
    <w:p w14:paraId="39ACC676">
      <w:pPr>
        <w:rPr>
          <w:rFonts w:hint="eastAsia" w:ascii="仿宋" w:hAnsi="仿宋" w:eastAsia="仿宋" w:cs="仿宋"/>
          <w:sz w:val="24"/>
        </w:rPr>
      </w:pPr>
    </w:p>
    <w:p w14:paraId="5F607955">
      <w:pPr>
        <w:rPr>
          <w:rFonts w:hint="eastAsia" w:ascii="仿宋" w:hAnsi="仿宋" w:eastAsia="仿宋" w:cs="仿宋"/>
        </w:rPr>
      </w:pPr>
    </w:p>
    <w:p w14:paraId="06D9EC29">
      <w:pPr>
        <w:rPr>
          <w:rFonts w:hint="eastAsia" w:ascii="仿宋" w:hAnsi="仿宋" w:eastAsia="仿宋" w:cs="仿宋"/>
        </w:rPr>
      </w:pPr>
    </w:p>
    <w:p w14:paraId="48A002F1">
      <w:pPr>
        <w:rPr>
          <w:rFonts w:hint="eastAsia" w:ascii="仿宋" w:hAnsi="仿宋" w:eastAsia="仿宋" w:cs="仿宋"/>
        </w:rPr>
      </w:pPr>
    </w:p>
    <w:p w14:paraId="566A7EC0">
      <w:pPr>
        <w:rPr>
          <w:rFonts w:hint="eastAsia" w:ascii="仿宋" w:hAnsi="仿宋" w:eastAsia="仿宋" w:cs="仿宋"/>
        </w:rPr>
      </w:pPr>
    </w:p>
    <w:p w14:paraId="1ED4CA6E">
      <w:pPr>
        <w:pStyle w:val="704"/>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4EA2EA0D">
      <w:pPr>
        <w:spacing w:line="560" w:lineRule="exact"/>
        <w:ind w:firstLine="482" w:firstLineChars="200"/>
        <w:outlineLvl w:val="1"/>
        <w:rPr>
          <w:rFonts w:hint="eastAsia" w:ascii="仿宋" w:hAnsi="仿宋" w:eastAsia="仿宋" w:cs="仿宋"/>
          <w:b/>
          <w:sz w:val="24"/>
        </w:rPr>
      </w:pPr>
      <w:bookmarkStart w:id="423" w:name="_Toc279701240"/>
      <w:bookmarkStart w:id="424" w:name="_Ref467378404"/>
      <w:bookmarkStart w:id="425" w:name="_Ref467378463"/>
      <w:bookmarkStart w:id="426" w:name="_Ref467379205"/>
      <w:bookmarkStart w:id="427" w:name="_Ref467379225"/>
      <w:bookmarkStart w:id="428" w:name="_Toc16917"/>
      <w:bookmarkStart w:id="429" w:name="_Ref467378499"/>
      <w:bookmarkStart w:id="430" w:name="_Toc487900349"/>
      <w:bookmarkStart w:id="431" w:name="_Toc259093669"/>
      <w:bookmarkStart w:id="432" w:name="_Ref467379109"/>
      <w:bookmarkStart w:id="433" w:name="_Ref467379214"/>
      <w:bookmarkStart w:id="434" w:name="_Toc19614"/>
      <w:bookmarkStart w:id="435" w:name="_Ref467379094"/>
      <w:bookmarkStart w:id="436" w:name="_Toc28763"/>
      <w:bookmarkStart w:id="437" w:name="_Ref467379101"/>
      <w:bookmarkStart w:id="438" w:name="_Ref467379195"/>
      <w:r>
        <w:rPr>
          <w:rFonts w:hint="eastAsia" w:ascii="仿宋" w:hAnsi="仿宋" w:eastAsia="仿宋" w:cs="仿宋"/>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6A0F492">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6DDBA5F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0A2A075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44B3FA3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“货物”系指中标或成交供应商根据合同约定应向采购人交付的一切各种形态和种类的物品，包括原材料、燃料、设备、机械、仪表、备件、计算机软件、产品等，并包括工具、手册等其他相关资料。</w:t>
      </w:r>
    </w:p>
    <w:p w14:paraId="139B945F">
      <w:pPr>
        <w:spacing w:line="560" w:lineRule="exact"/>
        <w:ind w:firstLine="480" w:firstLineChars="200"/>
        <w:rPr>
          <w:rFonts w:hint="eastAsia" w:ascii="仿宋" w:hAnsi="仿宋" w:eastAsia="仿宋" w:cs="仿宋"/>
          <w:sz w:val="24"/>
        </w:rPr>
      </w:pPr>
      <w:bookmarkStart w:id="439" w:name="_Ref467378840"/>
      <w:r>
        <w:rPr>
          <w:rFonts w:hint="eastAsia" w:ascii="仿宋" w:hAnsi="仿宋" w:eastAsia="仿宋" w:cs="仿宋"/>
          <w:sz w:val="24"/>
        </w:rPr>
        <w:t>2.1.4 “甲方”系指与中标或成交供应商签署合同的采购人</w:t>
      </w:r>
      <w:bookmarkEnd w:id="439"/>
      <w:r>
        <w:rPr>
          <w:rFonts w:hint="eastAsia" w:ascii="仿宋" w:hAnsi="仿宋" w:eastAsia="仿宋" w:cs="仿宋"/>
          <w:sz w:val="24"/>
        </w:rPr>
        <w:t>；采购人委托采购代理机构代表其与乙方签订合同的，采购人的授权委托书作为合同附件。</w:t>
      </w:r>
    </w:p>
    <w:p w14:paraId="4B3211B2">
      <w:pPr>
        <w:spacing w:line="560" w:lineRule="exact"/>
        <w:ind w:firstLine="480" w:firstLineChars="200"/>
        <w:rPr>
          <w:rFonts w:hint="eastAsia" w:ascii="仿宋" w:hAnsi="仿宋" w:eastAsia="仿宋" w:cs="仿宋"/>
          <w:sz w:val="24"/>
        </w:rPr>
      </w:pPr>
      <w:bookmarkStart w:id="440" w:name="_Ref467379400"/>
      <w:r>
        <w:rPr>
          <w:rFonts w:hint="eastAsia" w:ascii="仿宋" w:hAnsi="仿宋" w:eastAsia="仿宋" w:cs="仿宋"/>
          <w:sz w:val="24"/>
        </w:rPr>
        <w:t>2.1.5 “乙方”系指根据合同约定交付货物的中标或成交供应商</w:t>
      </w:r>
      <w:bookmarkEnd w:id="440"/>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3E363AD">
      <w:pPr>
        <w:spacing w:line="560" w:lineRule="exact"/>
        <w:ind w:firstLine="480" w:firstLineChars="200"/>
        <w:rPr>
          <w:rFonts w:hint="eastAsia" w:ascii="仿宋" w:hAnsi="仿宋" w:eastAsia="仿宋" w:cs="仿宋"/>
          <w:sz w:val="24"/>
        </w:rPr>
      </w:pPr>
      <w:bookmarkStart w:id="441" w:name="_Ref467379436"/>
      <w:r>
        <w:rPr>
          <w:rFonts w:hint="eastAsia" w:ascii="仿宋" w:hAnsi="仿宋" w:eastAsia="仿宋" w:cs="仿宋"/>
          <w:sz w:val="24"/>
        </w:rPr>
        <w:t>2.1.6 “现场”系指合同约定货物将要运至或者安装的地点。</w:t>
      </w:r>
      <w:bookmarkEnd w:id="441"/>
    </w:p>
    <w:p w14:paraId="49A317AE">
      <w:pPr>
        <w:spacing w:line="560" w:lineRule="exact"/>
        <w:ind w:firstLine="482" w:firstLineChars="200"/>
        <w:outlineLvl w:val="1"/>
        <w:rPr>
          <w:rFonts w:hint="eastAsia" w:ascii="仿宋" w:hAnsi="仿宋" w:eastAsia="仿宋" w:cs="仿宋"/>
          <w:b/>
          <w:sz w:val="24"/>
        </w:rPr>
      </w:pPr>
      <w:bookmarkStart w:id="442" w:name="_Toc279701241"/>
      <w:bookmarkStart w:id="443" w:name="_Toc32504"/>
      <w:bookmarkStart w:id="444" w:name="_Toc487900350"/>
      <w:bookmarkStart w:id="445" w:name="_Toc27635"/>
      <w:bookmarkStart w:id="446" w:name="_Toc259093670"/>
      <w:bookmarkStart w:id="447" w:name="_Toc13336"/>
      <w:r>
        <w:rPr>
          <w:rFonts w:hint="eastAsia" w:ascii="仿宋" w:hAnsi="仿宋" w:eastAsia="仿宋" w:cs="仿宋"/>
          <w:b/>
          <w:sz w:val="24"/>
        </w:rPr>
        <w:t>2.2 技术规范</w:t>
      </w:r>
      <w:bookmarkEnd w:id="442"/>
      <w:bookmarkEnd w:id="443"/>
      <w:bookmarkEnd w:id="444"/>
      <w:bookmarkEnd w:id="445"/>
      <w:bookmarkEnd w:id="446"/>
      <w:bookmarkEnd w:id="447"/>
    </w:p>
    <w:p w14:paraId="693C663C">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7679761">
      <w:pPr>
        <w:spacing w:line="560" w:lineRule="exact"/>
        <w:ind w:firstLine="482" w:firstLineChars="200"/>
        <w:outlineLvl w:val="1"/>
        <w:rPr>
          <w:rFonts w:hint="eastAsia" w:ascii="仿宋" w:hAnsi="仿宋" w:eastAsia="仿宋" w:cs="仿宋"/>
          <w:b/>
          <w:sz w:val="24"/>
        </w:rPr>
      </w:pPr>
      <w:bookmarkStart w:id="448" w:name="_Toc9829"/>
      <w:bookmarkStart w:id="449" w:name="_Toc27853"/>
      <w:bookmarkStart w:id="450" w:name="_Toc259093671"/>
      <w:bookmarkStart w:id="451" w:name="_Toc31634"/>
      <w:bookmarkStart w:id="452" w:name="_Toc279701242"/>
      <w:bookmarkStart w:id="453" w:name="_Toc487900351"/>
      <w:r>
        <w:rPr>
          <w:rFonts w:hint="eastAsia" w:ascii="仿宋" w:hAnsi="仿宋" w:eastAsia="仿宋" w:cs="仿宋"/>
          <w:b/>
          <w:sz w:val="24"/>
        </w:rPr>
        <w:t>2.3 知识产权</w:t>
      </w:r>
      <w:bookmarkEnd w:id="448"/>
      <w:bookmarkEnd w:id="449"/>
      <w:bookmarkEnd w:id="450"/>
      <w:bookmarkEnd w:id="451"/>
      <w:bookmarkEnd w:id="452"/>
      <w:bookmarkEnd w:id="453"/>
    </w:p>
    <w:p w14:paraId="31E089DE">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BE8423F">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3EA2CF87">
      <w:pPr>
        <w:spacing w:line="560" w:lineRule="exact"/>
        <w:ind w:firstLine="482" w:firstLineChars="200"/>
        <w:outlineLvl w:val="1"/>
        <w:rPr>
          <w:rFonts w:hint="eastAsia" w:ascii="仿宋" w:hAnsi="仿宋" w:eastAsia="仿宋" w:cs="仿宋"/>
          <w:b/>
          <w:sz w:val="24"/>
        </w:rPr>
      </w:pPr>
      <w:bookmarkStart w:id="454" w:name="_Toc4194"/>
      <w:bookmarkStart w:id="455" w:name="_Toc11932"/>
      <w:bookmarkStart w:id="456" w:name="_Toc29149"/>
      <w:r>
        <w:rPr>
          <w:rFonts w:hint="eastAsia" w:ascii="仿宋" w:hAnsi="仿宋" w:eastAsia="仿宋" w:cs="仿宋"/>
          <w:b/>
          <w:sz w:val="24"/>
        </w:rPr>
        <w:t>2.4 包装和装运</w:t>
      </w:r>
      <w:bookmarkEnd w:id="454"/>
      <w:bookmarkEnd w:id="455"/>
      <w:bookmarkEnd w:id="456"/>
    </w:p>
    <w:p w14:paraId="0B3BC2CE">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2CE6D54">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0873D7A">
      <w:pPr>
        <w:spacing w:line="560" w:lineRule="exact"/>
        <w:ind w:firstLine="480" w:firstLineChars="200"/>
        <w:rPr>
          <w:rFonts w:hint="eastAsia"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200C0861">
      <w:pPr>
        <w:spacing w:line="560" w:lineRule="exact"/>
        <w:ind w:firstLine="482" w:firstLineChars="200"/>
        <w:outlineLvl w:val="1"/>
        <w:rPr>
          <w:rFonts w:hint="eastAsia" w:ascii="仿宋" w:hAnsi="仿宋" w:eastAsia="仿宋" w:cs="仿宋"/>
          <w:b/>
          <w:sz w:val="24"/>
        </w:rPr>
      </w:pPr>
      <w:bookmarkStart w:id="457" w:name="_Toc259093674"/>
      <w:bookmarkStart w:id="458" w:name="_Ref467379542"/>
      <w:bookmarkStart w:id="459" w:name="_Toc487900354"/>
      <w:bookmarkStart w:id="460" w:name="_Ref467378541"/>
      <w:bookmarkStart w:id="461" w:name="_Ref467378591"/>
      <w:bookmarkStart w:id="462" w:name="_Toc279701245"/>
      <w:bookmarkStart w:id="463" w:name="_Ref467379536"/>
      <w:bookmarkStart w:id="464" w:name="_Ref467379527"/>
      <w:bookmarkStart w:id="465" w:name="_Toc26182"/>
      <w:bookmarkStart w:id="466" w:name="_Toc19074"/>
      <w:bookmarkStart w:id="467" w:name="_Toc30272"/>
      <w:r>
        <w:rPr>
          <w:rFonts w:hint="eastAsia" w:ascii="仿宋" w:hAnsi="仿宋" w:eastAsia="仿宋" w:cs="仿宋"/>
          <w:b/>
          <w:sz w:val="24"/>
        </w:rPr>
        <w:t>2.</w:t>
      </w:r>
      <w:bookmarkEnd w:id="457"/>
      <w:bookmarkEnd w:id="458"/>
      <w:bookmarkEnd w:id="459"/>
      <w:bookmarkEnd w:id="460"/>
      <w:bookmarkEnd w:id="461"/>
      <w:bookmarkEnd w:id="462"/>
      <w:bookmarkEnd w:id="463"/>
      <w:bookmarkEnd w:id="464"/>
      <w:r>
        <w:rPr>
          <w:rFonts w:hint="eastAsia" w:ascii="仿宋" w:hAnsi="仿宋" w:eastAsia="仿宋" w:cs="仿宋"/>
          <w:b/>
          <w:sz w:val="24"/>
        </w:rPr>
        <w:t>5 履约检查和问题反馈</w:t>
      </w:r>
      <w:bookmarkEnd w:id="465"/>
      <w:bookmarkEnd w:id="466"/>
      <w:bookmarkEnd w:id="467"/>
    </w:p>
    <w:p w14:paraId="1B2A2F7B">
      <w:pPr>
        <w:spacing w:line="560" w:lineRule="exact"/>
        <w:ind w:firstLine="480" w:firstLineChars="200"/>
        <w:rPr>
          <w:rFonts w:hint="eastAsia" w:ascii="仿宋" w:hAnsi="仿宋" w:eastAsia="仿宋" w:cs="仿宋"/>
          <w:sz w:val="24"/>
        </w:rPr>
      </w:pPr>
      <w:bookmarkStart w:id="468" w:name="_Ref467379657"/>
      <w:r>
        <w:rPr>
          <w:rFonts w:hint="eastAsia" w:ascii="仿宋" w:hAnsi="仿宋" w:eastAsia="仿宋" w:cs="仿宋"/>
          <w:sz w:val="24"/>
        </w:rPr>
        <w:t>2.5.1</w:t>
      </w:r>
      <w:bookmarkEnd w:id="468"/>
      <w:bookmarkStart w:id="469" w:name="_Toc186431854"/>
      <w:bookmarkStart w:id="470" w:name="_Ref467379807"/>
      <w:bookmarkStart w:id="471" w:name="_Toc279701247"/>
      <w:bookmarkStart w:id="472" w:name="_Ref467379793"/>
      <w:bookmarkStart w:id="473" w:name="_Toc487900357"/>
      <w:bookmarkStart w:id="474" w:name="_Toc259093676"/>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48C9AF9">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9"/>
      <w:bookmarkStart w:id="475" w:name="_Toc186431855"/>
      <w:r>
        <w:rPr>
          <w:rFonts w:hint="eastAsia" w:ascii="仿宋" w:hAnsi="仿宋" w:eastAsia="仿宋" w:cs="仿宋"/>
          <w:sz w:val="24"/>
        </w:rPr>
        <w:t>。</w:t>
      </w:r>
    </w:p>
    <w:bookmarkEnd w:id="470"/>
    <w:bookmarkEnd w:id="471"/>
    <w:bookmarkEnd w:id="472"/>
    <w:bookmarkEnd w:id="473"/>
    <w:bookmarkEnd w:id="474"/>
    <w:bookmarkEnd w:id="475"/>
    <w:p w14:paraId="04C051B1">
      <w:pPr>
        <w:spacing w:line="560" w:lineRule="exact"/>
        <w:ind w:firstLine="482" w:firstLineChars="200"/>
        <w:outlineLvl w:val="1"/>
        <w:rPr>
          <w:rFonts w:hint="eastAsia" w:ascii="仿宋" w:hAnsi="仿宋" w:eastAsia="仿宋" w:cs="仿宋"/>
          <w:b/>
          <w:sz w:val="24"/>
        </w:rPr>
      </w:pPr>
      <w:bookmarkStart w:id="476" w:name="_Toc279701248"/>
      <w:bookmarkStart w:id="477" w:name="_Ref467379852"/>
      <w:bookmarkStart w:id="478" w:name="_Ref467379863"/>
      <w:bookmarkStart w:id="479" w:name="_Ref467379923"/>
      <w:bookmarkStart w:id="480" w:name="_Toc259093677"/>
      <w:bookmarkStart w:id="481" w:name="_Toc487900358"/>
      <w:bookmarkStart w:id="482" w:name="_Toc774"/>
      <w:bookmarkStart w:id="483" w:name="_Toc16110"/>
      <w:bookmarkStart w:id="484" w:name="_Toc3225"/>
      <w:r>
        <w:rPr>
          <w:rFonts w:hint="eastAsia" w:ascii="仿宋" w:hAnsi="仿宋" w:eastAsia="仿宋" w:cs="仿宋"/>
          <w:b/>
          <w:sz w:val="24"/>
        </w:rPr>
        <w:t>2.6 技术资料</w:t>
      </w:r>
      <w:bookmarkEnd w:id="476"/>
      <w:bookmarkEnd w:id="477"/>
      <w:bookmarkEnd w:id="478"/>
      <w:bookmarkEnd w:id="479"/>
      <w:bookmarkEnd w:id="480"/>
      <w:bookmarkEnd w:id="481"/>
      <w:r>
        <w:rPr>
          <w:rFonts w:hint="eastAsia" w:ascii="仿宋" w:hAnsi="仿宋" w:eastAsia="仿宋" w:cs="仿宋"/>
          <w:b/>
          <w:sz w:val="24"/>
        </w:rPr>
        <w:t>和保密义务</w:t>
      </w:r>
      <w:bookmarkEnd w:id="482"/>
      <w:bookmarkEnd w:id="483"/>
      <w:bookmarkEnd w:id="484"/>
    </w:p>
    <w:p w14:paraId="338C68F0">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0CBF2102">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2C1D6FA7">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7BC5296">
      <w:pPr>
        <w:spacing w:line="560" w:lineRule="exact"/>
        <w:ind w:firstLine="482" w:firstLineChars="200"/>
        <w:outlineLvl w:val="1"/>
        <w:rPr>
          <w:rFonts w:hint="eastAsia" w:ascii="仿宋" w:hAnsi="仿宋" w:eastAsia="仿宋" w:cs="仿宋"/>
          <w:b/>
          <w:sz w:val="24"/>
        </w:rPr>
      </w:pPr>
      <w:bookmarkStart w:id="485" w:name="_Toc7860"/>
      <w:r>
        <w:rPr>
          <w:rFonts w:hint="eastAsia" w:ascii="仿宋" w:hAnsi="仿宋" w:eastAsia="仿宋" w:cs="仿宋"/>
          <w:b/>
          <w:sz w:val="24"/>
        </w:rPr>
        <w:t>2.7 质量保证</w:t>
      </w:r>
      <w:bookmarkEnd w:id="485"/>
    </w:p>
    <w:p w14:paraId="360FF398">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2BF570BD">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514E9073">
      <w:pPr>
        <w:spacing w:line="560" w:lineRule="exact"/>
        <w:ind w:firstLine="482" w:firstLineChars="200"/>
        <w:outlineLvl w:val="1"/>
        <w:rPr>
          <w:rFonts w:hint="eastAsia" w:ascii="仿宋" w:hAnsi="仿宋" w:eastAsia="仿宋" w:cs="仿宋"/>
          <w:b/>
          <w:sz w:val="24"/>
        </w:rPr>
      </w:pPr>
      <w:bookmarkStart w:id="486" w:name="_Toc17244"/>
      <w:bookmarkStart w:id="487" w:name="_Toc279701252"/>
      <w:bookmarkStart w:id="488" w:name="_Toc487900362"/>
      <w:bookmarkStart w:id="489" w:name="_Toc259093681"/>
      <w:r>
        <w:rPr>
          <w:rFonts w:hint="eastAsia" w:ascii="仿宋" w:hAnsi="仿宋" w:eastAsia="仿宋" w:cs="仿宋"/>
          <w:b/>
          <w:sz w:val="24"/>
        </w:rPr>
        <w:t>2.8 货物的风险负担</w:t>
      </w:r>
      <w:bookmarkEnd w:id="486"/>
    </w:p>
    <w:p w14:paraId="06BF15FE">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33EF823C">
      <w:pPr>
        <w:spacing w:line="560" w:lineRule="exact"/>
        <w:ind w:firstLine="482" w:firstLineChars="200"/>
        <w:outlineLvl w:val="1"/>
        <w:rPr>
          <w:rFonts w:hint="eastAsia" w:ascii="仿宋" w:hAnsi="仿宋" w:eastAsia="仿宋" w:cs="仿宋"/>
          <w:b/>
          <w:sz w:val="24"/>
        </w:rPr>
      </w:pPr>
      <w:bookmarkStart w:id="490" w:name="_Toc14055"/>
      <w:r>
        <w:rPr>
          <w:rFonts w:hint="eastAsia" w:ascii="仿宋" w:hAnsi="仿宋" w:eastAsia="仿宋" w:cs="仿宋"/>
          <w:b/>
          <w:sz w:val="24"/>
        </w:rPr>
        <w:t>2.9 延迟交货</w:t>
      </w:r>
      <w:bookmarkEnd w:id="487"/>
      <w:bookmarkEnd w:id="488"/>
      <w:bookmarkEnd w:id="489"/>
      <w:bookmarkEnd w:id="490"/>
    </w:p>
    <w:p w14:paraId="59915F7A">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57CFACF">
      <w:pPr>
        <w:spacing w:line="560" w:lineRule="exact"/>
        <w:ind w:firstLine="482" w:firstLineChars="200"/>
        <w:outlineLvl w:val="1"/>
        <w:rPr>
          <w:rFonts w:hint="eastAsia" w:ascii="仿宋" w:hAnsi="仿宋" w:eastAsia="仿宋" w:cs="仿宋"/>
          <w:b/>
          <w:sz w:val="24"/>
        </w:rPr>
      </w:pPr>
      <w:bookmarkStart w:id="491" w:name="_Toc7502"/>
      <w:bookmarkStart w:id="492" w:name="_Toc487900364"/>
      <w:bookmarkStart w:id="493" w:name="_Toc259093683"/>
      <w:bookmarkStart w:id="494" w:name="_Toc279701254"/>
      <w:bookmarkStart w:id="495" w:name="_Ref467378121"/>
      <w:r>
        <w:rPr>
          <w:rFonts w:hint="eastAsia" w:ascii="仿宋" w:hAnsi="仿宋" w:eastAsia="仿宋" w:cs="仿宋"/>
          <w:b/>
          <w:sz w:val="24"/>
        </w:rPr>
        <w:t>2.10 合同变更</w:t>
      </w:r>
      <w:bookmarkEnd w:id="491"/>
    </w:p>
    <w:p w14:paraId="0F8856E5">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14:paraId="52AE9314">
      <w:pPr>
        <w:spacing w:line="560" w:lineRule="exact"/>
        <w:ind w:firstLine="482" w:firstLineChars="200"/>
        <w:outlineLvl w:val="1"/>
        <w:rPr>
          <w:rFonts w:hint="eastAsia" w:ascii="仿宋" w:hAnsi="仿宋" w:eastAsia="仿宋" w:cs="仿宋"/>
          <w:b/>
          <w:sz w:val="24"/>
        </w:rPr>
      </w:pPr>
      <w:bookmarkStart w:id="499" w:name="_Toc15237"/>
      <w:bookmarkStart w:id="500" w:name="_Toc10366"/>
      <w:bookmarkStart w:id="501" w:name="_Toc22955"/>
      <w:r>
        <w:rPr>
          <w:rFonts w:hint="eastAsia" w:ascii="仿宋" w:hAnsi="仿宋" w:eastAsia="仿宋" w:cs="仿宋"/>
          <w:b/>
          <w:sz w:val="24"/>
        </w:rPr>
        <w:t>2.11 合同转让</w:t>
      </w:r>
      <w:bookmarkEnd w:id="496"/>
      <w:bookmarkEnd w:id="497"/>
      <w:bookmarkEnd w:id="498"/>
      <w:r>
        <w:rPr>
          <w:rFonts w:hint="eastAsia" w:ascii="仿宋" w:hAnsi="仿宋" w:eastAsia="仿宋" w:cs="仿宋"/>
          <w:b/>
          <w:sz w:val="24"/>
        </w:rPr>
        <w:t>和分包</w:t>
      </w:r>
      <w:bookmarkEnd w:id="499"/>
      <w:bookmarkEnd w:id="500"/>
      <w:bookmarkEnd w:id="501"/>
    </w:p>
    <w:p w14:paraId="5CC9218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E0B5CE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6402EB63">
      <w:pPr>
        <w:spacing w:line="560" w:lineRule="exact"/>
        <w:ind w:firstLine="482" w:firstLineChars="200"/>
        <w:outlineLvl w:val="1"/>
        <w:rPr>
          <w:rFonts w:hint="eastAsia" w:ascii="仿宋" w:hAnsi="仿宋" w:eastAsia="仿宋" w:cs="仿宋"/>
          <w:b/>
          <w:sz w:val="24"/>
        </w:rPr>
      </w:pPr>
      <w:bookmarkStart w:id="502" w:name="_Toc13566"/>
      <w:bookmarkStart w:id="503" w:name="_Toc14066"/>
      <w:bookmarkStart w:id="504" w:name="_Toc16508"/>
      <w:r>
        <w:rPr>
          <w:rFonts w:hint="eastAsia" w:ascii="仿宋" w:hAnsi="仿宋" w:eastAsia="仿宋" w:cs="仿宋"/>
          <w:b/>
          <w:sz w:val="24"/>
        </w:rPr>
        <w:t>2.12 不可抗力</w:t>
      </w:r>
      <w:bookmarkEnd w:id="502"/>
      <w:bookmarkEnd w:id="503"/>
      <w:bookmarkEnd w:id="504"/>
    </w:p>
    <w:p w14:paraId="2011334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21E7C1C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14:paraId="62B11E1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055C385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46A58393">
      <w:pPr>
        <w:spacing w:line="560" w:lineRule="exact"/>
        <w:ind w:firstLine="482" w:firstLineChars="200"/>
        <w:outlineLvl w:val="1"/>
        <w:rPr>
          <w:rFonts w:hint="eastAsia" w:ascii="仿宋" w:hAnsi="仿宋" w:eastAsia="仿宋" w:cs="仿宋"/>
          <w:b/>
          <w:sz w:val="24"/>
        </w:rPr>
      </w:pPr>
      <w:bookmarkStart w:id="505" w:name="_Toc279701255"/>
      <w:bookmarkStart w:id="506" w:name="_Toc689"/>
      <w:bookmarkStart w:id="507" w:name="_Toc259093684"/>
      <w:bookmarkStart w:id="508" w:name="_Toc6969"/>
      <w:bookmarkStart w:id="509" w:name="_Toc487900365"/>
      <w:bookmarkStart w:id="510" w:name="_Toc30676"/>
      <w:r>
        <w:rPr>
          <w:rFonts w:hint="eastAsia" w:ascii="仿宋" w:hAnsi="仿宋" w:eastAsia="仿宋" w:cs="仿宋"/>
          <w:b/>
          <w:sz w:val="24"/>
        </w:rPr>
        <w:t>2.13 税费</w:t>
      </w:r>
      <w:bookmarkEnd w:id="505"/>
      <w:bookmarkEnd w:id="506"/>
      <w:bookmarkEnd w:id="507"/>
      <w:bookmarkEnd w:id="508"/>
      <w:bookmarkEnd w:id="509"/>
      <w:bookmarkEnd w:id="510"/>
    </w:p>
    <w:p w14:paraId="00393CB6">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4C4508C3">
      <w:pPr>
        <w:spacing w:line="560" w:lineRule="exact"/>
        <w:ind w:firstLine="482" w:firstLineChars="200"/>
        <w:outlineLvl w:val="1"/>
        <w:rPr>
          <w:rFonts w:hint="eastAsia" w:ascii="仿宋" w:hAnsi="仿宋" w:eastAsia="仿宋" w:cs="仿宋"/>
          <w:b/>
          <w:sz w:val="24"/>
        </w:rPr>
      </w:pPr>
      <w:bookmarkStart w:id="511" w:name="_Toc16959"/>
      <w:bookmarkStart w:id="512" w:name="_Toc259093687"/>
      <w:bookmarkStart w:id="513" w:name="_Toc8298"/>
      <w:bookmarkStart w:id="514" w:name="_Toc7102"/>
      <w:bookmarkStart w:id="515" w:name="_Toc487900368"/>
      <w:bookmarkStart w:id="516" w:name="_Toc279701258"/>
      <w:r>
        <w:rPr>
          <w:rFonts w:hint="eastAsia" w:ascii="仿宋" w:hAnsi="仿宋" w:eastAsia="仿宋" w:cs="仿宋"/>
          <w:b/>
          <w:sz w:val="24"/>
        </w:rPr>
        <w:t>2.14乙方破产</w:t>
      </w:r>
      <w:bookmarkEnd w:id="511"/>
      <w:bookmarkEnd w:id="512"/>
      <w:bookmarkEnd w:id="513"/>
      <w:bookmarkEnd w:id="514"/>
      <w:bookmarkEnd w:id="515"/>
      <w:bookmarkEnd w:id="516"/>
    </w:p>
    <w:p w14:paraId="40C9895E">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1B527ED">
      <w:pPr>
        <w:spacing w:line="560" w:lineRule="exact"/>
        <w:ind w:firstLine="482" w:firstLineChars="200"/>
        <w:outlineLvl w:val="1"/>
        <w:rPr>
          <w:rFonts w:hint="eastAsia" w:ascii="仿宋" w:hAnsi="仿宋" w:eastAsia="仿宋" w:cs="仿宋"/>
          <w:b/>
          <w:sz w:val="24"/>
        </w:rPr>
      </w:pPr>
      <w:bookmarkStart w:id="517" w:name="_Toc15387"/>
      <w:bookmarkStart w:id="518" w:name="_Toc6134"/>
      <w:bookmarkStart w:id="519" w:name="_Toc29333"/>
      <w:r>
        <w:rPr>
          <w:rFonts w:hint="eastAsia" w:ascii="仿宋" w:hAnsi="仿宋" w:eastAsia="仿宋" w:cs="仿宋"/>
          <w:b/>
          <w:sz w:val="24"/>
        </w:rPr>
        <w:t>2.15 合同中止、终止</w:t>
      </w:r>
      <w:bookmarkEnd w:id="517"/>
      <w:bookmarkEnd w:id="518"/>
      <w:bookmarkEnd w:id="519"/>
    </w:p>
    <w:p w14:paraId="18FFD5E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14:paraId="7863C51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62690C9C">
      <w:pPr>
        <w:spacing w:line="560" w:lineRule="exact"/>
        <w:ind w:firstLine="482" w:firstLineChars="200"/>
        <w:outlineLvl w:val="1"/>
        <w:rPr>
          <w:rFonts w:hint="eastAsia" w:ascii="仿宋" w:hAnsi="仿宋" w:eastAsia="仿宋" w:cs="仿宋"/>
          <w:b/>
          <w:sz w:val="24"/>
        </w:rPr>
      </w:pPr>
      <w:bookmarkStart w:id="520" w:name="_Toc6596"/>
      <w:bookmarkStart w:id="521" w:name="_Toc14563"/>
      <w:bookmarkStart w:id="522" w:name="_Toc1125"/>
      <w:r>
        <w:rPr>
          <w:rFonts w:hint="eastAsia" w:ascii="仿宋" w:hAnsi="仿宋" w:eastAsia="仿宋" w:cs="仿宋"/>
          <w:b/>
          <w:sz w:val="24"/>
        </w:rPr>
        <w:t>2.16检验和验收</w:t>
      </w:r>
      <w:bookmarkEnd w:id="520"/>
      <w:bookmarkEnd w:id="521"/>
      <w:bookmarkEnd w:id="522"/>
    </w:p>
    <w:p w14:paraId="59FF0620">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4A644FF6">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A74ED99">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2"/>
    <w:bookmarkEnd w:id="493"/>
    <w:bookmarkEnd w:id="494"/>
    <w:bookmarkEnd w:id="495"/>
    <w:p w14:paraId="005793A1">
      <w:pPr>
        <w:spacing w:line="560" w:lineRule="exact"/>
        <w:ind w:firstLine="482" w:firstLineChars="200"/>
        <w:outlineLvl w:val="1"/>
        <w:rPr>
          <w:rFonts w:hint="eastAsia" w:ascii="仿宋" w:hAnsi="仿宋" w:eastAsia="仿宋" w:cs="仿宋"/>
          <w:b/>
          <w:sz w:val="24"/>
        </w:rPr>
      </w:pPr>
      <w:bookmarkStart w:id="523" w:name="_Toc279701261"/>
      <w:bookmarkStart w:id="524" w:name="_Toc487900371"/>
      <w:bookmarkStart w:id="525" w:name="_Toc259093690"/>
      <w:bookmarkStart w:id="526" w:name="_Toc11284"/>
      <w:bookmarkStart w:id="527" w:name="_Toc19604"/>
      <w:bookmarkStart w:id="528" w:name="_Toc25182"/>
      <w:r>
        <w:rPr>
          <w:rFonts w:hint="eastAsia" w:ascii="仿宋" w:hAnsi="仿宋" w:eastAsia="仿宋" w:cs="仿宋"/>
          <w:b/>
          <w:sz w:val="24"/>
        </w:rPr>
        <w:t>2.17 通知</w:t>
      </w:r>
      <w:bookmarkEnd w:id="523"/>
      <w:bookmarkEnd w:id="524"/>
      <w:bookmarkEnd w:id="525"/>
      <w:r>
        <w:rPr>
          <w:rFonts w:hint="eastAsia" w:ascii="仿宋" w:hAnsi="仿宋" w:eastAsia="仿宋" w:cs="仿宋"/>
          <w:b/>
          <w:sz w:val="24"/>
        </w:rPr>
        <w:t>和送达</w:t>
      </w:r>
      <w:bookmarkEnd w:id="526"/>
      <w:bookmarkEnd w:id="527"/>
      <w:bookmarkEnd w:id="528"/>
    </w:p>
    <w:p w14:paraId="17E9BED5">
      <w:pPr>
        <w:spacing w:line="560" w:lineRule="exact"/>
        <w:ind w:firstLine="480" w:firstLineChars="200"/>
        <w:rPr>
          <w:rFonts w:hint="eastAsia" w:ascii="仿宋" w:hAnsi="仿宋" w:eastAsia="仿宋" w:cs="仿宋"/>
          <w:sz w:val="24"/>
        </w:rPr>
      </w:pPr>
      <w:bookmarkStart w:id="529" w:name="_Toc3135"/>
      <w:bookmarkStart w:id="530" w:name="_Toc6698"/>
      <w:bookmarkStart w:id="531" w:name="_Toc487900372"/>
      <w:bookmarkStart w:id="532" w:name="_Toc259093691"/>
      <w:bookmarkStart w:id="533" w:name="_Toc27970126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9"/>
      <w:bookmarkEnd w:id="530"/>
    </w:p>
    <w:p w14:paraId="0A429940">
      <w:pPr>
        <w:spacing w:line="560" w:lineRule="exact"/>
        <w:ind w:firstLine="480" w:firstLineChars="200"/>
        <w:rPr>
          <w:rFonts w:hint="eastAsia" w:ascii="仿宋" w:hAnsi="仿宋" w:eastAsia="仿宋" w:cs="仿宋"/>
          <w:sz w:val="24"/>
        </w:rPr>
      </w:pPr>
      <w:bookmarkStart w:id="534" w:name="_Toc23294"/>
      <w:bookmarkStart w:id="535"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470EAFC6">
      <w:pPr>
        <w:spacing w:line="560" w:lineRule="exact"/>
        <w:ind w:firstLine="482" w:firstLineChars="200"/>
        <w:outlineLvl w:val="1"/>
        <w:rPr>
          <w:rFonts w:hint="eastAsia" w:ascii="仿宋" w:hAnsi="仿宋" w:eastAsia="仿宋" w:cs="仿宋"/>
          <w:b/>
          <w:sz w:val="24"/>
        </w:rPr>
      </w:pPr>
      <w:bookmarkStart w:id="536" w:name="_Toc4355"/>
      <w:bookmarkStart w:id="537" w:name="_Toc30599"/>
      <w:bookmarkStart w:id="538" w:name="_Toc18540"/>
      <w:r>
        <w:rPr>
          <w:rFonts w:hint="eastAsia" w:ascii="仿宋" w:hAnsi="仿宋" w:eastAsia="仿宋" w:cs="仿宋"/>
          <w:b/>
          <w:sz w:val="24"/>
        </w:rPr>
        <w:t>2.18 计量单位</w:t>
      </w:r>
      <w:bookmarkEnd w:id="531"/>
      <w:bookmarkEnd w:id="532"/>
      <w:bookmarkEnd w:id="533"/>
      <w:bookmarkEnd w:id="536"/>
      <w:bookmarkEnd w:id="537"/>
      <w:bookmarkEnd w:id="538"/>
    </w:p>
    <w:p w14:paraId="5A0F25B6">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05EBD0AD">
      <w:pPr>
        <w:spacing w:line="560" w:lineRule="exact"/>
        <w:ind w:firstLine="482" w:firstLineChars="200"/>
        <w:outlineLvl w:val="1"/>
        <w:rPr>
          <w:rFonts w:hint="eastAsia" w:ascii="仿宋" w:hAnsi="仿宋" w:eastAsia="仿宋" w:cs="仿宋"/>
          <w:b/>
          <w:sz w:val="24"/>
        </w:rPr>
      </w:pPr>
      <w:bookmarkStart w:id="539" w:name="_Toc10330"/>
      <w:bookmarkStart w:id="540" w:name="_Toc12773"/>
      <w:bookmarkStart w:id="541" w:name="_Toc259093692"/>
      <w:bookmarkStart w:id="542" w:name="_Toc18567"/>
      <w:bookmarkStart w:id="543" w:name="_Toc279701263"/>
      <w:bookmarkStart w:id="544" w:name="_Toc487900373"/>
      <w:r>
        <w:rPr>
          <w:rFonts w:hint="eastAsia" w:ascii="仿宋" w:hAnsi="仿宋" w:eastAsia="仿宋" w:cs="仿宋"/>
          <w:b/>
          <w:sz w:val="24"/>
        </w:rPr>
        <w:t>2.19 合同使用的文字和适用的法律</w:t>
      </w:r>
      <w:bookmarkEnd w:id="539"/>
      <w:bookmarkEnd w:id="540"/>
      <w:bookmarkEnd w:id="541"/>
      <w:bookmarkEnd w:id="542"/>
      <w:bookmarkEnd w:id="543"/>
      <w:bookmarkEnd w:id="544"/>
    </w:p>
    <w:p w14:paraId="5CDB710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14:paraId="2D703E3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14:paraId="5966E0B5">
      <w:pPr>
        <w:spacing w:line="560" w:lineRule="exact"/>
        <w:ind w:firstLine="482" w:firstLineChars="200"/>
        <w:outlineLvl w:val="1"/>
        <w:rPr>
          <w:rFonts w:hint="eastAsia" w:ascii="仿宋" w:hAnsi="仿宋" w:eastAsia="仿宋" w:cs="仿宋"/>
          <w:b/>
          <w:sz w:val="24"/>
        </w:rPr>
      </w:pPr>
      <w:bookmarkStart w:id="545" w:name="_Toc6885"/>
      <w:bookmarkStart w:id="546" w:name="_Toc19890"/>
      <w:bookmarkStart w:id="547" w:name="_Toc14001"/>
      <w:r>
        <w:rPr>
          <w:rFonts w:hint="eastAsia" w:ascii="仿宋" w:hAnsi="仿宋" w:eastAsia="仿宋" w:cs="仿宋"/>
          <w:b/>
          <w:sz w:val="24"/>
        </w:rPr>
        <w:t>2.20 合同份数</w:t>
      </w:r>
      <w:bookmarkEnd w:id="545"/>
      <w:bookmarkEnd w:id="546"/>
      <w:bookmarkEnd w:id="547"/>
    </w:p>
    <w:p w14:paraId="42FD11C0">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5FCC4D77">
      <w:pPr>
        <w:adjustRightInd/>
        <w:spacing w:line="360" w:lineRule="auto"/>
        <w:ind w:firstLine="2513" w:firstLineChars="1197"/>
        <w:outlineLvl w:val="1"/>
        <w:rPr>
          <w:rFonts w:hint="eastAsia" w:ascii="仿宋" w:hAnsi="仿宋" w:eastAsia="仿宋" w:cs="仿宋"/>
          <w:b/>
          <w:bCs/>
          <w:sz w:val="28"/>
          <w:szCs w:val="36"/>
        </w:rPr>
      </w:pPr>
      <w:r>
        <w:rPr>
          <w:rFonts w:hint="eastAsia" w:ascii="仿宋" w:hAnsi="仿宋" w:eastAsia="仿宋" w:cs="仿宋"/>
          <w:kern w:val="0"/>
        </w:rPr>
        <w:br w:type="page"/>
      </w:r>
      <w:r>
        <w:rPr>
          <w:rFonts w:hint="eastAsia" w:ascii="仿宋" w:hAnsi="仿宋" w:eastAsia="仿宋" w:cs="仿宋"/>
          <w:b/>
          <w:bCs/>
          <w:sz w:val="28"/>
          <w:szCs w:val="36"/>
        </w:rPr>
        <w:t xml:space="preserve"> 第三部分  合同专用条款</w:t>
      </w:r>
    </w:p>
    <w:p w14:paraId="1578074C">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7CD2F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09B7503B">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277" w:type="dxa"/>
            <w:vAlign w:val="center"/>
          </w:tcPr>
          <w:p w14:paraId="39798350">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147CE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9764438">
            <w:pPr>
              <w:spacing w:line="360" w:lineRule="auto"/>
              <w:rPr>
                <w:rFonts w:hint="eastAsia" w:ascii="仿宋" w:hAnsi="仿宋" w:eastAsia="仿宋" w:cs="仿宋"/>
                <w:sz w:val="24"/>
              </w:rPr>
            </w:pPr>
            <w:r>
              <w:rPr>
                <w:rFonts w:hint="eastAsia" w:ascii="仿宋" w:hAnsi="仿宋" w:eastAsia="仿宋" w:cs="仿宋"/>
                <w:sz w:val="24"/>
              </w:rPr>
              <w:t>1.4.2</w:t>
            </w:r>
          </w:p>
        </w:tc>
        <w:tc>
          <w:tcPr>
            <w:tcW w:w="8277" w:type="dxa"/>
            <w:vAlign w:val="center"/>
          </w:tcPr>
          <w:p w14:paraId="1C4905A1">
            <w:pPr>
              <w:spacing w:line="360" w:lineRule="auto"/>
              <w:rPr>
                <w:rFonts w:hint="eastAsia" w:ascii="仿宋" w:hAnsi="仿宋" w:eastAsia="仿宋" w:cs="仿宋"/>
                <w:sz w:val="24"/>
              </w:rPr>
            </w:pPr>
          </w:p>
        </w:tc>
      </w:tr>
      <w:tr w14:paraId="19B5C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CCE4974">
            <w:pPr>
              <w:spacing w:line="360" w:lineRule="auto"/>
              <w:rPr>
                <w:rFonts w:hint="eastAsia" w:ascii="仿宋" w:hAnsi="仿宋" w:eastAsia="仿宋" w:cs="仿宋"/>
                <w:sz w:val="24"/>
              </w:rPr>
            </w:pPr>
            <w:r>
              <w:rPr>
                <w:rFonts w:hint="eastAsia" w:ascii="仿宋" w:hAnsi="仿宋" w:eastAsia="仿宋" w:cs="仿宋"/>
                <w:sz w:val="24"/>
              </w:rPr>
              <w:t>1.5.1</w:t>
            </w:r>
          </w:p>
        </w:tc>
        <w:tc>
          <w:tcPr>
            <w:tcW w:w="8277" w:type="dxa"/>
            <w:vAlign w:val="center"/>
          </w:tcPr>
          <w:p w14:paraId="6AA20C59">
            <w:pPr>
              <w:spacing w:line="360" w:lineRule="auto"/>
              <w:rPr>
                <w:rFonts w:hint="eastAsia" w:ascii="仿宋" w:hAnsi="仿宋" w:eastAsia="仿宋" w:cs="仿宋"/>
                <w:sz w:val="24"/>
              </w:rPr>
            </w:pPr>
          </w:p>
        </w:tc>
      </w:tr>
      <w:tr w14:paraId="2B2E3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3E54B80">
            <w:pPr>
              <w:spacing w:line="360" w:lineRule="auto"/>
              <w:rPr>
                <w:rFonts w:hint="eastAsia" w:ascii="仿宋" w:hAnsi="仿宋" w:eastAsia="仿宋" w:cs="仿宋"/>
                <w:sz w:val="24"/>
              </w:rPr>
            </w:pPr>
            <w:r>
              <w:rPr>
                <w:rFonts w:hint="eastAsia" w:ascii="仿宋" w:hAnsi="仿宋" w:eastAsia="仿宋" w:cs="仿宋"/>
                <w:sz w:val="24"/>
              </w:rPr>
              <w:t xml:space="preserve">1.5.2 </w:t>
            </w:r>
          </w:p>
        </w:tc>
        <w:tc>
          <w:tcPr>
            <w:tcW w:w="8277" w:type="dxa"/>
            <w:vAlign w:val="center"/>
          </w:tcPr>
          <w:p w14:paraId="654C2EDF">
            <w:pPr>
              <w:spacing w:line="360" w:lineRule="auto"/>
              <w:rPr>
                <w:rFonts w:hint="eastAsia" w:ascii="仿宋" w:hAnsi="仿宋" w:eastAsia="仿宋" w:cs="仿宋"/>
                <w:sz w:val="24"/>
              </w:rPr>
            </w:pPr>
          </w:p>
        </w:tc>
      </w:tr>
      <w:tr w14:paraId="314CC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914CB38">
            <w:pPr>
              <w:spacing w:line="360" w:lineRule="auto"/>
              <w:rPr>
                <w:rFonts w:hint="eastAsia" w:ascii="仿宋" w:hAnsi="仿宋" w:eastAsia="仿宋" w:cs="仿宋"/>
                <w:sz w:val="24"/>
              </w:rPr>
            </w:pPr>
            <w:r>
              <w:rPr>
                <w:rFonts w:hint="eastAsia" w:ascii="仿宋" w:hAnsi="仿宋" w:eastAsia="仿宋" w:cs="仿宋"/>
                <w:sz w:val="24"/>
              </w:rPr>
              <w:t>1.5.3</w:t>
            </w:r>
          </w:p>
        </w:tc>
        <w:tc>
          <w:tcPr>
            <w:tcW w:w="8277" w:type="dxa"/>
            <w:vAlign w:val="center"/>
          </w:tcPr>
          <w:p w14:paraId="79904B44">
            <w:pPr>
              <w:spacing w:line="360" w:lineRule="auto"/>
              <w:rPr>
                <w:rFonts w:hint="eastAsia" w:ascii="仿宋" w:hAnsi="仿宋" w:eastAsia="仿宋" w:cs="仿宋"/>
                <w:sz w:val="24"/>
              </w:rPr>
            </w:pPr>
          </w:p>
        </w:tc>
      </w:tr>
      <w:tr w14:paraId="68FAE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19DE098">
            <w:pPr>
              <w:spacing w:line="360" w:lineRule="auto"/>
              <w:rPr>
                <w:rFonts w:hint="eastAsia" w:ascii="仿宋" w:hAnsi="仿宋" w:eastAsia="仿宋" w:cs="仿宋"/>
                <w:sz w:val="24"/>
              </w:rPr>
            </w:pPr>
            <w:r>
              <w:rPr>
                <w:rFonts w:hint="eastAsia" w:ascii="仿宋" w:hAnsi="仿宋" w:eastAsia="仿宋" w:cs="仿宋"/>
                <w:sz w:val="24"/>
              </w:rPr>
              <w:t>1.6.2</w:t>
            </w:r>
          </w:p>
        </w:tc>
        <w:tc>
          <w:tcPr>
            <w:tcW w:w="8277" w:type="dxa"/>
            <w:vAlign w:val="center"/>
          </w:tcPr>
          <w:p w14:paraId="7DFD8078">
            <w:pPr>
              <w:spacing w:line="360" w:lineRule="auto"/>
              <w:rPr>
                <w:rFonts w:hint="eastAsia" w:ascii="仿宋" w:hAnsi="仿宋" w:eastAsia="仿宋" w:cs="仿宋"/>
                <w:sz w:val="24"/>
              </w:rPr>
            </w:pPr>
          </w:p>
        </w:tc>
      </w:tr>
      <w:tr w14:paraId="14A6E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B53383B">
            <w:pPr>
              <w:spacing w:line="360" w:lineRule="auto"/>
              <w:rPr>
                <w:rFonts w:hint="eastAsia" w:ascii="仿宋" w:hAnsi="仿宋" w:eastAsia="仿宋" w:cs="仿宋"/>
                <w:sz w:val="24"/>
              </w:rPr>
            </w:pPr>
            <w:r>
              <w:rPr>
                <w:rFonts w:hint="eastAsia" w:ascii="仿宋" w:hAnsi="仿宋" w:eastAsia="仿宋" w:cs="仿宋"/>
                <w:sz w:val="24"/>
              </w:rPr>
              <w:t>1.7.1</w:t>
            </w:r>
          </w:p>
        </w:tc>
        <w:tc>
          <w:tcPr>
            <w:tcW w:w="8277" w:type="dxa"/>
            <w:vAlign w:val="center"/>
          </w:tcPr>
          <w:p w14:paraId="52561D3B">
            <w:pPr>
              <w:spacing w:line="360" w:lineRule="auto"/>
              <w:rPr>
                <w:rFonts w:hint="eastAsia" w:ascii="仿宋" w:hAnsi="仿宋" w:eastAsia="仿宋" w:cs="仿宋"/>
                <w:sz w:val="24"/>
              </w:rPr>
            </w:pPr>
          </w:p>
        </w:tc>
      </w:tr>
      <w:tr w14:paraId="01568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C5E1027">
            <w:pPr>
              <w:spacing w:line="360" w:lineRule="auto"/>
              <w:rPr>
                <w:rFonts w:hint="eastAsia" w:ascii="仿宋" w:hAnsi="仿宋" w:eastAsia="仿宋" w:cs="仿宋"/>
                <w:sz w:val="24"/>
              </w:rPr>
            </w:pPr>
            <w:r>
              <w:rPr>
                <w:rFonts w:hint="eastAsia" w:ascii="仿宋" w:hAnsi="仿宋" w:eastAsia="仿宋" w:cs="仿宋"/>
                <w:sz w:val="24"/>
              </w:rPr>
              <w:t>1.7.2</w:t>
            </w:r>
          </w:p>
        </w:tc>
        <w:tc>
          <w:tcPr>
            <w:tcW w:w="8277" w:type="dxa"/>
            <w:vAlign w:val="center"/>
          </w:tcPr>
          <w:p w14:paraId="36E799E4">
            <w:pPr>
              <w:spacing w:line="360" w:lineRule="auto"/>
              <w:rPr>
                <w:rFonts w:hint="eastAsia" w:ascii="仿宋" w:hAnsi="仿宋" w:eastAsia="仿宋" w:cs="仿宋"/>
                <w:sz w:val="24"/>
              </w:rPr>
            </w:pPr>
          </w:p>
        </w:tc>
      </w:tr>
      <w:tr w14:paraId="4983D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AC79489">
            <w:pPr>
              <w:spacing w:line="360" w:lineRule="auto"/>
              <w:rPr>
                <w:rFonts w:hint="eastAsia" w:ascii="仿宋" w:hAnsi="仿宋" w:eastAsia="仿宋" w:cs="仿宋"/>
                <w:sz w:val="24"/>
              </w:rPr>
            </w:pPr>
            <w:r>
              <w:rPr>
                <w:rFonts w:hint="eastAsia" w:ascii="仿宋" w:hAnsi="仿宋" w:eastAsia="仿宋" w:cs="仿宋"/>
                <w:sz w:val="24"/>
              </w:rPr>
              <w:t>1.7.3</w:t>
            </w:r>
          </w:p>
        </w:tc>
        <w:tc>
          <w:tcPr>
            <w:tcW w:w="8277" w:type="dxa"/>
            <w:vAlign w:val="center"/>
          </w:tcPr>
          <w:p w14:paraId="5839F117">
            <w:pPr>
              <w:spacing w:line="360" w:lineRule="auto"/>
              <w:rPr>
                <w:rFonts w:hint="eastAsia" w:ascii="仿宋" w:hAnsi="仿宋" w:eastAsia="仿宋" w:cs="仿宋"/>
                <w:sz w:val="24"/>
              </w:rPr>
            </w:pPr>
          </w:p>
        </w:tc>
      </w:tr>
      <w:tr w14:paraId="1F9CC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11AF7C9">
            <w:pPr>
              <w:spacing w:line="360" w:lineRule="auto"/>
              <w:rPr>
                <w:rFonts w:hint="eastAsia" w:ascii="仿宋" w:hAnsi="仿宋" w:eastAsia="仿宋" w:cs="仿宋"/>
                <w:sz w:val="24"/>
              </w:rPr>
            </w:pPr>
            <w:r>
              <w:rPr>
                <w:rFonts w:hint="eastAsia" w:ascii="仿宋" w:hAnsi="仿宋" w:eastAsia="仿宋" w:cs="仿宋"/>
                <w:sz w:val="24"/>
              </w:rPr>
              <w:t>1.8.6</w:t>
            </w:r>
          </w:p>
        </w:tc>
        <w:tc>
          <w:tcPr>
            <w:tcW w:w="8277" w:type="dxa"/>
            <w:vAlign w:val="center"/>
          </w:tcPr>
          <w:p w14:paraId="258DFEFE">
            <w:pPr>
              <w:spacing w:line="360" w:lineRule="auto"/>
              <w:rPr>
                <w:rFonts w:hint="eastAsia" w:ascii="仿宋" w:hAnsi="仿宋" w:eastAsia="仿宋" w:cs="仿宋"/>
                <w:sz w:val="24"/>
              </w:rPr>
            </w:pPr>
          </w:p>
        </w:tc>
      </w:tr>
      <w:tr w14:paraId="67F16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AB4B721">
            <w:pPr>
              <w:spacing w:line="360" w:lineRule="auto"/>
              <w:rPr>
                <w:rFonts w:hint="eastAsia" w:ascii="仿宋" w:hAnsi="仿宋" w:eastAsia="仿宋" w:cs="仿宋"/>
                <w:sz w:val="24"/>
              </w:rPr>
            </w:pPr>
            <w:r>
              <w:rPr>
                <w:rFonts w:hint="eastAsia" w:ascii="仿宋" w:hAnsi="仿宋" w:eastAsia="仿宋" w:cs="仿宋"/>
                <w:sz w:val="24"/>
              </w:rPr>
              <w:t>1.9</w:t>
            </w:r>
          </w:p>
        </w:tc>
        <w:tc>
          <w:tcPr>
            <w:tcW w:w="8277" w:type="dxa"/>
            <w:vAlign w:val="center"/>
          </w:tcPr>
          <w:p w14:paraId="5734AC68">
            <w:pPr>
              <w:spacing w:line="360" w:lineRule="auto"/>
              <w:rPr>
                <w:rFonts w:hint="eastAsia" w:ascii="仿宋" w:hAnsi="仿宋" w:eastAsia="仿宋" w:cs="仿宋"/>
                <w:sz w:val="24"/>
              </w:rPr>
            </w:pPr>
          </w:p>
        </w:tc>
      </w:tr>
      <w:tr w14:paraId="260CE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A78D005">
            <w:pPr>
              <w:spacing w:line="360" w:lineRule="auto"/>
              <w:rPr>
                <w:rFonts w:hint="eastAsia" w:ascii="仿宋" w:hAnsi="仿宋" w:eastAsia="仿宋" w:cs="仿宋"/>
                <w:sz w:val="24"/>
              </w:rPr>
            </w:pPr>
            <w:r>
              <w:rPr>
                <w:rFonts w:hint="eastAsia" w:ascii="仿宋" w:hAnsi="仿宋" w:eastAsia="仿宋" w:cs="仿宋"/>
                <w:sz w:val="24"/>
              </w:rPr>
              <w:t>2.3.2</w:t>
            </w:r>
          </w:p>
        </w:tc>
        <w:tc>
          <w:tcPr>
            <w:tcW w:w="8277" w:type="dxa"/>
            <w:vAlign w:val="center"/>
          </w:tcPr>
          <w:p w14:paraId="1401FCEB">
            <w:pPr>
              <w:spacing w:line="360" w:lineRule="auto"/>
              <w:ind w:left="-420" w:leftChars="-200" w:right="-420" w:rightChars="-200" w:firstLine="480" w:firstLineChars="200"/>
              <w:rPr>
                <w:rFonts w:hint="eastAsia" w:ascii="仿宋" w:hAnsi="仿宋" w:eastAsia="仿宋" w:cs="仿宋"/>
                <w:sz w:val="24"/>
              </w:rPr>
            </w:pPr>
          </w:p>
        </w:tc>
      </w:tr>
      <w:tr w14:paraId="79D77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F6B5397">
            <w:pPr>
              <w:spacing w:line="360" w:lineRule="auto"/>
              <w:rPr>
                <w:rFonts w:hint="eastAsia" w:ascii="仿宋" w:hAnsi="仿宋" w:eastAsia="仿宋" w:cs="仿宋"/>
                <w:sz w:val="24"/>
              </w:rPr>
            </w:pPr>
            <w:r>
              <w:rPr>
                <w:rFonts w:hint="eastAsia" w:ascii="仿宋" w:hAnsi="仿宋" w:eastAsia="仿宋" w:cs="仿宋"/>
                <w:sz w:val="24"/>
              </w:rPr>
              <w:t>2.4.1</w:t>
            </w:r>
          </w:p>
        </w:tc>
        <w:tc>
          <w:tcPr>
            <w:tcW w:w="8277" w:type="dxa"/>
            <w:vAlign w:val="center"/>
          </w:tcPr>
          <w:p w14:paraId="1BFA1560">
            <w:pPr>
              <w:spacing w:line="360" w:lineRule="auto"/>
              <w:ind w:left="-420" w:leftChars="-200" w:right="-420" w:rightChars="-200" w:firstLine="480" w:firstLineChars="200"/>
              <w:rPr>
                <w:rFonts w:hint="eastAsia" w:ascii="仿宋" w:hAnsi="仿宋" w:eastAsia="仿宋" w:cs="仿宋"/>
                <w:sz w:val="24"/>
              </w:rPr>
            </w:pPr>
          </w:p>
        </w:tc>
      </w:tr>
      <w:tr w14:paraId="4F584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1FCBB8D">
            <w:pPr>
              <w:spacing w:line="360" w:lineRule="auto"/>
              <w:rPr>
                <w:rFonts w:hint="eastAsia" w:ascii="仿宋" w:hAnsi="仿宋" w:eastAsia="仿宋" w:cs="仿宋"/>
                <w:sz w:val="24"/>
              </w:rPr>
            </w:pPr>
            <w:r>
              <w:rPr>
                <w:rFonts w:hint="eastAsia" w:ascii="仿宋" w:hAnsi="仿宋" w:eastAsia="仿宋" w:cs="仿宋"/>
                <w:sz w:val="24"/>
              </w:rPr>
              <w:t>2.4.3</w:t>
            </w:r>
          </w:p>
        </w:tc>
        <w:tc>
          <w:tcPr>
            <w:tcW w:w="8277" w:type="dxa"/>
            <w:vAlign w:val="center"/>
          </w:tcPr>
          <w:p w14:paraId="262FA8A3">
            <w:pPr>
              <w:spacing w:line="360" w:lineRule="auto"/>
              <w:rPr>
                <w:rFonts w:hint="eastAsia" w:ascii="仿宋" w:hAnsi="仿宋" w:eastAsia="仿宋" w:cs="仿宋"/>
                <w:sz w:val="24"/>
              </w:rPr>
            </w:pPr>
          </w:p>
        </w:tc>
      </w:tr>
      <w:tr w14:paraId="77952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398D0274">
            <w:pPr>
              <w:spacing w:line="360" w:lineRule="auto"/>
              <w:rPr>
                <w:rFonts w:hint="eastAsia" w:ascii="仿宋" w:hAnsi="仿宋" w:eastAsia="仿宋" w:cs="仿宋"/>
                <w:sz w:val="24"/>
              </w:rPr>
            </w:pPr>
            <w:r>
              <w:rPr>
                <w:rFonts w:hint="eastAsia" w:ascii="仿宋" w:hAnsi="仿宋" w:eastAsia="仿宋" w:cs="仿宋"/>
                <w:sz w:val="24"/>
              </w:rPr>
              <w:t xml:space="preserve">2.8 </w:t>
            </w:r>
          </w:p>
        </w:tc>
        <w:tc>
          <w:tcPr>
            <w:tcW w:w="8277" w:type="dxa"/>
          </w:tcPr>
          <w:p w14:paraId="0F7C8680">
            <w:pPr>
              <w:spacing w:line="360" w:lineRule="auto"/>
              <w:rPr>
                <w:rFonts w:hint="eastAsia" w:ascii="仿宋" w:hAnsi="仿宋" w:eastAsia="仿宋" w:cs="仿宋"/>
                <w:sz w:val="24"/>
              </w:rPr>
            </w:pPr>
          </w:p>
        </w:tc>
      </w:tr>
      <w:tr w14:paraId="37A06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24FFB8B">
            <w:pPr>
              <w:spacing w:line="360" w:lineRule="auto"/>
              <w:rPr>
                <w:rFonts w:hint="eastAsia" w:ascii="仿宋" w:hAnsi="仿宋" w:eastAsia="仿宋" w:cs="仿宋"/>
                <w:sz w:val="24"/>
              </w:rPr>
            </w:pPr>
            <w:r>
              <w:rPr>
                <w:rFonts w:hint="eastAsia" w:ascii="仿宋" w:hAnsi="仿宋" w:eastAsia="仿宋" w:cs="仿宋"/>
                <w:sz w:val="24"/>
              </w:rPr>
              <w:t>2.12.3</w:t>
            </w:r>
          </w:p>
        </w:tc>
        <w:tc>
          <w:tcPr>
            <w:tcW w:w="8277" w:type="dxa"/>
            <w:vAlign w:val="center"/>
          </w:tcPr>
          <w:p w14:paraId="3E676084">
            <w:pPr>
              <w:spacing w:line="360" w:lineRule="auto"/>
              <w:rPr>
                <w:rFonts w:hint="eastAsia" w:ascii="仿宋" w:hAnsi="仿宋" w:eastAsia="仿宋" w:cs="仿宋"/>
                <w:sz w:val="24"/>
              </w:rPr>
            </w:pPr>
          </w:p>
        </w:tc>
      </w:tr>
      <w:tr w14:paraId="3B3C4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18A1E97">
            <w:pPr>
              <w:spacing w:line="360" w:lineRule="auto"/>
              <w:rPr>
                <w:rFonts w:hint="eastAsia" w:ascii="仿宋" w:hAnsi="仿宋" w:eastAsia="仿宋" w:cs="仿宋"/>
                <w:sz w:val="24"/>
              </w:rPr>
            </w:pPr>
            <w:r>
              <w:rPr>
                <w:rFonts w:hint="eastAsia" w:ascii="仿宋" w:hAnsi="仿宋" w:eastAsia="仿宋" w:cs="仿宋"/>
                <w:sz w:val="24"/>
              </w:rPr>
              <w:t>2.12.4</w:t>
            </w:r>
          </w:p>
        </w:tc>
        <w:tc>
          <w:tcPr>
            <w:tcW w:w="8277" w:type="dxa"/>
            <w:vAlign w:val="center"/>
          </w:tcPr>
          <w:p w14:paraId="197C95EB">
            <w:pPr>
              <w:spacing w:line="360" w:lineRule="auto"/>
              <w:rPr>
                <w:rFonts w:hint="eastAsia" w:ascii="仿宋" w:hAnsi="仿宋" w:eastAsia="仿宋" w:cs="仿宋"/>
                <w:sz w:val="24"/>
              </w:rPr>
            </w:pPr>
          </w:p>
        </w:tc>
      </w:tr>
      <w:tr w14:paraId="3C20F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B8CBC1F">
            <w:pPr>
              <w:spacing w:line="360" w:lineRule="auto"/>
              <w:rPr>
                <w:rFonts w:hint="eastAsia" w:ascii="仿宋" w:hAnsi="仿宋" w:eastAsia="仿宋" w:cs="仿宋"/>
                <w:sz w:val="24"/>
              </w:rPr>
            </w:pPr>
            <w:r>
              <w:rPr>
                <w:rFonts w:hint="eastAsia" w:ascii="仿宋" w:hAnsi="仿宋" w:eastAsia="仿宋" w:cs="仿宋"/>
                <w:sz w:val="24"/>
              </w:rPr>
              <w:t>2.16.1</w:t>
            </w:r>
          </w:p>
        </w:tc>
        <w:tc>
          <w:tcPr>
            <w:tcW w:w="8277" w:type="dxa"/>
            <w:vAlign w:val="center"/>
          </w:tcPr>
          <w:p w14:paraId="52A52326">
            <w:pPr>
              <w:spacing w:line="360" w:lineRule="auto"/>
              <w:rPr>
                <w:rFonts w:hint="eastAsia" w:ascii="仿宋" w:hAnsi="仿宋" w:eastAsia="仿宋" w:cs="仿宋"/>
                <w:sz w:val="24"/>
              </w:rPr>
            </w:pPr>
          </w:p>
        </w:tc>
      </w:tr>
      <w:tr w14:paraId="2AE00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0F55A8B0">
            <w:pPr>
              <w:spacing w:line="360" w:lineRule="auto"/>
              <w:rPr>
                <w:rFonts w:hint="eastAsia" w:ascii="仿宋" w:hAnsi="仿宋" w:eastAsia="仿宋" w:cs="仿宋"/>
                <w:sz w:val="24"/>
              </w:rPr>
            </w:pPr>
            <w:r>
              <w:rPr>
                <w:rFonts w:hint="eastAsia" w:ascii="仿宋" w:hAnsi="仿宋" w:eastAsia="仿宋" w:cs="仿宋"/>
                <w:sz w:val="24"/>
              </w:rPr>
              <w:t>2.16.3</w:t>
            </w:r>
          </w:p>
        </w:tc>
        <w:tc>
          <w:tcPr>
            <w:tcW w:w="8277" w:type="dxa"/>
            <w:vAlign w:val="center"/>
          </w:tcPr>
          <w:p w14:paraId="340EA809">
            <w:pPr>
              <w:spacing w:line="360" w:lineRule="auto"/>
              <w:rPr>
                <w:rFonts w:hint="eastAsia" w:ascii="仿宋" w:hAnsi="仿宋" w:eastAsia="仿宋" w:cs="仿宋"/>
                <w:sz w:val="24"/>
              </w:rPr>
            </w:pPr>
          </w:p>
        </w:tc>
      </w:tr>
      <w:tr w14:paraId="4ADF4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29D167EB">
            <w:pPr>
              <w:spacing w:line="360" w:lineRule="auto"/>
              <w:ind w:left="-420" w:leftChars="-200" w:right="-420" w:rightChars="-200" w:firstLine="480" w:firstLineChars="200"/>
              <w:outlineLvl w:val="0"/>
              <w:rPr>
                <w:rFonts w:hint="eastAsia" w:ascii="仿宋" w:hAnsi="仿宋" w:eastAsia="仿宋" w:cs="仿宋"/>
                <w:sz w:val="24"/>
              </w:rPr>
            </w:pPr>
            <w:r>
              <w:rPr>
                <w:rFonts w:hint="eastAsia" w:ascii="仿宋" w:hAnsi="仿宋" w:eastAsia="仿宋" w:cs="仿宋"/>
                <w:sz w:val="24"/>
              </w:rPr>
              <w:t xml:space="preserve">2.20 </w:t>
            </w:r>
          </w:p>
        </w:tc>
        <w:tc>
          <w:tcPr>
            <w:tcW w:w="8277" w:type="dxa"/>
            <w:vAlign w:val="center"/>
          </w:tcPr>
          <w:p w14:paraId="1E19A5D1">
            <w:pPr>
              <w:spacing w:line="360" w:lineRule="auto"/>
              <w:rPr>
                <w:rFonts w:hint="eastAsia" w:ascii="仿宋" w:hAnsi="仿宋" w:eastAsia="仿宋" w:cs="仿宋"/>
                <w:sz w:val="24"/>
              </w:rPr>
            </w:pPr>
          </w:p>
        </w:tc>
      </w:tr>
    </w:tbl>
    <w:p w14:paraId="34F6B793">
      <w:pPr>
        <w:spacing w:line="360" w:lineRule="auto"/>
        <w:ind w:left="-420" w:leftChars="-200" w:right="-420" w:rightChars="-200" w:firstLine="480" w:firstLineChars="200"/>
        <w:rPr>
          <w:rFonts w:hint="eastAsia" w:ascii="仿宋" w:hAnsi="仿宋" w:eastAsia="仿宋" w:cs="仿宋"/>
          <w:sz w:val="24"/>
        </w:rPr>
      </w:pPr>
    </w:p>
    <w:p w14:paraId="19BB19A2">
      <w:pPr>
        <w:spacing w:line="360" w:lineRule="auto"/>
        <w:ind w:left="-420" w:leftChars="-200" w:right="-420" w:rightChars="-200"/>
        <w:rPr>
          <w:rFonts w:hint="eastAsia" w:ascii="仿宋" w:hAnsi="仿宋" w:eastAsia="仿宋" w:cs="仿宋"/>
          <w:sz w:val="24"/>
        </w:rPr>
      </w:pPr>
    </w:p>
    <w:p w14:paraId="4B723005">
      <w:pPr>
        <w:rPr>
          <w:rFonts w:hint="eastAsia" w:ascii="仿宋" w:hAnsi="仿宋" w:eastAsia="仿宋" w:cs="仿宋"/>
        </w:rPr>
      </w:pPr>
    </w:p>
    <w:p w14:paraId="4AB61B81">
      <w:pPr>
        <w:rPr>
          <w:rFonts w:hint="eastAsia" w:ascii="仿宋" w:hAnsi="仿宋" w:eastAsia="仿宋" w:cs="仿宋"/>
        </w:rPr>
      </w:pPr>
    </w:p>
    <w:p w14:paraId="5FD81981">
      <w:pPr>
        <w:rPr>
          <w:rFonts w:hint="eastAsia" w:ascii="仿宋" w:hAnsi="仿宋" w:eastAsia="仿宋" w:cs="仿宋"/>
          <w:b/>
          <w:sz w:val="36"/>
          <w:szCs w:val="20"/>
        </w:rPr>
      </w:pPr>
      <w:r>
        <w:rPr>
          <w:rFonts w:hint="eastAsia" w:ascii="仿宋" w:hAnsi="仿宋" w:eastAsia="仿宋" w:cs="仿宋"/>
          <w:b/>
          <w:sz w:val="36"/>
          <w:szCs w:val="20"/>
        </w:rPr>
        <w:br w:type="page"/>
      </w:r>
    </w:p>
    <w:bookmarkEnd w:id="397"/>
    <w:bookmarkEnd w:id="398"/>
    <w:p w14:paraId="7D5CD980">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 应提交的有关格式范例</w:t>
      </w:r>
    </w:p>
    <w:p w14:paraId="4D16C4B2">
      <w:pPr>
        <w:pStyle w:val="133"/>
        <w:ind w:firstLine="480"/>
        <w:rPr>
          <w:rFonts w:hint="eastAsia" w:ascii="仿宋" w:hAnsi="仿宋" w:eastAsia="仿宋" w:cs="仿宋"/>
        </w:rPr>
      </w:pPr>
    </w:p>
    <w:p w14:paraId="1BF8F07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12CB5003">
      <w:pPr>
        <w:pStyle w:val="133"/>
        <w:ind w:firstLine="0" w:firstLineChars="0"/>
        <w:jc w:val="center"/>
        <w:rPr>
          <w:rFonts w:hint="eastAsia" w:ascii="仿宋" w:hAnsi="仿宋" w:eastAsia="仿宋" w:cs="仿宋"/>
        </w:rPr>
      </w:pPr>
      <w:r>
        <w:rPr>
          <w:rFonts w:hint="eastAsia" w:ascii="仿宋" w:hAnsi="仿宋" w:eastAsia="仿宋" w:cs="仿宋"/>
        </w:rPr>
        <w:t>目录</w:t>
      </w:r>
    </w:p>
    <w:p w14:paraId="3E4CCA50">
      <w:pPr>
        <w:pStyle w:val="133"/>
        <w:ind w:firstLine="480"/>
        <w:rPr>
          <w:rFonts w:hint="eastAsia" w:ascii="仿宋" w:hAnsi="仿宋" w:eastAsia="仿宋" w:cs="仿宋"/>
        </w:rPr>
      </w:pPr>
    </w:p>
    <w:p w14:paraId="1C94A6CD">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757953A1">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5702B505">
      <w:pPr>
        <w:pStyle w:val="2"/>
        <w:ind w:firstLine="0"/>
        <w:rPr>
          <w:rFonts w:hint="eastAsia" w:ascii="仿宋" w:hAnsi="仿宋" w:eastAsia="仿宋" w:cs="仿宋"/>
        </w:rPr>
      </w:pPr>
      <w:r>
        <w:rPr>
          <w:rFonts w:hint="eastAsia" w:ascii="仿宋" w:hAnsi="仿宋" w:eastAsia="仿宋" w:cs="仿宋"/>
          <w:snapToGrid w:val="0"/>
          <w:kern w:val="28"/>
        </w:rPr>
        <w:t>（</w:t>
      </w:r>
      <w:r>
        <w:rPr>
          <w:rFonts w:hint="eastAsia" w:ascii="仿宋" w:hAnsi="仿宋" w:eastAsia="仿宋" w:cs="仿宋"/>
          <w:snapToGrid w:val="0"/>
          <w:kern w:val="28"/>
          <w:lang w:val="en-US"/>
        </w:rPr>
        <w:t>3</w:t>
      </w:r>
      <w:r>
        <w:rPr>
          <w:rFonts w:hint="eastAsia" w:ascii="仿宋" w:hAnsi="仿宋" w:eastAsia="仿宋" w:cs="仿宋"/>
          <w:snapToGrid w:val="0"/>
          <w:kern w:val="28"/>
        </w:rPr>
        <w:t>）</w:t>
      </w:r>
      <w:r>
        <w:rPr>
          <w:rFonts w:hint="eastAsia" w:ascii="仿宋" w:hAnsi="仿宋" w:eastAsia="仿宋" w:cs="仿宋"/>
        </w:rPr>
        <w:t>营业执照(或事业法人登记证或其他工商等登记证明材料)……（页码）</w:t>
      </w:r>
    </w:p>
    <w:p w14:paraId="33A83340">
      <w:pPr>
        <w:snapToGrid w:val="0"/>
        <w:spacing w:line="360" w:lineRule="auto"/>
        <w:rPr>
          <w:rFonts w:hint="eastAsia" w:ascii="仿宋" w:hAnsi="仿宋" w:eastAsia="仿宋" w:cs="仿宋"/>
          <w:sz w:val="24"/>
        </w:rPr>
      </w:pPr>
      <w:r>
        <w:rPr>
          <w:rFonts w:hint="eastAsia" w:ascii="仿宋" w:hAnsi="仿宋" w:eastAsia="仿宋" w:cs="仿宋"/>
          <w:sz w:val="24"/>
        </w:rPr>
        <w:t>（4）落实政府采购政策需满足的资格要求………………………………（页码）</w:t>
      </w:r>
    </w:p>
    <w:p w14:paraId="4B897458">
      <w:pPr>
        <w:snapToGrid w:val="0"/>
        <w:spacing w:line="360" w:lineRule="auto"/>
        <w:rPr>
          <w:rFonts w:hint="eastAsia" w:ascii="仿宋" w:hAnsi="仿宋" w:eastAsia="仿宋" w:cs="仿宋"/>
          <w:sz w:val="24"/>
        </w:rPr>
      </w:pPr>
      <w:r>
        <w:rPr>
          <w:rFonts w:hint="eastAsia" w:ascii="仿宋" w:hAnsi="仿宋" w:eastAsia="仿宋" w:cs="仿宋"/>
          <w:sz w:val="24"/>
        </w:rPr>
        <w:t>（5）本项目的特定资格要求………………………………………………（页码）</w:t>
      </w:r>
    </w:p>
    <w:p w14:paraId="3B66B501">
      <w:pPr>
        <w:snapToGrid w:val="0"/>
        <w:spacing w:line="360" w:lineRule="auto"/>
        <w:rPr>
          <w:rFonts w:hint="eastAsia" w:ascii="仿宋" w:hAnsi="仿宋" w:eastAsia="仿宋" w:cs="仿宋"/>
          <w:sz w:val="24"/>
        </w:rPr>
      </w:pPr>
      <w:r>
        <w:rPr>
          <w:rFonts w:hint="eastAsia" w:ascii="仿宋" w:hAnsi="仿宋" w:eastAsia="仿宋" w:cs="仿宋"/>
          <w:sz w:val="24"/>
        </w:rPr>
        <w:t>（6）政府采购活动现场确认声明书………………………………………（页码）</w:t>
      </w:r>
    </w:p>
    <w:p w14:paraId="12102B43">
      <w:pPr>
        <w:snapToGrid w:val="0"/>
        <w:spacing w:line="360" w:lineRule="auto"/>
        <w:ind w:firstLine="480" w:firstLineChars="200"/>
        <w:rPr>
          <w:rFonts w:hint="eastAsia" w:ascii="仿宋" w:hAnsi="仿宋" w:eastAsia="仿宋" w:cs="仿宋"/>
          <w:sz w:val="24"/>
        </w:rPr>
      </w:pPr>
    </w:p>
    <w:p w14:paraId="1EB76501">
      <w:pPr>
        <w:spacing w:line="360" w:lineRule="auto"/>
        <w:ind w:firstLine="480" w:firstLineChars="200"/>
        <w:rPr>
          <w:rFonts w:hint="eastAsia" w:ascii="仿宋" w:hAnsi="仿宋" w:eastAsia="仿宋" w:cs="仿宋"/>
          <w:sz w:val="24"/>
        </w:rPr>
      </w:pPr>
    </w:p>
    <w:p w14:paraId="071F78D8">
      <w:pPr>
        <w:snapToGrid w:val="0"/>
        <w:spacing w:line="360" w:lineRule="auto"/>
        <w:ind w:right="480"/>
        <w:jc w:val="center"/>
        <w:rPr>
          <w:rFonts w:hint="eastAsia" w:ascii="仿宋" w:hAnsi="仿宋" w:eastAsia="仿宋" w:cs="仿宋"/>
          <w:kern w:val="0"/>
          <w:sz w:val="24"/>
        </w:rPr>
      </w:pPr>
      <w:r>
        <w:rPr>
          <w:rFonts w:hint="eastAsia" w:ascii="仿宋" w:hAnsi="仿宋" w:eastAsia="仿宋" w:cs="仿宋"/>
          <w:kern w:val="0"/>
          <w:sz w:val="24"/>
        </w:rPr>
        <w:br w:type="page"/>
      </w:r>
    </w:p>
    <w:p w14:paraId="686C3375">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66254F0E">
      <w:pPr>
        <w:snapToGrid w:val="0"/>
        <w:spacing w:line="360" w:lineRule="auto"/>
        <w:rPr>
          <w:rFonts w:hint="eastAsia"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2841662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】政府采购活动，郑重承诺：</w:t>
      </w:r>
    </w:p>
    <w:p w14:paraId="76A7DF03">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FA33B1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0CBEA3B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714177F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FAE2AE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696B566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72597A4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246623A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65A2A7A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75398F9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F44DE1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5E42EEF">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49702542">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9D7BBEE">
      <w:pPr>
        <w:snapToGrid w:val="0"/>
        <w:spacing w:line="360" w:lineRule="auto"/>
        <w:ind w:right="480"/>
        <w:jc w:val="center"/>
        <w:rPr>
          <w:rFonts w:hint="eastAsia" w:ascii="仿宋" w:hAnsi="仿宋" w:eastAsia="仿宋" w:cs="仿宋"/>
          <w:b/>
          <w:kern w:val="0"/>
          <w:sz w:val="32"/>
          <w:szCs w:val="32"/>
        </w:rPr>
      </w:pPr>
    </w:p>
    <w:p w14:paraId="7C936701">
      <w:pPr>
        <w:snapToGrid w:val="0"/>
        <w:spacing w:line="360" w:lineRule="auto"/>
        <w:ind w:right="480"/>
        <w:jc w:val="center"/>
        <w:rPr>
          <w:rFonts w:hint="eastAsia" w:ascii="仿宋" w:hAnsi="仿宋" w:eastAsia="仿宋" w:cs="仿宋"/>
          <w:b/>
          <w:kern w:val="0"/>
          <w:sz w:val="32"/>
          <w:szCs w:val="32"/>
        </w:rPr>
      </w:pPr>
    </w:p>
    <w:p w14:paraId="7FB32FA4">
      <w:pPr>
        <w:snapToGrid w:val="0"/>
        <w:spacing w:line="360" w:lineRule="auto"/>
        <w:ind w:right="480"/>
        <w:jc w:val="center"/>
        <w:rPr>
          <w:rFonts w:hint="eastAsia" w:ascii="仿宋" w:hAnsi="仿宋" w:eastAsia="仿宋" w:cs="仿宋"/>
          <w:b/>
          <w:kern w:val="0"/>
          <w:sz w:val="32"/>
          <w:szCs w:val="32"/>
        </w:rPr>
      </w:pPr>
    </w:p>
    <w:p w14:paraId="75335BA3">
      <w:pPr>
        <w:rPr>
          <w:rFonts w:hint="eastAsia" w:ascii="仿宋" w:hAnsi="仿宋" w:eastAsia="仿宋" w:cs="仿宋"/>
        </w:rPr>
      </w:pPr>
    </w:p>
    <w:p w14:paraId="62201D18">
      <w:pPr>
        <w:snapToGrid w:val="0"/>
        <w:spacing w:line="360" w:lineRule="auto"/>
        <w:ind w:right="480"/>
        <w:jc w:val="center"/>
        <w:rPr>
          <w:rFonts w:hint="eastAsia" w:ascii="仿宋" w:hAnsi="仿宋" w:eastAsia="仿宋" w:cs="仿宋"/>
          <w:b/>
          <w:kern w:val="0"/>
          <w:sz w:val="32"/>
          <w:szCs w:val="32"/>
        </w:rPr>
      </w:pPr>
    </w:p>
    <w:p w14:paraId="20E4CD6F">
      <w:pPr>
        <w:snapToGrid w:val="0"/>
        <w:spacing w:line="360" w:lineRule="auto"/>
        <w:ind w:right="480"/>
        <w:jc w:val="center"/>
        <w:rPr>
          <w:rFonts w:hint="eastAsia" w:ascii="仿宋" w:hAnsi="仿宋" w:eastAsia="仿宋" w:cs="仿宋"/>
          <w:b/>
          <w:kern w:val="0"/>
          <w:sz w:val="32"/>
          <w:szCs w:val="32"/>
        </w:rPr>
      </w:pPr>
    </w:p>
    <w:p w14:paraId="03212FFF">
      <w:pPr>
        <w:snapToGrid w:val="0"/>
        <w:spacing w:line="360" w:lineRule="auto"/>
        <w:ind w:right="480"/>
        <w:jc w:val="center"/>
        <w:rPr>
          <w:rFonts w:hint="eastAsia" w:ascii="仿宋" w:hAnsi="仿宋" w:eastAsia="仿宋" w:cs="仿宋"/>
          <w:b/>
          <w:kern w:val="0"/>
          <w:sz w:val="32"/>
          <w:szCs w:val="32"/>
        </w:rPr>
      </w:pPr>
    </w:p>
    <w:p w14:paraId="6B09C8FF">
      <w:pPr>
        <w:widowControl/>
        <w:spacing w:line="360" w:lineRule="auto"/>
        <w:ind w:firstLine="643" w:firstLineChars="200"/>
        <w:jc w:val="center"/>
        <w:rPr>
          <w:rFonts w:hint="eastAsia" w:ascii="仿宋" w:hAnsi="仿宋" w:eastAsia="仿宋" w:cs="仿宋"/>
          <w:b/>
          <w:kern w:val="0"/>
          <w:sz w:val="32"/>
          <w:szCs w:val="32"/>
        </w:rPr>
      </w:pPr>
    </w:p>
    <w:p w14:paraId="47142C0F">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14:paraId="3BD555FC">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54E8FBD6">
      <w:pPr>
        <w:snapToGrid w:val="0"/>
        <w:spacing w:line="360" w:lineRule="auto"/>
        <w:ind w:right="480"/>
        <w:jc w:val="center"/>
        <w:rPr>
          <w:rFonts w:hint="eastAsia" w:ascii="仿宋" w:hAnsi="仿宋" w:eastAsia="仿宋" w:cs="仿宋"/>
          <w:b/>
          <w:kern w:val="0"/>
          <w:sz w:val="32"/>
          <w:szCs w:val="32"/>
        </w:rPr>
      </w:pPr>
    </w:p>
    <w:p w14:paraId="3F2E233E">
      <w:pPr>
        <w:snapToGrid w:val="0"/>
        <w:spacing w:line="360" w:lineRule="auto"/>
        <w:ind w:right="480"/>
        <w:jc w:val="center"/>
        <w:rPr>
          <w:rFonts w:hint="eastAsia" w:ascii="仿宋" w:hAnsi="仿宋" w:eastAsia="仿宋" w:cs="仿宋"/>
          <w:b/>
          <w:kern w:val="0"/>
          <w:sz w:val="32"/>
          <w:szCs w:val="32"/>
        </w:rPr>
      </w:pPr>
    </w:p>
    <w:p w14:paraId="373E6746">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1A368816">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05201C53">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0CBC5734">
      <w:pPr>
        <w:widowControl/>
        <w:spacing w:line="360" w:lineRule="auto"/>
        <w:ind w:firstLine="480"/>
        <w:jc w:val="left"/>
        <w:rPr>
          <w:rFonts w:hint="eastAsia" w:ascii="仿宋" w:hAnsi="仿宋" w:eastAsia="仿宋" w:cs="仿宋"/>
          <w:sz w:val="24"/>
        </w:rPr>
      </w:pPr>
    </w:p>
    <w:p w14:paraId="3D3ABA85">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6F0F8A97">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6E25DA8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6E11DFB9">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FC8D7CB">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四、营业执照(或事业法人登记证或其他工商等登记证明材料）</w:t>
      </w:r>
    </w:p>
    <w:p w14:paraId="7194EFAA">
      <w:pPr>
        <w:pStyle w:val="2"/>
        <w:rPr>
          <w:rFonts w:hint="eastAsia" w:ascii="仿宋" w:hAnsi="仿宋" w:eastAsia="仿宋" w:cs="仿宋"/>
          <w:lang w:val="en-US"/>
        </w:rPr>
      </w:pPr>
      <w:r>
        <w:rPr>
          <w:rFonts w:hint="eastAsia" w:ascii="仿宋" w:hAnsi="仿宋" w:eastAsia="仿宋" w:cs="仿宋"/>
        </w:rPr>
        <w:t>（根据招标公告本项目的特定资格要求提供相应的材料</w:t>
      </w:r>
      <w:r>
        <w:rPr>
          <w:rFonts w:hint="eastAsia" w:ascii="仿宋" w:hAnsi="仿宋" w:eastAsia="仿宋" w:cs="仿宋"/>
          <w:lang w:val="en-US"/>
        </w:rPr>
        <w:t>)</w:t>
      </w:r>
    </w:p>
    <w:p w14:paraId="7A8C8949">
      <w:pPr>
        <w:pStyle w:val="2"/>
        <w:ind w:firstLine="0"/>
        <w:rPr>
          <w:rFonts w:hint="eastAsia" w:ascii="仿宋" w:hAnsi="仿宋" w:eastAsia="仿宋" w:cs="仿宋"/>
        </w:rPr>
      </w:pPr>
    </w:p>
    <w:p w14:paraId="6AEF9D7C">
      <w:pPr>
        <w:pStyle w:val="53"/>
        <w:rPr>
          <w:rFonts w:hint="eastAsia" w:ascii="仿宋" w:hAnsi="仿宋" w:eastAsia="仿宋" w:cs="仿宋"/>
        </w:rPr>
      </w:pPr>
    </w:p>
    <w:p w14:paraId="7CA9751F">
      <w:pPr>
        <w:widowControl/>
        <w:spacing w:line="360" w:lineRule="auto"/>
        <w:ind w:left="150"/>
        <w:jc w:val="center"/>
        <w:rPr>
          <w:rFonts w:hint="eastAsia" w:ascii="仿宋" w:hAnsi="仿宋" w:eastAsia="仿宋" w:cs="仿宋"/>
          <w:b/>
          <w:kern w:val="0"/>
          <w:sz w:val="32"/>
          <w:szCs w:val="32"/>
        </w:rPr>
      </w:pPr>
    </w:p>
    <w:p w14:paraId="1B5F260F">
      <w:pPr>
        <w:widowControl/>
        <w:spacing w:line="360" w:lineRule="auto"/>
        <w:ind w:left="150"/>
        <w:jc w:val="center"/>
        <w:rPr>
          <w:rFonts w:hint="eastAsia" w:ascii="仿宋" w:hAnsi="仿宋" w:eastAsia="仿宋" w:cs="仿宋"/>
          <w:b/>
          <w:kern w:val="0"/>
          <w:sz w:val="32"/>
          <w:szCs w:val="32"/>
        </w:rPr>
      </w:pPr>
    </w:p>
    <w:p w14:paraId="4EA7A9F2">
      <w:pPr>
        <w:widowControl/>
        <w:spacing w:line="360" w:lineRule="auto"/>
        <w:ind w:left="150"/>
        <w:jc w:val="center"/>
        <w:rPr>
          <w:rFonts w:hint="eastAsia" w:ascii="仿宋" w:hAnsi="仿宋" w:eastAsia="仿宋" w:cs="仿宋"/>
          <w:b/>
          <w:kern w:val="0"/>
          <w:sz w:val="32"/>
          <w:szCs w:val="32"/>
        </w:rPr>
      </w:pPr>
    </w:p>
    <w:p w14:paraId="035BE365">
      <w:pPr>
        <w:widowControl/>
        <w:spacing w:line="360" w:lineRule="auto"/>
        <w:ind w:left="150"/>
        <w:jc w:val="center"/>
        <w:rPr>
          <w:rFonts w:hint="eastAsia" w:ascii="仿宋" w:hAnsi="仿宋" w:eastAsia="仿宋" w:cs="仿宋"/>
          <w:b/>
          <w:kern w:val="0"/>
          <w:sz w:val="32"/>
          <w:szCs w:val="32"/>
        </w:rPr>
      </w:pPr>
    </w:p>
    <w:p w14:paraId="1D8BFC41">
      <w:pPr>
        <w:widowControl/>
        <w:spacing w:line="360" w:lineRule="auto"/>
        <w:ind w:left="150"/>
        <w:jc w:val="center"/>
        <w:rPr>
          <w:rFonts w:hint="eastAsia" w:ascii="仿宋" w:hAnsi="仿宋" w:eastAsia="仿宋" w:cs="仿宋"/>
          <w:b/>
          <w:kern w:val="0"/>
          <w:sz w:val="32"/>
          <w:szCs w:val="32"/>
        </w:rPr>
      </w:pPr>
    </w:p>
    <w:p w14:paraId="72C7F913">
      <w:pPr>
        <w:widowControl/>
        <w:spacing w:line="360" w:lineRule="auto"/>
        <w:ind w:left="150"/>
        <w:jc w:val="center"/>
        <w:rPr>
          <w:rFonts w:hint="eastAsia" w:ascii="仿宋" w:hAnsi="仿宋" w:eastAsia="仿宋" w:cs="仿宋"/>
          <w:b/>
          <w:kern w:val="0"/>
          <w:sz w:val="32"/>
          <w:szCs w:val="32"/>
        </w:rPr>
      </w:pPr>
    </w:p>
    <w:p w14:paraId="5A0556D8">
      <w:pPr>
        <w:widowControl/>
        <w:spacing w:line="360" w:lineRule="auto"/>
        <w:ind w:left="150"/>
        <w:jc w:val="center"/>
        <w:rPr>
          <w:rFonts w:hint="eastAsia" w:ascii="仿宋" w:hAnsi="仿宋" w:eastAsia="仿宋" w:cs="仿宋"/>
          <w:b/>
          <w:kern w:val="0"/>
          <w:sz w:val="32"/>
          <w:szCs w:val="32"/>
        </w:rPr>
      </w:pPr>
    </w:p>
    <w:p w14:paraId="4133703C">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五、本项目的特定资格要求</w:t>
      </w:r>
    </w:p>
    <w:p w14:paraId="7283E597">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43F61B59">
      <w:pPr>
        <w:rPr>
          <w:rFonts w:hint="eastAsia" w:ascii="仿宋" w:hAnsi="仿宋" w:eastAsia="仿宋" w:cs="仿宋"/>
        </w:rPr>
      </w:pPr>
    </w:p>
    <w:p w14:paraId="61593174">
      <w:pPr>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六、政府采购活动现场确认声明书</w:t>
      </w:r>
    </w:p>
    <w:p w14:paraId="6D86236E">
      <w:pPr>
        <w:spacing w:line="360" w:lineRule="auto"/>
        <w:rPr>
          <w:rFonts w:hint="eastAsia" w:ascii="仿宋" w:hAnsi="仿宋" w:eastAsia="仿宋" w:cs="仿宋"/>
          <w:b/>
          <w:bCs/>
          <w:color w:val="000000"/>
          <w:sz w:val="22"/>
          <w:szCs w:val="22"/>
        </w:rPr>
      </w:pPr>
      <w:r>
        <w:rPr>
          <w:rFonts w:hint="eastAsia" w:ascii="仿宋" w:hAnsi="仿宋" w:eastAsia="仿宋" w:cs="仿宋"/>
          <w:b/>
          <w:bCs/>
          <w:color w:val="000000"/>
          <w:sz w:val="22"/>
          <w:szCs w:val="22"/>
        </w:rPr>
        <w:t>（注：授权代表参与投标模板）</w:t>
      </w:r>
    </w:p>
    <w:p w14:paraId="078A1ECF">
      <w:pPr>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政府采购活动现场确认声明书</w:t>
      </w:r>
    </w:p>
    <w:p w14:paraId="527BA5BC">
      <w:pPr>
        <w:pStyle w:val="973"/>
        <w:widowControl w:val="0"/>
        <w:snapToGrid w:val="0"/>
        <w:jc w:val="both"/>
        <w:rPr>
          <w:rFonts w:ascii="仿宋" w:hAnsi="仿宋" w:eastAsia="仿宋" w:cs="仿宋"/>
          <w:b/>
          <w:color w:val="000000"/>
          <w:sz w:val="28"/>
          <w:szCs w:val="21"/>
        </w:rPr>
      </w:pPr>
      <w:r>
        <w:rPr>
          <w:rFonts w:ascii="仿宋" w:hAnsi="仿宋" w:eastAsia="仿宋" w:cs="仿宋"/>
          <w:color w:val="000000"/>
          <w:kern w:val="0"/>
          <w:sz w:val="28"/>
        </w:rPr>
        <w:t xml:space="preserve"> </w:t>
      </w:r>
      <w:r>
        <w:rPr>
          <w:rFonts w:ascii="仿宋" w:hAnsi="仿宋" w:eastAsia="仿宋" w:cs="仿宋"/>
          <w:color w:val="000000"/>
          <w:kern w:val="0"/>
          <w:sz w:val="28"/>
          <w:u w:val="single"/>
        </w:rPr>
        <w:t xml:space="preserve">                      </w:t>
      </w:r>
      <w:r>
        <w:rPr>
          <w:rFonts w:ascii="仿宋" w:hAnsi="仿宋" w:eastAsia="仿宋" w:cs="仿宋"/>
          <w:color w:val="000000"/>
          <w:kern w:val="0"/>
          <w:sz w:val="28"/>
          <w:szCs w:val="21"/>
        </w:rPr>
        <w:t>（采购组织机构名称）：</w:t>
      </w:r>
    </w:p>
    <w:p w14:paraId="797EB022">
      <w:pPr>
        <w:pStyle w:val="973"/>
        <w:widowControl w:val="0"/>
        <w:snapToGrid w:val="0"/>
        <w:ind w:firstLine="584" w:firstLineChars="200"/>
        <w:jc w:val="both"/>
        <w:rPr>
          <w:rFonts w:ascii="仿宋" w:hAnsi="仿宋" w:eastAsia="仿宋" w:cs="仿宋"/>
          <w:color w:val="000000"/>
          <w:spacing w:val="6"/>
          <w:sz w:val="28"/>
          <w:szCs w:val="21"/>
        </w:rPr>
      </w:pPr>
      <w:r>
        <w:rPr>
          <w:rFonts w:ascii="仿宋" w:hAnsi="仿宋" w:eastAsia="仿宋" w:cs="仿宋"/>
          <w:color w:val="000000"/>
          <w:spacing w:val="6"/>
          <w:sz w:val="28"/>
          <w:szCs w:val="21"/>
        </w:rPr>
        <w:t>本人经由</w:t>
      </w:r>
      <w:r>
        <w:rPr>
          <w:rFonts w:ascii="仿宋" w:hAnsi="仿宋" w:eastAsia="仿宋" w:cs="仿宋"/>
          <w:color w:val="000000"/>
          <w:spacing w:val="6"/>
          <w:sz w:val="28"/>
          <w:szCs w:val="21"/>
          <w:u w:val="single"/>
        </w:rPr>
        <w:t xml:space="preserve">                  （单位）</w:t>
      </w:r>
      <w:r>
        <w:rPr>
          <w:rFonts w:ascii="仿宋" w:hAnsi="仿宋" w:eastAsia="仿宋" w:cs="仿宋"/>
          <w:color w:val="000000"/>
          <w:spacing w:val="6"/>
          <w:sz w:val="28"/>
          <w:szCs w:val="21"/>
        </w:rPr>
        <w:t>负责人</w:t>
      </w:r>
      <w:r>
        <w:rPr>
          <w:rFonts w:ascii="仿宋" w:hAnsi="仿宋" w:eastAsia="仿宋" w:cs="仿宋"/>
          <w:color w:val="000000"/>
          <w:spacing w:val="6"/>
          <w:sz w:val="28"/>
          <w:szCs w:val="21"/>
          <w:u w:val="single"/>
        </w:rPr>
        <w:t xml:space="preserve">        （姓名）</w:t>
      </w:r>
      <w:r>
        <w:rPr>
          <w:rFonts w:ascii="仿宋" w:hAnsi="仿宋" w:eastAsia="仿宋" w:cs="仿宋"/>
          <w:color w:val="000000"/>
          <w:spacing w:val="6"/>
          <w:sz w:val="28"/>
          <w:szCs w:val="21"/>
        </w:rPr>
        <w:t>合法授权参加</w:t>
      </w:r>
      <w:r>
        <w:rPr>
          <w:rFonts w:ascii="仿宋" w:hAnsi="仿宋" w:eastAsia="仿宋" w:cs="仿宋"/>
          <w:color w:val="000000"/>
          <w:spacing w:val="6"/>
          <w:sz w:val="28"/>
          <w:szCs w:val="21"/>
          <w:u w:val="single"/>
        </w:rPr>
        <w:t xml:space="preserve">                </w:t>
      </w:r>
      <w:r>
        <w:rPr>
          <w:rFonts w:ascii="仿宋" w:hAnsi="仿宋" w:eastAsia="仿宋" w:cs="仿宋"/>
          <w:color w:val="000000"/>
          <w:spacing w:val="6"/>
          <w:sz w:val="28"/>
          <w:szCs w:val="21"/>
        </w:rPr>
        <w:t>项目（编号：</w:t>
      </w:r>
      <w:r>
        <w:rPr>
          <w:rFonts w:ascii="仿宋" w:hAnsi="仿宋" w:eastAsia="仿宋" w:cs="仿宋"/>
          <w:color w:val="000000"/>
          <w:spacing w:val="6"/>
          <w:sz w:val="28"/>
          <w:szCs w:val="21"/>
          <w:u w:val="single"/>
        </w:rPr>
        <w:t xml:space="preserve">        </w:t>
      </w:r>
      <w:r>
        <w:rPr>
          <w:rFonts w:ascii="仿宋" w:hAnsi="仿宋" w:eastAsia="仿宋" w:cs="仿宋"/>
          <w:color w:val="000000"/>
          <w:spacing w:val="6"/>
          <w:sz w:val="28"/>
          <w:szCs w:val="21"/>
        </w:rPr>
        <w:t xml:space="preserve">）政府采购活动，经与本单位法人代表（负责人）联系确认，现就有关公平竞争事项郑重声明如下： </w:t>
      </w:r>
    </w:p>
    <w:p w14:paraId="041A1BC0">
      <w:pPr>
        <w:pStyle w:val="974"/>
        <w:widowControl/>
        <w:numPr>
          <w:ilvl w:val="0"/>
          <w:numId w:val="3"/>
        </w:numPr>
        <w:snapToGrid w:val="0"/>
        <w:ind w:firstLine="529" w:firstLineChars="189"/>
        <w:rPr>
          <w:rFonts w:ascii="仿宋" w:hAnsi="仿宋" w:eastAsia="仿宋" w:cs="仿宋"/>
          <w:color w:val="000000"/>
          <w:kern w:val="0"/>
          <w:sz w:val="28"/>
          <w:szCs w:val="21"/>
        </w:rPr>
      </w:pPr>
      <w:r>
        <w:rPr>
          <w:rFonts w:ascii="仿宋" w:hAnsi="仿宋" w:eastAsia="仿宋" w:cs="仿宋"/>
          <w:color w:val="000000"/>
          <w:kern w:val="0"/>
          <w:sz w:val="28"/>
          <w:szCs w:val="21"/>
        </w:rPr>
        <w:t>本单位与采购人之间 □不存在利害关系 □存在下列利害关系</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w:t>
      </w:r>
    </w:p>
    <w:p w14:paraId="5F44E1C6">
      <w:pPr>
        <w:pStyle w:val="974"/>
        <w:widowControl/>
        <w:snapToGrid w:val="0"/>
        <w:rPr>
          <w:rFonts w:ascii="仿宋" w:hAnsi="仿宋" w:eastAsia="仿宋" w:cs="仿宋"/>
          <w:color w:val="000000"/>
          <w:kern w:val="0"/>
          <w:sz w:val="28"/>
          <w:szCs w:val="21"/>
        </w:rPr>
      </w:pPr>
      <w:r>
        <w:rPr>
          <w:rFonts w:ascii="仿宋" w:hAnsi="仿宋" w:eastAsia="仿宋" w:cs="仿宋"/>
          <w:color w:val="000000"/>
          <w:kern w:val="0"/>
          <w:sz w:val="28"/>
          <w:szCs w:val="21"/>
        </w:rPr>
        <w:t xml:space="preserve">  A.投资关系    B.行政隶属关系    C.业务指导关系</w:t>
      </w:r>
    </w:p>
    <w:p w14:paraId="5E92D065">
      <w:pPr>
        <w:pStyle w:val="974"/>
        <w:widowControl/>
        <w:snapToGrid w:val="0"/>
        <w:rPr>
          <w:rFonts w:ascii="仿宋" w:hAnsi="仿宋" w:eastAsia="仿宋" w:cs="仿宋"/>
          <w:color w:val="000000"/>
          <w:kern w:val="0"/>
          <w:sz w:val="28"/>
          <w:szCs w:val="21"/>
        </w:rPr>
      </w:pPr>
      <w:r>
        <w:rPr>
          <w:rFonts w:ascii="仿宋" w:hAnsi="仿宋" w:eastAsia="仿宋" w:cs="仿宋"/>
          <w:color w:val="000000"/>
          <w:kern w:val="0"/>
          <w:sz w:val="28"/>
          <w:szCs w:val="21"/>
        </w:rPr>
        <w:t xml:space="preserve">  D.其他可能</w:t>
      </w:r>
      <w:r>
        <w:rPr>
          <w:rFonts w:ascii="仿宋" w:hAnsi="仿宋" w:eastAsia="仿宋" w:cs="仿宋"/>
          <w:color w:val="000000"/>
          <w:sz w:val="28"/>
          <w:szCs w:val="21"/>
        </w:rPr>
        <w:t>影响采购公正的</w:t>
      </w:r>
      <w:r>
        <w:rPr>
          <w:rFonts w:ascii="仿宋" w:hAnsi="仿宋" w:eastAsia="仿宋" w:cs="仿宋"/>
          <w:color w:val="000000"/>
          <w:kern w:val="0"/>
          <w:sz w:val="28"/>
          <w:szCs w:val="21"/>
        </w:rPr>
        <w:t>利害关系</w:t>
      </w:r>
      <w:r>
        <w:rPr>
          <w:rFonts w:ascii="仿宋" w:hAnsi="仿宋" w:eastAsia="仿宋" w:cs="仿宋"/>
          <w:color w:val="000000"/>
          <w:kern w:val="0"/>
          <w:sz w:val="28"/>
          <w:szCs w:val="21"/>
          <w:u w:val="single"/>
        </w:rPr>
        <w:t xml:space="preserve">（如有，请如实说明）                 </w:t>
      </w:r>
      <w:r>
        <w:rPr>
          <w:rFonts w:ascii="仿宋" w:hAnsi="仿宋" w:eastAsia="仿宋" w:cs="仿宋"/>
          <w:color w:val="000000"/>
          <w:kern w:val="0"/>
          <w:sz w:val="28"/>
          <w:szCs w:val="21"/>
        </w:rPr>
        <w:t>。</w:t>
      </w:r>
    </w:p>
    <w:p w14:paraId="08EDF0AF">
      <w:pPr>
        <w:pStyle w:val="974"/>
        <w:widowControl/>
        <w:snapToGrid w:val="0"/>
        <w:rPr>
          <w:rFonts w:ascii="仿宋" w:hAnsi="仿宋" w:eastAsia="仿宋" w:cs="仿宋"/>
          <w:color w:val="000000"/>
          <w:kern w:val="0"/>
          <w:sz w:val="28"/>
          <w:szCs w:val="21"/>
        </w:rPr>
      </w:pPr>
      <w:r>
        <w:rPr>
          <w:rFonts w:ascii="仿宋" w:hAnsi="仿宋" w:eastAsia="仿宋" w:cs="仿宋"/>
          <w:color w:val="000000"/>
          <w:spacing w:val="6"/>
          <w:sz w:val="28"/>
          <w:szCs w:val="21"/>
        </w:rPr>
        <w:t xml:space="preserve">  二、</w:t>
      </w:r>
      <w:r>
        <w:rPr>
          <w:rFonts w:ascii="仿宋" w:hAnsi="仿宋" w:eastAsia="仿宋" w:cs="仿宋"/>
          <w:color w:val="000000"/>
          <w:kern w:val="0"/>
          <w:sz w:val="28"/>
          <w:szCs w:val="21"/>
        </w:rPr>
        <w:t>现已清楚知道参加本项目采购活动的其他所有供应商名称，本单位 □与其他所有供应商之间均不存在利害关系 □与</w:t>
      </w:r>
      <w:r>
        <w:rPr>
          <w:rFonts w:ascii="仿宋" w:hAnsi="仿宋" w:eastAsia="仿宋" w:cs="仿宋"/>
          <w:color w:val="000000"/>
          <w:kern w:val="0"/>
          <w:sz w:val="28"/>
          <w:szCs w:val="21"/>
          <w:u w:val="single"/>
        </w:rPr>
        <w:t xml:space="preserve">           （供应商名称）</w:t>
      </w:r>
      <w:r>
        <w:rPr>
          <w:rFonts w:ascii="仿宋" w:hAnsi="仿宋" w:eastAsia="仿宋" w:cs="仿宋"/>
          <w:color w:val="000000"/>
          <w:kern w:val="0"/>
          <w:sz w:val="28"/>
          <w:szCs w:val="21"/>
        </w:rPr>
        <w:t>之间存在下列利害关系</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w:t>
      </w:r>
    </w:p>
    <w:p w14:paraId="7F0BBE7D">
      <w:pPr>
        <w:pStyle w:val="973"/>
        <w:widowControl w:val="0"/>
        <w:snapToGrid w:val="0"/>
        <w:jc w:val="both"/>
        <w:rPr>
          <w:rFonts w:ascii="仿宋" w:hAnsi="仿宋" w:eastAsia="仿宋" w:cs="仿宋"/>
          <w:color w:val="000000"/>
          <w:kern w:val="0"/>
          <w:sz w:val="28"/>
          <w:szCs w:val="21"/>
        </w:rPr>
      </w:pPr>
      <w:r>
        <w:rPr>
          <w:rFonts w:ascii="仿宋" w:hAnsi="仿宋" w:eastAsia="仿宋" w:cs="仿宋"/>
          <w:color w:val="000000"/>
          <w:kern w:val="0"/>
          <w:sz w:val="28"/>
          <w:szCs w:val="21"/>
        </w:rPr>
        <w:t xml:space="preserve">  A.法定代表人或负责人或实际控制人是同一人</w:t>
      </w:r>
    </w:p>
    <w:p w14:paraId="517D3A04">
      <w:pPr>
        <w:pStyle w:val="973"/>
        <w:widowControl w:val="0"/>
        <w:snapToGrid w:val="0"/>
        <w:jc w:val="both"/>
        <w:rPr>
          <w:rFonts w:ascii="仿宋" w:hAnsi="仿宋" w:eastAsia="仿宋" w:cs="仿宋"/>
          <w:color w:val="000000"/>
          <w:spacing w:val="6"/>
          <w:sz w:val="28"/>
          <w:szCs w:val="21"/>
        </w:rPr>
      </w:pPr>
      <w:r>
        <w:rPr>
          <w:rFonts w:ascii="仿宋" w:hAnsi="仿宋" w:eastAsia="仿宋" w:cs="仿宋"/>
          <w:color w:val="000000"/>
          <w:kern w:val="0"/>
          <w:sz w:val="28"/>
          <w:szCs w:val="21"/>
        </w:rPr>
        <w:t xml:space="preserve">  B.法定代表人或负责人或实际控制人是夫妻关系</w:t>
      </w:r>
    </w:p>
    <w:p w14:paraId="34B4F453">
      <w:pPr>
        <w:pStyle w:val="973"/>
        <w:widowControl w:val="0"/>
        <w:snapToGrid w:val="0"/>
        <w:jc w:val="both"/>
        <w:rPr>
          <w:rFonts w:ascii="仿宋" w:hAnsi="仿宋" w:eastAsia="仿宋" w:cs="仿宋"/>
          <w:color w:val="000000"/>
          <w:spacing w:val="6"/>
          <w:sz w:val="28"/>
          <w:szCs w:val="21"/>
        </w:rPr>
      </w:pPr>
      <w:r>
        <w:rPr>
          <w:rFonts w:ascii="仿宋" w:hAnsi="仿宋" w:eastAsia="仿宋" w:cs="仿宋"/>
          <w:color w:val="000000"/>
          <w:kern w:val="0"/>
          <w:sz w:val="28"/>
          <w:szCs w:val="21"/>
        </w:rPr>
        <w:t xml:space="preserve">  C.法定代表人或负责人或实际控制人是直系血亲关系</w:t>
      </w:r>
    </w:p>
    <w:p w14:paraId="52221F9F">
      <w:pPr>
        <w:pStyle w:val="973"/>
        <w:widowControl w:val="0"/>
        <w:snapToGrid w:val="0"/>
        <w:jc w:val="both"/>
        <w:rPr>
          <w:rFonts w:ascii="仿宋" w:hAnsi="仿宋" w:eastAsia="仿宋" w:cs="仿宋"/>
          <w:color w:val="000000"/>
          <w:spacing w:val="6"/>
          <w:sz w:val="28"/>
          <w:szCs w:val="21"/>
        </w:rPr>
      </w:pPr>
      <w:r>
        <w:rPr>
          <w:rFonts w:ascii="仿宋" w:hAnsi="仿宋" w:eastAsia="仿宋" w:cs="仿宋"/>
          <w:color w:val="000000"/>
          <w:kern w:val="0"/>
          <w:sz w:val="28"/>
          <w:szCs w:val="21"/>
        </w:rPr>
        <w:t xml:space="preserve">  D.法定代表人或负责人或实际控制人存在三代以内旁系血亲关系</w:t>
      </w:r>
    </w:p>
    <w:p w14:paraId="558761D3">
      <w:pPr>
        <w:pStyle w:val="973"/>
        <w:widowControl w:val="0"/>
        <w:snapToGrid w:val="0"/>
        <w:jc w:val="both"/>
        <w:rPr>
          <w:rFonts w:ascii="仿宋" w:hAnsi="仿宋" w:eastAsia="仿宋" w:cs="仿宋"/>
          <w:color w:val="000000"/>
          <w:kern w:val="0"/>
          <w:sz w:val="28"/>
          <w:szCs w:val="21"/>
        </w:rPr>
      </w:pPr>
      <w:r>
        <w:rPr>
          <w:rFonts w:ascii="仿宋" w:hAnsi="仿宋" w:eastAsia="仿宋" w:cs="仿宋"/>
          <w:color w:val="000000"/>
          <w:kern w:val="0"/>
          <w:sz w:val="28"/>
          <w:szCs w:val="21"/>
        </w:rPr>
        <w:t xml:space="preserve">  E.法定代表人或负责人或实际控制人存在近姻亲关系</w:t>
      </w:r>
    </w:p>
    <w:p w14:paraId="75DD7C46">
      <w:pPr>
        <w:pStyle w:val="973"/>
        <w:widowControl w:val="0"/>
        <w:snapToGrid w:val="0"/>
        <w:jc w:val="both"/>
        <w:rPr>
          <w:rFonts w:ascii="仿宋" w:hAnsi="仿宋" w:eastAsia="仿宋" w:cs="仿宋"/>
          <w:color w:val="000000"/>
          <w:kern w:val="0"/>
          <w:sz w:val="28"/>
          <w:szCs w:val="21"/>
        </w:rPr>
      </w:pPr>
      <w:r>
        <w:rPr>
          <w:rFonts w:ascii="仿宋" w:hAnsi="仿宋" w:eastAsia="仿宋" w:cs="仿宋"/>
          <w:color w:val="000000"/>
          <w:kern w:val="0"/>
          <w:sz w:val="28"/>
          <w:szCs w:val="21"/>
        </w:rPr>
        <w:t xml:space="preserve">  F.法定代表人或负责人或实际控制人存在股份控制或实际控制关系</w:t>
      </w:r>
    </w:p>
    <w:p w14:paraId="6F2DB440">
      <w:pPr>
        <w:pStyle w:val="973"/>
        <w:widowControl w:val="0"/>
        <w:snapToGrid w:val="0"/>
        <w:jc w:val="both"/>
        <w:rPr>
          <w:rFonts w:ascii="仿宋" w:hAnsi="仿宋" w:eastAsia="仿宋" w:cs="仿宋"/>
          <w:color w:val="000000"/>
          <w:kern w:val="0"/>
          <w:sz w:val="28"/>
          <w:szCs w:val="21"/>
        </w:rPr>
      </w:pPr>
      <w:r>
        <w:rPr>
          <w:rFonts w:ascii="仿宋" w:hAnsi="仿宋" w:eastAsia="仿宋" w:cs="仿宋"/>
          <w:color w:val="000000"/>
          <w:kern w:val="0"/>
          <w:sz w:val="28"/>
          <w:szCs w:val="21"/>
        </w:rPr>
        <w:t xml:space="preserve">  G.存在共同直接或间接投资设立子公司、联营企业和合营企业情况</w:t>
      </w:r>
    </w:p>
    <w:p w14:paraId="00BA1FAC">
      <w:pPr>
        <w:pStyle w:val="973"/>
        <w:widowControl w:val="0"/>
        <w:snapToGrid w:val="0"/>
        <w:jc w:val="both"/>
        <w:rPr>
          <w:rFonts w:ascii="仿宋" w:hAnsi="仿宋" w:eastAsia="仿宋" w:cs="仿宋"/>
          <w:color w:val="000000"/>
          <w:sz w:val="28"/>
          <w:szCs w:val="21"/>
        </w:rPr>
      </w:pPr>
      <w:r>
        <w:rPr>
          <w:rFonts w:ascii="仿宋" w:hAnsi="仿宋" w:eastAsia="仿宋" w:cs="仿宋"/>
          <w:color w:val="000000"/>
          <w:kern w:val="0"/>
          <w:sz w:val="28"/>
          <w:szCs w:val="21"/>
        </w:rPr>
        <w:t xml:space="preserve">  H.存在分级代理或代销关系、同一生产制造商关系、</w:t>
      </w:r>
      <w:r>
        <w:rPr>
          <w:rFonts w:ascii="仿宋" w:hAnsi="仿宋" w:eastAsia="仿宋" w:cs="仿宋"/>
          <w:color w:val="000000"/>
          <w:sz w:val="28"/>
          <w:szCs w:val="21"/>
        </w:rPr>
        <w:t>管理关系、重要业务（占主营业务收入50%以上）或重要财务往来关系（如融资）等其他实质性控制关系</w:t>
      </w:r>
    </w:p>
    <w:p w14:paraId="34B5E678">
      <w:pPr>
        <w:pStyle w:val="973"/>
        <w:widowControl w:val="0"/>
        <w:snapToGrid w:val="0"/>
        <w:jc w:val="both"/>
        <w:rPr>
          <w:rFonts w:ascii="仿宋" w:hAnsi="仿宋" w:eastAsia="仿宋" w:cs="仿宋"/>
          <w:color w:val="000000"/>
          <w:spacing w:val="6"/>
          <w:sz w:val="28"/>
          <w:szCs w:val="21"/>
        </w:rPr>
      </w:pPr>
      <w:r>
        <w:rPr>
          <w:rFonts w:ascii="仿宋" w:hAnsi="仿宋" w:eastAsia="仿宋" w:cs="仿宋"/>
          <w:color w:val="000000"/>
          <w:sz w:val="28"/>
          <w:szCs w:val="21"/>
        </w:rPr>
        <w:t xml:space="preserve">    I</w:t>
      </w:r>
      <w:r>
        <w:rPr>
          <w:rFonts w:ascii="仿宋" w:hAnsi="仿宋" w:eastAsia="仿宋" w:cs="仿宋"/>
          <w:color w:val="000000"/>
          <w:kern w:val="0"/>
          <w:sz w:val="28"/>
          <w:szCs w:val="21"/>
        </w:rPr>
        <w:t>.</w:t>
      </w:r>
      <w:r>
        <w:rPr>
          <w:rFonts w:ascii="仿宋" w:hAnsi="仿宋" w:eastAsia="仿宋" w:cs="仿宋"/>
          <w:color w:val="000000"/>
          <w:sz w:val="28"/>
          <w:szCs w:val="21"/>
        </w:rPr>
        <w:t>其他利害关系情况</w:t>
      </w:r>
      <w:r>
        <w:rPr>
          <w:rFonts w:ascii="仿宋" w:hAnsi="仿宋" w:eastAsia="仿宋" w:cs="仿宋"/>
          <w:color w:val="000000"/>
          <w:sz w:val="28"/>
          <w:szCs w:val="21"/>
          <w:u w:val="single"/>
        </w:rPr>
        <w:t xml:space="preserve">                              </w:t>
      </w:r>
      <w:r>
        <w:rPr>
          <w:rFonts w:ascii="仿宋" w:hAnsi="仿宋" w:eastAsia="仿宋" w:cs="仿宋"/>
          <w:color w:val="000000"/>
          <w:kern w:val="0"/>
          <w:sz w:val="28"/>
          <w:szCs w:val="21"/>
        </w:rPr>
        <w:t>。</w:t>
      </w:r>
    </w:p>
    <w:p w14:paraId="08069320">
      <w:pPr>
        <w:pStyle w:val="974"/>
        <w:widowControl/>
        <w:numPr>
          <w:ilvl w:val="0"/>
          <w:numId w:val="4"/>
        </w:numPr>
        <w:snapToGrid w:val="0"/>
        <w:ind w:firstLine="529" w:firstLineChars="189"/>
        <w:rPr>
          <w:rFonts w:ascii="仿宋" w:hAnsi="仿宋" w:eastAsia="仿宋" w:cs="仿宋"/>
          <w:color w:val="000000"/>
          <w:kern w:val="0"/>
          <w:sz w:val="28"/>
          <w:szCs w:val="21"/>
        </w:rPr>
      </w:pPr>
      <w:r>
        <w:rPr>
          <w:rFonts w:ascii="仿宋" w:hAnsi="仿宋" w:eastAsia="仿宋" w:cs="仿宋"/>
          <w:color w:val="000000"/>
          <w:sz w:val="28"/>
          <w:szCs w:val="21"/>
        </w:rPr>
        <w:t>现已清楚知道并</w:t>
      </w:r>
      <w:r>
        <w:rPr>
          <w:rFonts w:ascii="仿宋" w:hAnsi="仿宋" w:eastAsia="仿宋" w:cs="仿宋"/>
          <w:color w:val="000000"/>
          <w:kern w:val="0"/>
          <w:sz w:val="28"/>
          <w:szCs w:val="21"/>
        </w:rPr>
        <w:t>严格遵守政府采购法律法规和现场纪律。</w:t>
      </w:r>
    </w:p>
    <w:p w14:paraId="79286BC7">
      <w:pPr>
        <w:pStyle w:val="974"/>
        <w:widowControl/>
        <w:numPr>
          <w:ilvl w:val="0"/>
          <w:numId w:val="4"/>
        </w:numPr>
        <w:snapToGrid w:val="0"/>
        <w:ind w:firstLine="529" w:firstLineChars="189"/>
        <w:rPr>
          <w:rFonts w:ascii="仿宋" w:hAnsi="仿宋" w:eastAsia="仿宋" w:cs="仿宋"/>
          <w:color w:val="000000"/>
          <w:kern w:val="0"/>
          <w:sz w:val="28"/>
          <w:szCs w:val="21"/>
        </w:rPr>
      </w:pPr>
      <w:r>
        <w:rPr>
          <w:rFonts w:ascii="仿宋" w:hAnsi="仿宋" w:eastAsia="仿宋" w:cs="仿宋"/>
          <w:color w:val="000000"/>
          <w:kern w:val="0"/>
          <w:sz w:val="28"/>
          <w:szCs w:val="21"/>
        </w:rPr>
        <w:t>我发现</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供应商之间存在或可能存在上述第二条第</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项利害关系。</w:t>
      </w:r>
    </w:p>
    <w:p w14:paraId="34CCC763">
      <w:pPr>
        <w:pStyle w:val="973"/>
        <w:widowControl w:val="0"/>
        <w:snapToGrid w:val="0"/>
        <w:ind w:firstLine="560" w:firstLineChars="200"/>
        <w:jc w:val="both"/>
        <w:rPr>
          <w:rFonts w:ascii="仿宋" w:hAnsi="仿宋" w:eastAsia="仿宋" w:cs="仿宋"/>
          <w:color w:val="000000"/>
          <w:sz w:val="28"/>
          <w:szCs w:val="21"/>
        </w:rPr>
      </w:pPr>
      <w:r>
        <w:rPr>
          <w:rFonts w:ascii="仿宋" w:hAnsi="仿宋" w:eastAsia="仿宋" w:cs="仿宋"/>
          <w:color w:val="000000"/>
          <w:sz w:val="28"/>
          <w:szCs w:val="21"/>
        </w:rPr>
        <w:t xml:space="preserve">                                投标人名称（电子签名）：</w:t>
      </w:r>
    </w:p>
    <w:p w14:paraId="38C9E42D">
      <w:pPr>
        <w:rPr>
          <w:rFonts w:hint="eastAsia" w:ascii="仿宋" w:hAnsi="仿宋" w:eastAsia="仿宋" w:cs="仿宋"/>
          <w:color w:val="000000"/>
          <w:sz w:val="28"/>
          <w:szCs w:val="21"/>
        </w:rPr>
      </w:pPr>
      <w:r>
        <w:rPr>
          <w:rFonts w:hint="eastAsia" w:ascii="仿宋" w:hAnsi="仿宋" w:eastAsia="仿宋" w:cs="仿宋"/>
          <w:color w:val="000000"/>
          <w:sz w:val="28"/>
          <w:szCs w:val="21"/>
        </w:rPr>
        <w:t xml:space="preserve">                                    年  月  日</w:t>
      </w:r>
    </w:p>
    <w:p w14:paraId="1E0F911B">
      <w:pPr>
        <w:pStyle w:val="25"/>
        <w:rPr>
          <w:rFonts w:hint="eastAsia" w:ascii="仿宋" w:hAnsi="仿宋" w:eastAsia="仿宋" w:cs="仿宋"/>
          <w:color w:val="000000"/>
          <w:sz w:val="28"/>
        </w:rPr>
      </w:pPr>
    </w:p>
    <w:p w14:paraId="1D98D520">
      <w:pPr>
        <w:rPr>
          <w:rFonts w:hint="eastAsia" w:ascii="仿宋" w:hAnsi="仿宋" w:eastAsia="仿宋" w:cs="仿宋"/>
          <w:b/>
          <w:bCs/>
          <w:color w:val="000000"/>
          <w:sz w:val="22"/>
          <w:szCs w:val="22"/>
        </w:rPr>
      </w:pPr>
      <w:r>
        <w:rPr>
          <w:rFonts w:hint="eastAsia" w:ascii="仿宋" w:hAnsi="仿宋" w:eastAsia="仿宋" w:cs="仿宋"/>
          <w:b/>
          <w:bCs/>
          <w:color w:val="000000"/>
          <w:sz w:val="22"/>
          <w:szCs w:val="22"/>
        </w:rPr>
        <w:br w:type="page"/>
      </w:r>
    </w:p>
    <w:p w14:paraId="2366406B">
      <w:pPr>
        <w:pStyle w:val="25"/>
        <w:rPr>
          <w:rFonts w:hint="eastAsia" w:ascii="仿宋" w:hAnsi="仿宋" w:eastAsia="仿宋" w:cs="仿宋"/>
        </w:rPr>
      </w:pPr>
    </w:p>
    <w:p w14:paraId="5D30F706">
      <w:pPr>
        <w:spacing w:line="360" w:lineRule="auto"/>
        <w:rPr>
          <w:rFonts w:hint="eastAsia" w:ascii="仿宋" w:hAnsi="仿宋" w:eastAsia="仿宋" w:cs="仿宋"/>
          <w:color w:val="000000"/>
          <w:sz w:val="32"/>
          <w:szCs w:val="32"/>
        </w:rPr>
      </w:pPr>
      <w:r>
        <w:rPr>
          <w:rFonts w:hint="eastAsia" w:ascii="仿宋" w:hAnsi="仿宋" w:eastAsia="仿宋" w:cs="仿宋"/>
          <w:b/>
          <w:bCs/>
          <w:color w:val="000000"/>
          <w:sz w:val="22"/>
          <w:szCs w:val="22"/>
        </w:rPr>
        <w:t>（注：法定代表人参与投标模板）</w:t>
      </w:r>
    </w:p>
    <w:p w14:paraId="707CEA59">
      <w:pPr>
        <w:pStyle w:val="973"/>
        <w:widowControl w:val="0"/>
        <w:snapToGrid w:val="0"/>
        <w:jc w:val="center"/>
        <w:rPr>
          <w:rFonts w:ascii="仿宋" w:hAnsi="仿宋" w:eastAsia="仿宋" w:cs="仿宋"/>
          <w:b/>
          <w:bCs/>
          <w:color w:val="000000"/>
          <w:sz w:val="32"/>
          <w:szCs w:val="32"/>
        </w:rPr>
      </w:pPr>
      <w:r>
        <w:rPr>
          <w:rFonts w:ascii="仿宋" w:hAnsi="仿宋" w:eastAsia="仿宋" w:cs="仿宋"/>
          <w:b/>
          <w:bCs/>
          <w:color w:val="000000"/>
          <w:sz w:val="32"/>
          <w:szCs w:val="32"/>
        </w:rPr>
        <w:t>政府采购活动现场确认声明书</w:t>
      </w:r>
    </w:p>
    <w:p w14:paraId="7F326FCA">
      <w:pPr>
        <w:pStyle w:val="973"/>
        <w:widowControl w:val="0"/>
        <w:snapToGrid w:val="0"/>
        <w:jc w:val="both"/>
        <w:rPr>
          <w:rFonts w:ascii="仿宋" w:hAnsi="仿宋" w:eastAsia="仿宋" w:cs="仿宋"/>
          <w:b/>
          <w:color w:val="000000"/>
          <w:sz w:val="28"/>
          <w:szCs w:val="21"/>
        </w:rPr>
      </w:pPr>
      <w:r>
        <w:rPr>
          <w:rFonts w:ascii="仿宋" w:hAnsi="仿宋" w:eastAsia="仿宋" w:cs="仿宋"/>
          <w:color w:val="000000"/>
          <w:kern w:val="0"/>
          <w:sz w:val="28"/>
        </w:rPr>
        <w:t xml:space="preserve">  </w:t>
      </w:r>
      <w:r>
        <w:rPr>
          <w:rFonts w:ascii="仿宋" w:hAnsi="仿宋" w:eastAsia="仿宋" w:cs="仿宋"/>
          <w:color w:val="000000"/>
          <w:kern w:val="0"/>
          <w:sz w:val="28"/>
          <w:u w:val="single"/>
        </w:rPr>
        <w:t xml:space="preserve">                      </w:t>
      </w:r>
      <w:r>
        <w:rPr>
          <w:rFonts w:ascii="仿宋" w:hAnsi="仿宋" w:eastAsia="仿宋" w:cs="仿宋"/>
          <w:color w:val="000000"/>
          <w:kern w:val="0"/>
          <w:sz w:val="28"/>
          <w:szCs w:val="21"/>
        </w:rPr>
        <w:t>（采购组织机构名称）：</w:t>
      </w:r>
    </w:p>
    <w:p w14:paraId="66F3A6CA">
      <w:pPr>
        <w:pStyle w:val="973"/>
        <w:snapToGrid w:val="0"/>
        <w:ind w:firstLine="584" w:firstLineChars="200"/>
        <w:rPr>
          <w:rFonts w:ascii="仿宋" w:hAnsi="仿宋" w:eastAsia="仿宋" w:cs="仿宋"/>
          <w:color w:val="000000"/>
          <w:spacing w:val="6"/>
          <w:sz w:val="28"/>
          <w:szCs w:val="21"/>
          <w:u w:val="single"/>
        </w:rPr>
      </w:pPr>
      <w:r>
        <w:rPr>
          <w:rFonts w:ascii="仿宋" w:hAnsi="仿宋" w:eastAsia="仿宋" w:cs="仿宋"/>
          <w:color w:val="000000"/>
          <w:spacing w:val="6"/>
          <w:sz w:val="28"/>
          <w:szCs w:val="21"/>
        </w:rPr>
        <w:t>本人为</w:t>
      </w:r>
      <w:r>
        <w:rPr>
          <w:rFonts w:ascii="仿宋" w:hAnsi="仿宋" w:eastAsia="仿宋" w:cs="仿宋"/>
          <w:color w:val="000000"/>
          <w:spacing w:val="6"/>
          <w:sz w:val="28"/>
          <w:szCs w:val="21"/>
          <w:u w:val="single"/>
        </w:rPr>
        <w:t xml:space="preserve">                  （单位）</w:t>
      </w:r>
      <w:r>
        <w:rPr>
          <w:rFonts w:ascii="仿宋" w:hAnsi="仿宋" w:eastAsia="仿宋" w:cs="仿宋"/>
          <w:color w:val="000000"/>
          <w:spacing w:val="6"/>
          <w:sz w:val="28"/>
          <w:szCs w:val="21"/>
        </w:rPr>
        <w:t>法人代表参加</w:t>
      </w:r>
      <w:r>
        <w:rPr>
          <w:rFonts w:ascii="仿宋" w:hAnsi="仿宋" w:eastAsia="仿宋" w:cs="仿宋"/>
          <w:color w:val="000000"/>
          <w:spacing w:val="6"/>
          <w:sz w:val="28"/>
          <w:szCs w:val="21"/>
          <w:u w:val="single"/>
        </w:rPr>
        <w:t xml:space="preserve">                </w:t>
      </w:r>
      <w:r>
        <w:rPr>
          <w:rFonts w:ascii="仿宋" w:hAnsi="仿宋" w:eastAsia="仿宋" w:cs="仿宋"/>
          <w:color w:val="000000"/>
          <w:spacing w:val="6"/>
          <w:sz w:val="28"/>
          <w:szCs w:val="21"/>
        </w:rPr>
        <w:t>项目（编号：</w:t>
      </w:r>
      <w:r>
        <w:rPr>
          <w:rFonts w:ascii="仿宋" w:hAnsi="仿宋" w:eastAsia="仿宋" w:cs="仿宋"/>
          <w:color w:val="000000"/>
          <w:spacing w:val="6"/>
          <w:sz w:val="28"/>
          <w:szCs w:val="21"/>
          <w:u w:val="single"/>
        </w:rPr>
        <w:t xml:space="preserve">        </w:t>
      </w:r>
      <w:r>
        <w:rPr>
          <w:rFonts w:ascii="仿宋" w:hAnsi="仿宋" w:eastAsia="仿宋" w:cs="仿宋"/>
          <w:color w:val="000000"/>
          <w:spacing w:val="6"/>
          <w:sz w:val="28"/>
          <w:szCs w:val="21"/>
        </w:rPr>
        <w:t xml:space="preserve">）政府采购活动，经本法人代表（负责人）确认，现就有关公平竞争事项郑重声明如下： </w:t>
      </w:r>
    </w:p>
    <w:p w14:paraId="7D779CD0">
      <w:pPr>
        <w:pStyle w:val="974"/>
        <w:widowControl/>
        <w:numPr>
          <w:ilvl w:val="0"/>
          <w:numId w:val="3"/>
        </w:numPr>
        <w:snapToGrid w:val="0"/>
        <w:ind w:firstLine="529" w:firstLineChars="189"/>
        <w:rPr>
          <w:rFonts w:ascii="仿宋" w:hAnsi="仿宋" w:eastAsia="仿宋" w:cs="仿宋"/>
          <w:color w:val="000000"/>
          <w:kern w:val="0"/>
          <w:sz w:val="28"/>
          <w:szCs w:val="21"/>
        </w:rPr>
      </w:pPr>
      <w:r>
        <w:rPr>
          <w:rFonts w:ascii="仿宋" w:hAnsi="仿宋" w:eastAsia="仿宋" w:cs="仿宋"/>
          <w:color w:val="000000"/>
          <w:kern w:val="0"/>
          <w:sz w:val="28"/>
          <w:szCs w:val="21"/>
        </w:rPr>
        <w:t>本单位与采购人之间 □不存在利害关系 □存在下列利害关系</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w:t>
      </w:r>
    </w:p>
    <w:p w14:paraId="5DEC22EF">
      <w:pPr>
        <w:pStyle w:val="974"/>
        <w:widowControl/>
        <w:snapToGrid w:val="0"/>
        <w:rPr>
          <w:rFonts w:ascii="仿宋" w:hAnsi="仿宋" w:eastAsia="仿宋" w:cs="仿宋"/>
          <w:color w:val="000000"/>
          <w:kern w:val="0"/>
          <w:sz w:val="28"/>
          <w:szCs w:val="21"/>
        </w:rPr>
      </w:pPr>
      <w:r>
        <w:rPr>
          <w:rFonts w:ascii="仿宋" w:hAnsi="仿宋" w:eastAsia="仿宋" w:cs="仿宋"/>
          <w:color w:val="000000"/>
          <w:kern w:val="0"/>
          <w:sz w:val="28"/>
          <w:szCs w:val="21"/>
        </w:rPr>
        <w:t xml:space="preserve">  A.投资关系    B.行政隶属关系    C.业务指导关系</w:t>
      </w:r>
    </w:p>
    <w:p w14:paraId="3B95025B">
      <w:pPr>
        <w:pStyle w:val="974"/>
        <w:widowControl/>
        <w:snapToGrid w:val="0"/>
        <w:rPr>
          <w:rFonts w:ascii="仿宋" w:hAnsi="仿宋" w:eastAsia="仿宋" w:cs="仿宋"/>
          <w:color w:val="000000"/>
          <w:kern w:val="0"/>
          <w:sz w:val="28"/>
          <w:szCs w:val="21"/>
        </w:rPr>
      </w:pPr>
      <w:r>
        <w:rPr>
          <w:rFonts w:ascii="仿宋" w:hAnsi="仿宋" w:eastAsia="仿宋" w:cs="仿宋"/>
          <w:color w:val="000000"/>
          <w:kern w:val="0"/>
          <w:sz w:val="28"/>
          <w:szCs w:val="21"/>
        </w:rPr>
        <w:t xml:space="preserve">  D.其他可能</w:t>
      </w:r>
      <w:r>
        <w:rPr>
          <w:rFonts w:ascii="仿宋" w:hAnsi="仿宋" w:eastAsia="仿宋" w:cs="仿宋"/>
          <w:color w:val="000000"/>
          <w:sz w:val="28"/>
          <w:szCs w:val="21"/>
        </w:rPr>
        <w:t>影响采购公正的</w:t>
      </w:r>
      <w:r>
        <w:rPr>
          <w:rFonts w:ascii="仿宋" w:hAnsi="仿宋" w:eastAsia="仿宋" w:cs="仿宋"/>
          <w:color w:val="000000"/>
          <w:kern w:val="0"/>
          <w:sz w:val="28"/>
          <w:szCs w:val="21"/>
        </w:rPr>
        <w:t>利害关系</w:t>
      </w:r>
      <w:r>
        <w:rPr>
          <w:rFonts w:ascii="仿宋" w:hAnsi="仿宋" w:eastAsia="仿宋" w:cs="仿宋"/>
          <w:color w:val="000000"/>
          <w:kern w:val="0"/>
          <w:sz w:val="28"/>
          <w:szCs w:val="21"/>
          <w:u w:val="single"/>
        </w:rPr>
        <w:t xml:space="preserve">（如有，请如实说明）                 </w:t>
      </w:r>
      <w:r>
        <w:rPr>
          <w:rFonts w:ascii="仿宋" w:hAnsi="仿宋" w:eastAsia="仿宋" w:cs="仿宋"/>
          <w:color w:val="000000"/>
          <w:kern w:val="0"/>
          <w:sz w:val="28"/>
          <w:szCs w:val="21"/>
        </w:rPr>
        <w:t>。</w:t>
      </w:r>
    </w:p>
    <w:p w14:paraId="587BA687">
      <w:pPr>
        <w:pStyle w:val="974"/>
        <w:widowControl/>
        <w:snapToGrid w:val="0"/>
        <w:rPr>
          <w:rFonts w:ascii="仿宋" w:hAnsi="仿宋" w:eastAsia="仿宋" w:cs="仿宋"/>
          <w:color w:val="000000"/>
          <w:kern w:val="0"/>
          <w:sz w:val="28"/>
          <w:szCs w:val="21"/>
        </w:rPr>
      </w:pPr>
      <w:r>
        <w:rPr>
          <w:rFonts w:ascii="仿宋" w:hAnsi="仿宋" w:eastAsia="仿宋" w:cs="仿宋"/>
          <w:color w:val="000000"/>
          <w:spacing w:val="6"/>
          <w:sz w:val="28"/>
          <w:szCs w:val="21"/>
        </w:rPr>
        <w:t xml:space="preserve">  二、</w:t>
      </w:r>
      <w:r>
        <w:rPr>
          <w:rFonts w:ascii="仿宋" w:hAnsi="仿宋" w:eastAsia="仿宋" w:cs="仿宋"/>
          <w:color w:val="000000"/>
          <w:kern w:val="0"/>
          <w:sz w:val="28"/>
          <w:szCs w:val="21"/>
        </w:rPr>
        <w:t>现已清楚知道参加本项目采购活动的其他所有供应商名称，本单位 □与其他所有供应商之间均不存在利害关系 □与</w:t>
      </w:r>
      <w:r>
        <w:rPr>
          <w:rFonts w:ascii="仿宋" w:hAnsi="仿宋" w:eastAsia="仿宋" w:cs="仿宋"/>
          <w:color w:val="000000"/>
          <w:kern w:val="0"/>
          <w:sz w:val="28"/>
          <w:szCs w:val="21"/>
          <w:u w:val="single"/>
        </w:rPr>
        <w:t xml:space="preserve">           （供应商名称）</w:t>
      </w:r>
      <w:r>
        <w:rPr>
          <w:rFonts w:ascii="仿宋" w:hAnsi="仿宋" w:eastAsia="仿宋" w:cs="仿宋"/>
          <w:color w:val="000000"/>
          <w:kern w:val="0"/>
          <w:sz w:val="28"/>
          <w:szCs w:val="21"/>
        </w:rPr>
        <w:t>之间存在下列利害关系</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w:t>
      </w:r>
    </w:p>
    <w:p w14:paraId="5A262A20">
      <w:pPr>
        <w:pStyle w:val="973"/>
        <w:widowControl w:val="0"/>
        <w:snapToGrid w:val="0"/>
        <w:jc w:val="both"/>
        <w:rPr>
          <w:rFonts w:ascii="仿宋" w:hAnsi="仿宋" w:eastAsia="仿宋" w:cs="仿宋"/>
          <w:color w:val="000000"/>
          <w:kern w:val="0"/>
          <w:sz w:val="28"/>
          <w:szCs w:val="21"/>
        </w:rPr>
      </w:pPr>
      <w:r>
        <w:rPr>
          <w:rFonts w:ascii="仿宋" w:hAnsi="仿宋" w:eastAsia="仿宋" w:cs="仿宋"/>
          <w:color w:val="000000"/>
          <w:kern w:val="0"/>
          <w:sz w:val="28"/>
          <w:szCs w:val="21"/>
        </w:rPr>
        <w:t xml:space="preserve">  A.法定代表人或负责人或实际控制人是同一人</w:t>
      </w:r>
    </w:p>
    <w:p w14:paraId="1E590A31">
      <w:pPr>
        <w:pStyle w:val="973"/>
        <w:widowControl w:val="0"/>
        <w:snapToGrid w:val="0"/>
        <w:jc w:val="both"/>
        <w:rPr>
          <w:rFonts w:ascii="仿宋" w:hAnsi="仿宋" w:eastAsia="仿宋" w:cs="仿宋"/>
          <w:color w:val="000000"/>
          <w:spacing w:val="6"/>
          <w:sz w:val="28"/>
          <w:szCs w:val="21"/>
        </w:rPr>
      </w:pPr>
      <w:r>
        <w:rPr>
          <w:rFonts w:ascii="仿宋" w:hAnsi="仿宋" w:eastAsia="仿宋" w:cs="仿宋"/>
          <w:color w:val="000000"/>
          <w:kern w:val="0"/>
          <w:sz w:val="28"/>
          <w:szCs w:val="21"/>
        </w:rPr>
        <w:t xml:space="preserve">  B.法定代表人或负责人或实际控制人是夫妻关系</w:t>
      </w:r>
    </w:p>
    <w:p w14:paraId="09C5AF4D">
      <w:pPr>
        <w:pStyle w:val="973"/>
        <w:widowControl w:val="0"/>
        <w:snapToGrid w:val="0"/>
        <w:jc w:val="both"/>
        <w:rPr>
          <w:rFonts w:ascii="仿宋" w:hAnsi="仿宋" w:eastAsia="仿宋" w:cs="仿宋"/>
          <w:color w:val="000000"/>
          <w:spacing w:val="6"/>
          <w:sz w:val="28"/>
          <w:szCs w:val="21"/>
        </w:rPr>
      </w:pPr>
      <w:r>
        <w:rPr>
          <w:rFonts w:ascii="仿宋" w:hAnsi="仿宋" w:eastAsia="仿宋" w:cs="仿宋"/>
          <w:color w:val="000000"/>
          <w:kern w:val="0"/>
          <w:sz w:val="28"/>
          <w:szCs w:val="21"/>
        </w:rPr>
        <w:t xml:space="preserve">  C.法定代表人或负责人或实际控制人是直系血亲关系</w:t>
      </w:r>
    </w:p>
    <w:p w14:paraId="1C342BE1">
      <w:pPr>
        <w:pStyle w:val="973"/>
        <w:widowControl w:val="0"/>
        <w:snapToGrid w:val="0"/>
        <w:jc w:val="both"/>
        <w:rPr>
          <w:rFonts w:ascii="仿宋" w:hAnsi="仿宋" w:eastAsia="仿宋" w:cs="仿宋"/>
          <w:color w:val="000000"/>
          <w:spacing w:val="6"/>
          <w:sz w:val="28"/>
          <w:szCs w:val="21"/>
        </w:rPr>
      </w:pPr>
      <w:r>
        <w:rPr>
          <w:rFonts w:ascii="仿宋" w:hAnsi="仿宋" w:eastAsia="仿宋" w:cs="仿宋"/>
          <w:color w:val="000000"/>
          <w:kern w:val="0"/>
          <w:sz w:val="28"/>
          <w:szCs w:val="21"/>
        </w:rPr>
        <w:t xml:space="preserve">  D.法定代表人或负责人或实际控制人存在三代以内旁系血亲关系</w:t>
      </w:r>
    </w:p>
    <w:p w14:paraId="124B1C3B">
      <w:pPr>
        <w:pStyle w:val="973"/>
        <w:widowControl w:val="0"/>
        <w:snapToGrid w:val="0"/>
        <w:jc w:val="both"/>
        <w:rPr>
          <w:rFonts w:ascii="仿宋" w:hAnsi="仿宋" w:eastAsia="仿宋" w:cs="仿宋"/>
          <w:color w:val="000000"/>
          <w:kern w:val="0"/>
          <w:sz w:val="28"/>
          <w:szCs w:val="21"/>
        </w:rPr>
      </w:pPr>
      <w:r>
        <w:rPr>
          <w:rFonts w:ascii="仿宋" w:hAnsi="仿宋" w:eastAsia="仿宋" w:cs="仿宋"/>
          <w:color w:val="000000"/>
          <w:kern w:val="0"/>
          <w:sz w:val="28"/>
          <w:szCs w:val="21"/>
        </w:rPr>
        <w:t xml:space="preserve">  E.法定代表人或负责人或实际控制人存在近姻亲关系</w:t>
      </w:r>
    </w:p>
    <w:p w14:paraId="1A21AA9F">
      <w:pPr>
        <w:pStyle w:val="973"/>
        <w:widowControl w:val="0"/>
        <w:snapToGrid w:val="0"/>
        <w:jc w:val="both"/>
        <w:rPr>
          <w:rFonts w:ascii="仿宋" w:hAnsi="仿宋" w:eastAsia="仿宋" w:cs="仿宋"/>
          <w:color w:val="000000"/>
          <w:kern w:val="0"/>
          <w:sz w:val="28"/>
          <w:szCs w:val="21"/>
        </w:rPr>
      </w:pPr>
      <w:r>
        <w:rPr>
          <w:rFonts w:ascii="仿宋" w:hAnsi="仿宋" w:eastAsia="仿宋" w:cs="仿宋"/>
          <w:color w:val="000000"/>
          <w:kern w:val="0"/>
          <w:sz w:val="28"/>
          <w:szCs w:val="21"/>
        </w:rPr>
        <w:t xml:space="preserve">  F.法定代表人或负责人或实际控制人存在股份控制或实际控制关系</w:t>
      </w:r>
    </w:p>
    <w:p w14:paraId="133DD048">
      <w:pPr>
        <w:pStyle w:val="973"/>
        <w:widowControl w:val="0"/>
        <w:snapToGrid w:val="0"/>
        <w:jc w:val="both"/>
        <w:rPr>
          <w:rFonts w:ascii="仿宋" w:hAnsi="仿宋" w:eastAsia="仿宋" w:cs="仿宋"/>
          <w:color w:val="000000"/>
          <w:kern w:val="0"/>
          <w:sz w:val="28"/>
          <w:szCs w:val="21"/>
        </w:rPr>
      </w:pPr>
      <w:r>
        <w:rPr>
          <w:rFonts w:ascii="仿宋" w:hAnsi="仿宋" w:eastAsia="仿宋" w:cs="仿宋"/>
          <w:color w:val="000000"/>
          <w:kern w:val="0"/>
          <w:sz w:val="28"/>
          <w:szCs w:val="21"/>
        </w:rPr>
        <w:t xml:space="preserve">  G.存在共同直接或间接投资设立子公司、联营企业和合营企业情况</w:t>
      </w:r>
    </w:p>
    <w:p w14:paraId="739BE390">
      <w:pPr>
        <w:pStyle w:val="973"/>
        <w:widowControl w:val="0"/>
        <w:snapToGrid w:val="0"/>
        <w:jc w:val="both"/>
        <w:rPr>
          <w:rFonts w:ascii="仿宋" w:hAnsi="仿宋" w:eastAsia="仿宋" w:cs="仿宋"/>
          <w:color w:val="000000"/>
          <w:sz w:val="28"/>
          <w:szCs w:val="21"/>
        </w:rPr>
      </w:pPr>
      <w:r>
        <w:rPr>
          <w:rFonts w:ascii="仿宋" w:hAnsi="仿宋" w:eastAsia="仿宋" w:cs="仿宋"/>
          <w:color w:val="000000"/>
          <w:kern w:val="0"/>
          <w:sz w:val="28"/>
          <w:szCs w:val="21"/>
        </w:rPr>
        <w:t xml:space="preserve">  H.存在分级代理或代销关系、同一生产制造商关系、</w:t>
      </w:r>
      <w:r>
        <w:rPr>
          <w:rFonts w:ascii="仿宋" w:hAnsi="仿宋" w:eastAsia="仿宋" w:cs="仿宋"/>
          <w:color w:val="000000"/>
          <w:sz w:val="28"/>
          <w:szCs w:val="21"/>
        </w:rPr>
        <w:t>管理关系、重要业务（占主营业务收入50%以上）或重要财务往来关系（如融资）等其他实质性控制关系</w:t>
      </w:r>
    </w:p>
    <w:p w14:paraId="01F2B3EA">
      <w:pPr>
        <w:pStyle w:val="973"/>
        <w:widowControl w:val="0"/>
        <w:snapToGrid w:val="0"/>
        <w:jc w:val="both"/>
        <w:rPr>
          <w:rFonts w:ascii="仿宋" w:hAnsi="仿宋" w:eastAsia="仿宋" w:cs="仿宋"/>
          <w:color w:val="000000"/>
          <w:spacing w:val="6"/>
          <w:sz w:val="28"/>
          <w:szCs w:val="21"/>
        </w:rPr>
      </w:pPr>
      <w:r>
        <w:rPr>
          <w:rFonts w:ascii="仿宋" w:hAnsi="仿宋" w:eastAsia="仿宋" w:cs="仿宋"/>
          <w:color w:val="000000"/>
          <w:sz w:val="28"/>
          <w:szCs w:val="21"/>
        </w:rPr>
        <w:t xml:space="preserve">    I</w:t>
      </w:r>
      <w:r>
        <w:rPr>
          <w:rFonts w:ascii="仿宋" w:hAnsi="仿宋" w:eastAsia="仿宋" w:cs="仿宋"/>
          <w:color w:val="000000"/>
          <w:kern w:val="0"/>
          <w:sz w:val="28"/>
          <w:szCs w:val="21"/>
        </w:rPr>
        <w:t>.</w:t>
      </w:r>
      <w:r>
        <w:rPr>
          <w:rFonts w:ascii="仿宋" w:hAnsi="仿宋" w:eastAsia="仿宋" w:cs="仿宋"/>
          <w:color w:val="000000"/>
          <w:sz w:val="28"/>
          <w:szCs w:val="21"/>
        </w:rPr>
        <w:t>其他利害关系情况</w:t>
      </w:r>
      <w:r>
        <w:rPr>
          <w:rFonts w:ascii="仿宋" w:hAnsi="仿宋" w:eastAsia="仿宋" w:cs="仿宋"/>
          <w:color w:val="000000"/>
          <w:sz w:val="28"/>
          <w:szCs w:val="21"/>
          <w:u w:val="single"/>
        </w:rPr>
        <w:t xml:space="preserve">                              </w:t>
      </w:r>
      <w:r>
        <w:rPr>
          <w:rFonts w:ascii="仿宋" w:hAnsi="仿宋" w:eastAsia="仿宋" w:cs="仿宋"/>
          <w:color w:val="000000"/>
          <w:kern w:val="0"/>
          <w:sz w:val="28"/>
          <w:szCs w:val="21"/>
        </w:rPr>
        <w:t>。</w:t>
      </w:r>
    </w:p>
    <w:p w14:paraId="572A78E8">
      <w:pPr>
        <w:pStyle w:val="974"/>
        <w:widowControl/>
        <w:numPr>
          <w:ilvl w:val="0"/>
          <w:numId w:val="4"/>
        </w:numPr>
        <w:snapToGrid w:val="0"/>
        <w:ind w:firstLine="529" w:firstLineChars="189"/>
        <w:rPr>
          <w:rFonts w:ascii="仿宋" w:hAnsi="仿宋" w:eastAsia="仿宋" w:cs="仿宋"/>
          <w:color w:val="000000"/>
          <w:kern w:val="0"/>
          <w:sz w:val="28"/>
          <w:szCs w:val="21"/>
        </w:rPr>
      </w:pPr>
      <w:r>
        <w:rPr>
          <w:rFonts w:ascii="仿宋" w:hAnsi="仿宋" w:eastAsia="仿宋" w:cs="仿宋"/>
          <w:color w:val="000000"/>
          <w:sz w:val="28"/>
          <w:szCs w:val="21"/>
        </w:rPr>
        <w:t>现已清楚知道并</w:t>
      </w:r>
      <w:r>
        <w:rPr>
          <w:rFonts w:ascii="仿宋" w:hAnsi="仿宋" w:eastAsia="仿宋" w:cs="仿宋"/>
          <w:color w:val="000000"/>
          <w:kern w:val="0"/>
          <w:sz w:val="28"/>
          <w:szCs w:val="21"/>
        </w:rPr>
        <w:t>严格遵守政府采购法律法规和现场纪律。</w:t>
      </w:r>
    </w:p>
    <w:p w14:paraId="2E2B08B0">
      <w:pPr>
        <w:pStyle w:val="974"/>
        <w:widowControl/>
        <w:numPr>
          <w:ilvl w:val="0"/>
          <w:numId w:val="4"/>
        </w:numPr>
        <w:snapToGrid w:val="0"/>
        <w:ind w:firstLine="529" w:firstLineChars="189"/>
        <w:rPr>
          <w:rFonts w:ascii="仿宋" w:hAnsi="仿宋" w:eastAsia="仿宋" w:cs="仿宋"/>
          <w:color w:val="000000"/>
          <w:kern w:val="0"/>
          <w:sz w:val="28"/>
          <w:szCs w:val="21"/>
        </w:rPr>
      </w:pPr>
      <w:r>
        <w:rPr>
          <w:rFonts w:ascii="仿宋" w:hAnsi="仿宋" w:eastAsia="仿宋" w:cs="仿宋"/>
          <w:color w:val="000000"/>
          <w:kern w:val="0"/>
          <w:sz w:val="28"/>
          <w:szCs w:val="21"/>
        </w:rPr>
        <w:t>我发现</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供应商之间存在或可能存在上述第二条第</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项利害关系。</w:t>
      </w:r>
    </w:p>
    <w:p w14:paraId="68A4B759">
      <w:pPr>
        <w:pStyle w:val="973"/>
        <w:widowControl w:val="0"/>
        <w:snapToGrid w:val="0"/>
        <w:ind w:firstLine="560" w:firstLineChars="200"/>
        <w:jc w:val="both"/>
        <w:rPr>
          <w:rFonts w:ascii="仿宋" w:hAnsi="仿宋" w:eastAsia="仿宋" w:cs="仿宋"/>
          <w:color w:val="000000"/>
          <w:sz w:val="28"/>
          <w:szCs w:val="21"/>
        </w:rPr>
      </w:pPr>
      <w:r>
        <w:rPr>
          <w:rFonts w:ascii="仿宋" w:hAnsi="仿宋" w:eastAsia="仿宋" w:cs="仿宋"/>
          <w:color w:val="000000"/>
          <w:sz w:val="28"/>
          <w:szCs w:val="21"/>
        </w:rPr>
        <w:t xml:space="preserve">                                投标人名称（电子签名）：</w:t>
      </w:r>
    </w:p>
    <w:p w14:paraId="35AD5451">
      <w:pPr>
        <w:pStyle w:val="973"/>
        <w:widowControl w:val="0"/>
        <w:snapToGrid w:val="0"/>
        <w:ind w:firstLine="560" w:firstLineChars="200"/>
        <w:jc w:val="both"/>
        <w:rPr>
          <w:rFonts w:ascii="仿宋" w:hAnsi="仿宋" w:eastAsia="仿宋" w:cs="仿宋"/>
          <w:color w:val="000000"/>
          <w:sz w:val="28"/>
          <w:szCs w:val="21"/>
        </w:rPr>
      </w:pPr>
    </w:p>
    <w:p w14:paraId="416C6712">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 xml:space="preserve">                                    年  月   日</w:t>
      </w:r>
    </w:p>
    <w:p w14:paraId="6BD3BE4C">
      <w:pPr>
        <w:rPr>
          <w:rFonts w:hint="eastAsia" w:ascii="仿宋" w:hAnsi="仿宋" w:eastAsia="仿宋" w:cs="仿宋"/>
        </w:rPr>
      </w:pPr>
    </w:p>
    <w:p w14:paraId="5B100561">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5708380">
      <w:pPr>
        <w:widowControl/>
        <w:adjustRightInd/>
        <w:jc w:val="left"/>
        <w:rPr>
          <w:rFonts w:hint="eastAsia" w:ascii="仿宋" w:hAnsi="仿宋" w:eastAsia="仿宋" w:cs="仿宋"/>
          <w:b/>
          <w:kern w:val="0"/>
          <w:sz w:val="32"/>
          <w:szCs w:val="32"/>
        </w:rPr>
      </w:pPr>
    </w:p>
    <w:p w14:paraId="76654A3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736C2CCE">
      <w:pPr>
        <w:jc w:val="center"/>
        <w:rPr>
          <w:rFonts w:hint="eastAsia" w:ascii="仿宋" w:hAnsi="仿宋" w:eastAsia="仿宋" w:cs="仿宋"/>
        </w:rPr>
      </w:pPr>
      <w:r>
        <w:rPr>
          <w:rFonts w:hint="eastAsia" w:ascii="仿宋" w:hAnsi="仿宋" w:eastAsia="仿宋" w:cs="仿宋"/>
        </w:rPr>
        <w:t>目录</w:t>
      </w:r>
    </w:p>
    <w:p w14:paraId="16103701">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02DDED9A">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6F2D4BF4">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3C9639A8">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7ACFEA63">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EBEA28D">
      <w:pPr>
        <w:rPr>
          <w:rFonts w:hint="eastAsia" w:ascii="仿宋" w:hAnsi="仿宋" w:eastAsia="仿宋" w:cs="仿宋"/>
        </w:rPr>
      </w:pPr>
    </w:p>
    <w:p w14:paraId="7F8C80E3">
      <w:pPr>
        <w:rPr>
          <w:rFonts w:hint="eastAsia" w:ascii="仿宋" w:hAnsi="仿宋" w:eastAsia="仿宋" w:cs="仿宋"/>
        </w:rPr>
      </w:pPr>
    </w:p>
    <w:p w14:paraId="7063BA07">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2FF9B762">
      <w:pPr>
        <w:snapToGrid w:val="0"/>
        <w:spacing w:line="360" w:lineRule="auto"/>
        <w:ind w:firstLine="3855" w:firstLineChars="1200"/>
        <w:outlineLvl w:val="1"/>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62C6BF08">
      <w:pPr>
        <w:snapToGrid w:val="0"/>
        <w:spacing w:line="360" w:lineRule="auto"/>
        <w:rPr>
          <w:rFonts w:hint="eastAsia"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6B9D578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14:paraId="0EC83A6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6A5F473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4F68255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05565DD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14:paraId="730DB34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7934526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2.1.4营业执照(或事业法人登记证或其他工商等登记证明材料)；</w:t>
      </w:r>
    </w:p>
    <w:p w14:paraId="60125F78">
      <w:pPr>
        <w:snapToGrid w:val="0"/>
        <w:spacing w:line="360" w:lineRule="auto"/>
        <w:ind w:left="420" w:leftChars="200" w:firstLine="480" w:firstLineChars="200"/>
      </w:pPr>
      <w:r>
        <w:rPr>
          <w:rFonts w:hint="eastAsia" w:ascii="仿宋" w:hAnsi="仿宋" w:eastAsia="仿宋" w:cs="仿宋"/>
          <w:sz w:val="24"/>
        </w:rPr>
        <w:t>2.1.5政府采购活动现场确认声明书；</w:t>
      </w:r>
    </w:p>
    <w:p w14:paraId="09AD8C7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2.1.6本项目的特定资格要求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114E25E4">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514C29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58432AC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3DBD3EC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5504395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0192AF6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10B7255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0D2DF7B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643B960D">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077FE5AB">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5633BF9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1C3BB590">
      <w:pPr>
        <w:snapToGrid w:val="0"/>
        <w:spacing w:line="360" w:lineRule="auto"/>
        <w:ind w:left="420" w:leftChars="200" w:firstLine="480" w:firstLineChars="200"/>
        <w:rPr>
          <w:rFonts w:hint="eastAsia" w:ascii="仿宋" w:hAnsi="仿宋" w:eastAsia="仿宋" w:cs="仿宋"/>
          <w:color w:val="FF0000"/>
          <w:sz w:val="24"/>
        </w:rPr>
      </w:pPr>
      <w:r>
        <w:rPr>
          <w:rFonts w:hint="eastAsia" w:ascii="仿宋" w:hAnsi="仿宋" w:eastAsia="仿宋" w:cs="仿宋"/>
          <w:color w:val="FF0000"/>
          <w:sz w:val="24"/>
        </w:rPr>
        <w:t>2.3.2中小企业声明函（如果有）。</w:t>
      </w:r>
    </w:p>
    <w:p w14:paraId="66A6346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6FD3DF1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3E0E967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9A54CF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7488569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46F5E844">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3514C61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4F08CCB">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5B6E0BD8">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159F736D">
      <w:pPr>
        <w:snapToGrid w:val="0"/>
        <w:spacing w:line="360" w:lineRule="auto"/>
        <w:ind w:left="420" w:leftChars="200" w:firstLine="4200" w:firstLineChars="1750"/>
        <w:rPr>
          <w:rFonts w:hint="eastAsia" w:ascii="仿宋" w:hAnsi="仿宋" w:eastAsia="仿宋" w:cs="仿宋"/>
          <w:kern w:val="0"/>
          <w:sz w:val="24"/>
          <w:u w:val="single"/>
        </w:rPr>
      </w:pPr>
    </w:p>
    <w:p w14:paraId="0B765AE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A7CF98D">
      <w:pPr>
        <w:jc w:val="center"/>
        <w:rPr>
          <w:rFonts w:hint="eastAsia" w:ascii="仿宋" w:hAnsi="仿宋" w:eastAsia="仿宋" w:cs="仿宋"/>
          <w:b/>
          <w:kern w:val="0"/>
          <w:sz w:val="32"/>
          <w:szCs w:val="32"/>
        </w:rPr>
      </w:pPr>
    </w:p>
    <w:p w14:paraId="585EA627">
      <w:pPr>
        <w:jc w:val="center"/>
        <w:rPr>
          <w:rFonts w:hint="eastAsia" w:ascii="仿宋" w:hAnsi="仿宋" w:eastAsia="仿宋" w:cs="仿宋"/>
          <w:b/>
          <w:kern w:val="0"/>
          <w:sz w:val="32"/>
          <w:szCs w:val="32"/>
        </w:rPr>
      </w:pPr>
    </w:p>
    <w:p w14:paraId="1BA3F629">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C604F05">
      <w:pPr>
        <w:snapToGrid w:val="0"/>
        <w:spacing w:line="360" w:lineRule="auto"/>
        <w:outlineLvl w:val="1"/>
        <w:rPr>
          <w:rFonts w:hint="eastAsia" w:ascii="仿宋" w:hAnsi="仿宋" w:eastAsia="仿宋" w:cs="仿宋"/>
          <w:sz w:val="24"/>
        </w:rPr>
      </w:pPr>
      <w:r>
        <w:rPr>
          <w:rFonts w:hint="eastAsia" w:ascii="仿宋" w:hAnsi="仿宋" w:eastAsia="仿宋" w:cs="仿宋"/>
          <w:b/>
          <w:kern w:val="0"/>
          <w:sz w:val="32"/>
          <w:szCs w:val="32"/>
          <w:lang w:val="zh-CN"/>
        </w:rPr>
        <w:t>二、授权委托书或法定代表人（单位负责人、自然人本人）身份证明</w:t>
      </w:r>
      <w:r>
        <w:rPr>
          <w:rFonts w:hint="eastAsia" w:ascii="仿宋" w:hAnsi="仿宋" w:eastAsia="仿宋" w:cs="仿宋"/>
          <w:sz w:val="24"/>
        </w:rPr>
        <w:t xml:space="preserve">         </w:t>
      </w:r>
    </w:p>
    <w:p w14:paraId="7527C321">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0DE4629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F58AEE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897BE4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772E55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86A4EE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C05BC8A">
      <w:pPr>
        <w:pStyle w:val="15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授权代表</w:t>
      </w:r>
      <w:r>
        <w:rPr>
          <w:rFonts w:hint="eastAsia" w:ascii="仿宋" w:hAnsi="仿宋" w:eastAsia="仿宋" w:cs="仿宋"/>
          <w:bCs/>
          <w:color w:val="auto"/>
          <w:sz w:val="24"/>
          <w:highlight w:val="none"/>
        </w:rPr>
        <w:t>身份证件扫描件：</w:t>
      </w:r>
    </w:p>
    <w:tbl>
      <w:tblPr>
        <w:tblStyle w:val="63"/>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2D0D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9220" w:type="dxa"/>
          </w:tcPr>
          <w:p w14:paraId="67D9E743">
            <w:pPr>
              <w:pStyle w:val="15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474D3A1">
            <w:pPr>
              <w:pStyle w:val="151"/>
              <w:adjustRightInd w:val="0"/>
              <w:spacing w:line="360" w:lineRule="auto"/>
              <w:rPr>
                <w:rFonts w:hint="eastAsia" w:ascii="仿宋" w:hAnsi="仿宋" w:eastAsia="仿宋" w:cs="仿宋"/>
                <w:bCs/>
                <w:color w:val="auto"/>
                <w:sz w:val="24"/>
                <w:highlight w:val="none"/>
              </w:rPr>
            </w:pPr>
          </w:p>
        </w:tc>
      </w:tr>
    </w:tbl>
    <w:p w14:paraId="130E766B">
      <w:pPr>
        <w:snapToGrid w:val="0"/>
        <w:spacing w:line="360" w:lineRule="auto"/>
        <w:jc w:val="right"/>
        <w:rPr>
          <w:rFonts w:hint="eastAsia" w:ascii="仿宋" w:hAnsi="仿宋" w:eastAsia="仿宋" w:cs="仿宋"/>
          <w:color w:val="auto"/>
          <w:sz w:val="24"/>
          <w:highlight w:val="none"/>
        </w:rPr>
      </w:pPr>
    </w:p>
    <w:p w14:paraId="792DD52F">
      <w:pPr>
        <w:wordWrap w:val="0"/>
        <w:snapToGrid w:val="0"/>
        <w:spacing w:line="360" w:lineRule="auto"/>
        <w:jc w:val="righ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 xml:space="preserve"> 投标响应方全称（CA签章）：</w:t>
      </w:r>
      <w:r>
        <w:rPr>
          <w:rFonts w:hint="eastAsia" w:ascii="仿宋" w:hAnsi="仿宋" w:eastAsia="仿宋" w:cs="仿宋"/>
          <w:color w:val="auto"/>
          <w:kern w:val="0"/>
          <w:sz w:val="24"/>
          <w:highlight w:val="none"/>
          <w:lang w:val="en-US" w:eastAsia="zh-CN"/>
        </w:rPr>
        <w:t xml:space="preserve">                </w:t>
      </w:r>
    </w:p>
    <w:p w14:paraId="32B038AE">
      <w:pPr>
        <w:pStyle w:val="25"/>
        <w:wordWrap w:val="0"/>
        <w:jc w:val="right"/>
        <w:rPr>
          <w:rFonts w:hint="eastAsia" w:ascii="仿宋" w:hAnsi="仿宋" w:eastAsia="仿宋" w:cs="仿宋"/>
          <w:lang w:val="en-US" w:eastAsia="zh-CN"/>
        </w:rPr>
      </w:pPr>
      <w:r>
        <w:rPr>
          <w:rFonts w:hint="eastAsia" w:ascii="仿宋" w:hAnsi="仿宋" w:eastAsia="仿宋" w:cs="仿宋"/>
          <w:lang w:val="en-US" w:eastAsia="zh-CN"/>
        </w:rPr>
        <w:t xml:space="preserve">   </w:t>
      </w:r>
      <w:r>
        <w:rPr>
          <w:rFonts w:hint="eastAsia" w:ascii="仿宋" w:hAnsi="仿宋" w:eastAsia="仿宋" w:cs="仿宋"/>
        </w:rPr>
        <w:t>法定代表人（签字）：</w:t>
      </w:r>
      <w:r>
        <w:rPr>
          <w:rFonts w:hint="eastAsia" w:ascii="仿宋" w:hAnsi="仿宋" w:eastAsia="仿宋" w:cs="仿宋"/>
          <w:lang w:val="en-US" w:eastAsia="zh-CN"/>
        </w:rPr>
        <w:t xml:space="preserve">                </w:t>
      </w:r>
    </w:p>
    <w:p w14:paraId="584D36C3">
      <w:pPr>
        <w:wordWrap w:val="0"/>
        <w:snapToGrid w:val="0"/>
        <w:spacing w:line="360" w:lineRule="auto"/>
        <w:jc w:val="righ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  年  月   日</w:t>
      </w:r>
      <w:r>
        <w:rPr>
          <w:rFonts w:hint="eastAsia" w:ascii="仿宋" w:hAnsi="仿宋" w:eastAsia="仿宋" w:cs="仿宋"/>
          <w:color w:val="auto"/>
          <w:kern w:val="0"/>
          <w:sz w:val="24"/>
          <w:highlight w:val="none"/>
          <w:lang w:val="en-US" w:eastAsia="zh-CN"/>
        </w:rPr>
        <w:t xml:space="preserve">                        </w:t>
      </w:r>
    </w:p>
    <w:p w14:paraId="0588996E">
      <w:pPr>
        <w:pStyle w:val="25"/>
        <w:rPr>
          <w:rFonts w:hint="eastAsia" w:ascii="仿宋" w:hAnsi="仿宋" w:eastAsia="仿宋" w:cs="仿宋"/>
          <w:color w:val="auto"/>
          <w:sz w:val="24"/>
          <w:highlight w:val="none"/>
        </w:rPr>
      </w:pPr>
    </w:p>
    <w:p w14:paraId="6D163C31">
      <w:pPr>
        <w:pStyle w:val="2"/>
        <w:rPr>
          <w:rFonts w:hint="eastAsia" w:ascii="仿宋" w:hAnsi="仿宋" w:eastAsia="仿宋" w:cs="仿宋"/>
          <w:color w:val="auto"/>
          <w:sz w:val="24"/>
          <w:highlight w:val="none"/>
        </w:rPr>
      </w:pPr>
    </w:p>
    <w:p w14:paraId="4AB78171">
      <w:pPr>
        <w:pStyle w:val="53"/>
        <w:rPr>
          <w:rFonts w:hint="eastAsia" w:ascii="仿宋" w:hAnsi="仿宋" w:eastAsia="仿宋" w:cs="仿宋"/>
          <w:color w:val="auto"/>
          <w:sz w:val="24"/>
          <w:highlight w:val="none"/>
        </w:rPr>
      </w:pPr>
    </w:p>
    <w:p w14:paraId="22696B31">
      <w:pPr>
        <w:rPr>
          <w:rFonts w:hint="eastAsia" w:ascii="仿宋" w:hAnsi="仿宋" w:eastAsia="仿宋" w:cs="仿宋"/>
          <w:color w:val="auto"/>
          <w:sz w:val="24"/>
          <w:highlight w:val="none"/>
        </w:rPr>
      </w:pPr>
    </w:p>
    <w:p w14:paraId="0757A732">
      <w:pPr>
        <w:pStyle w:val="25"/>
        <w:rPr>
          <w:rFonts w:hint="eastAsia" w:ascii="仿宋" w:hAnsi="仿宋" w:eastAsia="仿宋" w:cs="仿宋"/>
        </w:rPr>
      </w:pPr>
    </w:p>
    <w:p w14:paraId="4BB234A7">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37981233">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E339DA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6FB7077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4195CB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5443B0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82F2E4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FE15423">
      <w:pPr>
        <w:jc w:val="center"/>
        <w:rPr>
          <w:rFonts w:hint="eastAsia" w:ascii="仿宋" w:hAnsi="仿宋" w:eastAsia="仿宋" w:cs="仿宋"/>
          <w:b/>
          <w:color w:val="auto"/>
          <w:kern w:val="0"/>
          <w:sz w:val="32"/>
          <w:szCs w:val="32"/>
          <w:highlight w:val="none"/>
        </w:rPr>
      </w:pPr>
    </w:p>
    <w:p w14:paraId="1F49AA0D">
      <w:pPr>
        <w:rPr>
          <w:rFonts w:hint="eastAsia" w:ascii="仿宋" w:hAnsi="仿宋" w:eastAsia="仿宋" w:cs="仿宋"/>
          <w:color w:val="auto"/>
          <w:highlight w:val="none"/>
        </w:rPr>
      </w:pPr>
    </w:p>
    <w:p w14:paraId="613B9CF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C04A96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119F0B7">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FF7925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ED2D3E2">
      <w:pPr>
        <w:autoSpaceDE w:val="0"/>
        <w:autoSpaceDN w:val="0"/>
        <w:spacing w:line="360" w:lineRule="auto"/>
        <w:jc w:val="left"/>
        <w:rPr>
          <w:rFonts w:hint="eastAsia" w:ascii="仿宋" w:hAnsi="仿宋" w:eastAsia="仿宋" w:cs="仿宋"/>
          <w:b/>
          <w:color w:val="auto"/>
          <w:kern w:val="0"/>
          <w:sz w:val="32"/>
          <w:szCs w:val="32"/>
          <w:highlight w:val="none"/>
          <w:lang w:val="zh-CN"/>
        </w:rPr>
      </w:pPr>
    </w:p>
    <w:p w14:paraId="3DB5DEB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1AC7B70">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FF7981B">
      <w:pPr>
        <w:pStyle w:val="2"/>
        <w:ind w:left="0" w:leftChars="0" w:firstLine="0" w:firstLineChars="0"/>
        <w:rPr>
          <w:rFonts w:hint="eastAsia" w:ascii="仿宋" w:hAnsi="仿宋" w:eastAsia="仿宋" w:cs="仿宋"/>
          <w:b/>
          <w:color w:val="auto"/>
          <w:kern w:val="0"/>
          <w:sz w:val="32"/>
          <w:szCs w:val="32"/>
          <w:highlight w:val="none"/>
          <w:lang w:val="zh-CN"/>
        </w:rPr>
      </w:pPr>
    </w:p>
    <w:p w14:paraId="271DAA70">
      <w:pPr>
        <w:pStyle w:val="53"/>
        <w:rPr>
          <w:rFonts w:hint="eastAsia" w:ascii="仿宋" w:hAnsi="仿宋" w:eastAsia="仿宋" w:cs="仿宋"/>
          <w:b/>
          <w:color w:val="auto"/>
          <w:kern w:val="0"/>
          <w:sz w:val="32"/>
          <w:szCs w:val="32"/>
          <w:highlight w:val="none"/>
          <w:lang w:val="zh-CN"/>
        </w:rPr>
      </w:pPr>
    </w:p>
    <w:p w14:paraId="6CF6FADC">
      <w:pPr>
        <w:rPr>
          <w:rFonts w:hint="eastAsia" w:ascii="仿宋" w:hAnsi="仿宋" w:eastAsia="仿宋" w:cs="仿宋"/>
          <w:b/>
          <w:color w:val="auto"/>
          <w:kern w:val="0"/>
          <w:sz w:val="32"/>
          <w:szCs w:val="32"/>
          <w:highlight w:val="none"/>
          <w:lang w:val="zh-CN"/>
        </w:rPr>
      </w:pPr>
    </w:p>
    <w:p w14:paraId="6D1AFD94">
      <w:pPr>
        <w:pStyle w:val="25"/>
        <w:rPr>
          <w:rFonts w:hint="eastAsia" w:ascii="仿宋" w:hAnsi="仿宋" w:eastAsia="仿宋" w:cs="仿宋"/>
          <w:b/>
          <w:color w:val="auto"/>
          <w:kern w:val="0"/>
          <w:sz w:val="32"/>
          <w:szCs w:val="32"/>
          <w:highlight w:val="none"/>
          <w:lang w:val="zh-CN"/>
        </w:rPr>
      </w:pPr>
    </w:p>
    <w:p w14:paraId="282FD6AC">
      <w:pPr>
        <w:pStyle w:val="2"/>
        <w:rPr>
          <w:rFonts w:hint="eastAsia" w:ascii="仿宋" w:hAnsi="仿宋" w:eastAsia="仿宋" w:cs="仿宋"/>
          <w:b/>
          <w:color w:val="auto"/>
          <w:kern w:val="0"/>
          <w:sz w:val="32"/>
          <w:szCs w:val="32"/>
          <w:highlight w:val="none"/>
          <w:lang w:val="zh-CN"/>
        </w:rPr>
      </w:pPr>
    </w:p>
    <w:p w14:paraId="3F63DA2A">
      <w:pPr>
        <w:pStyle w:val="53"/>
        <w:rPr>
          <w:rFonts w:hint="eastAsia" w:ascii="仿宋" w:hAnsi="仿宋" w:eastAsia="仿宋" w:cs="仿宋"/>
          <w:b/>
          <w:color w:val="auto"/>
          <w:kern w:val="0"/>
          <w:sz w:val="32"/>
          <w:szCs w:val="32"/>
          <w:highlight w:val="none"/>
          <w:lang w:val="zh-CN"/>
        </w:rPr>
      </w:pPr>
    </w:p>
    <w:p w14:paraId="62111A81">
      <w:pPr>
        <w:rPr>
          <w:rFonts w:hint="eastAsia" w:ascii="仿宋" w:hAnsi="仿宋" w:eastAsia="仿宋" w:cs="仿宋"/>
          <w:b/>
          <w:color w:val="auto"/>
          <w:kern w:val="0"/>
          <w:sz w:val="32"/>
          <w:szCs w:val="32"/>
          <w:highlight w:val="none"/>
          <w:lang w:val="zh-CN"/>
        </w:rPr>
      </w:pPr>
    </w:p>
    <w:p w14:paraId="13CB3960">
      <w:pPr>
        <w:pStyle w:val="25"/>
        <w:rPr>
          <w:rFonts w:hint="eastAsia" w:ascii="仿宋" w:hAnsi="仿宋" w:eastAsia="仿宋" w:cs="仿宋"/>
          <w:b/>
          <w:color w:val="auto"/>
          <w:kern w:val="0"/>
          <w:sz w:val="32"/>
          <w:szCs w:val="32"/>
          <w:highlight w:val="none"/>
          <w:lang w:val="zh-CN"/>
        </w:rPr>
      </w:pPr>
    </w:p>
    <w:p w14:paraId="4503AC87">
      <w:pPr>
        <w:pStyle w:val="2"/>
        <w:rPr>
          <w:rFonts w:hint="eastAsia" w:ascii="仿宋" w:hAnsi="仿宋" w:eastAsia="仿宋" w:cs="仿宋"/>
          <w:b/>
          <w:color w:val="auto"/>
          <w:kern w:val="0"/>
          <w:sz w:val="32"/>
          <w:szCs w:val="32"/>
          <w:highlight w:val="none"/>
          <w:lang w:val="zh-CN"/>
        </w:rPr>
      </w:pPr>
    </w:p>
    <w:p w14:paraId="129BD78E">
      <w:pPr>
        <w:pStyle w:val="53"/>
        <w:rPr>
          <w:rFonts w:hint="eastAsia" w:ascii="仿宋" w:hAnsi="仿宋" w:eastAsia="仿宋" w:cs="仿宋"/>
          <w:b/>
          <w:color w:val="auto"/>
          <w:kern w:val="0"/>
          <w:sz w:val="32"/>
          <w:szCs w:val="32"/>
          <w:highlight w:val="none"/>
          <w:lang w:val="zh-CN"/>
        </w:rPr>
      </w:pPr>
    </w:p>
    <w:p w14:paraId="24BA2D5A">
      <w:pPr>
        <w:rPr>
          <w:rFonts w:hint="eastAsia" w:ascii="仿宋" w:hAnsi="仿宋" w:eastAsia="仿宋" w:cs="仿宋"/>
          <w:lang w:val="zh-CN"/>
        </w:rPr>
      </w:pPr>
    </w:p>
    <w:p w14:paraId="23964982">
      <w:pPr>
        <w:pStyle w:val="53"/>
        <w:rPr>
          <w:rFonts w:hint="eastAsia" w:ascii="仿宋" w:hAnsi="仿宋" w:eastAsia="仿宋" w:cs="仿宋"/>
          <w:lang w:val="zh-CN"/>
        </w:rPr>
      </w:pPr>
    </w:p>
    <w:p w14:paraId="76C37658">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0C90F65">
      <w:pPr>
        <w:autoSpaceDE w:val="0"/>
        <w:autoSpaceDN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w:t>
      </w:r>
    </w:p>
    <w:p w14:paraId="29768C40">
      <w:pPr>
        <w:autoSpaceDE w:val="0"/>
        <w:autoSpaceDN w:val="0"/>
        <w:spacing w:line="36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8"/>
          <w:szCs w:val="28"/>
          <w:highlight w:val="none"/>
        </w:rPr>
        <w:t>（适用于法定代表人、单位负责人或者自然人本人代表投标人参加投标）</w:t>
      </w:r>
    </w:p>
    <w:p w14:paraId="5F268D49">
      <w:pPr>
        <w:pStyle w:val="15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30E6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9" w:hRule="atLeast"/>
          <w:jc w:val="center"/>
        </w:trPr>
        <w:tc>
          <w:tcPr>
            <w:tcW w:w="8920" w:type="dxa"/>
          </w:tcPr>
          <w:p w14:paraId="7F9DBD0B">
            <w:pPr>
              <w:pStyle w:val="15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5BDE51E">
            <w:pPr>
              <w:pStyle w:val="151"/>
              <w:adjustRightInd w:val="0"/>
              <w:spacing w:line="360" w:lineRule="auto"/>
              <w:rPr>
                <w:rFonts w:hint="eastAsia" w:ascii="仿宋" w:hAnsi="仿宋" w:eastAsia="仿宋" w:cs="仿宋"/>
                <w:bCs/>
                <w:color w:val="auto"/>
                <w:sz w:val="24"/>
                <w:highlight w:val="none"/>
              </w:rPr>
            </w:pPr>
          </w:p>
        </w:tc>
      </w:tr>
    </w:tbl>
    <w:p w14:paraId="2831BD4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3697DC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8D529A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3AC8434">
      <w:pPr>
        <w:jc w:val="center"/>
        <w:rPr>
          <w:rFonts w:hint="eastAsia" w:ascii="仿宋" w:hAnsi="仿宋" w:eastAsia="仿宋" w:cs="仿宋"/>
          <w:b/>
          <w:color w:val="auto"/>
          <w:kern w:val="0"/>
          <w:sz w:val="32"/>
          <w:szCs w:val="32"/>
          <w:highlight w:val="none"/>
        </w:rPr>
      </w:pPr>
    </w:p>
    <w:p w14:paraId="5B5FAF22">
      <w:pPr>
        <w:jc w:val="center"/>
        <w:rPr>
          <w:rFonts w:hint="eastAsia" w:ascii="仿宋" w:hAnsi="仿宋" w:eastAsia="仿宋" w:cs="仿宋"/>
          <w:b/>
          <w:color w:val="auto"/>
          <w:kern w:val="0"/>
          <w:sz w:val="32"/>
          <w:szCs w:val="32"/>
          <w:highlight w:val="none"/>
        </w:rPr>
      </w:pPr>
    </w:p>
    <w:p w14:paraId="10A5EFBA">
      <w:pPr>
        <w:jc w:val="center"/>
        <w:rPr>
          <w:rFonts w:hint="eastAsia" w:ascii="仿宋" w:hAnsi="仿宋" w:eastAsia="仿宋" w:cs="仿宋"/>
          <w:b/>
          <w:color w:val="auto"/>
          <w:kern w:val="0"/>
          <w:sz w:val="32"/>
          <w:szCs w:val="32"/>
          <w:highlight w:val="none"/>
        </w:rPr>
      </w:pPr>
    </w:p>
    <w:p w14:paraId="303710A6">
      <w:pPr>
        <w:jc w:val="center"/>
        <w:rPr>
          <w:rFonts w:hint="eastAsia" w:ascii="仿宋" w:hAnsi="仿宋" w:eastAsia="仿宋" w:cs="仿宋"/>
          <w:b/>
          <w:color w:val="auto"/>
          <w:kern w:val="0"/>
          <w:sz w:val="32"/>
          <w:szCs w:val="32"/>
          <w:highlight w:val="none"/>
        </w:rPr>
      </w:pPr>
    </w:p>
    <w:p w14:paraId="39FC05F9">
      <w:pPr>
        <w:jc w:val="center"/>
        <w:rPr>
          <w:rFonts w:hint="eastAsia" w:ascii="仿宋" w:hAnsi="仿宋" w:eastAsia="仿宋" w:cs="仿宋"/>
          <w:b/>
          <w:color w:val="auto"/>
          <w:kern w:val="0"/>
          <w:sz w:val="32"/>
          <w:szCs w:val="32"/>
          <w:highlight w:val="none"/>
        </w:rPr>
      </w:pPr>
    </w:p>
    <w:p w14:paraId="7437F5D5">
      <w:pPr>
        <w:jc w:val="center"/>
        <w:rPr>
          <w:rFonts w:hint="eastAsia" w:ascii="仿宋" w:hAnsi="仿宋" w:eastAsia="仿宋" w:cs="仿宋"/>
          <w:b/>
          <w:color w:val="auto"/>
          <w:kern w:val="0"/>
          <w:sz w:val="32"/>
          <w:szCs w:val="32"/>
          <w:highlight w:val="none"/>
        </w:rPr>
      </w:pPr>
    </w:p>
    <w:p w14:paraId="3A39B67F">
      <w:pPr>
        <w:jc w:val="center"/>
        <w:rPr>
          <w:rFonts w:hint="eastAsia" w:ascii="仿宋" w:hAnsi="仿宋" w:eastAsia="仿宋" w:cs="仿宋"/>
          <w:b/>
          <w:color w:val="auto"/>
          <w:kern w:val="0"/>
          <w:sz w:val="32"/>
          <w:szCs w:val="32"/>
          <w:highlight w:val="none"/>
        </w:rPr>
      </w:pPr>
    </w:p>
    <w:p w14:paraId="328641EE">
      <w:pPr>
        <w:jc w:val="center"/>
        <w:rPr>
          <w:rFonts w:hint="eastAsia" w:ascii="仿宋" w:hAnsi="仿宋" w:eastAsia="仿宋" w:cs="仿宋"/>
          <w:b/>
          <w:color w:val="auto"/>
          <w:kern w:val="0"/>
          <w:sz w:val="32"/>
          <w:szCs w:val="32"/>
          <w:highlight w:val="none"/>
        </w:rPr>
      </w:pPr>
    </w:p>
    <w:p w14:paraId="292A71ED">
      <w:pPr>
        <w:jc w:val="center"/>
        <w:rPr>
          <w:rFonts w:hint="eastAsia" w:ascii="仿宋" w:hAnsi="仿宋" w:eastAsia="仿宋" w:cs="仿宋"/>
          <w:b/>
          <w:color w:val="auto"/>
          <w:kern w:val="0"/>
          <w:sz w:val="32"/>
          <w:szCs w:val="32"/>
          <w:highlight w:val="none"/>
        </w:rPr>
      </w:pPr>
    </w:p>
    <w:p w14:paraId="401E8F0B">
      <w:pPr>
        <w:jc w:val="center"/>
        <w:rPr>
          <w:rFonts w:hint="eastAsia" w:ascii="仿宋" w:hAnsi="仿宋" w:eastAsia="仿宋" w:cs="仿宋"/>
          <w:b/>
          <w:kern w:val="0"/>
          <w:sz w:val="32"/>
          <w:szCs w:val="32"/>
        </w:rPr>
      </w:pPr>
    </w:p>
    <w:p w14:paraId="69CFE451">
      <w:pPr>
        <w:jc w:val="center"/>
        <w:rPr>
          <w:rFonts w:hint="eastAsia" w:ascii="仿宋" w:hAnsi="仿宋" w:eastAsia="仿宋" w:cs="仿宋"/>
          <w:b/>
          <w:kern w:val="0"/>
          <w:sz w:val="32"/>
          <w:szCs w:val="32"/>
        </w:rPr>
      </w:pPr>
    </w:p>
    <w:p w14:paraId="5C38ED27">
      <w:pPr>
        <w:jc w:val="center"/>
        <w:rPr>
          <w:rFonts w:hint="eastAsia" w:ascii="仿宋" w:hAnsi="仿宋" w:eastAsia="仿宋" w:cs="仿宋"/>
          <w:b/>
          <w:kern w:val="0"/>
          <w:sz w:val="32"/>
          <w:szCs w:val="32"/>
        </w:rPr>
      </w:pPr>
    </w:p>
    <w:p w14:paraId="37A37964">
      <w:pPr>
        <w:jc w:val="center"/>
        <w:rPr>
          <w:rFonts w:hint="eastAsia" w:ascii="仿宋" w:hAnsi="仿宋" w:eastAsia="仿宋" w:cs="仿宋"/>
          <w:b/>
          <w:kern w:val="0"/>
          <w:sz w:val="32"/>
          <w:szCs w:val="32"/>
        </w:rPr>
      </w:pPr>
    </w:p>
    <w:p w14:paraId="4BF02556">
      <w:pPr>
        <w:jc w:val="center"/>
        <w:rPr>
          <w:rFonts w:hint="eastAsia" w:ascii="仿宋" w:hAnsi="仿宋" w:eastAsia="仿宋" w:cs="仿宋"/>
          <w:b/>
          <w:kern w:val="0"/>
          <w:sz w:val="32"/>
          <w:szCs w:val="32"/>
        </w:rPr>
      </w:pPr>
    </w:p>
    <w:p w14:paraId="7F2DA5AA">
      <w:pPr>
        <w:snapToGrid w:val="0"/>
        <w:spacing w:line="360" w:lineRule="auto"/>
        <w:ind w:right="480"/>
        <w:rPr>
          <w:rFonts w:hint="eastAsia" w:ascii="仿宋" w:hAnsi="仿宋" w:eastAsia="仿宋" w:cs="仿宋"/>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B90EEF5">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三、分包意向协议</w:t>
      </w:r>
      <w:r>
        <w:rPr>
          <w:rFonts w:hint="eastAsia" w:ascii="仿宋" w:hAnsi="仿宋" w:eastAsia="仿宋" w:cs="仿宋"/>
          <w:b/>
          <w:color w:val="FF0000"/>
          <w:kern w:val="0"/>
          <w:sz w:val="32"/>
          <w:szCs w:val="32"/>
          <w:lang w:val="zh-CN"/>
        </w:rPr>
        <w:t>（如果有）</w:t>
      </w:r>
    </w:p>
    <w:p w14:paraId="19EF3070">
      <w:pPr>
        <w:widowControl/>
        <w:spacing w:line="360" w:lineRule="auto"/>
        <w:ind w:firstLine="120" w:firstLineChars="50"/>
        <w:jc w:val="left"/>
        <w:rPr>
          <w:rFonts w:hint="eastAsia" w:ascii="仿宋" w:hAnsi="仿宋" w:eastAsia="仿宋" w:cs="仿宋"/>
          <w:sz w:val="24"/>
        </w:rPr>
      </w:pPr>
      <w:bookmarkStart w:id="548"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48"/>
    <w:p w14:paraId="52615A8F">
      <w:pPr>
        <w:rPr>
          <w:rFonts w:hint="eastAsia" w:ascii="仿宋" w:hAnsi="仿宋" w:eastAsia="仿宋" w:cs="仿宋"/>
        </w:rPr>
      </w:pPr>
    </w:p>
    <w:p w14:paraId="06F256DD">
      <w:pPr>
        <w:rPr>
          <w:rFonts w:hint="eastAsia" w:ascii="仿宋" w:hAnsi="仿宋" w:eastAsia="仿宋" w:cs="仿宋"/>
        </w:rPr>
      </w:pPr>
    </w:p>
    <w:p w14:paraId="7ED94910">
      <w:pPr>
        <w:rPr>
          <w:rFonts w:hint="eastAsia" w:ascii="仿宋" w:hAnsi="仿宋" w:eastAsia="仿宋" w:cs="仿宋"/>
        </w:rPr>
      </w:pPr>
    </w:p>
    <w:p w14:paraId="0F1D123A">
      <w:pPr>
        <w:rPr>
          <w:rFonts w:hint="eastAsia" w:ascii="仿宋" w:hAnsi="仿宋" w:eastAsia="仿宋" w:cs="仿宋"/>
        </w:rPr>
      </w:pPr>
    </w:p>
    <w:p w14:paraId="0997BD4E">
      <w:pPr>
        <w:rPr>
          <w:rFonts w:hint="eastAsia" w:ascii="仿宋" w:hAnsi="仿宋" w:eastAsia="仿宋" w:cs="仿宋"/>
        </w:rPr>
      </w:pPr>
    </w:p>
    <w:p w14:paraId="41969AB1">
      <w:pPr>
        <w:jc w:val="center"/>
        <w:rPr>
          <w:rFonts w:hint="eastAsia" w:ascii="仿宋" w:hAnsi="仿宋" w:eastAsia="仿宋" w:cs="仿宋"/>
          <w:b/>
          <w:kern w:val="0"/>
          <w:sz w:val="32"/>
          <w:szCs w:val="32"/>
        </w:rPr>
      </w:pPr>
    </w:p>
    <w:p w14:paraId="42BC35E1">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四、符合性审查资料</w:t>
      </w:r>
    </w:p>
    <w:p w14:paraId="35FE1041">
      <w:pPr>
        <w:jc w:val="center"/>
        <w:rPr>
          <w:rFonts w:hint="eastAsia"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C72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F534E6">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2707FDF3">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51CA4F0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48B54311">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3B6A946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2368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B08077">
            <w:pPr>
              <w:jc w:val="center"/>
              <w:rPr>
                <w:rFonts w:hint="eastAsia" w:ascii="仿宋" w:hAnsi="仿宋" w:eastAsia="仿宋" w:cs="仿宋"/>
                <w:sz w:val="24"/>
              </w:rPr>
            </w:pPr>
            <w:r>
              <w:rPr>
                <w:rFonts w:hint="eastAsia" w:ascii="仿宋" w:hAnsi="仿宋" w:eastAsia="仿宋" w:cs="仿宋"/>
                <w:sz w:val="24"/>
              </w:rPr>
              <w:t>1</w:t>
            </w:r>
          </w:p>
        </w:tc>
        <w:tc>
          <w:tcPr>
            <w:tcW w:w="4991" w:type="dxa"/>
          </w:tcPr>
          <w:p w14:paraId="693C392B">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02C0E6D1">
            <w:pPr>
              <w:jc w:val="cente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075C8BE3">
            <w:pPr>
              <w:jc w:val="center"/>
              <w:rPr>
                <w:rFonts w:hint="eastAsia" w:ascii="仿宋" w:hAnsi="仿宋" w:eastAsia="仿宋" w:cs="仿宋"/>
                <w:sz w:val="24"/>
              </w:rPr>
            </w:pPr>
          </w:p>
          <w:p w14:paraId="488EDBAD">
            <w:pPr>
              <w:jc w:val="center"/>
              <w:rPr>
                <w:rFonts w:hint="eastAsia" w:ascii="仿宋" w:hAnsi="仿宋" w:eastAsia="仿宋" w:cs="仿宋"/>
                <w:sz w:val="24"/>
              </w:rPr>
            </w:pPr>
            <w:r>
              <w:rPr>
                <w:rFonts w:hint="eastAsia" w:ascii="仿宋" w:hAnsi="仿宋" w:eastAsia="仿宋" w:cs="仿宋"/>
                <w:sz w:val="24"/>
              </w:rPr>
              <w:t>见投标文件</w:t>
            </w:r>
          </w:p>
          <w:p w14:paraId="2615207B">
            <w:pPr>
              <w:jc w:val="cente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F1A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8861CF">
            <w:pPr>
              <w:jc w:val="center"/>
              <w:rPr>
                <w:rFonts w:hint="eastAsia" w:ascii="仿宋" w:hAnsi="仿宋" w:eastAsia="仿宋" w:cs="仿宋"/>
                <w:sz w:val="24"/>
              </w:rPr>
            </w:pPr>
            <w:r>
              <w:rPr>
                <w:rFonts w:hint="eastAsia" w:ascii="仿宋" w:hAnsi="仿宋" w:eastAsia="仿宋" w:cs="仿宋"/>
                <w:sz w:val="24"/>
              </w:rPr>
              <w:t>2</w:t>
            </w:r>
          </w:p>
        </w:tc>
        <w:tc>
          <w:tcPr>
            <w:tcW w:w="4991" w:type="dxa"/>
          </w:tcPr>
          <w:p w14:paraId="4F59ABBF">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682E02B3">
            <w:pPr>
              <w:jc w:val="center"/>
              <w:rPr>
                <w:rFonts w:hint="eastAsia" w:ascii="仿宋" w:hAnsi="仿宋" w:eastAsia="仿宋" w:cs="仿宋"/>
                <w:sz w:val="24"/>
              </w:rPr>
            </w:pPr>
            <w:r>
              <w:rPr>
                <w:rFonts w:hint="eastAsia" w:ascii="仿宋" w:hAnsi="仿宋" w:eastAsia="仿宋" w:cs="仿宋"/>
                <w:sz w:val="24"/>
              </w:rPr>
              <w:t>投标函</w:t>
            </w:r>
          </w:p>
        </w:tc>
        <w:tc>
          <w:tcPr>
            <w:tcW w:w="1418" w:type="dxa"/>
            <w:vAlign w:val="center"/>
          </w:tcPr>
          <w:p w14:paraId="2B07AB5D">
            <w:pPr>
              <w:jc w:val="cente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6C0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4D2D4B">
            <w:pPr>
              <w:jc w:val="center"/>
              <w:rPr>
                <w:rFonts w:hint="eastAsia" w:ascii="仿宋" w:hAnsi="仿宋" w:eastAsia="仿宋" w:cs="仿宋"/>
                <w:sz w:val="24"/>
              </w:rPr>
            </w:pPr>
            <w:r>
              <w:rPr>
                <w:rFonts w:hint="eastAsia" w:ascii="仿宋" w:hAnsi="仿宋" w:eastAsia="仿宋" w:cs="仿宋"/>
                <w:sz w:val="24"/>
              </w:rPr>
              <w:t>3</w:t>
            </w:r>
          </w:p>
        </w:tc>
        <w:tc>
          <w:tcPr>
            <w:tcW w:w="4991" w:type="dxa"/>
          </w:tcPr>
          <w:p w14:paraId="5663D925">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3C854A72">
            <w:pPr>
              <w:jc w:val="cente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0C2A49A9">
            <w:pPr>
              <w:jc w:val="cente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5C45EA0D">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1B300F7">
      <w:pPr>
        <w:jc w:val="center"/>
        <w:rPr>
          <w:rFonts w:hint="eastAsia" w:ascii="仿宋" w:hAnsi="仿宋" w:eastAsia="仿宋" w:cs="仿宋"/>
          <w:b/>
          <w:kern w:val="0"/>
          <w:sz w:val="32"/>
          <w:szCs w:val="32"/>
        </w:rPr>
      </w:pPr>
    </w:p>
    <w:p w14:paraId="3C13848F">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4738315F">
      <w:pPr>
        <w:jc w:val="center"/>
        <w:rPr>
          <w:rFonts w:hint="eastAsia" w:ascii="仿宋" w:hAnsi="仿宋" w:eastAsia="仿宋" w:cs="仿宋"/>
          <w:b/>
          <w:kern w:val="0"/>
          <w:sz w:val="32"/>
          <w:szCs w:val="32"/>
        </w:rPr>
      </w:pPr>
    </w:p>
    <w:p w14:paraId="310B9A19">
      <w:pPr>
        <w:jc w:val="center"/>
        <w:rPr>
          <w:rFonts w:hint="eastAsia" w:ascii="仿宋" w:hAnsi="仿宋" w:eastAsia="仿宋" w:cs="仿宋"/>
          <w:b/>
          <w:kern w:val="0"/>
          <w:sz w:val="32"/>
          <w:szCs w:val="32"/>
        </w:rPr>
      </w:pPr>
    </w:p>
    <w:p w14:paraId="6DE3486B">
      <w:pPr>
        <w:jc w:val="center"/>
        <w:rPr>
          <w:rFonts w:hint="eastAsia" w:ascii="仿宋" w:hAnsi="仿宋" w:eastAsia="仿宋" w:cs="仿宋"/>
          <w:b/>
          <w:kern w:val="0"/>
          <w:sz w:val="32"/>
          <w:szCs w:val="32"/>
        </w:rPr>
      </w:pPr>
    </w:p>
    <w:p w14:paraId="5BF738EE">
      <w:pPr>
        <w:jc w:val="center"/>
        <w:rPr>
          <w:rFonts w:hint="eastAsia" w:ascii="仿宋" w:hAnsi="仿宋" w:eastAsia="仿宋" w:cs="仿宋"/>
          <w:b/>
          <w:kern w:val="0"/>
          <w:sz w:val="32"/>
          <w:szCs w:val="32"/>
        </w:rPr>
      </w:pPr>
    </w:p>
    <w:p w14:paraId="78F4FE81">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68EFD624">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五、评标标准相应的商务技术资料</w:t>
      </w:r>
    </w:p>
    <w:p w14:paraId="52DBF41D">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8D92D1F">
      <w:pPr>
        <w:jc w:val="center"/>
        <w:rPr>
          <w:rFonts w:hint="eastAsia" w:ascii="仿宋" w:hAnsi="仿宋" w:eastAsia="仿宋" w:cs="仿宋"/>
          <w:b/>
          <w:kern w:val="0"/>
          <w:sz w:val="32"/>
          <w:szCs w:val="32"/>
        </w:rPr>
      </w:pPr>
    </w:p>
    <w:p w14:paraId="5DE19DCF">
      <w:pPr>
        <w:jc w:val="center"/>
        <w:rPr>
          <w:rFonts w:hint="eastAsia" w:ascii="仿宋" w:hAnsi="仿宋" w:eastAsia="仿宋" w:cs="仿宋"/>
          <w:b/>
          <w:kern w:val="0"/>
          <w:sz w:val="32"/>
          <w:szCs w:val="32"/>
        </w:rPr>
      </w:pPr>
    </w:p>
    <w:p w14:paraId="5766D7DD">
      <w:pPr>
        <w:jc w:val="center"/>
        <w:rPr>
          <w:rFonts w:hint="eastAsia" w:ascii="仿宋" w:hAnsi="仿宋" w:eastAsia="仿宋" w:cs="仿宋"/>
          <w:b/>
          <w:kern w:val="0"/>
          <w:sz w:val="32"/>
          <w:szCs w:val="32"/>
        </w:rPr>
      </w:pPr>
    </w:p>
    <w:p w14:paraId="3E40C5E9">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B31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70683BF0">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vAlign w:val="center"/>
          </w:tcPr>
          <w:p w14:paraId="6CD61638">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Pr>
          <w:p w14:paraId="12A97957">
            <w:pPr>
              <w:spacing w:line="360" w:lineRule="auto"/>
              <w:jc w:val="center"/>
              <w:rPr>
                <w:rFonts w:hint="eastAsia" w:ascii="仿宋" w:hAnsi="仿宋" w:eastAsia="仿宋" w:cs="仿宋"/>
                <w:b/>
                <w:sz w:val="24"/>
              </w:rPr>
            </w:pPr>
          </w:p>
          <w:p w14:paraId="68FAE500">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vAlign w:val="center"/>
          </w:tcPr>
          <w:p w14:paraId="77604C46">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vAlign w:val="center"/>
          </w:tcPr>
          <w:p w14:paraId="57EC6D6D">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vAlign w:val="center"/>
          </w:tcPr>
          <w:p w14:paraId="62FEE719">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4357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19FC3756">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vAlign w:val="center"/>
          </w:tcPr>
          <w:p w14:paraId="2F14FEE7">
            <w:pPr>
              <w:snapToGrid w:val="0"/>
              <w:spacing w:line="360" w:lineRule="auto"/>
              <w:jc w:val="center"/>
              <w:rPr>
                <w:rFonts w:hint="eastAsia" w:ascii="仿宋" w:hAnsi="仿宋" w:eastAsia="仿宋" w:cs="仿宋"/>
                <w:sz w:val="24"/>
              </w:rPr>
            </w:pPr>
          </w:p>
        </w:tc>
        <w:tc>
          <w:tcPr>
            <w:tcW w:w="1114" w:type="dxa"/>
            <w:vAlign w:val="center"/>
          </w:tcPr>
          <w:p w14:paraId="14A1D28C">
            <w:pPr>
              <w:snapToGrid w:val="0"/>
              <w:spacing w:line="360" w:lineRule="auto"/>
              <w:jc w:val="center"/>
              <w:rPr>
                <w:rFonts w:hint="eastAsia" w:ascii="仿宋" w:hAnsi="仿宋" w:eastAsia="仿宋" w:cs="仿宋"/>
                <w:sz w:val="24"/>
              </w:rPr>
            </w:pPr>
          </w:p>
        </w:tc>
        <w:tc>
          <w:tcPr>
            <w:tcW w:w="1260" w:type="dxa"/>
            <w:vAlign w:val="center"/>
          </w:tcPr>
          <w:p w14:paraId="64C55915">
            <w:pPr>
              <w:snapToGrid w:val="0"/>
              <w:spacing w:line="360" w:lineRule="auto"/>
              <w:jc w:val="center"/>
              <w:rPr>
                <w:rFonts w:hint="eastAsia" w:ascii="仿宋" w:hAnsi="仿宋" w:eastAsia="仿宋" w:cs="仿宋"/>
                <w:sz w:val="24"/>
              </w:rPr>
            </w:pPr>
          </w:p>
        </w:tc>
        <w:tc>
          <w:tcPr>
            <w:tcW w:w="2775" w:type="dxa"/>
            <w:vAlign w:val="center"/>
          </w:tcPr>
          <w:p w14:paraId="58615CDD">
            <w:pPr>
              <w:spacing w:line="360" w:lineRule="auto"/>
              <w:jc w:val="center"/>
              <w:rPr>
                <w:rFonts w:hint="eastAsia" w:ascii="仿宋" w:hAnsi="仿宋" w:eastAsia="仿宋" w:cs="仿宋"/>
                <w:sz w:val="24"/>
              </w:rPr>
            </w:pPr>
          </w:p>
        </w:tc>
        <w:tc>
          <w:tcPr>
            <w:tcW w:w="1673" w:type="dxa"/>
            <w:vAlign w:val="center"/>
          </w:tcPr>
          <w:p w14:paraId="7A3D3B6C">
            <w:pPr>
              <w:spacing w:line="360" w:lineRule="auto"/>
              <w:jc w:val="center"/>
              <w:rPr>
                <w:rFonts w:hint="eastAsia" w:ascii="仿宋" w:hAnsi="仿宋" w:eastAsia="仿宋" w:cs="仿宋"/>
                <w:sz w:val="24"/>
              </w:rPr>
            </w:pPr>
          </w:p>
        </w:tc>
      </w:tr>
      <w:tr w14:paraId="0B9B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1BC2482C">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vAlign w:val="center"/>
          </w:tcPr>
          <w:p w14:paraId="636C5E27">
            <w:pPr>
              <w:snapToGrid w:val="0"/>
              <w:spacing w:line="360" w:lineRule="auto"/>
              <w:jc w:val="center"/>
              <w:rPr>
                <w:rFonts w:hint="eastAsia" w:ascii="仿宋" w:hAnsi="仿宋" w:eastAsia="仿宋" w:cs="仿宋"/>
                <w:sz w:val="24"/>
              </w:rPr>
            </w:pPr>
          </w:p>
        </w:tc>
        <w:tc>
          <w:tcPr>
            <w:tcW w:w="1114" w:type="dxa"/>
            <w:vAlign w:val="center"/>
          </w:tcPr>
          <w:p w14:paraId="78AB6382">
            <w:pPr>
              <w:snapToGrid w:val="0"/>
              <w:spacing w:line="360" w:lineRule="auto"/>
              <w:jc w:val="center"/>
              <w:rPr>
                <w:rFonts w:hint="eastAsia" w:ascii="仿宋" w:hAnsi="仿宋" w:eastAsia="仿宋" w:cs="仿宋"/>
                <w:sz w:val="24"/>
              </w:rPr>
            </w:pPr>
          </w:p>
        </w:tc>
        <w:tc>
          <w:tcPr>
            <w:tcW w:w="1260" w:type="dxa"/>
            <w:vAlign w:val="center"/>
          </w:tcPr>
          <w:p w14:paraId="70F9C2DE">
            <w:pPr>
              <w:snapToGrid w:val="0"/>
              <w:spacing w:line="360" w:lineRule="auto"/>
              <w:jc w:val="center"/>
              <w:rPr>
                <w:rFonts w:hint="eastAsia" w:ascii="仿宋" w:hAnsi="仿宋" w:eastAsia="仿宋" w:cs="仿宋"/>
                <w:sz w:val="24"/>
              </w:rPr>
            </w:pPr>
          </w:p>
        </w:tc>
        <w:tc>
          <w:tcPr>
            <w:tcW w:w="2775" w:type="dxa"/>
            <w:vAlign w:val="center"/>
          </w:tcPr>
          <w:p w14:paraId="10010184">
            <w:pPr>
              <w:spacing w:line="360" w:lineRule="auto"/>
              <w:jc w:val="center"/>
              <w:rPr>
                <w:rFonts w:hint="eastAsia" w:ascii="仿宋" w:hAnsi="仿宋" w:eastAsia="仿宋" w:cs="仿宋"/>
                <w:sz w:val="24"/>
              </w:rPr>
            </w:pPr>
          </w:p>
        </w:tc>
        <w:tc>
          <w:tcPr>
            <w:tcW w:w="1673" w:type="dxa"/>
            <w:vAlign w:val="center"/>
          </w:tcPr>
          <w:p w14:paraId="7A513EAB">
            <w:pPr>
              <w:spacing w:line="360" w:lineRule="auto"/>
              <w:jc w:val="center"/>
              <w:rPr>
                <w:rFonts w:hint="eastAsia" w:ascii="仿宋" w:hAnsi="仿宋" w:eastAsia="仿宋" w:cs="仿宋"/>
                <w:sz w:val="24"/>
              </w:rPr>
            </w:pPr>
          </w:p>
        </w:tc>
      </w:tr>
      <w:tr w14:paraId="1AAF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5395EF67">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vAlign w:val="center"/>
          </w:tcPr>
          <w:p w14:paraId="0EBCB2AE">
            <w:pPr>
              <w:snapToGrid w:val="0"/>
              <w:spacing w:line="360" w:lineRule="auto"/>
              <w:jc w:val="center"/>
              <w:rPr>
                <w:rFonts w:hint="eastAsia" w:ascii="仿宋" w:hAnsi="仿宋" w:eastAsia="仿宋" w:cs="仿宋"/>
                <w:sz w:val="24"/>
              </w:rPr>
            </w:pPr>
          </w:p>
        </w:tc>
        <w:tc>
          <w:tcPr>
            <w:tcW w:w="1114" w:type="dxa"/>
            <w:vAlign w:val="center"/>
          </w:tcPr>
          <w:p w14:paraId="7EC8CF3E">
            <w:pPr>
              <w:snapToGrid w:val="0"/>
              <w:spacing w:line="360" w:lineRule="auto"/>
              <w:jc w:val="center"/>
              <w:rPr>
                <w:rFonts w:hint="eastAsia" w:ascii="仿宋" w:hAnsi="仿宋" w:eastAsia="仿宋" w:cs="仿宋"/>
                <w:sz w:val="24"/>
              </w:rPr>
            </w:pPr>
          </w:p>
        </w:tc>
        <w:tc>
          <w:tcPr>
            <w:tcW w:w="1260" w:type="dxa"/>
            <w:vAlign w:val="center"/>
          </w:tcPr>
          <w:p w14:paraId="0D0AEDE3">
            <w:pPr>
              <w:snapToGrid w:val="0"/>
              <w:spacing w:line="360" w:lineRule="auto"/>
              <w:jc w:val="center"/>
              <w:rPr>
                <w:rFonts w:hint="eastAsia" w:ascii="仿宋" w:hAnsi="仿宋" w:eastAsia="仿宋" w:cs="仿宋"/>
                <w:sz w:val="24"/>
              </w:rPr>
            </w:pPr>
          </w:p>
        </w:tc>
        <w:tc>
          <w:tcPr>
            <w:tcW w:w="2775" w:type="dxa"/>
            <w:vAlign w:val="center"/>
          </w:tcPr>
          <w:p w14:paraId="7CE1D65E">
            <w:pPr>
              <w:spacing w:line="360" w:lineRule="auto"/>
              <w:jc w:val="center"/>
              <w:rPr>
                <w:rFonts w:hint="eastAsia" w:ascii="仿宋" w:hAnsi="仿宋" w:eastAsia="仿宋" w:cs="仿宋"/>
                <w:sz w:val="24"/>
              </w:rPr>
            </w:pPr>
          </w:p>
        </w:tc>
        <w:tc>
          <w:tcPr>
            <w:tcW w:w="1673" w:type="dxa"/>
            <w:vAlign w:val="center"/>
          </w:tcPr>
          <w:p w14:paraId="6634F1F2">
            <w:pPr>
              <w:spacing w:line="360" w:lineRule="auto"/>
              <w:jc w:val="center"/>
              <w:rPr>
                <w:rFonts w:hint="eastAsia" w:ascii="仿宋" w:hAnsi="仿宋" w:eastAsia="仿宋" w:cs="仿宋"/>
                <w:sz w:val="24"/>
              </w:rPr>
            </w:pPr>
          </w:p>
        </w:tc>
      </w:tr>
    </w:tbl>
    <w:p w14:paraId="54FABAB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A271B4E">
      <w:pPr>
        <w:jc w:val="center"/>
        <w:rPr>
          <w:rFonts w:hint="eastAsia" w:ascii="仿宋" w:hAnsi="仿宋" w:eastAsia="仿宋" w:cs="仿宋"/>
          <w:b/>
          <w:kern w:val="0"/>
          <w:sz w:val="32"/>
          <w:szCs w:val="32"/>
        </w:rPr>
      </w:pPr>
    </w:p>
    <w:p w14:paraId="75D2DF42">
      <w:pPr>
        <w:jc w:val="center"/>
        <w:rPr>
          <w:rFonts w:hint="eastAsia" w:ascii="仿宋" w:hAnsi="仿宋" w:eastAsia="仿宋" w:cs="仿宋"/>
          <w:b/>
          <w:kern w:val="0"/>
          <w:sz w:val="32"/>
          <w:szCs w:val="32"/>
        </w:rPr>
      </w:pPr>
    </w:p>
    <w:p w14:paraId="4E2B9941">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263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9B10F2">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7F6F8BE7">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503B5BB0">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6F0BE66F">
            <w:pPr>
              <w:jc w:val="center"/>
              <w:rPr>
                <w:rFonts w:hint="eastAsia" w:ascii="仿宋" w:hAnsi="仿宋" w:eastAsia="仿宋" w:cs="仿宋"/>
                <w:b/>
                <w:bCs/>
                <w:sz w:val="24"/>
              </w:rPr>
            </w:pPr>
            <w:r>
              <w:rPr>
                <w:rFonts w:hint="eastAsia" w:ascii="仿宋" w:hAnsi="仿宋" w:eastAsia="仿宋" w:cs="仿宋"/>
                <w:b/>
                <w:bCs/>
                <w:sz w:val="24"/>
              </w:rPr>
              <w:t>偏离说明</w:t>
            </w:r>
          </w:p>
        </w:tc>
      </w:tr>
      <w:tr w14:paraId="40BB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E34408">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633FFB58">
            <w:pPr>
              <w:jc w:val="center"/>
              <w:rPr>
                <w:rFonts w:hint="eastAsia" w:ascii="仿宋" w:hAnsi="仿宋" w:eastAsia="仿宋" w:cs="仿宋"/>
                <w:b/>
                <w:kern w:val="0"/>
                <w:sz w:val="32"/>
                <w:szCs w:val="32"/>
              </w:rPr>
            </w:pPr>
          </w:p>
        </w:tc>
        <w:tc>
          <w:tcPr>
            <w:tcW w:w="3546" w:type="dxa"/>
          </w:tcPr>
          <w:p w14:paraId="6F327443">
            <w:pPr>
              <w:jc w:val="center"/>
              <w:rPr>
                <w:rFonts w:hint="eastAsia" w:ascii="仿宋" w:hAnsi="仿宋" w:eastAsia="仿宋" w:cs="仿宋"/>
                <w:b/>
                <w:kern w:val="0"/>
                <w:sz w:val="32"/>
                <w:szCs w:val="32"/>
              </w:rPr>
            </w:pPr>
          </w:p>
        </w:tc>
        <w:tc>
          <w:tcPr>
            <w:tcW w:w="1276" w:type="dxa"/>
          </w:tcPr>
          <w:p w14:paraId="7610E8DC">
            <w:pPr>
              <w:jc w:val="center"/>
              <w:rPr>
                <w:rFonts w:hint="eastAsia" w:ascii="仿宋" w:hAnsi="仿宋" w:eastAsia="仿宋" w:cs="仿宋"/>
                <w:b/>
                <w:kern w:val="0"/>
                <w:sz w:val="32"/>
                <w:szCs w:val="32"/>
              </w:rPr>
            </w:pPr>
          </w:p>
        </w:tc>
      </w:tr>
      <w:tr w14:paraId="1312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04B458">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0B876050">
            <w:pPr>
              <w:jc w:val="center"/>
              <w:rPr>
                <w:rFonts w:hint="eastAsia" w:ascii="仿宋" w:hAnsi="仿宋" w:eastAsia="仿宋" w:cs="仿宋"/>
                <w:b/>
                <w:kern w:val="0"/>
                <w:sz w:val="32"/>
                <w:szCs w:val="32"/>
              </w:rPr>
            </w:pPr>
          </w:p>
        </w:tc>
        <w:tc>
          <w:tcPr>
            <w:tcW w:w="3546" w:type="dxa"/>
          </w:tcPr>
          <w:p w14:paraId="3C4227F9">
            <w:pPr>
              <w:jc w:val="center"/>
              <w:rPr>
                <w:rFonts w:hint="eastAsia" w:ascii="仿宋" w:hAnsi="仿宋" w:eastAsia="仿宋" w:cs="仿宋"/>
                <w:b/>
                <w:kern w:val="0"/>
                <w:sz w:val="32"/>
                <w:szCs w:val="32"/>
              </w:rPr>
            </w:pPr>
          </w:p>
        </w:tc>
        <w:tc>
          <w:tcPr>
            <w:tcW w:w="1276" w:type="dxa"/>
          </w:tcPr>
          <w:p w14:paraId="60EC228A">
            <w:pPr>
              <w:jc w:val="center"/>
              <w:rPr>
                <w:rFonts w:hint="eastAsia" w:ascii="仿宋" w:hAnsi="仿宋" w:eastAsia="仿宋" w:cs="仿宋"/>
                <w:b/>
                <w:kern w:val="0"/>
                <w:sz w:val="32"/>
                <w:szCs w:val="32"/>
              </w:rPr>
            </w:pPr>
          </w:p>
        </w:tc>
      </w:tr>
      <w:tr w14:paraId="5A6A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A61292">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7BA9BFE6">
            <w:pPr>
              <w:jc w:val="center"/>
              <w:rPr>
                <w:rFonts w:hint="eastAsia" w:ascii="仿宋" w:hAnsi="仿宋" w:eastAsia="仿宋" w:cs="仿宋"/>
                <w:b/>
                <w:kern w:val="0"/>
                <w:sz w:val="32"/>
                <w:szCs w:val="32"/>
              </w:rPr>
            </w:pPr>
          </w:p>
        </w:tc>
        <w:tc>
          <w:tcPr>
            <w:tcW w:w="3546" w:type="dxa"/>
          </w:tcPr>
          <w:p w14:paraId="24A9A832">
            <w:pPr>
              <w:jc w:val="center"/>
              <w:rPr>
                <w:rFonts w:hint="eastAsia" w:ascii="仿宋" w:hAnsi="仿宋" w:eastAsia="仿宋" w:cs="仿宋"/>
                <w:b/>
                <w:kern w:val="0"/>
                <w:sz w:val="32"/>
                <w:szCs w:val="32"/>
              </w:rPr>
            </w:pPr>
          </w:p>
        </w:tc>
        <w:tc>
          <w:tcPr>
            <w:tcW w:w="1276" w:type="dxa"/>
          </w:tcPr>
          <w:p w14:paraId="2F8A4CA9">
            <w:pPr>
              <w:jc w:val="center"/>
              <w:rPr>
                <w:rFonts w:hint="eastAsia" w:ascii="仿宋" w:hAnsi="仿宋" w:eastAsia="仿宋" w:cs="仿宋"/>
                <w:b/>
                <w:kern w:val="0"/>
                <w:sz w:val="32"/>
                <w:szCs w:val="32"/>
              </w:rPr>
            </w:pPr>
          </w:p>
        </w:tc>
      </w:tr>
    </w:tbl>
    <w:p w14:paraId="58F9ED44">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08A4911A">
      <w:pPr>
        <w:jc w:val="center"/>
        <w:rPr>
          <w:rFonts w:hint="eastAsia" w:ascii="仿宋" w:hAnsi="仿宋" w:eastAsia="仿宋" w:cs="仿宋"/>
          <w:b/>
          <w:kern w:val="0"/>
          <w:sz w:val="32"/>
          <w:szCs w:val="32"/>
        </w:rPr>
      </w:pPr>
    </w:p>
    <w:p w14:paraId="4938D392">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F380EB6">
      <w:pPr>
        <w:ind w:firstLine="1911" w:firstLineChars="595"/>
        <w:rPr>
          <w:rFonts w:hint="eastAsia" w:ascii="仿宋" w:hAnsi="仿宋" w:eastAsia="仿宋" w:cs="仿宋"/>
          <w:b/>
          <w:bCs/>
          <w:sz w:val="32"/>
          <w:szCs w:val="32"/>
        </w:rPr>
      </w:pPr>
    </w:p>
    <w:p w14:paraId="3296197B">
      <w:pPr>
        <w:ind w:firstLine="1911" w:firstLineChars="595"/>
        <w:rPr>
          <w:rFonts w:hint="eastAsia" w:ascii="仿宋" w:hAnsi="仿宋" w:eastAsia="仿宋" w:cs="仿宋"/>
          <w:b/>
          <w:bCs/>
          <w:sz w:val="32"/>
          <w:szCs w:val="32"/>
        </w:rPr>
      </w:pPr>
    </w:p>
    <w:p w14:paraId="5C6921DE">
      <w:pPr>
        <w:ind w:firstLine="1911" w:firstLineChars="595"/>
        <w:rPr>
          <w:rFonts w:hint="eastAsia" w:ascii="仿宋" w:hAnsi="仿宋" w:eastAsia="仿宋" w:cs="仿宋"/>
          <w:b/>
          <w:bCs/>
          <w:sz w:val="32"/>
          <w:szCs w:val="32"/>
        </w:rPr>
      </w:pPr>
    </w:p>
    <w:p w14:paraId="06A7BA5B">
      <w:pPr>
        <w:ind w:firstLine="1911" w:firstLineChars="595"/>
        <w:rPr>
          <w:rFonts w:hint="eastAsia" w:ascii="仿宋" w:hAnsi="仿宋" w:eastAsia="仿宋" w:cs="仿宋"/>
          <w:b/>
          <w:bCs/>
          <w:sz w:val="32"/>
          <w:szCs w:val="32"/>
        </w:rPr>
      </w:pPr>
    </w:p>
    <w:p w14:paraId="2C28BB6C">
      <w:pPr>
        <w:ind w:firstLine="1911" w:firstLineChars="595"/>
        <w:rPr>
          <w:rFonts w:hint="eastAsia" w:ascii="仿宋" w:hAnsi="仿宋" w:eastAsia="仿宋" w:cs="仿宋"/>
          <w:b/>
          <w:bCs/>
          <w:sz w:val="32"/>
          <w:szCs w:val="32"/>
        </w:rPr>
      </w:pPr>
    </w:p>
    <w:p w14:paraId="7E438B88">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54CE3AA0">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八、政府采购供应商廉洁自律承诺书</w:t>
      </w:r>
    </w:p>
    <w:p w14:paraId="58B6F8A8">
      <w:pPr>
        <w:snapToGrid w:val="0"/>
        <w:spacing w:line="360" w:lineRule="auto"/>
        <w:rPr>
          <w:rFonts w:hint="eastAsia" w:ascii="仿宋" w:hAnsi="仿宋" w:eastAsia="仿宋" w:cs="仿宋"/>
          <w:sz w:val="24"/>
        </w:rPr>
      </w:pPr>
    </w:p>
    <w:p w14:paraId="3E55E5DB">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B9894B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0CF906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D4450D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D2EB3C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C002C9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3452E20">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70E2B93">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31F8BA89">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59269207">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4F6FEFA">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707A57E">
      <w:pPr>
        <w:autoSpaceDE w:val="0"/>
        <w:autoSpaceDN w:val="0"/>
        <w:spacing w:line="360" w:lineRule="auto"/>
        <w:ind w:left="2"/>
        <w:jc w:val="left"/>
        <w:rPr>
          <w:rFonts w:hint="eastAsia" w:ascii="仿宋" w:hAnsi="仿宋" w:eastAsia="仿宋" w:cs="仿宋"/>
          <w:kern w:val="0"/>
          <w:sz w:val="24"/>
          <w:lang w:val="zh-CN"/>
        </w:rPr>
      </w:pPr>
    </w:p>
    <w:p w14:paraId="1F1D33C5">
      <w:pPr>
        <w:autoSpaceDE w:val="0"/>
        <w:autoSpaceDN w:val="0"/>
        <w:spacing w:line="360" w:lineRule="auto"/>
        <w:ind w:left="2"/>
        <w:jc w:val="left"/>
        <w:rPr>
          <w:rFonts w:hint="eastAsia" w:ascii="仿宋" w:hAnsi="仿宋" w:eastAsia="仿宋" w:cs="仿宋"/>
          <w:kern w:val="0"/>
          <w:sz w:val="24"/>
          <w:lang w:val="zh-CN"/>
        </w:rPr>
      </w:pPr>
    </w:p>
    <w:p w14:paraId="291510DB">
      <w:pPr>
        <w:autoSpaceDE w:val="0"/>
        <w:autoSpaceDN w:val="0"/>
        <w:spacing w:line="360" w:lineRule="auto"/>
        <w:ind w:left="2"/>
        <w:jc w:val="left"/>
        <w:rPr>
          <w:rFonts w:hint="eastAsia" w:ascii="仿宋" w:hAnsi="仿宋" w:eastAsia="仿宋" w:cs="仿宋"/>
          <w:kern w:val="0"/>
          <w:sz w:val="24"/>
          <w:lang w:val="zh-CN"/>
        </w:rPr>
      </w:pPr>
    </w:p>
    <w:p w14:paraId="56214F30">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DC3AA47">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8EB3383">
      <w:pPr>
        <w:spacing w:line="360" w:lineRule="auto"/>
        <w:jc w:val="center"/>
        <w:rPr>
          <w:rFonts w:hint="eastAsia" w:ascii="仿宋" w:hAnsi="仿宋" w:eastAsia="仿宋" w:cs="仿宋"/>
          <w:b/>
          <w:bCs/>
          <w:sz w:val="24"/>
        </w:rPr>
      </w:pPr>
    </w:p>
    <w:p w14:paraId="41BE39D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8E8A89F">
      <w:pPr>
        <w:spacing w:line="360" w:lineRule="auto"/>
        <w:jc w:val="center"/>
        <w:rPr>
          <w:rFonts w:hint="eastAsia"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5F22A1E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B9B7F8B">
      <w:pPr>
        <w:jc w:val="center"/>
        <w:rPr>
          <w:rFonts w:hint="eastAsia" w:ascii="仿宋" w:hAnsi="仿宋" w:eastAsia="仿宋" w:cs="仿宋"/>
        </w:rPr>
      </w:pPr>
      <w:r>
        <w:rPr>
          <w:rFonts w:hint="eastAsia" w:ascii="仿宋" w:hAnsi="仿宋" w:eastAsia="仿宋" w:cs="仿宋"/>
        </w:rPr>
        <w:t>目录</w:t>
      </w:r>
    </w:p>
    <w:p w14:paraId="2891661A">
      <w:pPr>
        <w:rPr>
          <w:rFonts w:hint="eastAsia" w:ascii="仿宋" w:hAnsi="仿宋" w:eastAsia="仿宋" w:cs="仿宋"/>
        </w:rPr>
      </w:pPr>
    </w:p>
    <w:p w14:paraId="2327CFB3">
      <w:pPr>
        <w:pStyle w:val="133"/>
        <w:ind w:firstLine="0" w:firstLineChars="0"/>
        <w:outlineLvl w:val="0"/>
        <w:rPr>
          <w:rFonts w:hint="eastAsia" w:ascii="仿宋" w:hAnsi="仿宋" w:eastAsia="仿宋" w:cs="仿宋"/>
        </w:rPr>
      </w:pPr>
      <w:r>
        <w:rPr>
          <w:rFonts w:hint="eastAsia" w:ascii="仿宋" w:hAnsi="仿宋" w:eastAsia="仿宋" w:cs="仿宋"/>
        </w:rPr>
        <w:t>（1）开标一览表（报价表）……………………………………………………（页码）</w:t>
      </w:r>
    </w:p>
    <w:p w14:paraId="7B57848B">
      <w:pPr>
        <w:pStyle w:val="133"/>
        <w:ind w:firstLine="0" w:firstLineChars="0"/>
        <w:outlineLvl w:val="0"/>
        <w:rPr>
          <w:rFonts w:hint="eastAsia" w:ascii="仿宋" w:hAnsi="仿宋" w:eastAsia="仿宋" w:cs="仿宋"/>
        </w:rPr>
      </w:pPr>
      <w:r>
        <w:rPr>
          <w:rFonts w:hint="eastAsia" w:ascii="仿宋" w:hAnsi="仿宋" w:eastAsia="仿宋" w:cs="仿宋"/>
        </w:rPr>
        <w:t>（2）中小企业声明函……………………………………………………………（页码）</w:t>
      </w:r>
    </w:p>
    <w:p w14:paraId="3228BE4E">
      <w:pPr>
        <w:snapToGrid w:val="0"/>
        <w:spacing w:line="360" w:lineRule="auto"/>
        <w:ind w:right="480"/>
        <w:jc w:val="center"/>
        <w:rPr>
          <w:rFonts w:hint="eastAsia" w:ascii="仿宋" w:hAnsi="仿宋" w:eastAsia="仿宋" w:cs="仿宋"/>
          <w:b/>
          <w:kern w:val="0"/>
          <w:sz w:val="32"/>
          <w:szCs w:val="32"/>
        </w:rPr>
      </w:pPr>
    </w:p>
    <w:p w14:paraId="5709FCBF">
      <w:pPr>
        <w:snapToGrid w:val="0"/>
        <w:spacing w:line="360" w:lineRule="auto"/>
        <w:ind w:right="480"/>
        <w:jc w:val="center"/>
        <w:rPr>
          <w:rFonts w:hint="eastAsia" w:ascii="仿宋" w:hAnsi="仿宋" w:eastAsia="仿宋" w:cs="仿宋"/>
          <w:b/>
          <w:kern w:val="0"/>
          <w:sz w:val="32"/>
          <w:szCs w:val="32"/>
        </w:rPr>
      </w:pPr>
    </w:p>
    <w:p w14:paraId="334156CF">
      <w:pPr>
        <w:snapToGrid w:val="0"/>
        <w:spacing w:line="360" w:lineRule="auto"/>
        <w:ind w:right="480"/>
        <w:jc w:val="center"/>
        <w:rPr>
          <w:rFonts w:hint="eastAsia" w:ascii="仿宋" w:hAnsi="仿宋" w:eastAsia="仿宋" w:cs="仿宋"/>
          <w:b/>
          <w:kern w:val="0"/>
          <w:sz w:val="32"/>
          <w:szCs w:val="32"/>
        </w:rPr>
      </w:pPr>
    </w:p>
    <w:p w14:paraId="313B2806">
      <w:pPr>
        <w:snapToGrid w:val="0"/>
        <w:spacing w:line="360" w:lineRule="auto"/>
        <w:ind w:right="480"/>
        <w:jc w:val="center"/>
        <w:rPr>
          <w:rFonts w:hint="eastAsia" w:ascii="仿宋" w:hAnsi="仿宋" w:eastAsia="仿宋" w:cs="仿宋"/>
          <w:b/>
          <w:kern w:val="0"/>
          <w:sz w:val="32"/>
          <w:szCs w:val="32"/>
        </w:rPr>
      </w:pPr>
    </w:p>
    <w:p w14:paraId="0A95D0C0">
      <w:pPr>
        <w:snapToGrid w:val="0"/>
        <w:spacing w:line="360" w:lineRule="auto"/>
        <w:ind w:right="480"/>
        <w:jc w:val="center"/>
        <w:rPr>
          <w:rFonts w:hint="eastAsia" w:ascii="仿宋" w:hAnsi="仿宋" w:eastAsia="仿宋" w:cs="仿宋"/>
          <w:b/>
          <w:kern w:val="0"/>
          <w:sz w:val="32"/>
          <w:szCs w:val="32"/>
        </w:rPr>
      </w:pPr>
    </w:p>
    <w:p w14:paraId="061B4FBB">
      <w:pPr>
        <w:snapToGrid w:val="0"/>
        <w:spacing w:line="360" w:lineRule="auto"/>
        <w:ind w:right="480"/>
        <w:jc w:val="center"/>
        <w:rPr>
          <w:rFonts w:hint="eastAsia" w:ascii="仿宋" w:hAnsi="仿宋" w:eastAsia="仿宋" w:cs="仿宋"/>
          <w:b/>
          <w:kern w:val="0"/>
          <w:sz w:val="32"/>
          <w:szCs w:val="32"/>
        </w:rPr>
      </w:pPr>
    </w:p>
    <w:p w14:paraId="3F057611">
      <w:pPr>
        <w:snapToGrid w:val="0"/>
        <w:spacing w:line="360" w:lineRule="auto"/>
        <w:ind w:right="480"/>
        <w:jc w:val="center"/>
        <w:rPr>
          <w:rFonts w:hint="eastAsia" w:ascii="仿宋" w:hAnsi="仿宋" w:eastAsia="仿宋" w:cs="仿宋"/>
          <w:b/>
          <w:kern w:val="0"/>
          <w:sz w:val="32"/>
          <w:szCs w:val="32"/>
        </w:rPr>
      </w:pPr>
    </w:p>
    <w:p w14:paraId="27D41EDB">
      <w:pPr>
        <w:snapToGrid w:val="0"/>
        <w:spacing w:line="360" w:lineRule="auto"/>
        <w:ind w:right="480"/>
        <w:jc w:val="center"/>
        <w:rPr>
          <w:rFonts w:hint="eastAsia" w:ascii="仿宋" w:hAnsi="仿宋" w:eastAsia="仿宋" w:cs="仿宋"/>
          <w:b/>
          <w:kern w:val="0"/>
          <w:sz w:val="32"/>
          <w:szCs w:val="32"/>
        </w:rPr>
      </w:pPr>
    </w:p>
    <w:p w14:paraId="385DAF88">
      <w:pPr>
        <w:snapToGrid w:val="0"/>
        <w:spacing w:line="360" w:lineRule="auto"/>
        <w:ind w:right="480"/>
        <w:jc w:val="center"/>
        <w:rPr>
          <w:rFonts w:hint="eastAsia" w:ascii="仿宋" w:hAnsi="仿宋" w:eastAsia="仿宋" w:cs="仿宋"/>
          <w:b/>
          <w:kern w:val="0"/>
          <w:sz w:val="32"/>
          <w:szCs w:val="32"/>
        </w:rPr>
      </w:pPr>
    </w:p>
    <w:p w14:paraId="5FA6B8BB">
      <w:pPr>
        <w:snapToGrid w:val="0"/>
        <w:spacing w:line="360" w:lineRule="auto"/>
        <w:ind w:right="480"/>
        <w:jc w:val="center"/>
        <w:rPr>
          <w:rFonts w:hint="eastAsia" w:ascii="仿宋" w:hAnsi="仿宋" w:eastAsia="仿宋" w:cs="仿宋"/>
          <w:b/>
          <w:kern w:val="0"/>
          <w:sz w:val="32"/>
          <w:szCs w:val="32"/>
        </w:rPr>
      </w:pPr>
    </w:p>
    <w:p w14:paraId="45D32364">
      <w:pPr>
        <w:snapToGrid w:val="0"/>
        <w:spacing w:line="360" w:lineRule="auto"/>
        <w:ind w:right="480"/>
        <w:jc w:val="center"/>
        <w:rPr>
          <w:rFonts w:hint="eastAsia" w:ascii="仿宋" w:hAnsi="仿宋" w:eastAsia="仿宋" w:cs="仿宋"/>
          <w:b/>
          <w:kern w:val="0"/>
          <w:sz w:val="32"/>
          <w:szCs w:val="32"/>
        </w:rPr>
      </w:pPr>
    </w:p>
    <w:p w14:paraId="60469CB5">
      <w:pPr>
        <w:snapToGrid w:val="0"/>
        <w:spacing w:line="360" w:lineRule="auto"/>
        <w:ind w:right="480"/>
        <w:jc w:val="center"/>
        <w:rPr>
          <w:rFonts w:hint="eastAsia" w:ascii="仿宋" w:hAnsi="仿宋" w:eastAsia="仿宋" w:cs="仿宋"/>
          <w:b/>
          <w:kern w:val="0"/>
          <w:sz w:val="32"/>
          <w:szCs w:val="32"/>
        </w:rPr>
      </w:pPr>
    </w:p>
    <w:p w14:paraId="0EA7B08B">
      <w:pPr>
        <w:snapToGrid w:val="0"/>
        <w:spacing w:line="360" w:lineRule="auto"/>
        <w:ind w:right="480"/>
        <w:jc w:val="center"/>
        <w:rPr>
          <w:rFonts w:hint="eastAsia" w:ascii="仿宋" w:hAnsi="仿宋" w:eastAsia="仿宋" w:cs="仿宋"/>
          <w:b/>
          <w:kern w:val="0"/>
          <w:sz w:val="32"/>
          <w:szCs w:val="32"/>
        </w:rPr>
      </w:pPr>
    </w:p>
    <w:p w14:paraId="1C5D2603">
      <w:pPr>
        <w:snapToGrid w:val="0"/>
        <w:spacing w:line="360" w:lineRule="auto"/>
        <w:ind w:right="480"/>
        <w:jc w:val="center"/>
        <w:rPr>
          <w:rFonts w:hint="eastAsia" w:ascii="仿宋" w:hAnsi="仿宋" w:eastAsia="仿宋" w:cs="仿宋"/>
          <w:b/>
          <w:kern w:val="0"/>
          <w:sz w:val="32"/>
          <w:szCs w:val="32"/>
        </w:rPr>
      </w:pPr>
    </w:p>
    <w:p w14:paraId="1A220689">
      <w:pPr>
        <w:snapToGrid w:val="0"/>
        <w:spacing w:line="360" w:lineRule="auto"/>
        <w:ind w:right="480"/>
        <w:jc w:val="center"/>
        <w:rPr>
          <w:rFonts w:hint="eastAsia" w:ascii="仿宋" w:hAnsi="仿宋" w:eastAsia="仿宋" w:cs="仿宋"/>
          <w:b/>
          <w:kern w:val="0"/>
          <w:sz w:val="32"/>
          <w:szCs w:val="32"/>
        </w:rPr>
      </w:pPr>
    </w:p>
    <w:p w14:paraId="21FD2D97">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62708DD1">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448B2273">
      <w:pPr>
        <w:pStyle w:val="695"/>
        <w:keepNext w:val="0"/>
        <w:pageBreakBefore w:val="0"/>
        <w:tabs>
          <w:tab w:val="clear" w:pos="720"/>
        </w:tabs>
        <w:snapToGrid w:val="0"/>
        <w:spacing w:before="120" w:after="120"/>
        <w:ind w:firstLine="643"/>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37CAC995">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87A3849">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143E79DB">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1417"/>
        <w:gridCol w:w="851"/>
        <w:gridCol w:w="992"/>
        <w:gridCol w:w="992"/>
        <w:gridCol w:w="1701"/>
      </w:tblGrid>
      <w:tr w14:paraId="7815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10" w:type="dxa"/>
            <w:vAlign w:val="center"/>
          </w:tcPr>
          <w:p w14:paraId="35FCD3FE">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0ACB640A">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701" w:type="dxa"/>
          </w:tcPr>
          <w:p w14:paraId="31BCFF81">
            <w:pPr>
              <w:spacing w:line="360" w:lineRule="auto"/>
              <w:jc w:val="center"/>
              <w:rPr>
                <w:rFonts w:hint="eastAsia" w:ascii="仿宋" w:hAnsi="仿宋" w:eastAsia="仿宋" w:cs="仿宋"/>
                <w:b/>
                <w:sz w:val="24"/>
              </w:rPr>
            </w:pPr>
          </w:p>
          <w:p w14:paraId="727923F9">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417" w:type="dxa"/>
            <w:vAlign w:val="center"/>
          </w:tcPr>
          <w:p w14:paraId="5588AA8D">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851" w:type="dxa"/>
            <w:vAlign w:val="center"/>
          </w:tcPr>
          <w:p w14:paraId="2F7112C4">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992" w:type="dxa"/>
            <w:vAlign w:val="center"/>
          </w:tcPr>
          <w:p w14:paraId="0A3BC81B">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992" w:type="dxa"/>
            <w:vAlign w:val="center"/>
          </w:tcPr>
          <w:p w14:paraId="134A659F">
            <w:pPr>
              <w:spacing w:line="360" w:lineRule="auto"/>
              <w:jc w:val="center"/>
              <w:rPr>
                <w:rFonts w:hint="eastAsia" w:ascii="仿宋" w:hAnsi="仿宋" w:eastAsia="仿宋" w:cs="仿宋"/>
                <w:b/>
                <w:sz w:val="24"/>
              </w:rPr>
            </w:pPr>
            <w:r>
              <w:rPr>
                <w:rFonts w:hint="eastAsia" w:ascii="仿宋" w:hAnsi="仿宋" w:eastAsia="仿宋" w:cs="仿宋"/>
                <w:b/>
                <w:sz w:val="24"/>
              </w:rPr>
              <w:t>合计</w:t>
            </w:r>
          </w:p>
        </w:tc>
        <w:tc>
          <w:tcPr>
            <w:tcW w:w="1701" w:type="dxa"/>
            <w:vAlign w:val="center"/>
          </w:tcPr>
          <w:p w14:paraId="5E7CE003">
            <w:pPr>
              <w:spacing w:line="360" w:lineRule="auto"/>
              <w:jc w:val="center"/>
              <w:rPr>
                <w:rFonts w:hint="eastAsia" w:ascii="仿宋" w:hAnsi="仿宋" w:eastAsia="仿宋" w:cs="仿宋"/>
                <w:b/>
                <w:sz w:val="24"/>
              </w:rPr>
            </w:pPr>
          </w:p>
          <w:p w14:paraId="61DD97D9">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7436DC38">
            <w:pPr>
              <w:spacing w:line="360" w:lineRule="auto"/>
              <w:jc w:val="center"/>
              <w:rPr>
                <w:rFonts w:hint="eastAsia" w:ascii="仿宋" w:hAnsi="仿宋" w:eastAsia="仿宋" w:cs="仿宋"/>
                <w:b/>
                <w:sz w:val="24"/>
              </w:rPr>
            </w:pPr>
          </w:p>
        </w:tc>
      </w:tr>
      <w:tr w14:paraId="7D08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vAlign w:val="center"/>
          </w:tcPr>
          <w:p w14:paraId="65216621">
            <w:pPr>
              <w:spacing w:line="360" w:lineRule="auto"/>
              <w:jc w:val="center"/>
              <w:rPr>
                <w:rFonts w:hint="eastAsia" w:ascii="仿宋" w:hAnsi="仿宋" w:eastAsia="仿宋" w:cs="仿宋"/>
                <w:color w:val="0000FF"/>
                <w:sz w:val="24"/>
              </w:rPr>
            </w:pPr>
          </w:p>
        </w:tc>
        <w:tc>
          <w:tcPr>
            <w:tcW w:w="992" w:type="dxa"/>
            <w:vAlign w:val="center"/>
          </w:tcPr>
          <w:p w14:paraId="5B7A2A13">
            <w:pPr>
              <w:snapToGrid w:val="0"/>
              <w:spacing w:line="360" w:lineRule="auto"/>
              <w:jc w:val="center"/>
              <w:rPr>
                <w:rFonts w:hint="eastAsia" w:ascii="仿宋" w:hAnsi="仿宋" w:eastAsia="仿宋" w:cs="仿宋"/>
                <w:color w:val="0000FF"/>
                <w:sz w:val="24"/>
              </w:rPr>
            </w:pPr>
          </w:p>
        </w:tc>
        <w:tc>
          <w:tcPr>
            <w:tcW w:w="1701" w:type="dxa"/>
            <w:vAlign w:val="center"/>
          </w:tcPr>
          <w:p w14:paraId="38935C64">
            <w:pPr>
              <w:snapToGrid w:val="0"/>
              <w:spacing w:line="360" w:lineRule="auto"/>
              <w:jc w:val="center"/>
              <w:rPr>
                <w:rFonts w:hint="eastAsia" w:ascii="仿宋" w:hAnsi="仿宋" w:eastAsia="仿宋" w:cs="仿宋"/>
                <w:color w:val="0000FF"/>
                <w:sz w:val="24"/>
              </w:rPr>
            </w:pPr>
          </w:p>
        </w:tc>
        <w:tc>
          <w:tcPr>
            <w:tcW w:w="1417" w:type="dxa"/>
            <w:vAlign w:val="center"/>
          </w:tcPr>
          <w:p w14:paraId="11B44EF2">
            <w:pPr>
              <w:snapToGrid w:val="0"/>
              <w:spacing w:line="360" w:lineRule="auto"/>
              <w:jc w:val="center"/>
              <w:rPr>
                <w:rFonts w:hint="eastAsia" w:ascii="仿宋" w:hAnsi="仿宋" w:eastAsia="仿宋" w:cs="仿宋"/>
                <w:color w:val="0000FF"/>
                <w:sz w:val="24"/>
              </w:rPr>
            </w:pPr>
          </w:p>
        </w:tc>
        <w:tc>
          <w:tcPr>
            <w:tcW w:w="851" w:type="dxa"/>
            <w:vAlign w:val="center"/>
          </w:tcPr>
          <w:p w14:paraId="69D01BF5">
            <w:pPr>
              <w:snapToGrid w:val="0"/>
              <w:spacing w:line="360" w:lineRule="auto"/>
              <w:jc w:val="center"/>
              <w:rPr>
                <w:rFonts w:hint="eastAsia" w:ascii="仿宋" w:hAnsi="仿宋" w:eastAsia="仿宋" w:cs="仿宋"/>
                <w:color w:val="0000FF"/>
                <w:sz w:val="24"/>
              </w:rPr>
            </w:pPr>
          </w:p>
        </w:tc>
        <w:tc>
          <w:tcPr>
            <w:tcW w:w="992" w:type="dxa"/>
            <w:vAlign w:val="center"/>
          </w:tcPr>
          <w:p w14:paraId="33B780C1">
            <w:pPr>
              <w:spacing w:line="360" w:lineRule="auto"/>
              <w:jc w:val="center"/>
              <w:rPr>
                <w:rFonts w:hint="eastAsia" w:ascii="仿宋" w:hAnsi="仿宋" w:eastAsia="仿宋" w:cs="仿宋"/>
                <w:color w:val="0000FF"/>
                <w:sz w:val="24"/>
              </w:rPr>
            </w:pPr>
          </w:p>
        </w:tc>
        <w:tc>
          <w:tcPr>
            <w:tcW w:w="992" w:type="dxa"/>
            <w:vAlign w:val="center"/>
          </w:tcPr>
          <w:p w14:paraId="48936CB7">
            <w:pPr>
              <w:spacing w:line="360" w:lineRule="auto"/>
              <w:jc w:val="center"/>
              <w:rPr>
                <w:rFonts w:hint="eastAsia" w:ascii="仿宋" w:hAnsi="仿宋" w:eastAsia="仿宋" w:cs="仿宋"/>
                <w:color w:val="0000FF"/>
                <w:sz w:val="24"/>
              </w:rPr>
            </w:pPr>
          </w:p>
        </w:tc>
        <w:tc>
          <w:tcPr>
            <w:tcW w:w="1701" w:type="dxa"/>
            <w:vAlign w:val="center"/>
          </w:tcPr>
          <w:p w14:paraId="17EB376B">
            <w:pPr>
              <w:spacing w:line="360" w:lineRule="auto"/>
              <w:jc w:val="center"/>
              <w:rPr>
                <w:rFonts w:hint="eastAsia" w:ascii="仿宋" w:hAnsi="仿宋" w:eastAsia="仿宋" w:cs="仿宋"/>
                <w:color w:val="0000FF"/>
                <w:sz w:val="24"/>
              </w:rPr>
            </w:pPr>
          </w:p>
        </w:tc>
      </w:tr>
      <w:tr w14:paraId="577A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6BBD71E2">
            <w:pPr>
              <w:spacing w:line="360" w:lineRule="auto"/>
              <w:jc w:val="center"/>
              <w:rPr>
                <w:rFonts w:hint="eastAsia" w:ascii="仿宋" w:hAnsi="仿宋" w:eastAsia="仿宋" w:cs="仿宋"/>
                <w:color w:val="0000FF"/>
                <w:sz w:val="24"/>
              </w:rPr>
            </w:pPr>
          </w:p>
        </w:tc>
        <w:tc>
          <w:tcPr>
            <w:tcW w:w="992" w:type="dxa"/>
            <w:vAlign w:val="center"/>
          </w:tcPr>
          <w:p w14:paraId="7ACB24E0">
            <w:pPr>
              <w:snapToGrid w:val="0"/>
              <w:spacing w:line="360" w:lineRule="auto"/>
              <w:jc w:val="center"/>
              <w:rPr>
                <w:rFonts w:hint="eastAsia" w:ascii="仿宋" w:hAnsi="仿宋" w:eastAsia="仿宋" w:cs="仿宋"/>
                <w:color w:val="0000FF"/>
                <w:sz w:val="24"/>
              </w:rPr>
            </w:pPr>
          </w:p>
        </w:tc>
        <w:tc>
          <w:tcPr>
            <w:tcW w:w="1701" w:type="dxa"/>
            <w:vAlign w:val="center"/>
          </w:tcPr>
          <w:p w14:paraId="3ADD2080">
            <w:pPr>
              <w:snapToGrid w:val="0"/>
              <w:spacing w:line="360" w:lineRule="auto"/>
              <w:jc w:val="center"/>
              <w:rPr>
                <w:rFonts w:hint="eastAsia" w:ascii="仿宋" w:hAnsi="仿宋" w:eastAsia="仿宋" w:cs="仿宋"/>
                <w:color w:val="0000FF"/>
                <w:sz w:val="24"/>
              </w:rPr>
            </w:pPr>
          </w:p>
        </w:tc>
        <w:tc>
          <w:tcPr>
            <w:tcW w:w="1417" w:type="dxa"/>
            <w:vAlign w:val="center"/>
          </w:tcPr>
          <w:p w14:paraId="4540CA62">
            <w:pPr>
              <w:snapToGrid w:val="0"/>
              <w:spacing w:line="360" w:lineRule="auto"/>
              <w:jc w:val="center"/>
              <w:rPr>
                <w:rFonts w:hint="eastAsia" w:ascii="仿宋" w:hAnsi="仿宋" w:eastAsia="仿宋" w:cs="仿宋"/>
                <w:color w:val="0000FF"/>
                <w:sz w:val="24"/>
              </w:rPr>
            </w:pPr>
          </w:p>
        </w:tc>
        <w:tc>
          <w:tcPr>
            <w:tcW w:w="851" w:type="dxa"/>
            <w:vAlign w:val="center"/>
          </w:tcPr>
          <w:p w14:paraId="459ADBA5">
            <w:pPr>
              <w:snapToGrid w:val="0"/>
              <w:spacing w:line="360" w:lineRule="auto"/>
              <w:jc w:val="center"/>
              <w:rPr>
                <w:rFonts w:hint="eastAsia" w:ascii="仿宋" w:hAnsi="仿宋" w:eastAsia="仿宋" w:cs="仿宋"/>
                <w:color w:val="0000FF"/>
                <w:sz w:val="24"/>
              </w:rPr>
            </w:pPr>
          </w:p>
        </w:tc>
        <w:tc>
          <w:tcPr>
            <w:tcW w:w="992" w:type="dxa"/>
            <w:vAlign w:val="center"/>
          </w:tcPr>
          <w:p w14:paraId="345F91B0">
            <w:pPr>
              <w:spacing w:line="360" w:lineRule="auto"/>
              <w:jc w:val="center"/>
              <w:rPr>
                <w:rFonts w:hint="eastAsia" w:ascii="仿宋" w:hAnsi="仿宋" w:eastAsia="仿宋" w:cs="仿宋"/>
                <w:color w:val="0000FF"/>
                <w:sz w:val="24"/>
              </w:rPr>
            </w:pPr>
          </w:p>
        </w:tc>
        <w:tc>
          <w:tcPr>
            <w:tcW w:w="992" w:type="dxa"/>
            <w:vAlign w:val="center"/>
          </w:tcPr>
          <w:p w14:paraId="0F5E2148">
            <w:pPr>
              <w:spacing w:line="360" w:lineRule="auto"/>
              <w:jc w:val="center"/>
              <w:rPr>
                <w:rFonts w:hint="eastAsia" w:ascii="仿宋" w:hAnsi="仿宋" w:eastAsia="仿宋" w:cs="仿宋"/>
                <w:color w:val="0000FF"/>
                <w:sz w:val="24"/>
              </w:rPr>
            </w:pPr>
          </w:p>
        </w:tc>
        <w:tc>
          <w:tcPr>
            <w:tcW w:w="1701" w:type="dxa"/>
            <w:vAlign w:val="center"/>
          </w:tcPr>
          <w:p w14:paraId="5E116D9F">
            <w:pPr>
              <w:spacing w:line="360" w:lineRule="auto"/>
              <w:jc w:val="center"/>
              <w:rPr>
                <w:rFonts w:hint="eastAsia" w:ascii="仿宋" w:hAnsi="仿宋" w:eastAsia="仿宋" w:cs="仿宋"/>
                <w:color w:val="0000FF"/>
                <w:sz w:val="24"/>
              </w:rPr>
            </w:pPr>
          </w:p>
        </w:tc>
      </w:tr>
      <w:tr w14:paraId="1DF0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03AF4C9C">
            <w:pPr>
              <w:spacing w:line="360" w:lineRule="auto"/>
              <w:jc w:val="center"/>
              <w:rPr>
                <w:rFonts w:hint="eastAsia" w:ascii="仿宋" w:hAnsi="仿宋" w:eastAsia="仿宋" w:cs="仿宋"/>
                <w:color w:val="0000FF"/>
                <w:sz w:val="24"/>
              </w:rPr>
            </w:pPr>
          </w:p>
        </w:tc>
        <w:tc>
          <w:tcPr>
            <w:tcW w:w="992" w:type="dxa"/>
            <w:vAlign w:val="center"/>
          </w:tcPr>
          <w:p w14:paraId="2C9E5C18">
            <w:pPr>
              <w:snapToGrid w:val="0"/>
              <w:spacing w:line="360" w:lineRule="auto"/>
              <w:jc w:val="center"/>
              <w:rPr>
                <w:rFonts w:hint="eastAsia" w:ascii="仿宋" w:hAnsi="仿宋" w:eastAsia="仿宋" w:cs="仿宋"/>
                <w:color w:val="0000FF"/>
                <w:sz w:val="24"/>
              </w:rPr>
            </w:pPr>
          </w:p>
        </w:tc>
        <w:tc>
          <w:tcPr>
            <w:tcW w:w="1701" w:type="dxa"/>
            <w:vAlign w:val="center"/>
          </w:tcPr>
          <w:p w14:paraId="49EED0D0">
            <w:pPr>
              <w:snapToGrid w:val="0"/>
              <w:spacing w:line="360" w:lineRule="auto"/>
              <w:jc w:val="center"/>
              <w:rPr>
                <w:rFonts w:hint="eastAsia" w:ascii="仿宋" w:hAnsi="仿宋" w:eastAsia="仿宋" w:cs="仿宋"/>
                <w:color w:val="0000FF"/>
                <w:sz w:val="24"/>
              </w:rPr>
            </w:pPr>
          </w:p>
        </w:tc>
        <w:tc>
          <w:tcPr>
            <w:tcW w:w="1417" w:type="dxa"/>
            <w:vAlign w:val="center"/>
          </w:tcPr>
          <w:p w14:paraId="5999F494">
            <w:pPr>
              <w:snapToGrid w:val="0"/>
              <w:spacing w:line="360" w:lineRule="auto"/>
              <w:jc w:val="center"/>
              <w:rPr>
                <w:rFonts w:hint="eastAsia" w:ascii="仿宋" w:hAnsi="仿宋" w:eastAsia="仿宋" w:cs="仿宋"/>
                <w:color w:val="0000FF"/>
                <w:sz w:val="24"/>
              </w:rPr>
            </w:pPr>
          </w:p>
        </w:tc>
        <w:tc>
          <w:tcPr>
            <w:tcW w:w="851" w:type="dxa"/>
            <w:vAlign w:val="center"/>
          </w:tcPr>
          <w:p w14:paraId="3A635E96">
            <w:pPr>
              <w:snapToGrid w:val="0"/>
              <w:spacing w:line="360" w:lineRule="auto"/>
              <w:jc w:val="center"/>
              <w:rPr>
                <w:rFonts w:hint="eastAsia" w:ascii="仿宋" w:hAnsi="仿宋" w:eastAsia="仿宋" w:cs="仿宋"/>
                <w:color w:val="0000FF"/>
                <w:sz w:val="24"/>
              </w:rPr>
            </w:pPr>
          </w:p>
        </w:tc>
        <w:tc>
          <w:tcPr>
            <w:tcW w:w="992" w:type="dxa"/>
            <w:vAlign w:val="center"/>
          </w:tcPr>
          <w:p w14:paraId="644AA053">
            <w:pPr>
              <w:spacing w:line="360" w:lineRule="auto"/>
              <w:jc w:val="center"/>
              <w:rPr>
                <w:rFonts w:hint="eastAsia" w:ascii="仿宋" w:hAnsi="仿宋" w:eastAsia="仿宋" w:cs="仿宋"/>
                <w:color w:val="0000FF"/>
                <w:sz w:val="24"/>
              </w:rPr>
            </w:pPr>
          </w:p>
        </w:tc>
        <w:tc>
          <w:tcPr>
            <w:tcW w:w="992" w:type="dxa"/>
            <w:vAlign w:val="center"/>
          </w:tcPr>
          <w:p w14:paraId="3D54996E">
            <w:pPr>
              <w:spacing w:line="360" w:lineRule="auto"/>
              <w:jc w:val="center"/>
              <w:rPr>
                <w:rFonts w:hint="eastAsia" w:ascii="仿宋" w:hAnsi="仿宋" w:eastAsia="仿宋" w:cs="仿宋"/>
                <w:color w:val="0000FF"/>
                <w:sz w:val="24"/>
              </w:rPr>
            </w:pPr>
          </w:p>
        </w:tc>
        <w:tc>
          <w:tcPr>
            <w:tcW w:w="1701" w:type="dxa"/>
            <w:vAlign w:val="center"/>
          </w:tcPr>
          <w:p w14:paraId="460A7CA0">
            <w:pPr>
              <w:spacing w:line="360" w:lineRule="auto"/>
              <w:jc w:val="center"/>
              <w:rPr>
                <w:rFonts w:hint="eastAsia" w:ascii="仿宋" w:hAnsi="仿宋" w:eastAsia="仿宋" w:cs="仿宋"/>
                <w:color w:val="0000FF"/>
                <w:sz w:val="24"/>
              </w:rPr>
            </w:pPr>
          </w:p>
        </w:tc>
      </w:tr>
      <w:tr w14:paraId="4816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0C448297">
            <w:pPr>
              <w:spacing w:line="360" w:lineRule="auto"/>
              <w:jc w:val="center"/>
              <w:rPr>
                <w:rFonts w:hint="eastAsia" w:ascii="仿宋" w:hAnsi="仿宋" w:eastAsia="仿宋" w:cs="仿宋"/>
                <w:sz w:val="24"/>
              </w:rPr>
            </w:pPr>
          </w:p>
        </w:tc>
        <w:tc>
          <w:tcPr>
            <w:tcW w:w="992" w:type="dxa"/>
            <w:vAlign w:val="center"/>
          </w:tcPr>
          <w:p w14:paraId="56ABF9D9">
            <w:pPr>
              <w:snapToGrid w:val="0"/>
              <w:spacing w:line="360" w:lineRule="auto"/>
              <w:jc w:val="center"/>
              <w:rPr>
                <w:rFonts w:hint="eastAsia" w:ascii="仿宋" w:hAnsi="仿宋" w:eastAsia="仿宋" w:cs="仿宋"/>
                <w:sz w:val="24"/>
              </w:rPr>
            </w:pPr>
          </w:p>
        </w:tc>
        <w:tc>
          <w:tcPr>
            <w:tcW w:w="1701" w:type="dxa"/>
            <w:vAlign w:val="center"/>
          </w:tcPr>
          <w:p w14:paraId="1FD3B28C">
            <w:pPr>
              <w:snapToGrid w:val="0"/>
              <w:spacing w:line="360" w:lineRule="auto"/>
              <w:jc w:val="center"/>
              <w:rPr>
                <w:rFonts w:hint="eastAsia" w:ascii="仿宋" w:hAnsi="仿宋" w:eastAsia="仿宋" w:cs="仿宋"/>
                <w:sz w:val="24"/>
              </w:rPr>
            </w:pPr>
          </w:p>
        </w:tc>
        <w:tc>
          <w:tcPr>
            <w:tcW w:w="1417" w:type="dxa"/>
            <w:vAlign w:val="center"/>
          </w:tcPr>
          <w:p w14:paraId="254D5203">
            <w:pPr>
              <w:snapToGrid w:val="0"/>
              <w:spacing w:line="360" w:lineRule="auto"/>
              <w:jc w:val="center"/>
              <w:rPr>
                <w:rFonts w:hint="eastAsia" w:ascii="仿宋" w:hAnsi="仿宋" w:eastAsia="仿宋" w:cs="仿宋"/>
                <w:sz w:val="24"/>
              </w:rPr>
            </w:pPr>
          </w:p>
        </w:tc>
        <w:tc>
          <w:tcPr>
            <w:tcW w:w="851" w:type="dxa"/>
            <w:vAlign w:val="center"/>
          </w:tcPr>
          <w:p w14:paraId="461611EE">
            <w:pPr>
              <w:snapToGrid w:val="0"/>
              <w:spacing w:line="360" w:lineRule="auto"/>
              <w:jc w:val="center"/>
              <w:rPr>
                <w:rFonts w:hint="eastAsia" w:ascii="仿宋" w:hAnsi="仿宋" w:eastAsia="仿宋" w:cs="仿宋"/>
                <w:sz w:val="24"/>
              </w:rPr>
            </w:pPr>
          </w:p>
        </w:tc>
        <w:tc>
          <w:tcPr>
            <w:tcW w:w="992" w:type="dxa"/>
            <w:vAlign w:val="center"/>
          </w:tcPr>
          <w:p w14:paraId="2A6AAD30">
            <w:pPr>
              <w:spacing w:line="360" w:lineRule="auto"/>
              <w:jc w:val="center"/>
              <w:rPr>
                <w:rFonts w:hint="eastAsia" w:ascii="仿宋" w:hAnsi="仿宋" w:eastAsia="仿宋" w:cs="仿宋"/>
                <w:sz w:val="24"/>
              </w:rPr>
            </w:pPr>
          </w:p>
        </w:tc>
        <w:tc>
          <w:tcPr>
            <w:tcW w:w="992" w:type="dxa"/>
            <w:vAlign w:val="center"/>
          </w:tcPr>
          <w:p w14:paraId="3C850DD6">
            <w:pPr>
              <w:spacing w:line="360" w:lineRule="auto"/>
              <w:jc w:val="center"/>
              <w:rPr>
                <w:rFonts w:hint="eastAsia" w:ascii="仿宋" w:hAnsi="仿宋" w:eastAsia="仿宋" w:cs="仿宋"/>
                <w:sz w:val="24"/>
              </w:rPr>
            </w:pPr>
          </w:p>
        </w:tc>
        <w:tc>
          <w:tcPr>
            <w:tcW w:w="1701" w:type="dxa"/>
            <w:vAlign w:val="center"/>
          </w:tcPr>
          <w:p w14:paraId="31C6CCF5">
            <w:pPr>
              <w:spacing w:line="360" w:lineRule="auto"/>
              <w:jc w:val="center"/>
              <w:rPr>
                <w:rFonts w:hint="eastAsia" w:ascii="仿宋" w:hAnsi="仿宋" w:eastAsia="仿宋" w:cs="仿宋"/>
                <w:sz w:val="24"/>
              </w:rPr>
            </w:pPr>
          </w:p>
        </w:tc>
      </w:tr>
      <w:tr w14:paraId="6740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5F6F6523">
            <w:pPr>
              <w:spacing w:line="360" w:lineRule="auto"/>
              <w:jc w:val="center"/>
              <w:rPr>
                <w:rFonts w:hint="eastAsia" w:ascii="仿宋" w:hAnsi="仿宋" w:eastAsia="仿宋" w:cs="仿宋"/>
                <w:sz w:val="24"/>
              </w:rPr>
            </w:pPr>
          </w:p>
        </w:tc>
        <w:tc>
          <w:tcPr>
            <w:tcW w:w="992" w:type="dxa"/>
            <w:vAlign w:val="center"/>
          </w:tcPr>
          <w:p w14:paraId="04FDEA84">
            <w:pPr>
              <w:snapToGrid w:val="0"/>
              <w:spacing w:line="360" w:lineRule="auto"/>
              <w:jc w:val="center"/>
              <w:rPr>
                <w:rFonts w:hint="eastAsia" w:ascii="仿宋" w:hAnsi="仿宋" w:eastAsia="仿宋" w:cs="仿宋"/>
                <w:sz w:val="24"/>
              </w:rPr>
            </w:pPr>
          </w:p>
        </w:tc>
        <w:tc>
          <w:tcPr>
            <w:tcW w:w="1701" w:type="dxa"/>
            <w:vAlign w:val="center"/>
          </w:tcPr>
          <w:p w14:paraId="76DDB096">
            <w:pPr>
              <w:snapToGrid w:val="0"/>
              <w:spacing w:line="360" w:lineRule="auto"/>
              <w:jc w:val="center"/>
              <w:rPr>
                <w:rFonts w:hint="eastAsia" w:ascii="仿宋" w:hAnsi="仿宋" w:eastAsia="仿宋" w:cs="仿宋"/>
                <w:sz w:val="24"/>
              </w:rPr>
            </w:pPr>
          </w:p>
        </w:tc>
        <w:tc>
          <w:tcPr>
            <w:tcW w:w="1417" w:type="dxa"/>
            <w:vAlign w:val="center"/>
          </w:tcPr>
          <w:p w14:paraId="09CF0C47">
            <w:pPr>
              <w:snapToGrid w:val="0"/>
              <w:spacing w:line="360" w:lineRule="auto"/>
              <w:jc w:val="center"/>
              <w:rPr>
                <w:rFonts w:hint="eastAsia" w:ascii="仿宋" w:hAnsi="仿宋" w:eastAsia="仿宋" w:cs="仿宋"/>
                <w:sz w:val="24"/>
              </w:rPr>
            </w:pPr>
          </w:p>
        </w:tc>
        <w:tc>
          <w:tcPr>
            <w:tcW w:w="851" w:type="dxa"/>
            <w:vAlign w:val="center"/>
          </w:tcPr>
          <w:p w14:paraId="4C76DF2B">
            <w:pPr>
              <w:snapToGrid w:val="0"/>
              <w:spacing w:line="360" w:lineRule="auto"/>
              <w:jc w:val="center"/>
              <w:rPr>
                <w:rFonts w:hint="eastAsia" w:ascii="仿宋" w:hAnsi="仿宋" w:eastAsia="仿宋" w:cs="仿宋"/>
                <w:sz w:val="24"/>
              </w:rPr>
            </w:pPr>
          </w:p>
        </w:tc>
        <w:tc>
          <w:tcPr>
            <w:tcW w:w="992" w:type="dxa"/>
            <w:vAlign w:val="center"/>
          </w:tcPr>
          <w:p w14:paraId="3E7B1364">
            <w:pPr>
              <w:spacing w:line="360" w:lineRule="auto"/>
              <w:jc w:val="center"/>
              <w:rPr>
                <w:rFonts w:hint="eastAsia" w:ascii="仿宋" w:hAnsi="仿宋" w:eastAsia="仿宋" w:cs="仿宋"/>
                <w:sz w:val="24"/>
              </w:rPr>
            </w:pPr>
          </w:p>
        </w:tc>
        <w:tc>
          <w:tcPr>
            <w:tcW w:w="992" w:type="dxa"/>
            <w:vAlign w:val="center"/>
          </w:tcPr>
          <w:p w14:paraId="2CB2241E">
            <w:pPr>
              <w:spacing w:line="360" w:lineRule="auto"/>
              <w:jc w:val="center"/>
              <w:rPr>
                <w:rFonts w:hint="eastAsia" w:ascii="仿宋" w:hAnsi="仿宋" w:eastAsia="仿宋" w:cs="仿宋"/>
                <w:sz w:val="24"/>
              </w:rPr>
            </w:pPr>
          </w:p>
        </w:tc>
        <w:tc>
          <w:tcPr>
            <w:tcW w:w="1701" w:type="dxa"/>
            <w:vAlign w:val="center"/>
          </w:tcPr>
          <w:p w14:paraId="2E1A41FE">
            <w:pPr>
              <w:spacing w:line="360" w:lineRule="auto"/>
              <w:jc w:val="center"/>
              <w:rPr>
                <w:rFonts w:hint="eastAsia" w:ascii="仿宋" w:hAnsi="仿宋" w:eastAsia="仿宋" w:cs="仿宋"/>
                <w:sz w:val="24"/>
              </w:rPr>
            </w:pPr>
          </w:p>
        </w:tc>
      </w:tr>
      <w:tr w14:paraId="4E05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20" w:type="dxa"/>
            <w:gridSpan w:val="4"/>
            <w:vAlign w:val="center"/>
          </w:tcPr>
          <w:p w14:paraId="47FEBF02">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4536" w:type="dxa"/>
            <w:gridSpan w:val="4"/>
            <w:vAlign w:val="center"/>
          </w:tcPr>
          <w:p w14:paraId="138B68AE">
            <w:pPr>
              <w:spacing w:line="360" w:lineRule="auto"/>
              <w:jc w:val="center"/>
              <w:rPr>
                <w:rFonts w:hint="eastAsia" w:ascii="仿宋" w:hAnsi="仿宋" w:eastAsia="仿宋" w:cs="仿宋"/>
                <w:sz w:val="24"/>
              </w:rPr>
            </w:pPr>
          </w:p>
        </w:tc>
      </w:tr>
      <w:tr w14:paraId="6E09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20" w:type="dxa"/>
            <w:gridSpan w:val="4"/>
            <w:vAlign w:val="center"/>
          </w:tcPr>
          <w:p w14:paraId="46A8AFF8">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4536" w:type="dxa"/>
            <w:gridSpan w:val="4"/>
            <w:vAlign w:val="center"/>
          </w:tcPr>
          <w:p w14:paraId="22DAFDBD">
            <w:pPr>
              <w:spacing w:line="360" w:lineRule="auto"/>
              <w:jc w:val="center"/>
              <w:rPr>
                <w:rFonts w:hint="eastAsia" w:ascii="仿宋" w:hAnsi="仿宋" w:eastAsia="仿宋" w:cs="仿宋"/>
                <w:sz w:val="24"/>
              </w:rPr>
            </w:pPr>
          </w:p>
        </w:tc>
      </w:tr>
    </w:tbl>
    <w:p w14:paraId="18DCCAE4">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2527F20D">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5299366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38D093ED">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32E668B7">
      <w:pPr>
        <w:snapToGrid w:val="0"/>
        <w:spacing w:line="360" w:lineRule="auto"/>
        <w:ind w:firstLine="480" w:firstLineChars="200"/>
        <w:jc w:val="center"/>
        <w:rPr>
          <w:rFonts w:hint="eastAsia" w:ascii="仿宋" w:hAnsi="仿宋" w:eastAsia="仿宋" w:cs="仿宋"/>
          <w:color w:val="FF0000"/>
          <w:sz w:val="32"/>
          <w:szCs w:val="32"/>
        </w:rPr>
      </w:pPr>
      <w:r>
        <w:rPr>
          <w:rFonts w:hint="eastAsia" w:ascii="仿宋" w:hAnsi="仿宋" w:eastAsia="仿宋" w:cs="仿宋"/>
          <w:color w:val="FF0000"/>
          <w:kern w:val="0"/>
          <w:sz w:val="24"/>
          <w:szCs w:val="22"/>
          <w:lang w:val="zh-CN"/>
        </w:rPr>
        <w:t>4、</w:t>
      </w:r>
      <w:r>
        <w:rPr>
          <w:rFonts w:hint="eastAsia" w:ascii="仿宋" w:hAnsi="仿宋" w:eastAsia="仿宋" w:cs="仿宋"/>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仿宋" w:hAnsi="仿宋" w:eastAsia="仿宋" w:cs="仿宋"/>
          <w:color w:val="FF0000"/>
          <w:sz w:val="32"/>
          <w:szCs w:val="32"/>
        </w:rPr>
        <w:br w:type="page"/>
      </w:r>
      <w:r>
        <w:rPr>
          <w:rFonts w:hint="eastAsia" w:ascii="仿宋" w:hAnsi="仿宋" w:eastAsia="仿宋" w:cs="仿宋"/>
          <w:sz w:val="32"/>
          <w:szCs w:val="32"/>
        </w:rPr>
        <w:t>二、中小企业声明函</w:t>
      </w:r>
      <w:bookmarkStart w:id="549" w:name="_Hlk101259491"/>
      <w:r>
        <w:rPr>
          <w:rFonts w:hint="eastAsia" w:ascii="仿宋" w:hAnsi="仿宋" w:eastAsia="仿宋" w:cs="仿宋"/>
          <w:sz w:val="32"/>
          <w:szCs w:val="32"/>
        </w:rPr>
        <w:t>（如果有）</w:t>
      </w:r>
      <w:bookmarkEnd w:id="549"/>
    </w:p>
    <w:p w14:paraId="5ACF2DEC">
      <w:pPr>
        <w:widowControl/>
        <w:spacing w:line="360" w:lineRule="auto"/>
        <w:ind w:firstLine="120" w:firstLineChars="50"/>
        <w:jc w:val="left"/>
        <w:rPr>
          <w:rFonts w:hint="eastAsia" w:ascii="仿宋" w:hAnsi="仿宋" w:eastAsia="仿宋" w:cs="仿宋"/>
          <w:b/>
          <w:color w:val="FF0000"/>
          <w:sz w:val="24"/>
        </w:rPr>
      </w:pPr>
      <w:r>
        <w:rPr>
          <w:rFonts w:hint="eastAsia" w:ascii="仿宋" w:hAnsi="仿宋" w:eastAsia="仿宋" w:cs="仿宋"/>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534521D">
      <w:pPr>
        <w:pStyle w:val="695"/>
        <w:keepNext w:val="0"/>
        <w:pageBreakBefore w:val="0"/>
        <w:tabs>
          <w:tab w:val="clear" w:pos="720"/>
        </w:tabs>
        <w:snapToGrid w:val="0"/>
        <w:spacing w:before="120" w:after="120"/>
        <w:ind w:firstLine="643"/>
        <w:outlineLvl w:val="9"/>
        <w:rPr>
          <w:rFonts w:hint="eastAsia" w:ascii="仿宋" w:hAnsi="仿宋" w:eastAsia="仿宋" w:cs="仿宋"/>
          <w:b w:val="0"/>
          <w:color w:val="FF0000"/>
          <w:sz w:val="32"/>
          <w:szCs w:val="32"/>
        </w:rPr>
      </w:pPr>
    </w:p>
    <w:p w14:paraId="05F71E5C">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0BF8FD3C">
      <w:pPr>
        <w:pStyle w:val="3"/>
        <w:keepNext w:val="0"/>
        <w:keepLines w:val="0"/>
        <w:pageBreakBefore/>
        <w:widowControl/>
        <w:spacing w:before="100" w:beforeAutospacing="1" w:after="100" w:afterAutospacing="1" w:line="360" w:lineRule="auto"/>
        <w:ind w:left="0" w:firstLine="0"/>
        <w:rPr>
          <w:rFonts w:hint="eastAsia" w:ascii="仿宋" w:hAnsi="仿宋" w:eastAsia="仿宋" w:cs="仿宋"/>
        </w:rPr>
      </w:pPr>
      <w:bookmarkStart w:id="550" w:name="_Toc465665161"/>
      <w:r>
        <w:rPr>
          <w:rFonts w:hint="eastAsia" w:ascii="仿宋" w:hAnsi="仿宋" w:eastAsia="仿宋" w:cs="仿宋"/>
        </w:rPr>
        <w:t>附件</w:t>
      </w:r>
      <w:bookmarkEnd w:id="550"/>
    </w:p>
    <w:p w14:paraId="0AE069B4">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1E012A1C">
      <w:pPr>
        <w:spacing w:line="360" w:lineRule="auto"/>
        <w:jc w:val="center"/>
        <w:rPr>
          <w:rFonts w:hint="eastAsia" w:ascii="仿宋" w:hAnsi="仿宋" w:eastAsia="仿宋" w:cs="仿宋"/>
          <w:b/>
          <w:spacing w:val="6"/>
          <w:sz w:val="32"/>
          <w:szCs w:val="32"/>
        </w:rPr>
      </w:pPr>
      <w:bookmarkStart w:id="551" w:name="OLE_LINK14"/>
      <w:bookmarkStart w:id="552" w:name="OLE_LINK13"/>
      <w:r>
        <w:rPr>
          <w:rFonts w:hint="eastAsia" w:ascii="仿宋" w:hAnsi="仿宋" w:eastAsia="仿宋" w:cs="仿宋"/>
          <w:b/>
          <w:spacing w:val="6"/>
          <w:sz w:val="32"/>
          <w:szCs w:val="32"/>
        </w:rPr>
        <w:t>残疾人福利性单位声明函</w:t>
      </w:r>
    </w:p>
    <w:bookmarkEnd w:id="551"/>
    <w:bookmarkEnd w:id="552"/>
    <w:p w14:paraId="36152681">
      <w:pPr>
        <w:spacing w:line="360" w:lineRule="auto"/>
        <w:rPr>
          <w:rFonts w:hint="eastAsia" w:ascii="仿宋" w:hAnsi="仿宋" w:eastAsia="仿宋" w:cs="仿宋"/>
          <w:b/>
          <w:spacing w:val="6"/>
          <w:sz w:val="30"/>
          <w:szCs w:val="30"/>
        </w:rPr>
      </w:pPr>
    </w:p>
    <w:p w14:paraId="47F4B578">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FF"/>
          <w:sz w:val="24"/>
          <w:u w:val="single"/>
        </w:rPr>
        <w:t>（采购人）</w:t>
      </w:r>
      <w:r>
        <w:rPr>
          <w:rFonts w:hint="eastAsia" w:ascii="仿宋" w:hAnsi="仿宋" w:eastAsia="仿宋" w:cs="仿宋"/>
          <w:sz w:val="24"/>
        </w:rPr>
        <w:t>_单位的_</w:t>
      </w:r>
      <w:r>
        <w:rPr>
          <w:rFonts w:hint="eastAsia" w:ascii="仿宋" w:hAnsi="仿宋" w:eastAsia="仿宋" w:cs="仿宋"/>
          <w:color w:val="0000FF"/>
          <w:sz w:val="24"/>
          <w:u w:val="single"/>
        </w:rPr>
        <w:t>（项目名称）</w:t>
      </w:r>
      <w:r>
        <w:rPr>
          <w:rFonts w:hint="eastAsia" w:ascii="仿宋" w:hAnsi="仿宋" w:eastAsia="仿宋" w:cs="仿宋"/>
          <w:color w:val="0000FF"/>
          <w:sz w:val="24"/>
        </w:rPr>
        <w:t>_</w:t>
      </w:r>
      <w:r>
        <w:rPr>
          <w:rFonts w:hint="eastAsia" w:ascii="仿宋" w:hAnsi="仿宋" w:eastAsia="仿宋" w:cs="仿宋"/>
          <w:sz w:val="24"/>
        </w:rPr>
        <w:t>_项目采购活动提供本单位制造的货物（由本单位承担工程/提供服务），或者提供其他残疾人福利性单位制造的货物（不包括使用非残疾人福利性单位注册商标的货物）。</w:t>
      </w:r>
    </w:p>
    <w:p w14:paraId="03DF35F8">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21C8B94">
      <w:pPr>
        <w:spacing w:line="360" w:lineRule="auto"/>
        <w:ind w:firstLine="480" w:firstLineChars="200"/>
        <w:rPr>
          <w:rFonts w:hint="eastAsia" w:ascii="仿宋" w:hAnsi="仿宋" w:eastAsia="仿宋" w:cs="仿宋"/>
          <w:sz w:val="24"/>
        </w:rPr>
      </w:pPr>
    </w:p>
    <w:p w14:paraId="715EB861">
      <w:pPr>
        <w:spacing w:line="360" w:lineRule="auto"/>
        <w:ind w:firstLine="480" w:firstLineChars="200"/>
        <w:jc w:val="right"/>
        <w:rPr>
          <w:rFonts w:hint="eastAsia" w:ascii="仿宋" w:hAnsi="仿宋" w:eastAsia="仿宋" w:cs="仿宋"/>
          <w:sz w:val="24"/>
        </w:rPr>
      </w:pPr>
    </w:p>
    <w:p w14:paraId="4FC05ACB">
      <w:pPr>
        <w:tabs>
          <w:tab w:val="left" w:pos="4860"/>
        </w:tabs>
        <w:spacing w:line="360" w:lineRule="auto"/>
        <w:ind w:right="1560" w:firstLine="480" w:firstLineChars="200"/>
        <w:jc w:val="righ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77A8C952">
      <w:pPr>
        <w:tabs>
          <w:tab w:val="left" w:pos="4860"/>
        </w:tabs>
        <w:spacing w:line="360" w:lineRule="auto"/>
        <w:ind w:right="1560" w:firstLine="480" w:firstLineChars="200"/>
        <w:jc w:val="right"/>
        <w:rPr>
          <w:rFonts w:hint="eastAsia" w:ascii="仿宋" w:hAnsi="仿宋" w:eastAsia="仿宋" w:cs="仿宋"/>
          <w:sz w:val="24"/>
        </w:rPr>
      </w:pPr>
      <w:r>
        <w:rPr>
          <w:rFonts w:hint="eastAsia" w:ascii="仿宋" w:hAnsi="仿宋" w:eastAsia="仿宋" w:cs="仿宋"/>
          <w:sz w:val="24"/>
        </w:rPr>
        <w:t xml:space="preserve">       日  期：</w:t>
      </w:r>
    </w:p>
    <w:p w14:paraId="1F412EEE">
      <w:pPr>
        <w:spacing w:line="360" w:lineRule="auto"/>
        <w:ind w:firstLine="480" w:firstLineChars="200"/>
        <w:rPr>
          <w:rFonts w:hint="eastAsia" w:ascii="仿宋" w:hAnsi="仿宋" w:eastAsia="仿宋" w:cs="仿宋"/>
          <w:sz w:val="24"/>
        </w:rPr>
      </w:pPr>
    </w:p>
    <w:p w14:paraId="7411305D">
      <w:pPr>
        <w:spacing w:line="360" w:lineRule="auto"/>
        <w:ind w:firstLine="420" w:firstLineChars="200"/>
        <w:rPr>
          <w:rFonts w:hint="eastAsia" w:ascii="仿宋" w:hAnsi="仿宋" w:eastAsia="仿宋" w:cs="仿宋"/>
        </w:rPr>
      </w:pPr>
    </w:p>
    <w:p w14:paraId="673361BF">
      <w:pPr>
        <w:spacing w:line="360" w:lineRule="auto"/>
        <w:ind w:firstLine="420" w:firstLineChars="200"/>
        <w:rPr>
          <w:rFonts w:hint="eastAsia" w:ascii="仿宋" w:hAnsi="仿宋" w:eastAsia="仿宋" w:cs="仿宋"/>
        </w:rPr>
      </w:pPr>
    </w:p>
    <w:p w14:paraId="0BD836F4">
      <w:pPr>
        <w:spacing w:line="360" w:lineRule="auto"/>
        <w:ind w:firstLine="420" w:firstLineChars="200"/>
        <w:rPr>
          <w:rFonts w:hint="eastAsia" w:ascii="仿宋" w:hAnsi="仿宋" w:eastAsia="仿宋" w:cs="仿宋"/>
        </w:rPr>
      </w:pPr>
    </w:p>
    <w:p w14:paraId="7A1AB3A0">
      <w:pPr>
        <w:spacing w:line="360" w:lineRule="auto"/>
        <w:ind w:firstLine="420" w:firstLineChars="200"/>
        <w:rPr>
          <w:rFonts w:hint="eastAsia" w:ascii="仿宋" w:hAnsi="仿宋" w:eastAsia="仿宋" w:cs="仿宋"/>
        </w:rPr>
      </w:pPr>
    </w:p>
    <w:p w14:paraId="3721323B">
      <w:pPr>
        <w:spacing w:line="360" w:lineRule="auto"/>
        <w:rPr>
          <w:rFonts w:hint="eastAsia" w:ascii="仿宋" w:hAnsi="仿宋" w:eastAsia="仿宋" w:cs="仿宋"/>
          <w:b/>
          <w:sz w:val="24"/>
        </w:rPr>
      </w:pPr>
    </w:p>
    <w:p w14:paraId="2AA1ADF1">
      <w:pPr>
        <w:spacing w:line="360" w:lineRule="auto"/>
        <w:rPr>
          <w:rFonts w:hint="eastAsia" w:ascii="仿宋" w:hAnsi="仿宋" w:eastAsia="仿宋" w:cs="仿宋"/>
          <w:b/>
          <w:sz w:val="24"/>
        </w:rPr>
      </w:pPr>
    </w:p>
    <w:p w14:paraId="6F1DF228">
      <w:pPr>
        <w:spacing w:line="360" w:lineRule="auto"/>
        <w:rPr>
          <w:rFonts w:hint="eastAsia" w:ascii="仿宋" w:hAnsi="仿宋" w:eastAsia="仿宋" w:cs="仿宋"/>
          <w:b/>
          <w:sz w:val="24"/>
        </w:rPr>
      </w:pPr>
    </w:p>
    <w:p w14:paraId="1BE58102">
      <w:pPr>
        <w:spacing w:line="360" w:lineRule="auto"/>
        <w:rPr>
          <w:rFonts w:hint="eastAsia" w:ascii="仿宋" w:hAnsi="仿宋" w:eastAsia="仿宋" w:cs="仿宋"/>
          <w:b/>
          <w:sz w:val="24"/>
        </w:rPr>
      </w:pPr>
    </w:p>
    <w:p w14:paraId="7B340FB8">
      <w:pPr>
        <w:spacing w:line="360" w:lineRule="auto"/>
        <w:rPr>
          <w:rFonts w:hint="eastAsia" w:ascii="仿宋" w:hAnsi="仿宋" w:eastAsia="仿宋" w:cs="仿宋"/>
          <w:b/>
          <w:sz w:val="24"/>
        </w:rPr>
      </w:pPr>
    </w:p>
    <w:p w14:paraId="7FC75863">
      <w:pPr>
        <w:spacing w:line="360" w:lineRule="auto"/>
        <w:rPr>
          <w:rFonts w:hint="eastAsia" w:ascii="仿宋" w:hAnsi="仿宋" w:eastAsia="仿宋" w:cs="仿宋"/>
          <w:b/>
          <w:sz w:val="24"/>
        </w:rPr>
      </w:pPr>
    </w:p>
    <w:p w14:paraId="00CE05B0">
      <w:pPr>
        <w:spacing w:line="360" w:lineRule="auto"/>
        <w:rPr>
          <w:rFonts w:hint="eastAsia" w:ascii="仿宋" w:hAnsi="仿宋" w:eastAsia="仿宋" w:cs="仿宋"/>
          <w:b/>
          <w:sz w:val="24"/>
        </w:rPr>
      </w:pPr>
    </w:p>
    <w:p w14:paraId="38FCD688">
      <w:pPr>
        <w:spacing w:line="360" w:lineRule="auto"/>
        <w:rPr>
          <w:rFonts w:hint="eastAsia" w:ascii="仿宋" w:hAnsi="仿宋" w:eastAsia="仿宋" w:cs="仿宋"/>
          <w:b/>
          <w:sz w:val="24"/>
        </w:rPr>
      </w:pPr>
    </w:p>
    <w:p w14:paraId="5A8D75EA">
      <w:pPr>
        <w:spacing w:line="360" w:lineRule="auto"/>
        <w:rPr>
          <w:rFonts w:hint="eastAsia" w:ascii="仿宋" w:hAnsi="仿宋" w:eastAsia="仿宋" w:cs="仿宋"/>
          <w:b/>
          <w:sz w:val="24"/>
        </w:rPr>
      </w:pPr>
    </w:p>
    <w:p w14:paraId="5994D09D">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04B324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61C8C2FC">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6CD0A183">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D2A3A3F">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BAD3DE7">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463DBE8">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68C4BDE7">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92507D8">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317EA53">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0ED1B1A3">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CCEDBFA">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CDE7533">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241B510A">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357437E">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7795C52A">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1791D1C">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172310A">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7DD28D21">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14B3A9D">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7C0F13E">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2612D8D1">
      <w:pPr>
        <w:snapToGrid w:val="0"/>
        <w:spacing w:line="360" w:lineRule="auto"/>
        <w:rPr>
          <w:rFonts w:hint="eastAsia" w:ascii="仿宋" w:hAnsi="仿宋" w:eastAsia="仿宋" w:cs="仿宋"/>
          <w:sz w:val="24"/>
        </w:rPr>
      </w:pPr>
      <w:r>
        <w:rPr>
          <w:rFonts w:hint="eastAsia" w:ascii="仿宋" w:hAnsi="仿宋" w:eastAsia="仿宋" w:cs="仿宋"/>
          <w:sz w:val="24"/>
        </w:rPr>
        <w:t>……</w:t>
      </w:r>
    </w:p>
    <w:p w14:paraId="52F154FF">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0288D8D0">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C2A9A18">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0DE7F60">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D24A214">
      <w:pPr>
        <w:spacing w:line="360" w:lineRule="auto"/>
        <w:jc w:val="center"/>
        <w:rPr>
          <w:rFonts w:hint="eastAsia" w:ascii="仿宋" w:hAnsi="仿宋" w:eastAsia="仿宋" w:cs="仿宋"/>
          <w:b/>
          <w:bCs/>
          <w:sz w:val="24"/>
        </w:rPr>
      </w:pPr>
    </w:p>
    <w:p w14:paraId="029A1B31">
      <w:pPr>
        <w:spacing w:line="360" w:lineRule="auto"/>
        <w:rPr>
          <w:rFonts w:hint="eastAsia" w:ascii="仿宋" w:hAnsi="仿宋" w:eastAsia="仿宋" w:cs="仿宋"/>
          <w:b/>
          <w:sz w:val="24"/>
        </w:rPr>
      </w:pPr>
    </w:p>
    <w:p w14:paraId="6CA70334">
      <w:pPr>
        <w:spacing w:line="360" w:lineRule="auto"/>
        <w:rPr>
          <w:rFonts w:hint="eastAsia" w:ascii="仿宋" w:hAnsi="仿宋" w:eastAsia="仿宋" w:cs="仿宋"/>
          <w:b/>
          <w:sz w:val="24"/>
        </w:rPr>
      </w:pPr>
    </w:p>
    <w:p w14:paraId="71B27D66">
      <w:pPr>
        <w:spacing w:line="360" w:lineRule="auto"/>
        <w:rPr>
          <w:rFonts w:hint="eastAsia" w:ascii="仿宋" w:hAnsi="仿宋" w:eastAsia="仿宋" w:cs="仿宋"/>
          <w:b/>
          <w:sz w:val="24"/>
        </w:rPr>
      </w:pPr>
    </w:p>
    <w:p w14:paraId="64609D51">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283F291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41887E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0BB415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3717531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164B05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38544B9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DF67C1D">
      <w:pPr>
        <w:widowControl/>
        <w:spacing w:line="360" w:lineRule="auto"/>
        <w:ind w:firstLine="600" w:firstLineChars="200"/>
        <w:jc w:val="left"/>
        <w:rPr>
          <w:rFonts w:hint="eastAsia" w:ascii="仿宋" w:hAnsi="仿宋" w:eastAsia="仿宋" w:cs="仿宋"/>
          <w:sz w:val="30"/>
          <w:szCs w:val="30"/>
        </w:rPr>
      </w:pPr>
    </w:p>
    <w:p w14:paraId="687C1288">
      <w:pPr>
        <w:spacing w:line="360" w:lineRule="auto"/>
        <w:jc w:val="center"/>
        <w:rPr>
          <w:rFonts w:hint="eastAsia" w:ascii="仿宋" w:hAnsi="仿宋" w:eastAsia="仿宋" w:cs="仿宋"/>
          <w:b/>
          <w:spacing w:val="6"/>
          <w:sz w:val="32"/>
          <w:szCs w:val="32"/>
        </w:rPr>
      </w:pPr>
    </w:p>
    <w:p w14:paraId="7FF731DF">
      <w:pPr>
        <w:spacing w:line="360" w:lineRule="auto"/>
        <w:jc w:val="center"/>
        <w:rPr>
          <w:rFonts w:hint="eastAsia" w:ascii="仿宋" w:hAnsi="仿宋" w:eastAsia="仿宋" w:cs="仿宋"/>
          <w:b/>
          <w:spacing w:val="6"/>
          <w:sz w:val="32"/>
          <w:szCs w:val="32"/>
        </w:rPr>
      </w:pPr>
    </w:p>
    <w:p w14:paraId="6D39A1E5">
      <w:pPr>
        <w:spacing w:line="360" w:lineRule="auto"/>
        <w:jc w:val="center"/>
        <w:rPr>
          <w:rFonts w:hint="eastAsia" w:ascii="仿宋" w:hAnsi="仿宋" w:eastAsia="仿宋" w:cs="仿宋"/>
          <w:b/>
          <w:spacing w:val="6"/>
          <w:sz w:val="32"/>
          <w:szCs w:val="32"/>
        </w:rPr>
      </w:pPr>
    </w:p>
    <w:p w14:paraId="38FFAE28">
      <w:pPr>
        <w:spacing w:line="360" w:lineRule="auto"/>
        <w:jc w:val="center"/>
        <w:rPr>
          <w:rFonts w:hint="eastAsia" w:ascii="仿宋" w:hAnsi="仿宋" w:eastAsia="仿宋" w:cs="仿宋"/>
          <w:b/>
          <w:spacing w:val="6"/>
          <w:sz w:val="32"/>
          <w:szCs w:val="32"/>
        </w:rPr>
      </w:pPr>
    </w:p>
    <w:p w14:paraId="1677D45A">
      <w:pPr>
        <w:spacing w:line="360" w:lineRule="auto"/>
        <w:jc w:val="center"/>
        <w:rPr>
          <w:rFonts w:hint="eastAsia" w:ascii="仿宋" w:hAnsi="仿宋" w:eastAsia="仿宋" w:cs="仿宋"/>
          <w:b/>
          <w:spacing w:val="6"/>
          <w:sz w:val="32"/>
          <w:szCs w:val="32"/>
        </w:rPr>
      </w:pPr>
    </w:p>
    <w:p w14:paraId="23DB3DD8">
      <w:pPr>
        <w:spacing w:line="360" w:lineRule="auto"/>
        <w:jc w:val="center"/>
        <w:rPr>
          <w:rFonts w:hint="eastAsia" w:ascii="仿宋" w:hAnsi="仿宋" w:eastAsia="仿宋" w:cs="仿宋"/>
          <w:b/>
          <w:spacing w:val="6"/>
          <w:sz w:val="32"/>
          <w:szCs w:val="32"/>
        </w:rPr>
      </w:pPr>
    </w:p>
    <w:p w14:paraId="59E31A6F">
      <w:pPr>
        <w:spacing w:line="360" w:lineRule="auto"/>
        <w:jc w:val="center"/>
        <w:rPr>
          <w:rFonts w:hint="eastAsia" w:ascii="仿宋" w:hAnsi="仿宋" w:eastAsia="仿宋" w:cs="仿宋"/>
          <w:b/>
          <w:spacing w:val="6"/>
          <w:sz w:val="32"/>
          <w:szCs w:val="32"/>
        </w:rPr>
      </w:pPr>
    </w:p>
    <w:p w14:paraId="7654FE04">
      <w:pPr>
        <w:spacing w:line="360" w:lineRule="auto"/>
        <w:jc w:val="center"/>
        <w:rPr>
          <w:rFonts w:hint="eastAsia" w:ascii="仿宋" w:hAnsi="仿宋" w:eastAsia="仿宋" w:cs="仿宋"/>
          <w:b/>
          <w:spacing w:val="6"/>
          <w:sz w:val="32"/>
          <w:szCs w:val="32"/>
        </w:rPr>
      </w:pPr>
    </w:p>
    <w:p w14:paraId="31D1DF8F">
      <w:pPr>
        <w:spacing w:line="360" w:lineRule="auto"/>
        <w:jc w:val="center"/>
        <w:rPr>
          <w:rFonts w:hint="eastAsia" w:ascii="仿宋" w:hAnsi="仿宋" w:eastAsia="仿宋" w:cs="仿宋"/>
          <w:b/>
          <w:spacing w:val="6"/>
          <w:sz w:val="32"/>
          <w:szCs w:val="32"/>
        </w:rPr>
      </w:pPr>
    </w:p>
    <w:p w14:paraId="013391F7">
      <w:pPr>
        <w:spacing w:line="360" w:lineRule="auto"/>
        <w:jc w:val="center"/>
        <w:rPr>
          <w:rFonts w:hint="eastAsia" w:ascii="仿宋" w:hAnsi="仿宋" w:eastAsia="仿宋" w:cs="仿宋"/>
          <w:b/>
          <w:spacing w:val="6"/>
          <w:sz w:val="32"/>
          <w:szCs w:val="32"/>
        </w:rPr>
      </w:pPr>
    </w:p>
    <w:p w14:paraId="2ED3838F">
      <w:pPr>
        <w:spacing w:line="360" w:lineRule="auto"/>
        <w:jc w:val="center"/>
        <w:rPr>
          <w:rFonts w:hint="eastAsia" w:ascii="仿宋" w:hAnsi="仿宋" w:eastAsia="仿宋" w:cs="仿宋"/>
          <w:b/>
          <w:spacing w:val="6"/>
          <w:sz w:val="32"/>
          <w:szCs w:val="32"/>
        </w:rPr>
      </w:pPr>
    </w:p>
    <w:p w14:paraId="725CF310">
      <w:pPr>
        <w:spacing w:line="360" w:lineRule="auto"/>
        <w:jc w:val="center"/>
        <w:rPr>
          <w:rFonts w:hint="eastAsia" w:ascii="仿宋" w:hAnsi="仿宋" w:eastAsia="仿宋" w:cs="仿宋"/>
          <w:b/>
          <w:spacing w:val="6"/>
          <w:sz w:val="32"/>
          <w:szCs w:val="32"/>
        </w:rPr>
      </w:pPr>
    </w:p>
    <w:p w14:paraId="0CA75C68">
      <w:pPr>
        <w:spacing w:line="360" w:lineRule="auto"/>
        <w:jc w:val="left"/>
        <w:rPr>
          <w:rFonts w:hint="eastAsia" w:ascii="仿宋" w:hAnsi="仿宋" w:eastAsia="仿宋" w:cs="仿宋"/>
          <w:b/>
          <w:spacing w:val="6"/>
          <w:sz w:val="32"/>
          <w:szCs w:val="32"/>
        </w:rPr>
      </w:pPr>
    </w:p>
    <w:p w14:paraId="785A4CBB">
      <w:pPr>
        <w:spacing w:line="360" w:lineRule="auto"/>
        <w:jc w:val="left"/>
        <w:rPr>
          <w:rFonts w:hint="eastAsia" w:ascii="仿宋" w:hAnsi="仿宋" w:eastAsia="仿宋" w:cs="仿宋"/>
          <w:b/>
          <w:spacing w:val="6"/>
          <w:sz w:val="32"/>
          <w:szCs w:val="32"/>
        </w:rPr>
      </w:pPr>
    </w:p>
    <w:p w14:paraId="22BEFE12">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63602C73">
      <w:pPr>
        <w:spacing w:line="360" w:lineRule="auto"/>
        <w:jc w:val="center"/>
        <w:rPr>
          <w:rFonts w:hint="eastAsia" w:ascii="仿宋" w:hAnsi="仿宋" w:eastAsia="仿宋" w:cs="仿宋"/>
          <w:b/>
          <w:sz w:val="24"/>
        </w:rPr>
      </w:pPr>
    </w:p>
    <w:p w14:paraId="5DBC0BC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46B7A53">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4E3251C0">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EFED8A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91AAEB9">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D6F3951">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A208464">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F979EB9">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5EABDCCE">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CE31402">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92C57A6">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87CA806">
      <w:pPr>
        <w:spacing w:line="360" w:lineRule="auto"/>
        <w:rPr>
          <w:rFonts w:hint="eastAsia" w:ascii="仿宋" w:hAnsi="仿宋" w:eastAsia="仿宋" w:cs="仿宋"/>
          <w:sz w:val="24"/>
        </w:rPr>
      </w:pPr>
      <w:r>
        <w:rPr>
          <w:rFonts w:hint="eastAsia" w:ascii="仿宋" w:hAnsi="仿宋" w:eastAsia="仿宋" w:cs="仿宋"/>
          <w:sz w:val="24"/>
        </w:rPr>
        <w:t>被投诉人2</w:t>
      </w:r>
    </w:p>
    <w:p w14:paraId="76AE84DF">
      <w:pPr>
        <w:spacing w:line="360" w:lineRule="auto"/>
        <w:rPr>
          <w:rFonts w:hint="eastAsia" w:ascii="仿宋" w:hAnsi="仿宋" w:eastAsia="仿宋" w:cs="仿宋"/>
          <w:sz w:val="24"/>
          <w:u w:val="dotted"/>
        </w:rPr>
      </w:pPr>
      <w:r>
        <w:rPr>
          <w:rFonts w:hint="eastAsia" w:ascii="仿宋" w:hAnsi="仿宋" w:eastAsia="仿宋" w:cs="仿宋"/>
          <w:sz w:val="24"/>
        </w:rPr>
        <w:t>……</w:t>
      </w:r>
    </w:p>
    <w:p w14:paraId="3FF8E893">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F89E8DF">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A09AE6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0EA2FCB">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22BD3EE">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29670615">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87D3676">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DAFA2D8">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2E48001">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A45A618">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5B7AD59">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8FE8996">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5CAAD044">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DDDAAB0">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387AA2B6">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780BE96F">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CC9CE71">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6105CAD">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A95BEA0">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A0FB32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AD34B21">
      <w:pPr>
        <w:spacing w:line="360" w:lineRule="auto"/>
        <w:rPr>
          <w:rFonts w:hint="eastAsia" w:ascii="仿宋" w:hAnsi="仿宋" w:eastAsia="仿宋" w:cs="仿宋"/>
          <w:sz w:val="24"/>
        </w:rPr>
      </w:pPr>
      <w:r>
        <w:rPr>
          <w:rFonts w:hint="eastAsia" w:ascii="仿宋" w:hAnsi="仿宋" w:eastAsia="仿宋" w:cs="仿宋"/>
          <w:sz w:val="24"/>
        </w:rPr>
        <w:t>投诉事项2</w:t>
      </w:r>
    </w:p>
    <w:p w14:paraId="2FDBC36F">
      <w:pPr>
        <w:spacing w:line="360" w:lineRule="auto"/>
        <w:rPr>
          <w:rFonts w:hint="eastAsia" w:ascii="仿宋" w:hAnsi="仿宋" w:eastAsia="仿宋" w:cs="仿宋"/>
          <w:sz w:val="24"/>
          <w:u w:val="dotted"/>
        </w:rPr>
      </w:pPr>
      <w:r>
        <w:rPr>
          <w:rFonts w:hint="eastAsia" w:ascii="仿宋" w:hAnsi="仿宋" w:eastAsia="仿宋" w:cs="仿宋"/>
          <w:sz w:val="24"/>
        </w:rPr>
        <w:t>……</w:t>
      </w:r>
    </w:p>
    <w:p w14:paraId="43473969">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2BFEE809">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FD9FD43">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5567582">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78CAAED">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16C44C4">
      <w:pPr>
        <w:spacing w:line="360" w:lineRule="auto"/>
        <w:rPr>
          <w:rFonts w:hint="eastAsia" w:ascii="仿宋" w:hAnsi="仿宋" w:eastAsia="仿宋" w:cs="仿宋"/>
          <w:b/>
          <w:sz w:val="24"/>
        </w:rPr>
      </w:pPr>
    </w:p>
    <w:p w14:paraId="4A39748C">
      <w:pPr>
        <w:spacing w:line="360" w:lineRule="auto"/>
        <w:rPr>
          <w:rFonts w:hint="eastAsia" w:ascii="仿宋" w:hAnsi="仿宋" w:eastAsia="仿宋" w:cs="仿宋"/>
          <w:b/>
          <w:sz w:val="24"/>
        </w:rPr>
      </w:pPr>
    </w:p>
    <w:p w14:paraId="54178566">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05F9AF3A">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BEFCB9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6E1C61C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39B14D7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9543EA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49E58B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7839DDC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D3F78DE">
      <w:pPr>
        <w:spacing w:line="360" w:lineRule="auto"/>
        <w:rPr>
          <w:rFonts w:hint="eastAsia" w:ascii="仿宋" w:hAnsi="仿宋" w:eastAsia="仿宋" w:cs="仿宋"/>
          <w:b/>
          <w:sz w:val="24"/>
        </w:rPr>
      </w:pPr>
    </w:p>
    <w:p w14:paraId="2A114878">
      <w:pPr>
        <w:autoSpaceDE w:val="0"/>
        <w:autoSpaceDN w:val="0"/>
        <w:jc w:val="center"/>
        <w:rPr>
          <w:rFonts w:hint="eastAsia" w:ascii="仿宋" w:hAnsi="仿宋" w:eastAsia="仿宋" w:cs="仿宋"/>
          <w:b/>
          <w:spacing w:val="6"/>
          <w:sz w:val="32"/>
          <w:szCs w:val="32"/>
        </w:rPr>
      </w:pPr>
    </w:p>
    <w:p w14:paraId="2942330E">
      <w:pPr>
        <w:autoSpaceDE w:val="0"/>
        <w:autoSpaceDN w:val="0"/>
        <w:jc w:val="center"/>
        <w:rPr>
          <w:rFonts w:hint="eastAsia" w:ascii="仿宋" w:hAnsi="仿宋" w:eastAsia="仿宋" w:cs="仿宋"/>
          <w:b/>
          <w:spacing w:val="6"/>
          <w:sz w:val="32"/>
          <w:szCs w:val="32"/>
        </w:rPr>
      </w:pPr>
    </w:p>
    <w:p w14:paraId="463D5DEC">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0618BAA5">
      <w:pPr>
        <w:spacing w:line="360" w:lineRule="auto"/>
        <w:rPr>
          <w:rFonts w:hint="eastAsia" w:ascii="仿宋" w:hAnsi="仿宋" w:eastAsia="仿宋" w:cs="仿宋"/>
          <w:color w:val="0000FF"/>
          <w:sz w:val="24"/>
          <w:u w:val="single"/>
        </w:rPr>
      </w:pPr>
    </w:p>
    <w:p w14:paraId="6130E7DD">
      <w:pPr>
        <w:spacing w:line="360" w:lineRule="auto"/>
        <w:rPr>
          <w:rFonts w:hint="eastAsia" w:ascii="仿宋" w:hAnsi="仿宋" w:eastAsia="仿宋" w:cs="仿宋"/>
          <w:sz w:val="24"/>
        </w:rPr>
      </w:pPr>
      <w:r>
        <w:rPr>
          <w:rFonts w:hint="eastAsia" w:ascii="仿宋" w:hAnsi="仿宋" w:eastAsia="仿宋" w:cs="仿宋"/>
          <w:color w:val="0000FF"/>
          <w:sz w:val="24"/>
          <w:u w:val="single"/>
        </w:rPr>
        <w:t>（采购人）</w:t>
      </w:r>
      <w:r>
        <w:rPr>
          <w:rFonts w:hint="eastAsia" w:ascii="仿宋" w:hAnsi="仿宋" w:eastAsia="仿宋" w:cs="仿宋"/>
          <w:sz w:val="24"/>
          <w:u w:val="single"/>
        </w:rPr>
        <w:t>、（采购代理机构）：</w:t>
      </w:r>
    </w:p>
    <w:p w14:paraId="15CDC017">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0B766730">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24D79291">
      <w:pPr>
        <w:spacing w:line="360" w:lineRule="auto"/>
        <w:ind w:firstLine="494"/>
        <w:rPr>
          <w:rFonts w:hint="eastAsia" w:ascii="仿宋" w:hAnsi="仿宋" w:eastAsia="仿宋" w:cs="仿宋"/>
          <w:sz w:val="24"/>
        </w:rPr>
      </w:pPr>
    </w:p>
    <w:p w14:paraId="5016C20B">
      <w:pPr>
        <w:spacing w:line="360" w:lineRule="auto"/>
        <w:ind w:firstLine="494"/>
        <w:rPr>
          <w:rFonts w:hint="eastAsia" w:ascii="仿宋" w:hAnsi="仿宋" w:eastAsia="仿宋" w:cs="仿宋"/>
          <w:sz w:val="24"/>
        </w:rPr>
      </w:pPr>
    </w:p>
    <w:p w14:paraId="1F395AA6">
      <w:pPr>
        <w:spacing w:line="360" w:lineRule="auto"/>
        <w:ind w:firstLine="494"/>
        <w:rPr>
          <w:rFonts w:hint="eastAsia" w:ascii="仿宋" w:hAnsi="仿宋" w:eastAsia="仿宋" w:cs="仿宋"/>
          <w:sz w:val="24"/>
        </w:rPr>
      </w:pPr>
    </w:p>
    <w:p w14:paraId="7C24CC9E">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09B484B8">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7547F8D4">
      <w:pPr>
        <w:rPr>
          <w:rFonts w:hint="eastAsia" w:ascii="仿宋" w:hAnsi="仿宋" w:eastAsia="仿宋" w:cs="仿宋"/>
          <w:sz w:val="24"/>
        </w:rPr>
      </w:pPr>
      <w:r>
        <w:rPr>
          <w:rFonts w:hint="eastAsia" w:ascii="仿宋" w:hAnsi="仿宋" w:eastAsia="仿宋" w:cs="仿宋"/>
          <w:b/>
          <w:bCs/>
          <w:sz w:val="24"/>
        </w:rPr>
        <w:t>附：</w:t>
      </w:r>
    </w:p>
    <w:p w14:paraId="0B1F8A21">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0EA75EBE">
      <w:pPr>
        <w:autoSpaceDE w:val="0"/>
        <w:autoSpaceDN w:val="0"/>
        <w:jc w:val="center"/>
        <w:rPr>
          <w:rFonts w:hint="eastAsia" w:ascii="仿宋" w:hAnsi="仿宋" w:eastAsia="仿宋" w:cs="仿宋"/>
          <w:b/>
          <w:spacing w:val="6"/>
          <w:sz w:val="32"/>
          <w:szCs w:val="32"/>
        </w:rPr>
      </w:pPr>
    </w:p>
    <w:p w14:paraId="0B9770E6">
      <w:pPr>
        <w:autoSpaceDE w:val="0"/>
        <w:autoSpaceDN w:val="0"/>
        <w:jc w:val="center"/>
        <w:rPr>
          <w:rFonts w:hint="eastAsia" w:ascii="仿宋" w:hAnsi="仿宋" w:eastAsia="仿宋" w:cs="仿宋"/>
          <w:b/>
          <w:spacing w:val="6"/>
          <w:sz w:val="32"/>
          <w:szCs w:val="32"/>
        </w:rPr>
      </w:pPr>
    </w:p>
    <w:p w14:paraId="69E6727F">
      <w:pPr>
        <w:autoSpaceDE w:val="0"/>
        <w:autoSpaceDN w:val="0"/>
        <w:jc w:val="center"/>
        <w:rPr>
          <w:rFonts w:hint="eastAsia" w:ascii="仿宋" w:hAnsi="仿宋" w:eastAsia="仿宋" w:cs="仿宋"/>
          <w:b/>
          <w:spacing w:val="6"/>
          <w:sz w:val="32"/>
          <w:szCs w:val="32"/>
        </w:rPr>
      </w:pPr>
    </w:p>
    <w:p w14:paraId="51BF2518">
      <w:pPr>
        <w:autoSpaceDE w:val="0"/>
        <w:autoSpaceDN w:val="0"/>
        <w:jc w:val="center"/>
        <w:rPr>
          <w:rFonts w:hint="eastAsia" w:ascii="仿宋" w:hAnsi="仿宋" w:eastAsia="仿宋" w:cs="仿宋"/>
          <w:b/>
          <w:spacing w:val="6"/>
          <w:sz w:val="32"/>
          <w:szCs w:val="32"/>
        </w:rPr>
      </w:pPr>
    </w:p>
    <w:p w14:paraId="151EF40A">
      <w:pPr>
        <w:autoSpaceDE w:val="0"/>
        <w:autoSpaceDN w:val="0"/>
        <w:jc w:val="center"/>
        <w:rPr>
          <w:rFonts w:hint="eastAsia" w:ascii="仿宋" w:hAnsi="仿宋" w:eastAsia="仿宋" w:cs="仿宋"/>
          <w:b/>
          <w:spacing w:val="6"/>
          <w:sz w:val="32"/>
          <w:szCs w:val="32"/>
        </w:rPr>
      </w:pPr>
    </w:p>
    <w:p w14:paraId="4DF11E60">
      <w:pPr>
        <w:autoSpaceDE w:val="0"/>
        <w:autoSpaceDN w:val="0"/>
        <w:jc w:val="center"/>
        <w:rPr>
          <w:rFonts w:hint="eastAsia" w:ascii="仿宋" w:hAnsi="仿宋" w:eastAsia="仿宋" w:cs="仿宋"/>
          <w:b/>
          <w:spacing w:val="6"/>
          <w:sz w:val="32"/>
          <w:szCs w:val="32"/>
        </w:rPr>
      </w:pPr>
    </w:p>
    <w:p w14:paraId="5F228D9A">
      <w:pPr>
        <w:autoSpaceDE w:val="0"/>
        <w:autoSpaceDN w:val="0"/>
        <w:jc w:val="center"/>
        <w:rPr>
          <w:rFonts w:hint="eastAsia" w:ascii="仿宋" w:hAnsi="仿宋" w:eastAsia="仿宋" w:cs="仿宋"/>
          <w:b/>
          <w:spacing w:val="6"/>
          <w:sz w:val="32"/>
          <w:szCs w:val="32"/>
        </w:rPr>
      </w:pPr>
    </w:p>
    <w:p w14:paraId="0A1864C1">
      <w:pPr>
        <w:autoSpaceDE w:val="0"/>
        <w:autoSpaceDN w:val="0"/>
        <w:jc w:val="center"/>
        <w:rPr>
          <w:rFonts w:hint="eastAsia" w:ascii="仿宋" w:hAnsi="仿宋" w:eastAsia="仿宋" w:cs="仿宋"/>
          <w:b/>
          <w:spacing w:val="6"/>
          <w:sz w:val="32"/>
          <w:szCs w:val="32"/>
        </w:rPr>
      </w:pPr>
    </w:p>
    <w:p w14:paraId="0C166CD7">
      <w:pPr>
        <w:autoSpaceDE w:val="0"/>
        <w:autoSpaceDN w:val="0"/>
        <w:jc w:val="center"/>
        <w:rPr>
          <w:rFonts w:hint="eastAsia" w:ascii="仿宋" w:hAnsi="仿宋" w:eastAsia="仿宋" w:cs="仿宋"/>
          <w:b/>
          <w:spacing w:val="6"/>
          <w:sz w:val="32"/>
          <w:szCs w:val="32"/>
        </w:rPr>
      </w:pPr>
    </w:p>
    <w:p w14:paraId="330C022F">
      <w:pPr>
        <w:autoSpaceDE w:val="0"/>
        <w:autoSpaceDN w:val="0"/>
        <w:jc w:val="center"/>
        <w:rPr>
          <w:rFonts w:hint="eastAsia" w:ascii="仿宋" w:hAnsi="仿宋" w:eastAsia="仿宋" w:cs="仿宋"/>
          <w:b/>
          <w:spacing w:val="6"/>
          <w:sz w:val="32"/>
          <w:szCs w:val="32"/>
        </w:rPr>
      </w:pPr>
    </w:p>
    <w:p w14:paraId="695F0200">
      <w:pPr>
        <w:autoSpaceDE w:val="0"/>
        <w:autoSpaceDN w:val="0"/>
        <w:jc w:val="center"/>
        <w:rPr>
          <w:rFonts w:hint="eastAsia" w:ascii="仿宋" w:hAnsi="仿宋" w:eastAsia="仿宋" w:cs="仿宋"/>
          <w:b/>
          <w:spacing w:val="6"/>
          <w:sz w:val="32"/>
          <w:szCs w:val="32"/>
        </w:rPr>
      </w:pPr>
    </w:p>
    <w:p w14:paraId="6B4BACB1">
      <w:pPr>
        <w:autoSpaceDE w:val="0"/>
        <w:autoSpaceDN w:val="0"/>
        <w:jc w:val="center"/>
        <w:rPr>
          <w:rFonts w:hint="eastAsia" w:ascii="仿宋" w:hAnsi="仿宋" w:eastAsia="仿宋" w:cs="仿宋"/>
          <w:b/>
          <w:spacing w:val="6"/>
          <w:sz w:val="32"/>
          <w:szCs w:val="32"/>
        </w:rPr>
      </w:pPr>
    </w:p>
    <w:p w14:paraId="7CE69A1C">
      <w:pPr>
        <w:autoSpaceDE w:val="0"/>
        <w:autoSpaceDN w:val="0"/>
        <w:jc w:val="center"/>
        <w:rPr>
          <w:rFonts w:hint="eastAsia" w:ascii="仿宋" w:hAnsi="仿宋" w:eastAsia="仿宋" w:cs="仿宋"/>
          <w:b/>
          <w:spacing w:val="6"/>
          <w:sz w:val="32"/>
          <w:szCs w:val="32"/>
        </w:rPr>
      </w:pPr>
    </w:p>
    <w:p w14:paraId="56ADBFC3">
      <w:pPr>
        <w:autoSpaceDE w:val="0"/>
        <w:autoSpaceDN w:val="0"/>
        <w:jc w:val="center"/>
        <w:rPr>
          <w:rFonts w:hint="eastAsia" w:ascii="仿宋" w:hAnsi="仿宋" w:eastAsia="仿宋" w:cs="仿宋"/>
          <w:b/>
          <w:spacing w:val="6"/>
          <w:sz w:val="32"/>
          <w:szCs w:val="32"/>
        </w:rPr>
      </w:pPr>
    </w:p>
    <w:p w14:paraId="660A96D8">
      <w:pPr>
        <w:autoSpaceDE w:val="0"/>
        <w:autoSpaceDN w:val="0"/>
        <w:jc w:val="center"/>
        <w:rPr>
          <w:rFonts w:hint="eastAsia" w:ascii="仿宋" w:hAnsi="仿宋" w:eastAsia="仿宋" w:cs="仿宋"/>
          <w:b/>
          <w:spacing w:val="6"/>
          <w:sz w:val="32"/>
          <w:szCs w:val="32"/>
        </w:rPr>
      </w:pPr>
    </w:p>
    <w:p w14:paraId="34A30B0A">
      <w:pPr>
        <w:autoSpaceDE w:val="0"/>
        <w:autoSpaceDN w:val="0"/>
        <w:jc w:val="center"/>
        <w:rPr>
          <w:rFonts w:hint="eastAsia" w:ascii="仿宋" w:hAnsi="仿宋" w:eastAsia="仿宋" w:cs="仿宋"/>
          <w:b/>
          <w:spacing w:val="6"/>
          <w:sz w:val="32"/>
          <w:szCs w:val="32"/>
        </w:rPr>
      </w:pPr>
    </w:p>
    <w:p w14:paraId="17F05A22">
      <w:pPr>
        <w:autoSpaceDE w:val="0"/>
        <w:autoSpaceDN w:val="0"/>
        <w:jc w:val="center"/>
        <w:rPr>
          <w:rFonts w:hint="eastAsia" w:ascii="仿宋" w:hAnsi="仿宋" w:eastAsia="仿宋" w:cs="仿宋"/>
          <w:b/>
          <w:spacing w:val="6"/>
          <w:sz w:val="32"/>
          <w:szCs w:val="32"/>
        </w:rPr>
      </w:pPr>
    </w:p>
    <w:p w14:paraId="2E985884">
      <w:pPr>
        <w:autoSpaceDE w:val="0"/>
        <w:autoSpaceDN w:val="0"/>
        <w:jc w:val="center"/>
        <w:rPr>
          <w:rFonts w:hint="eastAsia" w:ascii="仿宋" w:hAnsi="仿宋" w:eastAsia="仿宋" w:cs="仿宋"/>
          <w:b/>
          <w:spacing w:val="6"/>
          <w:sz w:val="32"/>
          <w:szCs w:val="32"/>
        </w:rPr>
      </w:pPr>
    </w:p>
    <w:p w14:paraId="6F024D75">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附件5：联合协议</w:t>
      </w:r>
    </w:p>
    <w:p w14:paraId="6E77F62E">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7B5A76E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423A9B2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2B5157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4429FD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4D2BC57D">
      <w:pPr>
        <w:snapToGrid w:val="0"/>
        <w:spacing w:line="360" w:lineRule="auto"/>
        <w:ind w:firstLine="576"/>
        <w:rPr>
          <w:rFonts w:hint="eastAsia" w:ascii="仿宋" w:hAnsi="仿宋" w:eastAsia="仿宋" w:cs="仿宋"/>
          <w:kern w:val="0"/>
          <w:sz w:val="24"/>
          <w:lang w:val="zh-CN"/>
        </w:rPr>
      </w:pPr>
      <w:bookmarkStart w:id="553"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630C36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423812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53"/>
    <w:p w14:paraId="40628BC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E039FA7">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99CE5A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188E029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3A25FE5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F8AAC7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7D5C2C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FE7DDB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C52E92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A962917">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6826E9E">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61287AA">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3DEB256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2C79581">
      <w:pPr>
        <w:autoSpaceDE w:val="0"/>
        <w:autoSpaceDN w:val="0"/>
        <w:jc w:val="center"/>
        <w:rPr>
          <w:rFonts w:hint="eastAsia" w:ascii="仿宋" w:hAnsi="仿宋" w:eastAsia="仿宋" w:cs="仿宋"/>
          <w:b/>
          <w:spacing w:val="6"/>
          <w:sz w:val="32"/>
          <w:szCs w:val="32"/>
        </w:rPr>
      </w:pPr>
    </w:p>
    <w:p w14:paraId="16D68085">
      <w:pPr>
        <w:autoSpaceDE w:val="0"/>
        <w:autoSpaceDN w:val="0"/>
        <w:jc w:val="center"/>
        <w:rPr>
          <w:rFonts w:hint="eastAsia" w:ascii="仿宋" w:hAnsi="仿宋" w:eastAsia="仿宋" w:cs="仿宋"/>
          <w:b/>
          <w:spacing w:val="6"/>
          <w:sz w:val="32"/>
          <w:szCs w:val="32"/>
        </w:rPr>
      </w:pPr>
    </w:p>
    <w:p w14:paraId="4EDED09A">
      <w:pPr>
        <w:autoSpaceDE w:val="0"/>
        <w:autoSpaceDN w:val="0"/>
        <w:jc w:val="center"/>
        <w:rPr>
          <w:rFonts w:hint="eastAsia" w:ascii="仿宋" w:hAnsi="仿宋" w:eastAsia="仿宋" w:cs="仿宋"/>
          <w:b/>
          <w:spacing w:val="6"/>
          <w:sz w:val="32"/>
          <w:szCs w:val="32"/>
        </w:rPr>
      </w:pPr>
    </w:p>
    <w:p w14:paraId="24919552">
      <w:pPr>
        <w:autoSpaceDE w:val="0"/>
        <w:autoSpaceDN w:val="0"/>
        <w:jc w:val="center"/>
        <w:rPr>
          <w:rFonts w:hint="eastAsia" w:ascii="仿宋" w:hAnsi="仿宋" w:eastAsia="仿宋" w:cs="仿宋"/>
          <w:b/>
          <w:spacing w:val="6"/>
          <w:sz w:val="32"/>
          <w:szCs w:val="32"/>
        </w:rPr>
      </w:pPr>
    </w:p>
    <w:p w14:paraId="2AD81157">
      <w:pPr>
        <w:autoSpaceDE w:val="0"/>
        <w:autoSpaceDN w:val="0"/>
        <w:jc w:val="center"/>
        <w:rPr>
          <w:rFonts w:hint="eastAsia" w:ascii="仿宋" w:hAnsi="仿宋" w:eastAsia="仿宋" w:cs="仿宋"/>
          <w:b/>
          <w:spacing w:val="6"/>
          <w:sz w:val="32"/>
          <w:szCs w:val="32"/>
        </w:rPr>
      </w:pPr>
    </w:p>
    <w:p w14:paraId="246208EF">
      <w:pPr>
        <w:autoSpaceDE w:val="0"/>
        <w:autoSpaceDN w:val="0"/>
        <w:jc w:val="center"/>
        <w:rPr>
          <w:rFonts w:hint="eastAsia" w:ascii="仿宋" w:hAnsi="仿宋" w:eastAsia="仿宋" w:cs="仿宋"/>
          <w:b/>
          <w:spacing w:val="6"/>
          <w:sz w:val="32"/>
          <w:szCs w:val="32"/>
        </w:rPr>
      </w:pPr>
    </w:p>
    <w:p w14:paraId="29B4FA57">
      <w:pPr>
        <w:autoSpaceDE w:val="0"/>
        <w:autoSpaceDN w:val="0"/>
        <w:jc w:val="center"/>
        <w:rPr>
          <w:rFonts w:hint="eastAsia" w:ascii="仿宋" w:hAnsi="仿宋" w:eastAsia="仿宋" w:cs="仿宋"/>
          <w:b/>
          <w:spacing w:val="6"/>
          <w:sz w:val="32"/>
          <w:szCs w:val="32"/>
        </w:rPr>
      </w:pPr>
    </w:p>
    <w:p w14:paraId="322B2EC0">
      <w:pPr>
        <w:autoSpaceDE w:val="0"/>
        <w:autoSpaceDN w:val="0"/>
        <w:jc w:val="center"/>
        <w:rPr>
          <w:rFonts w:hint="eastAsia" w:ascii="仿宋" w:hAnsi="仿宋" w:eastAsia="仿宋" w:cs="仿宋"/>
          <w:b/>
          <w:spacing w:val="6"/>
          <w:sz w:val="32"/>
          <w:szCs w:val="32"/>
        </w:rPr>
      </w:pPr>
    </w:p>
    <w:p w14:paraId="7B7B62A1">
      <w:pPr>
        <w:autoSpaceDE w:val="0"/>
        <w:autoSpaceDN w:val="0"/>
        <w:jc w:val="center"/>
        <w:rPr>
          <w:rFonts w:hint="eastAsia" w:ascii="仿宋" w:hAnsi="仿宋" w:eastAsia="仿宋" w:cs="仿宋"/>
          <w:b/>
          <w:spacing w:val="6"/>
          <w:sz w:val="32"/>
          <w:szCs w:val="32"/>
        </w:rPr>
      </w:pPr>
    </w:p>
    <w:p w14:paraId="7D99DA81">
      <w:pPr>
        <w:autoSpaceDE w:val="0"/>
        <w:autoSpaceDN w:val="0"/>
        <w:jc w:val="center"/>
        <w:rPr>
          <w:rFonts w:hint="eastAsia" w:ascii="仿宋" w:hAnsi="仿宋" w:eastAsia="仿宋" w:cs="仿宋"/>
          <w:b/>
          <w:spacing w:val="6"/>
          <w:sz w:val="32"/>
          <w:szCs w:val="32"/>
        </w:rPr>
      </w:pPr>
    </w:p>
    <w:p w14:paraId="4EF2C0C2">
      <w:pPr>
        <w:autoSpaceDE w:val="0"/>
        <w:autoSpaceDN w:val="0"/>
        <w:jc w:val="center"/>
        <w:rPr>
          <w:rFonts w:hint="eastAsia" w:ascii="仿宋" w:hAnsi="仿宋" w:eastAsia="仿宋" w:cs="仿宋"/>
          <w:b/>
          <w:spacing w:val="6"/>
          <w:sz w:val="32"/>
          <w:szCs w:val="32"/>
        </w:rPr>
      </w:pPr>
    </w:p>
    <w:p w14:paraId="372681E0">
      <w:pPr>
        <w:autoSpaceDE w:val="0"/>
        <w:autoSpaceDN w:val="0"/>
        <w:jc w:val="center"/>
        <w:rPr>
          <w:rFonts w:hint="eastAsia" w:ascii="仿宋" w:hAnsi="仿宋" w:eastAsia="仿宋" w:cs="仿宋"/>
          <w:b/>
          <w:spacing w:val="6"/>
          <w:sz w:val="32"/>
          <w:szCs w:val="32"/>
        </w:rPr>
      </w:pPr>
    </w:p>
    <w:p w14:paraId="497C036A">
      <w:pPr>
        <w:autoSpaceDE w:val="0"/>
        <w:autoSpaceDN w:val="0"/>
        <w:jc w:val="center"/>
        <w:rPr>
          <w:rFonts w:hint="eastAsia" w:ascii="仿宋" w:hAnsi="仿宋" w:eastAsia="仿宋" w:cs="仿宋"/>
          <w:b/>
          <w:spacing w:val="6"/>
          <w:sz w:val="32"/>
          <w:szCs w:val="32"/>
        </w:rPr>
      </w:pPr>
    </w:p>
    <w:p w14:paraId="6EB9F33B">
      <w:pPr>
        <w:autoSpaceDE w:val="0"/>
        <w:autoSpaceDN w:val="0"/>
        <w:jc w:val="center"/>
        <w:rPr>
          <w:rFonts w:hint="eastAsia" w:ascii="仿宋" w:hAnsi="仿宋" w:eastAsia="仿宋" w:cs="仿宋"/>
          <w:b/>
          <w:spacing w:val="6"/>
          <w:sz w:val="32"/>
          <w:szCs w:val="32"/>
        </w:rPr>
      </w:pPr>
    </w:p>
    <w:p w14:paraId="65D0D45F">
      <w:pPr>
        <w:autoSpaceDE w:val="0"/>
        <w:autoSpaceDN w:val="0"/>
        <w:jc w:val="center"/>
        <w:rPr>
          <w:rFonts w:hint="eastAsia" w:ascii="仿宋" w:hAnsi="仿宋" w:eastAsia="仿宋" w:cs="仿宋"/>
          <w:b/>
          <w:spacing w:val="6"/>
          <w:sz w:val="32"/>
          <w:szCs w:val="32"/>
        </w:rPr>
      </w:pPr>
    </w:p>
    <w:p w14:paraId="42AF9CB7">
      <w:pPr>
        <w:autoSpaceDE w:val="0"/>
        <w:autoSpaceDN w:val="0"/>
        <w:jc w:val="center"/>
        <w:rPr>
          <w:rFonts w:hint="eastAsia" w:ascii="仿宋" w:hAnsi="仿宋" w:eastAsia="仿宋" w:cs="仿宋"/>
          <w:b/>
          <w:spacing w:val="6"/>
          <w:sz w:val="32"/>
          <w:szCs w:val="32"/>
        </w:rPr>
      </w:pPr>
    </w:p>
    <w:p w14:paraId="09038762">
      <w:pPr>
        <w:autoSpaceDE w:val="0"/>
        <w:autoSpaceDN w:val="0"/>
        <w:jc w:val="center"/>
        <w:rPr>
          <w:rFonts w:hint="eastAsia" w:ascii="仿宋" w:hAnsi="仿宋" w:eastAsia="仿宋" w:cs="仿宋"/>
          <w:b/>
          <w:spacing w:val="6"/>
          <w:sz w:val="32"/>
          <w:szCs w:val="32"/>
        </w:rPr>
      </w:pPr>
    </w:p>
    <w:p w14:paraId="1CD8880D">
      <w:pPr>
        <w:autoSpaceDE w:val="0"/>
        <w:autoSpaceDN w:val="0"/>
        <w:jc w:val="center"/>
        <w:rPr>
          <w:rFonts w:hint="eastAsia" w:ascii="仿宋" w:hAnsi="仿宋" w:eastAsia="仿宋" w:cs="仿宋"/>
          <w:b/>
          <w:spacing w:val="6"/>
          <w:sz w:val="32"/>
          <w:szCs w:val="32"/>
        </w:rPr>
      </w:pPr>
    </w:p>
    <w:p w14:paraId="4BFE5B87">
      <w:pPr>
        <w:autoSpaceDE w:val="0"/>
        <w:autoSpaceDN w:val="0"/>
        <w:jc w:val="center"/>
        <w:rPr>
          <w:rFonts w:hint="eastAsia" w:ascii="仿宋" w:hAnsi="仿宋" w:eastAsia="仿宋" w:cs="仿宋"/>
          <w:b/>
          <w:spacing w:val="6"/>
          <w:sz w:val="32"/>
          <w:szCs w:val="32"/>
        </w:rPr>
      </w:pPr>
    </w:p>
    <w:p w14:paraId="15D34CA3">
      <w:pPr>
        <w:autoSpaceDE w:val="0"/>
        <w:autoSpaceDN w:val="0"/>
        <w:jc w:val="center"/>
        <w:rPr>
          <w:rFonts w:hint="eastAsia" w:ascii="仿宋" w:hAnsi="仿宋" w:eastAsia="仿宋" w:cs="仿宋"/>
          <w:b/>
          <w:spacing w:val="6"/>
          <w:sz w:val="32"/>
          <w:szCs w:val="32"/>
        </w:rPr>
      </w:pPr>
    </w:p>
    <w:p w14:paraId="3DBB76A8">
      <w:pPr>
        <w:autoSpaceDE w:val="0"/>
        <w:autoSpaceDN w:val="0"/>
        <w:jc w:val="center"/>
        <w:rPr>
          <w:rFonts w:hint="eastAsia" w:ascii="仿宋" w:hAnsi="仿宋" w:eastAsia="仿宋" w:cs="仿宋"/>
          <w:b/>
          <w:spacing w:val="6"/>
          <w:sz w:val="32"/>
          <w:szCs w:val="32"/>
        </w:rPr>
      </w:pPr>
    </w:p>
    <w:p w14:paraId="5F31B949">
      <w:pPr>
        <w:autoSpaceDE w:val="0"/>
        <w:autoSpaceDN w:val="0"/>
        <w:jc w:val="center"/>
        <w:rPr>
          <w:rFonts w:hint="eastAsia" w:ascii="仿宋" w:hAnsi="仿宋" w:eastAsia="仿宋" w:cs="仿宋"/>
          <w:b/>
          <w:spacing w:val="6"/>
          <w:sz w:val="32"/>
          <w:szCs w:val="32"/>
        </w:rPr>
      </w:pPr>
    </w:p>
    <w:p w14:paraId="37DB0CBA">
      <w:pPr>
        <w:autoSpaceDE w:val="0"/>
        <w:autoSpaceDN w:val="0"/>
        <w:jc w:val="center"/>
        <w:rPr>
          <w:rFonts w:hint="eastAsia" w:ascii="仿宋" w:hAnsi="仿宋" w:eastAsia="仿宋" w:cs="仿宋"/>
          <w:b/>
          <w:spacing w:val="6"/>
          <w:sz w:val="32"/>
          <w:szCs w:val="32"/>
        </w:rPr>
      </w:pPr>
    </w:p>
    <w:p w14:paraId="7FE8F0FD">
      <w:pPr>
        <w:autoSpaceDE w:val="0"/>
        <w:autoSpaceDN w:val="0"/>
        <w:jc w:val="center"/>
        <w:rPr>
          <w:rFonts w:hint="eastAsia" w:ascii="仿宋" w:hAnsi="仿宋" w:eastAsia="仿宋" w:cs="仿宋"/>
          <w:b/>
          <w:spacing w:val="6"/>
          <w:sz w:val="32"/>
          <w:szCs w:val="32"/>
        </w:rPr>
      </w:pPr>
    </w:p>
    <w:p w14:paraId="19095465">
      <w:pPr>
        <w:autoSpaceDE w:val="0"/>
        <w:autoSpaceDN w:val="0"/>
        <w:jc w:val="center"/>
        <w:rPr>
          <w:rFonts w:hint="eastAsia" w:ascii="仿宋" w:hAnsi="仿宋" w:eastAsia="仿宋" w:cs="仿宋"/>
          <w:b/>
          <w:spacing w:val="6"/>
          <w:sz w:val="32"/>
          <w:szCs w:val="32"/>
        </w:rPr>
      </w:pPr>
    </w:p>
    <w:p w14:paraId="497BBC51">
      <w:pPr>
        <w:autoSpaceDE w:val="0"/>
        <w:autoSpaceDN w:val="0"/>
        <w:jc w:val="center"/>
        <w:rPr>
          <w:rFonts w:hint="eastAsia" w:ascii="仿宋" w:hAnsi="仿宋" w:eastAsia="仿宋" w:cs="仿宋"/>
          <w:b/>
          <w:spacing w:val="6"/>
          <w:sz w:val="32"/>
          <w:szCs w:val="32"/>
        </w:rPr>
      </w:pPr>
    </w:p>
    <w:p w14:paraId="37A5BA26">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附件6：分包意向协议</w:t>
      </w:r>
    </w:p>
    <w:p w14:paraId="5A8995A8">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5B9437F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239BD5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F7A456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75DE590">
      <w:pPr>
        <w:pStyle w:val="4"/>
        <w:ind w:left="664" w:leftChars="316" w:firstLine="228" w:firstLineChars="95"/>
        <w:rPr>
          <w:rFonts w:hint="eastAsia" w:ascii="仿宋" w:hAnsi="仿宋" w:cs="仿宋"/>
          <w:b w:val="0"/>
          <w:bCs w:val="0"/>
          <w:kern w:val="0"/>
          <w:sz w:val="24"/>
          <w:szCs w:val="24"/>
          <w:lang w:val="en-US"/>
        </w:rPr>
      </w:pPr>
      <w:r>
        <w:rPr>
          <w:rFonts w:hint="eastAsia" w:ascii="仿宋" w:hAnsi="仿宋" w:cs="仿宋"/>
          <w:b w:val="0"/>
          <w:bCs w:val="0"/>
          <w:kern w:val="0"/>
          <w:sz w:val="24"/>
          <w:szCs w:val="24"/>
          <w:lang w:val="en-US"/>
        </w:rPr>
        <w:t>……</w:t>
      </w:r>
    </w:p>
    <w:p w14:paraId="0D964D3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71363A58">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5842E7A0">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54"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54"/>
    </w:p>
    <w:p w14:paraId="3145FA3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2D7082C7">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4EB4ADB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158AA68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A6DB91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2C52720D">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4596CC10">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0CF55E8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A2D4C5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459007E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1157B1F">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3377FD26">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1C2205D9">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EDA61C7">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BF3FE7E">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2E37C16">
      <w:pPr>
        <w:autoSpaceDE w:val="0"/>
        <w:autoSpaceDN w:val="0"/>
        <w:jc w:val="center"/>
        <w:rPr>
          <w:rFonts w:hint="eastAsia" w:ascii="仿宋" w:hAnsi="仿宋" w:eastAsia="仿宋" w:cs="仿宋"/>
          <w:b/>
          <w:spacing w:val="6"/>
          <w:sz w:val="32"/>
          <w:szCs w:val="32"/>
        </w:rPr>
      </w:pPr>
    </w:p>
    <w:p w14:paraId="1FF8E925">
      <w:pPr>
        <w:autoSpaceDE w:val="0"/>
        <w:autoSpaceDN w:val="0"/>
        <w:jc w:val="center"/>
        <w:rPr>
          <w:rFonts w:hint="eastAsia" w:ascii="仿宋" w:hAnsi="仿宋" w:eastAsia="仿宋" w:cs="仿宋"/>
          <w:b/>
          <w:spacing w:val="6"/>
          <w:sz w:val="32"/>
          <w:szCs w:val="32"/>
        </w:rPr>
      </w:pPr>
    </w:p>
    <w:p w14:paraId="19704E4B">
      <w:pPr>
        <w:autoSpaceDE w:val="0"/>
        <w:autoSpaceDN w:val="0"/>
        <w:jc w:val="center"/>
        <w:rPr>
          <w:rFonts w:hint="eastAsia" w:ascii="仿宋" w:hAnsi="仿宋" w:eastAsia="仿宋" w:cs="仿宋"/>
          <w:b/>
          <w:spacing w:val="6"/>
          <w:sz w:val="32"/>
          <w:szCs w:val="32"/>
        </w:rPr>
      </w:pPr>
    </w:p>
    <w:p w14:paraId="7AAA679F">
      <w:pPr>
        <w:autoSpaceDE w:val="0"/>
        <w:autoSpaceDN w:val="0"/>
        <w:jc w:val="center"/>
        <w:rPr>
          <w:rFonts w:hint="eastAsia" w:ascii="仿宋" w:hAnsi="仿宋" w:eastAsia="仿宋" w:cs="仿宋"/>
          <w:b/>
          <w:spacing w:val="6"/>
          <w:sz w:val="32"/>
          <w:szCs w:val="32"/>
        </w:rPr>
      </w:pPr>
    </w:p>
    <w:p w14:paraId="13C06CD8">
      <w:pPr>
        <w:autoSpaceDE w:val="0"/>
        <w:autoSpaceDN w:val="0"/>
        <w:jc w:val="center"/>
        <w:rPr>
          <w:rFonts w:hint="eastAsia" w:ascii="仿宋" w:hAnsi="仿宋" w:eastAsia="仿宋" w:cs="仿宋"/>
          <w:b/>
          <w:spacing w:val="6"/>
          <w:sz w:val="32"/>
          <w:szCs w:val="32"/>
        </w:rPr>
      </w:pPr>
    </w:p>
    <w:p w14:paraId="4960A42E">
      <w:pPr>
        <w:autoSpaceDE w:val="0"/>
        <w:autoSpaceDN w:val="0"/>
        <w:jc w:val="center"/>
        <w:rPr>
          <w:rFonts w:hint="eastAsia" w:ascii="仿宋" w:hAnsi="仿宋" w:eastAsia="仿宋" w:cs="仿宋"/>
          <w:b/>
          <w:spacing w:val="6"/>
          <w:sz w:val="32"/>
          <w:szCs w:val="32"/>
        </w:rPr>
      </w:pPr>
    </w:p>
    <w:p w14:paraId="5FB1E3C1">
      <w:pPr>
        <w:autoSpaceDE w:val="0"/>
        <w:autoSpaceDN w:val="0"/>
        <w:jc w:val="center"/>
        <w:rPr>
          <w:rFonts w:hint="eastAsia" w:ascii="仿宋" w:hAnsi="仿宋" w:eastAsia="仿宋" w:cs="仿宋"/>
          <w:b/>
          <w:spacing w:val="6"/>
          <w:sz w:val="32"/>
          <w:szCs w:val="32"/>
        </w:rPr>
      </w:pPr>
    </w:p>
    <w:p w14:paraId="142977EA">
      <w:pPr>
        <w:autoSpaceDE w:val="0"/>
        <w:autoSpaceDN w:val="0"/>
        <w:jc w:val="center"/>
        <w:rPr>
          <w:rFonts w:hint="eastAsia" w:ascii="仿宋" w:hAnsi="仿宋" w:eastAsia="仿宋" w:cs="仿宋"/>
          <w:b/>
          <w:spacing w:val="6"/>
          <w:sz w:val="32"/>
          <w:szCs w:val="32"/>
        </w:rPr>
      </w:pPr>
    </w:p>
    <w:p w14:paraId="7ACBE2E6">
      <w:pPr>
        <w:autoSpaceDE w:val="0"/>
        <w:autoSpaceDN w:val="0"/>
        <w:jc w:val="center"/>
        <w:rPr>
          <w:rFonts w:hint="eastAsia" w:ascii="仿宋" w:hAnsi="仿宋" w:eastAsia="仿宋" w:cs="仿宋"/>
          <w:b/>
          <w:spacing w:val="6"/>
          <w:sz w:val="32"/>
          <w:szCs w:val="32"/>
        </w:rPr>
      </w:pPr>
    </w:p>
    <w:p w14:paraId="5066F9AD">
      <w:pPr>
        <w:autoSpaceDE w:val="0"/>
        <w:autoSpaceDN w:val="0"/>
        <w:jc w:val="center"/>
        <w:rPr>
          <w:rFonts w:hint="eastAsia" w:ascii="仿宋" w:hAnsi="仿宋" w:eastAsia="仿宋" w:cs="仿宋"/>
          <w:b/>
          <w:spacing w:val="6"/>
          <w:sz w:val="32"/>
          <w:szCs w:val="32"/>
        </w:rPr>
      </w:pPr>
    </w:p>
    <w:p w14:paraId="6F9110A7">
      <w:pPr>
        <w:autoSpaceDE w:val="0"/>
        <w:autoSpaceDN w:val="0"/>
        <w:jc w:val="center"/>
        <w:rPr>
          <w:rFonts w:hint="eastAsia" w:ascii="仿宋" w:hAnsi="仿宋" w:eastAsia="仿宋" w:cs="仿宋"/>
          <w:b/>
          <w:spacing w:val="6"/>
          <w:sz w:val="32"/>
          <w:szCs w:val="32"/>
        </w:rPr>
      </w:pPr>
    </w:p>
    <w:p w14:paraId="60205143">
      <w:pPr>
        <w:autoSpaceDE w:val="0"/>
        <w:autoSpaceDN w:val="0"/>
        <w:jc w:val="center"/>
        <w:rPr>
          <w:rFonts w:hint="eastAsia" w:ascii="仿宋" w:hAnsi="仿宋" w:eastAsia="仿宋" w:cs="仿宋"/>
          <w:b/>
          <w:spacing w:val="6"/>
          <w:sz w:val="32"/>
          <w:szCs w:val="32"/>
        </w:rPr>
      </w:pPr>
    </w:p>
    <w:p w14:paraId="12473584">
      <w:pPr>
        <w:autoSpaceDE w:val="0"/>
        <w:autoSpaceDN w:val="0"/>
        <w:jc w:val="center"/>
        <w:rPr>
          <w:rFonts w:hint="eastAsia" w:ascii="仿宋" w:hAnsi="仿宋" w:eastAsia="仿宋" w:cs="仿宋"/>
          <w:b/>
          <w:spacing w:val="6"/>
          <w:sz w:val="32"/>
          <w:szCs w:val="32"/>
        </w:rPr>
      </w:pPr>
    </w:p>
    <w:p w14:paraId="312394EF">
      <w:pPr>
        <w:autoSpaceDE w:val="0"/>
        <w:autoSpaceDN w:val="0"/>
        <w:jc w:val="center"/>
        <w:rPr>
          <w:rFonts w:hint="eastAsia" w:ascii="仿宋" w:hAnsi="仿宋" w:eastAsia="仿宋" w:cs="仿宋"/>
          <w:b/>
          <w:spacing w:val="6"/>
          <w:sz w:val="32"/>
          <w:szCs w:val="32"/>
        </w:rPr>
      </w:pPr>
    </w:p>
    <w:p w14:paraId="4F513983">
      <w:pPr>
        <w:autoSpaceDE w:val="0"/>
        <w:autoSpaceDN w:val="0"/>
        <w:jc w:val="center"/>
        <w:rPr>
          <w:rFonts w:hint="eastAsia" w:ascii="仿宋" w:hAnsi="仿宋" w:eastAsia="仿宋" w:cs="仿宋"/>
          <w:b/>
          <w:spacing w:val="6"/>
          <w:sz w:val="32"/>
          <w:szCs w:val="32"/>
        </w:rPr>
      </w:pPr>
    </w:p>
    <w:p w14:paraId="46A18C5B">
      <w:pPr>
        <w:autoSpaceDE w:val="0"/>
        <w:autoSpaceDN w:val="0"/>
        <w:jc w:val="center"/>
        <w:rPr>
          <w:rFonts w:hint="eastAsia" w:ascii="仿宋" w:hAnsi="仿宋" w:eastAsia="仿宋" w:cs="仿宋"/>
          <w:b/>
          <w:spacing w:val="6"/>
          <w:sz w:val="32"/>
          <w:szCs w:val="32"/>
        </w:rPr>
      </w:pPr>
    </w:p>
    <w:p w14:paraId="111E0C3D">
      <w:pPr>
        <w:autoSpaceDE w:val="0"/>
        <w:autoSpaceDN w:val="0"/>
        <w:jc w:val="center"/>
        <w:rPr>
          <w:rFonts w:hint="eastAsia" w:ascii="仿宋" w:hAnsi="仿宋" w:eastAsia="仿宋" w:cs="仿宋"/>
          <w:b/>
          <w:spacing w:val="6"/>
          <w:sz w:val="32"/>
          <w:szCs w:val="32"/>
        </w:rPr>
      </w:pPr>
    </w:p>
    <w:p w14:paraId="4F61454A">
      <w:pPr>
        <w:autoSpaceDE w:val="0"/>
        <w:autoSpaceDN w:val="0"/>
        <w:jc w:val="center"/>
        <w:rPr>
          <w:rFonts w:hint="eastAsia" w:ascii="仿宋" w:hAnsi="仿宋" w:eastAsia="仿宋" w:cs="仿宋"/>
          <w:b/>
          <w:spacing w:val="6"/>
          <w:sz w:val="32"/>
          <w:szCs w:val="32"/>
        </w:rPr>
      </w:pPr>
    </w:p>
    <w:p w14:paraId="31AE49CF">
      <w:pPr>
        <w:autoSpaceDE w:val="0"/>
        <w:autoSpaceDN w:val="0"/>
        <w:jc w:val="center"/>
        <w:rPr>
          <w:rFonts w:hint="eastAsia" w:ascii="仿宋" w:hAnsi="仿宋" w:eastAsia="仿宋" w:cs="仿宋"/>
          <w:b/>
          <w:spacing w:val="6"/>
          <w:sz w:val="32"/>
          <w:szCs w:val="32"/>
        </w:rPr>
      </w:pPr>
    </w:p>
    <w:p w14:paraId="286EB53D">
      <w:pPr>
        <w:autoSpaceDE w:val="0"/>
        <w:autoSpaceDN w:val="0"/>
        <w:jc w:val="center"/>
        <w:rPr>
          <w:rFonts w:hint="eastAsia" w:ascii="仿宋" w:hAnsi="仿宋" w:eastAsia="仿宋" w:cs="仿宋"/>
          <w:b/>
          <w:spacing w:val="6"/>
          <w:sz w:val="32"/>
          <w:szCs w:val="32"/>
        </w:rPr>
      </w:pPr>
    </w:p>
    <w:p w14:paraId="7DF8ED04">
      <w:pPr>
        <w:autoSpaceDE w:val="0"/>
        <w:autoSpaceDN w:val="0"/>
        <w:jc w:val="center"/>
        <w:rPr>
          <w:rFonts w:hint="eastAsia" w:ascii="仿宋" w:hAnsi="仿宋" w:eastAsia="仿宋" w:cs="仿宋"/>
          <w:b/>
          <w:spacing w:val="6"/>
          <w:sz w:val="32"/>
          <w:szCs w:val="32"/>
        </w:rPr>
      </w:pPr>
    </w:p>
    <w:p w14:paraId="104B26AC">
      <w:pPr>
        <w:autoSpaceDE w:val="0"/>
        <w:autoSpaceDN w:val="0"/>
        <w:jc w:val="center"/>
        <w:rPr>
          <w:rFonts w:hint="eastAsia" w:ascii="仿宋" w:hAnsi="仿宋" w:eastAsia="仿宋" w:cs="仿宋"/>
          <w:b/>
          <w:spacing w:val="6"/>
          <w:sz w:val="32"/>
          <w:szCs w:val="32"/>
        </w:rPr>
      </w:pPr>
    </w:p>
    <w:p w14:paraId="524CB4D5">
      <w:pPr>
        <w:autoSpaceDE w:val="0"/>
        <w:autoSpaceDN w:val="0"/>
        <w:jc w:val="center"/>
        <w:rPr>
          <w:rFonts w:hint="eastAsia" w:ascii="仿宋" w:hAnsi="仿宋" w:eastAsia="仿宋" w:cs="仿宋"/>
          <w:b/>
          <w:spacing w:val="6"/>
          <w:sz w:val="32"/>
          <w:szCs w:val="32"/>
        </w:rPr>
      </w:pPr>
    </w:p>
    <w:p w14:paraId="74A42B1C">
      <w:pPr>
        <w:autoSpaceDE w:val="0"/>
        <w:autoSpaceDN w:val="0"/>
        <w:jc w:val="center"/>
        <w:rPr>
          <w:rFonts w:hint="eastAsia" w:ascii="仿宋" w:hAnsi="仿宋" w:eastAsia="仿宋" w:cs="仿宋"/>
          <w:b/>
          <w:spacing w:val="6"/>
          <w:sz w:val="32"/>
          <w:szCs w:val="32"/>
        </w:rPr>
      </w:pPr>
    </w:p>
    <w:p w14:paraId="0DF7E280">
      <w:pPr>
        <w:autoSpaceDE w:val="0"/>
        <w:autoSpaceDN w:val="0"/>
        <w:jc w:val="center"/>
        <w:rPr>
          <w:rFonts w:hint="eastAsia" w:ascii="仿宋" w:hAnsi="仿宋" w:eastAsia="仿宋" w:cs="仿宋"/>
          <w:b/>
          <w:spacing w:val="6"/>
          <w:sz w:val="32"/>
          <w:szCs w:val="32"/>
        </w:rPr>
      </w:pPr>
    </w:p>
    <w:p w14:paraId="526FC752">
      <w:pPr>
        <w:autoSpaceDE w:val="0"/>
        <w:autoSpaceDN w:val="0"/>
        <w:jc w:val="center"/>
        <w:rPr>
          <w:rFonts w:hint="eastAsia" w:ascii="仿宋" w:hAnsi="仿宋" w:eastAsia="仿宋" w:cs="仿宋"/>
          <w:b/>
          <w:spacing w:val="6"/>
          <w:sz w:val="32"/>
          <w:szCs w:val="32"/>
        </w:rPr>
      </w:pPr>
    </w:p>
    <w:p w14:paraId="37E37D27">
      <w:pPr>
        <w:autoSpaceDE w:val="0"/>
        <w:autoSpaceDN w:val="0"/>
        <w:jc w:val="center"/>
        <w:rPr>
          <w:rFonts w:hint="eastAsia" w:ascii="仿宋" w:hAnsi="仿宋" w:eastAsia="仿宋" w:cs="仿宋"/>
          <w:b/>
          <w:spacing w:val="6"/>
          <w:sz w:val="32"/>
          <w:szCs w:val="32"/>
        </w:rPr>
      </w:pPr>
    </w:p>
    <w:p w14:paraId="466EA25C">
      <w:pPr>
        <w:autoSpaceDE w:val="0"/>
        <w:autoSpaceDN w:val="0"/>
        <w:jc w:val="center"/>
        <w:rPr>
          <w:rFonts w:hint="eastAsia" w:ascii="仿宋" w:hAnsi="仿宋" w:eastAsia="仿宋" w:cs="仿宋"/>
          <w:b/>
          <w:spacing w:val="6"/>
          <w:sz w:val="32"/>
          <w:szCs w:val="32"/>
        </w:rPr>
      </w:pPr>
    </w:p>
    <w:p w14:paraId="74FB2B9B">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4DED178E">
      <w:pPr>
        <w:snapToGrid w:val="0"/>
        <w:spacing w:line="360" w:lineRule="auto"/>
        <w:outlineLvl w:val="0"/>
        <w:rPr>
          <w:rFonts w:hint="eastAsia" w:ascii="仿宋" w:hAnsi="仿宋" w:eastAsia="仿宋" w:cs="仿宋"/>
          <w:b/>
          <w:kern w:val="0"/>
          <w:sz w:val="44"/>
          <w:szCs w:val="44"/>
        </w:rPr>
      </w:pPr>
      <w:r>
        <w:rPr>
          <w:rFonts w:hint="eastAsia" w:ascii="仿宋" w:hAnsi="仿宋" w:eastAsia="仿宋" w:cs="仿宋"/>
          <w:b/>
          <w:kern w:val="0"/>
          <w:sz w:val="44"/>
          <w:szCs w:val="44"/>
        </w:rPr>
        <w:t>附件7：中小企业声明函</w:t>
      </w:r>
    </w:p>
    <w:p w14:paraId="462ED548">
      <w:pPr>
        <w:spacing w:line="360" w:lineRule="auto"/>
        <w:jc w:val="center"/>
        <w:rPr>
          <w:rFonts w:hint="eastAsia" w:ascii="仿宋" w:hAnsi="仿宋" w:eastAsia="仿宋" w:cs="仿宋"/>
          <w:sz w:val="24"/>
          <w:u w:val="single"/>
        </w:rPr>
      </w:pPr>
    </w:p>
    <w:p w14:paraId="5B9EF00D">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3CE4087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 xml:space="preserve">的 </w:t>
      </w:r>
      <w:r>
        <w:rPr>
          <w:rFonts w:hint="eastAsia" w:ascii="仿宋" w:hAnsi="仿宋" w:eastAsia="仿宋" w:cs="仿宋"/>
          <w:color w:val="0000FF"/>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14:paraId="6A3CA9C2">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color w:val="0000FF"/>
          <w:sz w:val="24"/>
          <w:u w:val="single"/>
        </w:rPr>
        <w:t>（标的名称）</w:t>
      </w:r>
      <w:r>
        <w:rPr>
          <w:rFonts w:hint="eastAsia" w:ascii="仿宋" w:hAnsi="仿宋" w:eastAsia="仿宋" w:cs="仿宋"/>
          <w:sz w:val="24"/>
        </w:rPr>
        <w:t xml:space="preserve"> ，属于</w:t>
      </w:r>
      <w:r>
        <w:rPr>
          <w:rFonts w:hint="eastAsia" w:ascii="仿宋" w:hAnsi="仿宋" w:eastAsia="仿宋" w:cs="仿宋"/>
          <w:color w:val="0000FF"/>
          <w:sz w:val="24"/>
        </w:rPr>
        <w:t xml:space="preserve"> </w:t>
      </w:r>
      <w:r>
        <w:rPr>
          <w:rFonts w:hint="eastAsia" w:ascii="仿宋" w:hAnsi="仿宋" w:eastAsia="仿宋" w:cs="仿宋"/>
          <w:color w:val="0000FF"/>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335FE4C1">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color w:val="0000FF"/>
          <w:sz w:val="24"/>
          <w:u w:val="single"/>
        </w:rPr>
        <w:t>（标的名称）</w:t>
      </w:r>
      <w:r>
        <w:rPr>
          <w:rFonts w:hint="eastAsia" w:ascii="仿宋" w:hAnsi="仿宋" w:eastAsia="仿宋" w:cs="仿宋"/>
          <w:sz w:val="24"/>
        </w:rPr>
        <w:t xml:space="preserve"> ，属于 </w:t>
      </w:r>
      <w:r>
        <w:rPr>
          <w:rFonts w:hint="eastAsia" w:ascii="仿宋" w:hAnsi="仿宋" w:eastAsia="仿宋" w:cs="仿宋"/>
          <w:color w:val="0000FF"/>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216A8352">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p>
    <w:p w14:paraId="5B727775">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C2C899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C816D30">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21A0E1A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201C842">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74894D70">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3522F13E">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D983E1A">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70A967">
      <w:pPr>
        <w:spacing w:line="360" w:lineRule="auto"/>
        <w:jc w:val="center"/>
        <w:rPr>
          <w:rFonts w:hint="eastAsia" w:ascii="仿宋" w:hAnsi="仿宋" w:eastAsia="仿宋" w:cs="仿宋"/>
          <w:b/>
          <w:sz w:val="32"/>
          <w:szCs w:val="32"/>
        </w:rPr>
      </w:pPr>
    </w:p>
    <w:p w14:paraId="2E3EAEEC">
      <w:pPr>
        <w:spacing w:line="360" w:lineRule="auto"/>
        <w:jc w:val="center"/>
        <w:rPr>
          <w:rFonts w:hint="eastAsia" w:ascii="仿宋" w:hAnsi="仿宋" w:eastAsia="仿宋" w:cs="仿宋"/>
          <w:b/>
          <w:sz w:val="32"/>
          <w:szCs w:val="32"/>
        </w:rPr>
      </w:pPr>
    </w:p>
    <w:p w14:paraId="6E5BF53C">
      <w:pPr>
        <w:spacing w:line="360" w:lineRule="auto"/>
        <w:jc w:val="center"/>
        <w:rPr>
          <w:rFonts w:hint="eastAsia" w:ascii="仿宋" w:hAnsi="仿宋" w:eastAsia="仿宋" w:cs="仿宋"/>
          <w:b/>
          <w:sz w:val="32"/>
          <w:szCs w:val="32"/>
        </w:rPr>
      </w:pPr>
    </w:p>
    <w:p w14:paraId="55AE05DA">
      <w:pPr>
        <w:spacing w:line="360" w:lineRule="auto"/>
        <w:jc w:val="center"/>
        <w:rPr>
          <w:rFonts w:hint="eastAsia" w:ascii="仿宋" w:hAnsi="仿宋" w:eastAsia="仿宋" w:cs="仿宋"/>
          <w:b/>
          <w:sz w:val="32"/>
          <w:szCs w:val="32"/>
        </w:rPr>
      </w:pPr>
    </w:p>
    <w:p w14:paraId="4ABE5EA5">
      <w:pPr>
        <w:spacing w:line="360" w:lineRule="auto"/>
        <w:jc w:val="center"/>
        <w:rPr>
          <w:rFonts w:hint="eastAsia" w:ascii="仿宋" w:hAnsi="仿宋" w:eastAsia="仿宋" w:cs="仿宋"/>
          <w:b/>
          <w:sz w:val="32"/>
          <w:szCs w:val="32"/>
        </w:rPr>
      </w:pPr>
    </w:p>
    <w:p w14:paraId="39F1CDBE">
      <w:pPr>
        <w:spacing w:line="360" w:lineRule="auto"/>
        <w:jc w:val="center"/>
        <w:rPr>
          <w:rFonts w:hint="eastAsia" w:ascii="仿宋" w:hAnsi="仿宋" w:eastAsia="仿宋" w:cs="仿宋"/>
          <w:b/>
          <w:sz w:val="32"/>
          <w:szCs w:val="32"/>
        </w:rPr>
      </w:pPr>
    </w:p>
    <w:p w14:paraId="5A24DB66">
      <w:pPr>
        <w:spacing w:line="360" w:lineRule="auto"/>
        <w:jc w:val="center"/>
        <w:rPr>
          <w:rFonts w:hint="eastAsia" w:ascii="仿宋" w:hAnsi="仿宋" w:eastAsia="仿宋" w:cs="仿宋"/>
          <w:b/>
          <w:sz w:val="32"/>
          <w:szCs w:val="32"/>
        </w:rPr>
      </w:pPr>
    </w:p>
    <w:p w14:paraId="25EDB6A7">
      <w:pPr>
        <w:spacing w:line="360" w:lineRule="auto"/>
        <w:jc w:val="center"/>
        <w:rPr>
          <w:rFonts w:hint="eastAsia" w:ascii="仿宋" w:hAnsi="仿宋" w:eastAsia="仿宋" w:cs="仿宋"/>
          <w:b/>
          <w:sz w:val="32"/>
          <w:szCs w:val="32"/>
        </w:rPr>
      </w:pPr>
    </w:p>
    <w:p w14:paraId="256EF407">
      <w:pPr>
        <w:spacing w:line="360" w:lineRule="auto"/>
        <w:jc w:val="center"/>
        <w:rPr>
          <w:rFonts w:hint="eastAsia" w:ascii="仿宋" w:hAnsi="仿宋" w:eastAsia="仿宋" w:cs="仿宋"/>
          <w:b/>
          <w:sz w:val="32"/>
          <w:szCs w:val="32"/>
        </w:rPr>
      </w:pPr>
    </w:p>
    <w:p w14:paraId="612F6DBE">
      <w:pPr>
        <w:spacing w:line="360" w:lineRule="auto"/>
        <w:jc w:val="center"/>
        <w:rPr>
          <w:rFonts w:hint="eastAsia" w:ascii="仿宋" w:hAnsi="仿宋" w:eastAsia="仿宋" w:cs="仿宋"/>
          <w:b/>
          <w:sz w:val="32"/>
          <w:szCs w:val="32"/>
        </w:rPr>
      </w:pPr>
    </w:p>
    <w:p w14:paraId="049498FE">
      <w:pPr>
        <w:spacing w:line="360" w:lineRule="auto"/>
        <w:jc w:val="center"/>
        <w:rPr>
          <w:rFonts w:hint="eastAsia" w:ascii="仿宋" w:hAnsi="仿宋" w:eastAsia="仿宋" w:cs="仿宋"/>
          <w:b/>
          <w:sz w:val="32"/>
          <w:szCs w:val="32"/>
        </w:rPr>
      </w:pPr>
    </w:p>
    <w:p w14:paraId="2DBF1CE4">
      <w:pPr>
        <w:spacing w:line="360" w:lineRule="auto"/>
        <w:jc w:val="center"/>
        <w:rPr>
          <w:rFonts w:hint="eastAsia" w:ascii="仿宋" w:hAnsi="仿宋" w:eastAsia="仿宋" w:cs="仿宋"/>
          <w:b/>
          <w:sz w:val="32"/>
          <w:szCs w:val="32"/>
        </w:rPr>
      </w:pPr>
    </w:p>
    <w:p w14:paraId="36A08E29">
      <w:pPr>
        <w:spacing w:line="360" w:lineRule="auto"/>
        <w:jc w:val="center"/>
        <w:rPr>
          <w:rFonts w:hint="eastAsia" w:ascii="仿宋" w:hAnsi="仿宋" w:eastAsia="仿宋" w:cs="仿宋"/>
          <w:b/>
          <w:sz w:val="32"/>
          <w:szCs w:val="32"/>
        </w:rPr>
      </w:pPr>
    </w:p>
    <w:p w14:paraId="3A94519C">
      <w:pPr>
        <w:spacing w:line="360" w:lineRule="auto"/>
        <w:jc w:val="center"/>
        <w:rPr>
          <w:rFonts w:hint="eastAsia" w:ascii="仿宋" w:hAnsi="仿宋" w:eastAsia="仿宋" w:cs="仿宋"/>
          <w:b/>
          <w:sz w:val="32"/>
          <w:szCs w:val="32"/>
        </w:rPr>
      </w:pPr>
    </w:p>
    <w:p w14:paraId="0609C09E">
      <w:pPr>
        <w:spacing w:line="360" w:lineRule="auto"/>
        <w:jc w:val="center"/>
        <w:rPr>
          <w:rFonts w:hint="eastAsia" w:ascii="仿宋" w:hAnsi="仿宋" w:eastAsia="仿宋" w:cs="仿宋"/>
          <w:b/>
          <w:sz w:val="32"/>
          <w:szCs w:val="32"/>
        </w:rPr>
      </w:pPr>
    </w:p>
    <w:p w14:paraId="76074BA4">
      <w:pPr>
        <w:spacing w:line="360" w:lineRule="auto"/>
        <w:jc w:val="center"/>
        <w:rPr>
          <w:rFonts w:hint="eastAsia" w:ascii="仿宋" w:hAnsi="仿宋" w:eastAsia="仿宋" w:cs="仿宋"/>
          <w:b/>
          <w:sz w:val="32"/>
          <w:szCs w:val="32"/>
        </w:rPr>
      </w:pPr>
    </w:p>
    <w:p w14:paraId="2F79E20A">
      <w:pPr>
        <w:spacing w:line="360" w:lineRule="auto"/>
        <w:jc w:val="center"/>
        <w:rPr>
          <w:rFonts w:hint="eastAsia" w:ascii="仿宋" w:hAnsi="仿宋" w:eastAsia="仿宋" w:cs="仿宋"/>
          <w:b/>
          <w:sz w:val="32"/>
          <w:szCs w:val="32"/>
        </w:rPr>
      </w:pPr>
    </w:p>
    <w:p w14:paraId="1178038F">
      <w:pPr>
        <w:spacing w:line="360" w:lineRule="auto"/>
        <w:rPr>
          <w:rFonts w:hint="eastAsia" w:ascii="仿宋" w:hAnsi="仿宋" w:eastAsia="仿宋" w:cs="仿宋"/>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宋体"/>
    <w:panose1 w:val="00000000000000000000"/>
    <w:charset w:val="86"/>
    <w:family w:val="auto"/>
    <w:pitch w:val="default"/>
    <w:sig w:usb0="00000000" w:usb1="00000000" w:usb2="00000000" w:usb3="00000000" w:csb0="000001FB"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Microsoft JhengHei">
    <w:panose1 w:val="020B0604030504040204"/>
    <w:charset w:val="88"/>
    <w:family w:val="swiss"/>
    <w:pitch w:val="default"/>
    <w:sig w:usb0="00000087" w:usb1="28AF4000" w:usb2="00000016" w:usb3="00000000" w:csb0="00100009"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8A93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E5C2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B3974">
    <w:pPr>
      <w:pStyle w:val="42"/>
      <w:framePr w:wrap="around" w:vAnchor="text" w:hAnchor="margin" w:xAlign="right" w:y="1"/>
      <w:rPr>
        <w:rStyle w:val="73"/>
      </w:rPr>
    </w:pPr>
    <w:r>
      <w:fldChar w:fldCharType="begin"/>
    </w:r>
    <w:r>
      <w:rPr>
        <w:rStyle w:val="73"/>
      </w:rPr>
      <w:instrText xml:space="preserve">PAGE  </w:instrText>
    </w:r>
    <w:r>
      <w:fldChar w:fldCharType="end"/>
    </w:r>
  </w:p>
  <w:p w14:paraId="581DD328">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A7E3">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136</w:t>
    </w:r>
    <w:r>
      <w:rPr>
        <w:rFonts w:hint="eastAsia" w:ascii="仿宋_GB2312" w:eastAsia="仿宋_GB2312"/>
        <w:kern w:val="0"/>
        <w:szCs w:val="21"/>
      </w:rPr>
      <w:fldChar w:fldCharType="end"/>
    </w:r>
    <w:bookmarkStart w:id="555" w:name="_Toc91899912"/>
    <w:bookmarkStart w:id="556" w:name="_Toc164085800"/>
    <w:bookmarkStart w:id="557" w:name="_Toc36110187"/>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C86E9">
    <w:pPr>
      <w:pStyle w:val="42"/>
      <w:framePr w:wrap="around" w:vAnchor="text" w:hAnchor="margin" w:xAlign="right" w:y="1"/>
      <w:rPr>
        <w:rStyle w:val="73"/>
      </w:rPr>
    </w:pPr>
    <w:r>
      <w:fldChar w:fldCharType="begin"/>
    </w:r>
    <w:r>
      <w:rPr>
        <w:rStyle w:val="73"/>
      </w:rPr>
      <w:instrText xml:space="preserve">PAGE  </w:instrText>
    </w:r>
    <w:r>
      <w:fldChar w:fldCharType="end"/>
    </w:r>
  </w:p>
  <w:p w14:paraId="4D73593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3ED1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CA354">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7C481">
                          <w:pPr>
                            <w:pStyle w:val="42"/>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697C481">
                    <w:pPr>
                      <w:pStyle w:val="42"/>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v:textbox>
            </v:shape>
          </w:pict>
        </mc:Fallback>
      </mc:AlternateContent>
    </w:r>
  </w:p>
  <w:p w14:paraId="2C4E3D5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1D989">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D646E">
                          <w:pPr>
                            <w:pStyle w:val="42"/>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E3D646E">
                    <w:pPr>
                      <w:pStyle w:val="42"/>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v:textbox>
            </v:shape>
          </w:pict>
        </mc:Fallback>
      </mc:AlternateContent>
    </w:r>
  </w:p>
  <w:p w14:paraId="5019393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5EF0">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96608">
                          <w:pPr>
                            <w:pStyle w:val="42"/>
                          </w:pPr>
                          <w:r>
                            <w:t xml:space="preserve">第 </w:t>
                          </w:r>
                          <w:r>
                            <w:fldChar w:fldCharType="begin"/>
                          </w:r>
                          <w:r>
                            <w:instrText xml:space="preserve"> PAGE  \* MERGEFORMAT </w:instrText>
                          </w:r>
                          <w:r>
                            <w:fldChar w:fldCharType="separate"/>
                          </w:r>
                          <w:r>
                            <w:t>120</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5196608">
                    <w:pPr>
                      <w:pStyle w:val="42"/>
                    </w:pPr>
                    <w:r>
                      <w:t xml:space="preserve">第 </w:t>
                    </w:r>
                    <w:r>
                      <w:fldChar w:fldCharType="begin"/>
                    </w:r>
                    <w:r>
                      <w:instrText xml:space="preserve"> PAGE  \* MERGEFORMAT </w:instrText>
                    </w:r>
                    <w:r>
                      <w:fldChar w:fldCharType="separate"/>
                    </w:r>
                    <w:r>
                      <w:t>120</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v:textbox>
            </v:shape>
          </w:pict>
        </mc:Fallback>
      </mc:AlternateContent>
    </w:r>
  </w:p>
  <w:p w14:paraId="764E405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B833">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83E73">
                          <w:pPr>
                            <w:pStyle w:val="42"/>
                          </w:pPr>
                          <w:r>
                            <w:t xml:space="preserve">第 </w:t>
                          </w:r>
                          <w:r>
                            <w:fldChar w:fldCharType="begin"/>
                          </w:r>
                          <w:r>
                            <w:instrText xml:space="preserve"> PAGE  \* MERGEFORMAT </w:instrText>
                          </w:r>
                          <w:r>
                            <w:fldChar w:fldCharType="separate"/>
                          </w:r>
                          <w:r>
                            <w:t>118</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5383E73">
                    <w:pPr>
                      <w:pStyle w:val="42"/>
                    </w:pPr>
                    <w:r>
                      <w:t xml:space="preserve">第 </w:t>
                    </w:r>
                    <w:r>
                      <w:fldChar w:fldCharType="begin"/>
                    </w:r>
                    <w:r>
                      <w:instrText xml:space="preserve"> PAGE  \* MERGEFORMAT </w:instrText>
                    </w:r>
                    <w:r>
                      <w:fldChar w:fldCharType="separate"/>
                    </w:r>
                    <w:r>
                      <w:t>118</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v:textbox>
            </v:shape>
          </w:pict>
        </mc:Fallback>
      </mc:AlternateContent>
    </w:r>
  </w:p>
  <w:p w14:paraId="2BD4C19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CCDA5">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631EE">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80631EE">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CC791">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4E045">
                          <w:pPr>
                            <w:pStyle w:val="42"/>
                          </w:pPr>
                          <w:r>
                            <w:t xml:space="preserve">第 </w:t>
                          </w:r>
                          <w:r>
                            <w:fldChar w:fldCharType="begin"/>
                          </w:r>
                          <w:r>
                            <w:instrText xml:space="preserve"> PAGE  \* MERGEFORMAT </w:instrText>
                          </w:r>
                          <w:r>
                            <w:fldChar w:fldCharType="separate"/>
                          </w:r>
                          <w:r>
                            <w:t>121</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BA4E045">
                    <w:pPr>
                      <w:pStyle w:val="42"/>
                    </w:pPr>
                    <w:r>
                      <w:t xml:space="preserve">第 </w:t>
                    </w:r>
                    <w:r>
                      <w:fldChar w:fldCharType="begin"/>
                    </w:r>
                    <w:r>
                      <w:instrText xml:space="preserve"> PAGE  \* MERGEFORMAT </w:instrText>
                    </w:r>
                    <w:r>
                      <w:fldChar w:fldCharType="separate"/>
                    </w:r>
                    <w:r>
                      <w:t>121</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v:textbox>
            </v:shape>
          </w:pict>
        </mc:Fallback>
      </mc:AlternateContent>
    </w:r>
  </w:p>
  <w:p w14:paraId="0BC0F2F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5B5BB">
    <w:pPr>
      <w:adjustRightInd/>
      <w:spacing w:line="360" w:lineRule="auto"/>
      <w:jc w:val="center"/>
    </w:pPr>
    <w:r>
      <w:rPr>
        <w:rFonts w:hint="eastAsia" w:ascii="宋体" w:hAnsi="宋体" w:eastAsia="宋体" w:cs="宋体"/>
        <w:b w:val="0"/>
        <w:bCs w:val="0"/>
        <w:sz w:val="18"/>
        <w:szCs w:val="18"/>
      </w:rPr>
      <w:t>江山市贺村第一中学(新城中学项目)实验教学仪器设备采购项目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F9563">
    <w:pPr>
      <w:pStyle w:val="43"/>
      <w:rPr>
        <w:rFonts w:hint="eastAsia" w:ascii="仿宋_GB2312" w:eastAsia="宋体"/>
        <w:b/>
        <w:i/>
        <w:iCs/>
        <w:u w:val="single"/>
        <w:lang w:eastAsia="zh-CN"/>
      </w:rPr>
    </w:pPr>
    <w:r>
      <w:t></w:t>
    </w:r>
    <w:r>
      <w:rPr>
        <w:rFonts w:hint="eastAsia"/>
        <w:lang w:eastAsia="zh-CN"/>
      </w:rPr>
      <w:t>江山市贺村第一中学(新城中学项目)实验教学仪器设备采购项目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94690">
    <w:pPr>
      <w:pStyle w:val="43"/>
      <w:rPr>
        <w:rFonts w:hint="eastAsia" w:eastAsia="宋体"/>
        <w:lang w:eastAsia="zh-CN"/>
      </w:rPr>
    </w:pPr>
    <w:r>
      <w:t></w:t>
    </w:r>
    <w:r>
      <w:rPr>
        <w:rFonts w:hint="eastAsia"/>
      </w:rPr>
      <w:t xml:space="preserve">           </w:t>
    </w:r>
    <w:r>
      <w:rPr>
        <w:rFonts w:hint="eastAsia"/>
        <w:lang w:eastAsia="zh-CN"/>
      </w:rPr>
      <w:t>江山市贺村第一中学(新城中学项目)实验教学仪器设备采购项目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D32DF">
    <w:pPr>
      <w:adjustRightInd/>
      <w:spacing w:line="360" w:lineRule="auto"/>
      <w:jc w:val="center"/>
    </w:pPr>
    <w:r>
      <w:rPr>
        <w:rFonts w:hint="eastAsia" w:ascii="宋体" w:hAnsi="宋体" w:eastAsia="宋体" w:cs="宋体"/>
        <w:b w:val="0"/>
        <w:bCs w:val="0"/>
        <w:sz w:val="18"/>
        <w:szCs w:val="18"/>
      </w:rPr>
      <w:t>江山市贺村第一中学(新城中学项目)实验教学仪器设备采购项目</w:t>
    </w:r>
  </w:p>
  <w:p w14:paraId="1A5FDF12">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B6B42">
    <w:pPr>
      <w:adjustRightInd/>
      <w:spacing w:line="360" w:lineRule="auto"/>
      <w:jc w:val="center"/>
    </w:pPr>
    <w:r>
      <w:rPr>
        <w:rFonts w:hint="eastAsia" w:ascii="宋体" w:hAnsi="宋体" w:eastAsia="宋体" w:cs="宋体"/>
        <w:b w:val="0"/>
        <w:bCs w:val="0"/>
        <w:sz w:val="18"/>
        <w:szCs w:val="18"/>
      </w:rPr>
      <w:t>江山市贺村第一中学(新城中学项目)实验教学仪器设备采购项目</w:t>
    </w:r>
  </w:p>
  <w:p w14:paraId="2108ADBF">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0421F">
    <w:pPr>
      <w:pStyle w:val="43"/>
      <w:rPr>
        <w:rFonts w:hint="eastAsia" w:ascii="仿宋" w:hAnsi="仿宋" w:eastAsia="仿宋" w:cs="仿宋"/>
        <w:sz w:val="21"/>
        <w:szCs w:val="21"/>
        <w:lang w:eastAsia="zh-CN"/>
      </w:rPr>
    </w:pPr>
    <w:r>
      <w:rPr>
        <w:rFonts w:hint="eastAsia" w:ascii="仿宋" w:hAnsi="仿宋" w:eastAsia="仿宋" w:cs="仿宋"/>
        <w:sz w:val="21"/>
        <w:szCs w:val="21"/>
      </w:rPr>
      <w:t></w:t>
    </w:r>
    <w:r>
      <w:rPr>
        <w:rFonts w:hint="eastAsia" w:ascii="仿宋" w:hAnsi="仿宋" w:eastAsia="仿宋" w:cs="仿宋"/>
        <w:sz w:val="21"/>
        <w:szCs w:val="21"/>
        <w:lang w:eastAsia="zh-CN"/>
      </w:rPr>
      <w:t>江山市贺村第一中学(新城中学项目)实验教学仪器设备采购项目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A8FA">
    <w:pPr>
      <w:pStyle w:val="43"/>
      <w:rPr>
        <w:rFonts w:hint="eastAsia" w:ascii="仿宋" w:hAnsi="仿宋" w:eastAsia="仿宋" w:cs="仿宋"/>
        <w:sz w:val="21"/>
        <w:szCs w:val="21"/>
        <w:lang w:eastAsia="zh-CN"/>
      </w:rPr>
    </w:pPr>
    <w:r>
      <w:rPr>
        <w:rFonts w:hint="eastAsia" w:ascii="仿宋" w:hAnsi="仿宋" w:eastAsia="仿宋" w:cs="仿宋"/>
        <w:sz w:val="21"/>
        <w:szCs w:val="21"/>
      </w:rPr>
      <w:t></w:t>
    </w:r>
    <w:r>
      <w:rPr>
        <w:rFonts w:hint="eastAsia" w:ascii="仿宋" w:hAnsi="仿宋" w:eastAsia="仿宋" w:cs="仿宋"/>
        <w:sz w:val="21"/>
        <w:szCs w:val="21"/>
        <w:lang w:eastAsia="zh-CN"/>
      </w:rPr>
      <w:t>江山市贺村第一中学(新城中学项目)实验教学仪器设备采购项目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85588">
    <w:pPr>
      <w:pStyle w:val="43"/>
      <w:rPr>
        <w:rFonts w:hint="eastAsia" w:ascii="仿宋" w:hAnsi="仿宋" w:eastAsia="仿宋" w:cs="仿宋"/>
        <w:sz w:val="21"/>
        <w:szCs w:val="21"/>
        <w:lang w:eastAsia="zh-CN"/>
      </w:rPr>
    </w:pPr>
    <w:r>
      <w:rPr>
        <w:rFonts w:hint="eastAsia" w:ascii="仿宋" w:hAnsi="仿宋" w:eastAsia="仿宋" w:cs="仿宋"/>
        <w:sz w:val="21"/>
        <w:szCs w:val="21"/>
      </w:rPr>
      <w:t></w:t>
    </w:r>
    <w:r>
      <w:rPr>
        <w:rFonts w:hint="eastAsia" w:ascii="仿宋" w:hAnsi="仿宋" w:eastAsia="仿宋" w:cs="仿宋"/>
        <w:sz w:val="21"/>
        <w:szCs w:val="21"/>
        <w:lang w:eastAsia="zh-CN"/>
      </w:rPr>
      <w:t>江山市贺村第一中学(新城中学项目)实验教学仪器设备采购项目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C2CB0">
    <w:pPr>
      <w:pStyle w:val="43"/>
      <w:rPr>
        <w:rFonts w:hint="eastAsia" w:ascii="仿宋" w:hAnsi="仿宋" w:eastAsia="仿宋" w:cs="仿宋"/>
        <w:lang w:eastAsia="zh-CN"/>
      </w:rPr>
    </w:pPr>
    <w:r>
      <w:rPr>
        <w:rFonts w:hint="eastAsia" w:ascii="仿宋" w:hAnsi="仿宋" w:eastAsia="仿宋" w:cs="仿宋"/>
        <w:sz w:val="21"/>
        <w:szCs w:val="21"/>
      </w:rPr>
      <w:t></w:t>
    </w:r>
    <w:r>
      <w:rPr>
        <w:rFonts w:hint="eastAsia" w:ascii="仿宋" w:hAnsi="仿宋" w:eastAsia="仿宋" w:cs="仿宋"/>
        <w:sz w:val="21"/>
        <w:szCs w:val="21"/>
        <w:lang w:eastAsia="zh-CN"/>
      </w:rPr>
      <w:t>江山市贺村第一中学(新城中学项目)实验教学仪器设备采购项目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8301">
    <w:pPr>
      <w:pStyle w:val="43"/>
      <w:rPr>
        <w:rFonts w:hint="eastAsia" w:eastAsia="仿宋"/>
        <w:lang w:eastAsia="zh-CN"/>
      </w:rPr>
    </w:pPr>
    <w:r>
      <w:rPr>
        <w:rFonts w:hint="eastAsia" w:ascii="仿宋" w:hAnsi="仿宋" w:eastAsia="仿宋" w:cs="仿宋"/>
        <w:sz w:val="21"/>
        <w:szCs w:val="21"/>
      </w:rPr>
      <w:t></w:t>
    </w:r>
    <w:r>
      <w:rPr>
        <w:rFonts w:hint="eastAsia" w:ascii="仿宋" w:hAnsi="仿宋" w:eastAsia="仿宋" w:cs="仿宋"/>
        <w:sz w:val="21"/>
        <w:szCs w:val="21"/>
        <w:lang w:eastAsia="zh-CN"/>
      </w:rPr>
      <w:t>江山市贺村第一中学(新城中学项目)实验教学仪器设备采购项目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81498">
    <w:pPr>
      <w:pStyle w:val="43"/>
      <w:rPr>
        <w:rFonts w:hint="eastAsia" w:ascii="仿宋" w:hAnsi="仿宋" w:eastAsia="仿宋" w:cs="仿宋"/>
        <w:sz w:val="21"/>
        <w:szCs w:val="21"/>
        <w:lang w:eastAsia="zh-CN"/>
      </w:rPr>
    </w:pPr>
    <w:r>
      <w:rPr>
        <w:rFonts w:hint="eastAsia" w:ascii="仿宋" w:hAnsi="仿宋" w:eastAsia="仿宋" w:cs="仿宋"/>
        <w:sz w:val="21"/>
        <w:szCs w:val="21"/>
      </w:rPr>
      <w:t></w:t>
    </w:r>
    <w:r>
      <w:rPr>
        <w:rFonts w:hint="eastAsia" w:ascii="仿宋" w:hAnsi="仿宋" w:eastAsia="仿宋" w:cs="仿宋"/>
        <w:sz w:val="21"/>
        <w:szCs w:val="21"/>
        <w:lang w:eastAsia="zh-CN"/>
      </w:rPr>
      <w:t>江山市贺村第一中学(新城中学项目)实验教学仪器设备采购项目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7871CA"/>
    <w:multiLevelType w:val="singleLevel"/>
    <w:tmpl w:val="2F7871CA"/>
    <w:lvl w:ilvl="0" w:tentative="0">
      <w:start w:val="1"/>
      <w:numFmt w:val="decimal"/>
      <w:suff w:val="nothing"/>
      <w:lvlText w:val="%1、"/>
      <w:lvlJc w:val="left"/>
    </w:lvl>
  </w:abstractNum>
  <w:abstractNum w:abstractNumId="1">
    <w:nsid w:val="2FF34A17"/>
    <w:multiLevelType w:val="multilevel"/>
    <w:tmpl w:val="2FF34A17"/>
    <w:lvl w:ilvl="0" w:tentative="0">
      <w:start w:val="1"/>
      <w:numFmt w:val="japaneseCounting"/>
      <w:pStyle w:val="967"/>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mYxNDM3ODc4MzMxMzc1ZGUxMWIzOTY5MGYyN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B66"/>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77C"/>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C1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48A8"/>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A7E28"/>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383"/>
    <w:rsid w:val="000C0A43"/>
    <w:rsid w:val="000C0CB1"/>
    <w:rsid w:val="000C1411"/>
    <w:rsid w:val="000C1A69"/>
    <w:rsid w:val="000C1ADE"/>
    <w:rsid w:val="000C1C38"/>
    <w:rsid w:val="000C21DC"/>
    <w:rsid w:val="000C2264"/>
    <w:rsid w:val="000C256B"/>
    <w:rsid w:val="000C3970"/>
    <w:rsid w:val="000C3B1A"/>
    <w:rsid w:val="000C3DA7"/>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487"/>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37"/>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6C3"/>
    <w:rsid w:val="001D29A4"/>
    <w:rsid w:val="001D2B73"/>
    <w:rsid w:val="001D312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57B"/>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63C"/>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852"/>
    <w:rsid w:val="002D0C27"/>
    <w:rsid w:val="002D0E88"/>
    <w:rsid w:val="002D0EA7"/>
    <w:rsid w:val="002D0F31"/>
    <w:rsid w:val="002D1593"/>
    <w:rsid w:val="002D1A1E"/>
    <w:rsid w:val="002D22A6"/>
    <w:rsid w:val="002D26AF"/>
    <w:rsid w:val="002D2819"/>
    <w:rsid w:val="002D2CD6"/>
    <w:rsid w:val="002D2F81"/>
    <w:rsid w:val="002D3422"/>
    <w:rsid w:val="002D38A3"/>
    <w:rsid w:val="002D3BA3"/>
    <w:rsid w:val="002D43EE"/>
    <w:rsid w:val="002D4892"/>
    <w:rsid w:val="002D4D06"/>
    <w:rsid w:val="002D4DDE"/>
    <w:rsid w:val="002D4EE7"/>
    <w:rsid w:val="002D4EED"/>
    <w:rsid w:val="002D5AAD"/>
    <w:rsid w:val="002D5DA3"/>
    <w:rsid w:val="002D6097"/>
    <w:rsid w:val="002D65AD"/>
    <w:rsid w:val="002D6782"/>
    <w:rsid w:val="002D7156"/>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30"/>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D92"/>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9CF"/>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A18"/>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1FC"/>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3F"/>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56A"/>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19"/>
    <w:rsid w:val="005060AE"/>
    <w:rsid w:val="0050790B"/>
    <w:rsid w:val="00507FDF"/>
    <w:rsid w:val="0051037C"/>
    <w:rsid w:val="0051050F"/>
    <w:rsid w:val="0051058B"/>
    <w:rsid w:val="00510DDC"/>
    <w:rsid w:val="00511166"/>
    <w:rsid w:val="00511A7A"/>
    <w:rsid w:val="00511BB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2AB"/>
    <w:rsid w:val="005A4C20"/>
    <w:rsid w:val="005A4F48"/>
    <w:rsid w:val="005A54F1"/>
    <w:rsid w:val="005A57B8"/>
    <w:rsid w:val="005A5DDE"/>
    <w:rsid w:val="005A64A8"/>
    <w:rsid w:val="005A65C5"/>
    <w:rsid w:val="005A6875"/>
    <w:rsid w:val="005A7016"/>
    <w:rsid w:val="005A76AC"/>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014"/>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900"/>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40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CE2"/>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3DA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54A"/>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A4B"/>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AFD"/>
    <w:rsid w:val="00724FE4"/>
    <w:rsid w:val="00725829"/>
    <w:rsid w:val="00725D6A"/>
    <w:rsid w:val="007263A2"/>
    <w:rsid w:val="007266B9"/>
    <w:rsid w:val="0072730E"/>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1E7"/>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79F"/>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07CB"/>
    <w:rsid w:val="007C10E4"/>
    <w:rsid w:val="007C17B4"/>
    <w:rsid w:val="007C20F8"/>
    <w:rsid w:val="007C21C5"/>
    <w:rsid w:val="007C2229"/>
    <w:rsid w:val="007C2313"/>
    <w:rsid w:val="007C2D47"/>
    <w:rsid w:val="007C3590"/>
    <w:rsid w:val="007C387A"/>
    <w:rsid w:val="007C3A0D"/>
    <w:rsid w:val="007C3EB0"/>
    <w:rsid w:val="007C43D6"/>
    <w:rsid w:val="007C47FF"/>
    <w:rsid w:val="007C4E87"/>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EB2"/>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5D8"/>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075"/>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5B1C"/>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7DD"/>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3B"/>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469"/>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E60"/>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33"/>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C8F"/>
    <w:rsid w:val="00B25F8C"/>
    <w:rsid w:val="00B260BE"/>
    <w:rsid w:val="00B26677"/>
    <w:rsid w:val="00B26A96"/>
    <w:rsid w:val="00B26F5E"/>
    <w:rsid w:val="00B274E3"/>
    <w:rsid w:val="00B2765C"/>
    <w:rsid w:val="00B27BF4"/>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0FB"/>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6FC8"/>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E7"/>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A7D81"/>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520"/>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942"/>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405"/>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0A0"/>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6A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E7A"/>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574"/>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256"/>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4D3"/>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1E4A"/>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AD4"/>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C39"/>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A4F"/>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D0C"/>
    <w:rsid w:val="00FF219D"/>
    <w:rsid w:val="00FF290C"/>
    <w:rsid w:val="00FF2A7B"/>
    <w:rsid w:val="00FF3432"/>
    <w:rsid w:val="00FF3D2B"/>
    <w:rsid w:val="00FF49B4"/>
    <w:rsid w:val="00FF49F4"/>
    <w:rsid w:val="00FF5B8D"/>
    <w:rsid w:val="00FF5C6A"/>
    <w:rsid w:val="00FF651D"/>
    <w:rsid w:val="00FF6843"/>
    <w:rsid w:val="00FF6C25"/>
    <w:rsid w:val="010651D9"/>
    <w:rsid w:val="011F6449"/>
    <w:rsid w:val="01236AFB"/>
    <w:rsid w:val="012E34F5"/>
    <w:rsid w:val="019843CF"/>
    <w:rsid w:val="019F7441"/>
    <w:rsid w:val="01B37585"/>
    <w:rsid w:val="01D55165"/>
    <w:rsid w:val="01DF6BF8"/>
    <w:rsid w:val="01EC2C57"/>
    <w:rsid w:val="025F0711"/>
    <w:rsid w:val="026B2E25"/>
    <w:rsid w:val="02824D4D"/>
    <w:rsid w:val="0291690E"/>
    <w:rsid w:val="02DC4B10"/>
    <w:rsid w:val="02DD76CE"/>
    <w:rsid w:val="02F36323"/>
    <w:rsid w:val="02F5619C"/>
    <w:rsid w:val="0326446A"/>
    <w:rsid w:val="032D5555"/>
    <w:rsid w:val="036634D2"/>
    <w:rsid w:val="03DD35E4"/>
    <w:rsid w:val="03EE320A"/>
    <w:rsid w:val="03F01345"/>
    <w:rsid w:val="04076900"/>
    <w:rsid w:val="041A5A3B"/>
    <w:rsid w:val="042311BA"/>
    <w:rsid w:val="042B157A"/>
    <w:rsid w:val="04422669"/>
    <w:rsid w:val="048F763B"/>
    <w:rsid w:val="049F330E"/>
    <w:rsid w:val="04AA775C"/>
    <w:rsid w:val="04AF1889"/>
    <w:rsid w:val="04F66F48"/>
    <w:rsid w:val="04FC422C"/>
    <w:rsid w:val="05251E14"/>
    <w:rsid w:val="053C69FC"/>
    <w:rsid w:val="058E4565"/>
    <w:rsid w:val="05A14589"/>
    <w:rsid w:val="05A16594"/>
    <w:rsid w:val="05A7762D"/>
    <w:rsid w:val="060E5941"/>
    <w:rsid w:val="06110FAF"/>
    <w:rsid w:val="062753C1"/>
    <w:rsid w:val="063E41A7"/>
    <w:rsid w:val="06493CA7"/>
    <w:rsid w:val="065A6178"/>
    <w:rsid w:val="066F1CF3"/>
    <w:rsid w:val="06930BB8"/>
    <w:rsid w:val="069401E5"/>
    <w:rsid w:val="07245D42"/>
    <w:rsid w:val="07264C62"/>
    <w:rsid w:val="075524D7"/>
    <w:rsid w:val="0779354C"/>
    <w:rsid w:val="07C27EAD"/>
    <w:rsid w:val="07F72DDE"/>
    <w:rsid w:val="08061376"/>
    <w:rsid w:val="08452D77"/>
    <w:rsid w:val="086401F8"/>
    <w:rsid w:val="08751CAA"/>
    <w:rsid w:val="087E4C40"/>
    <w:rsid w:val="08A871D0"/>
    <w:rsid w:val="08D66AD6"/>
    <w:rsid w:val="08DA33A3"/>
    <w:rsid w:val="08E80F13"/>
    <w:rsid w:val="09335624"/>
    <w:rsid w:val="0944690F"/>
    <w:rsid w:val="09535675"/>
    <w:rsid w:val="095F057D"/>
    <w:rsid w:val="09627885"/>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65FC2"/>
    <w:rsid w:val="0B30404E"/>
    <w:rsid w:val="0B4C6C14"/>
    <w:rsid w:val="0B547599"/>
    <w:rsid w:val="0B631A88"/>
    <w:rsid w:val="0B683D45"/>
    <w:rsid w:val="0B7F3F11"/>
    <w:rsid w:val="0B884417"/>
    <w:rsid w:val="0BF6188C"/>
    <w:rsid w:val="0BF73C91"/>
    <w:rsid w:val="0C0665F1"/>
    <w:rsid w:val="0C170175"/>
    <w:rsid w:val="0C571A41"/>
    <w:rsid w:val="0C5C1171"/>
    <w:rsid w:val="0C5E1CBC"/>
    <w:rsid w:val="0C615B50"/>
    <w:rsid w:val="0C8445DA"/>
    <w:rsid w:val="0C87121B"/>
    <w:rsid w:val="0CC007F7"/>
    <w:rsid w:val="0CC617AC"/>
    <w:rsid w:val="0CE618DF"/>
    <w:rsid w:val="0CED037C"/>
    <w:rsid w:val="0CFE707A"/>
    <w:rsid w:val="0D01604F"/>
    <w:rsid w:val="0D063BDA"/>
    <w:rsid w:val="0D08375F"/>
    <w:rsid w:val="0D184CFB"/>
    <w:rsid w:val="0D2B1E1B"/>
    <w:rsid w:val="0D342BA9"/>
    <w:rsid w:val="0D4A7419"/>
    <w:rsid w:val="0D782A7C"/>
    <w:rsid w:val="0D827401"/>
    <w:rsid w:val="0D84094E"/>
    <w:rsid w:val="0D8A00E9"/>
    <w:rsid w:val="0D8D589E"/>
    <w:rsid w:val="0DA01C73"/>
    <w:rsid w:val="0DD63300"/>
    <w:rsid w:val="0DF50604"/>
    <w:rsid w:val="0DF702FE"/>
    <w:rsid w:val="0E060E51"/>
    <w:rsid w:val="0E09291D"/>
    <w:rsid w:val="0E5604B2"/>
    <w:rsid w:val="0E6D5D79"/>
    <w:rsid w:val="0E737894"/>
    <w:rsid w:val="0E9D0089"/>
    <w:rsid w:val="0EB803EE"/>
    <w:rsid w:val="0ED61C86"/>
    <w:rsid w:val="0EF94D4B"/>
    <w:rsid w:val="0F2B249C"/>
    <w:rsid w:val="0F4958DC"/>
    <w:rsid w:val="0F4D0C0C"/>
    <w:rsid w:val="0F515DF7"/>
    <w:rsid w:val="0F596BA8"/>
    <w:rsid w:val="0F6248D2"/>
    <w:rsid w:val="0F693536"/>
    <w:rsid w:val="0F7B0511"/>
    <w:rsid w:val="0F7B76D9"/>
    <w:rsid w:val="0F816ACD"/>
    <w:rsid w:val="0F9832DB"/>
    <w:rsid w:val="0FB53319"/>
    <w:rsid w:val="0FBF3FD2"/>
    <w:rsid w:val="0FBF7FF3"/>
    <w:rsid w:val="10190BD3"/>
    <w:rsid w:val="103E7DB8"/>
    <w:rsid w:val="104D749D"/>
    <w:rsid w:val="10646583"/>
    <w:rsid w:val="107D4B15"/>
    <w:rsid w:val="108A3C80"/>
    <w:rsid w:val="10C26171"/>
    <w:rsid w:val="10F33360"/>
    <w:rsid w:val="10FC16EA"/>
    <w:rsid w:val="110F1D40"/>
    <w:rsid w:val="11266F33"/>
    <w:rsid w:val="118963A1"/>
    <w:rsid w:val="11C62D1A"/>
    <w:rsid w:val="11C6522A"/>
    <w:rsid w:val="11E104CC"/>
    <w:rsid w:val="11E20309"/>
    <w:rsid w:val="12255233"/>
    <w:rsid w:val="12530213"/>
    <w:rsid w:val="127723A9"/>
    <w:rsid w:val="12862074"/>
    <w:rsid w:val="12883966"/>
    <w:rsid w:val="129E45B4"/>
    <w:rsid w:val="12B34675"/>
    <w:rsid w:val="12D81596"/>
    <w:rsid w:val="13072A44"/>
    <w:rsid w:val="132E1536"/>
    <w:rsid w:val="135F4BE2"/>
    <w:rsid w:val="139B1A0A"/>
    <w:rsid w:val="139D25C7"/>
    <w:rsid w:val="13BF3CE4"/>
    <w:rsid w:val="141008D8"/>
    <w:rsid w:val="14125FE6"/>
    <w:rsid w:val="14171240"/>
    <w:rsid w:val="145F68AB"/>
    <w:rsid w:val="146D271E"/>
    <w:rsid w:val="14982588"/>
    <w:rsid w:val="149A5AD9"/>
    <w:rsid w:val="14A7619D"/>
    <w:rsid w:val="150536C3"/>
    <w:rsid w:val="150C1963"/>
    <w:rsid w:val="151447A0"/>
    <w:rsid w:val="154A6454"/>
    <w:rsid w:val="15762120"/>
    <w:rsid w:val="165515A9"/>
    <w:rsid w:val="166B7904"/>
    <w:rsid w:val="168927A7"/>
    <w:rsid w:val="16A8729C"/>
    <w:rsid w:val="16B33777"/>
    <w:rsid w:val="16BC70A7"/>
    <w:rsid w:val="16C6339E"/>
    <w:rsid w:val="172F2D79"/>
    <w:rsid w:val="17557BEF"/>
    <w:rsid w:val="175C49A6"/>
    <w:rsid w:val="17C76AD9"/>
    <w:rsid w:val="17D349C1"/>
    <w:rsid w:val="18244F26"/>
    <w:rsid w:val="1830729E"/>
    <w:rsid w:val="1870062C"/>
    <w:rsid w:val="18817102"/>
    <w:rsid w:val="18830A15"/>
    <w:rsid w:val="18852B28"/>
    <w:rsid w:val="188B5321"/>
    <w:rsid w:val="18C96E89"/>
    <w:rsid w:val="18D80A43"/>
    <w:rsid w:val="19932372"/>
    <w:rsid w:val="199B0E2F"/>
    <w:rsid w:val="19A20DD5"/>
    <w:rsid w:val="19AE03F1"/>
    <w:rsid w:val="1A071A03"/>
    <w:rsid w:val="1A1F16AE"/>
    <w:rsid w:val="1A3B5C77"/>
    <w:rsid w:val="1A984BAD"/>
    <w:rsid w:val="1A9E2D03"/>
    <w:rsid w:val="1AB8220E"/>
    <w:rsid w:val="1AE4166C"/>
    <w:rsid w:val="1AF06CFB"/>
    <w:rsid w:val="1AF11B8D"/>
    <w:rsid w:val="1B11359C"/>
    <w:rsid w:val="1B2A271F"/>
    <w:rsid w:val="1B530544"/>
    <w:rsid w:val="1B662AAD"/>
    <w:rsid w:val="1B713184"/>
    <w:rsid w:val="1BA209CF"/>
    <w:rsid w:val="1BB4777D"/>
    <w:rsid w:val="1BD75AB8"/>
    <w:rsid w:val="1C0459C2"/>
    <w:rsid w:val="1C1B3B4A"/>
    <w:rsid w:val="1C6C7C4F"/>
    <w:rsid w:val="1C88086E"/>
    <w:rsid w:val="1C9D24FF"/>
    <w:rsid w:val="1D080237"/>
    <w:rsid w:val="1D266CE1"/>
    <w:rsid w:val="1D3963AF"/>
    <w:rsid w:val="1D6A673C"/>
    <w:rsid w:val="1D9247AE"/>
    <w:rsid w:val="1DB567EC"/>
    <w:rsid w:val="1DC611E8"/>
    <w:rsid w:val="1DF51A98"/>
    <w:rsid w:val="1E051CD9"/>
    <w:rsid w:val="1E3D060F"/>
    <w:rsid w:val="1E3F7D2E"/>
    <w:rsid w:val="1E4134E4"/>
    <w:rsid w:val="1E5062B3"/>
    <w:rsid w:val="1E523514"/>
    <w:rsid w:val="1E714A66"/>
    <w:rsid w:val="1E802593"/>
    <w:rsid w:val="1E8B6156"/>
    <w:rsid w:val="1EA703CC"/>
    <w:rsid w:val="1EB7330C"/>
    <w:rsid w:val="1F0A0FF3"/>
    <w:rsid w:val="1F501AAA"/>
    <w:rsid w:val="1F5771FF"/>
    <w:rsid w:val="1F8E2073"/>
    <w:rsid w:val="1FD52574"/>
    <w:rsid w:val="1FE868A9"/>
    <w:rsid w:val="20034907"/>
    <w:rsid w:val="20173E4B"/>
    <w:rsid w:val="20240D8F"/>
    <w:rsid w:val="203C76D8"/>
    <w:rsid w:val="204E48BC"/>
    <w:rsid w:val="208921B3"/>
    <w:rsid w:val="20973DEB"/>
    <w:rsid w:val="20B26522"/>
    <w:rsid w:val="20B44310"/>
    <w:rsid w:val="211116EB"/>
    <w:rsid w:val="216133FC"/>
    <w:rsid w:val="21CD3087"/>
    <w:rsid w:val="21D56769"/>
    <w:rsid w:val="21E52EF3"/>
    <w:rsid w:val="21FB5D7B"/>
    <w:rsid w:val="22015E94"/>
    <w:rsid w:val="220B1C3D"/>
    <w:rsid w:val="221D1D20"/>
    <w:rsid w:val="22334A87"/>
    <w:rsid w:val="22667143"/>
    <w:rsid w:val="22BE6801"/>
    <w:rsid w:val="232721BA"/>
    <w:rsid w:val="233500BF"/>
    <w:rsid w:val="23377FF7"/>
    <w:rsid w:val="236B425F"/>
    <w:rsid w:val="23836192"/>
    <w:rsid w:val="23901F29"/>
    <w:rsid w:val="239C0061"/>
    <w:rsid w:val="23B908A4"/>
    <w:rsid w:val="23E7318C"/>
    <w:rsid w:val="23E95BEF"/>
    <w:rsid w:val="23FD0064"/>
    <w:rsid w:val="245375B0"/>
    <w:rsid w:val="24642C0A"/>
    <w:rsid w:val="24B22173"/>
    <w:rsid w:val="24B95AD9"/>
    <w:rsid w:val="24BE24DA"/>
    <w:rsid w:val="24CF5825"/>
    <w:rsid w:val="24D663E6"/>
    <w:rsid w:val="24D77F2B"/>
    <w:rsid w:val="24E30E64"/>
    <w:rsid w:val="24FF3CEA"/>
    <w:rsid w:val="258B00E2"/>
    <w:rsid w:val="25935F26"/>
    <w:rsid w:val="259F4AE8"/>
    <w:rsid w:val="25A917A6"/>
    <w:rsid w:val="25B34AD0"/>
    <w:rsid w:val="25BE27CC"/>
    <w:rsid w:val="25F74A5C"/>
    <w:rsid w:val="2628662C"/>
    <w:rsid w:val="262D45DE"/>
    <w:rsid w:val="26871DC8"/>
    <w:rsid w:val="26A53EF9"/>
    <w:rsid w:val="26A94201"/>
    <w:rsid w:val="26AC274F"/>
    <w:rsid w:val="27044A29"/>
    <w:rsid w:val="271D34C8"/>
    <w:rsid w:val="27565784"/>
    <w:rsid w:val="276142BF"/>
    <w:rsid w:val="27783712"/>
    <w:rsid w:val="27907362"/>
    <w:rsid w:val="28333E1D"/>
    <w:rsid w:val="28454BD6"/>
    <w:rsid w:val="28455253"/>
    <w:rsid w:val="28551971"/>
    <w:rsid w:val="285B1C53"/>
    <w:rsid w:val="289F7086"/>
    <w:rsid w:val="28B5297E"/>
    <w:rsid w:val="28C32028"/>
    <w:rsid w:val="28CC490F"/>
    <w:rsid w:val="28DE40AA"/>
    <w:rsid w:val="29345E77"/>
    <w:rsid w:val="294C65AD"/>
    <w:rsid w:val="29806583"/>
    <w:rsid w:val="298A490A"/>
    <w:rsid w:val="298B3C4C"/>
    <w:rsid w:val="29F26D24"/>
    <w:rsid w:val="2A15033F"/>
    <w:rsid w:val="2A1662C1"/>
    <w:rsid w:val="2A1C7367"/>
    <w:rsid w:val="2A2815FA"/>
    <w:rsid w:val="2A6D6092"/>
    <w:rsid w:val="2A7D76B4"/>
    <w:rsid w:val="2B0B73B0"/>
    <w:rsid w:val="2B322730"/>
    <w:rsid w:val="2B437463"/>
    <w:rsid w:val="2B7807EE"/>
    <w:rsid w:val="2BA50BF7"/>
    <w:rsid w:val="2BBF00EC"/>
    <w:rsid w:val="2BC37CFD"/>
    <w:rsid w:val="2BCE0BE6"/>
    <w:rsid w:val="2BD5237F"/>
    <w:rsid w:val="2BE536CE"/>
    <w:rsid w:val="2BE758D9"/>
    <w:rsid w:val="2BF346BB"/>
    <w:rsid w:val="2C09049E"/>
    <w:rsid w:val="2C0A653C"/>
    <w:rsid w:val="2C191F85"/>
    <w:rsid w:val="2C5F50DB"/>
    <w:rsid w:val="2CE82D6F"/>
    <w:rsid w:val="2D343236"/>
    <w:rsid w:val="2D575011"/>
    <w:rsid w:val="2D5D6776"/>
    <w:rsid w:val="2DD15014"/>
    <w:rsid w:val="2DDF4A1F"/>
    <w:rsid w:val="2DF72DE4"/>
    <w:rsid w:val="2E0220AF"/>
    <w:rsid w:val="2E255EB0"/>
    <w:rsid w:val="2E4B082A"/>
    <w:rsid w:val="2E5D4E86"/>
    <w:rsid w:val="2E5D790B"/>
    <w:rsid w:val="2E815CFC"/>
    <w:rsid w:val="2E9574DA"/>
    <w:rsid w:val="2E9A3C18"/>
    <w:rsid w:val="2EBB0FEE"/>
    <w:rsid w:val="2EC63002"/>
    <w:rsid w:val="2F0A6B38"/>
    <w:rsid w:val="2F1176ED"/>
    <w:rsid w:val="2F361530"/>
    <w:rsid w:val="2F602D5C"/>
    <w:rsid w:val="2F946CCB"/>
    <w:rsid w:val="2FB07CD0"/>
    <w:rsid w:val="2FD25781"/>
    <w:rsid w:val="2FDC745C"/>
    <w:rsid w:val="2FFD7934"/>
    <w:rsid w:val="30733ACD"/>
    <w:rsid w:val="308C3862"/>
    <w:rsid w:val="309379D8"/>
    <w:rsid w:val="30A270F7"/>
    <w:rsid w:val="30DF1478"/>
    <w:rsid w:val="30EC586F"/>
    <w:rsid w:val="31476E2F"/>
    <w:rsid w:val="319C6071"/>
    <w:rsid w:val="31AC537E"/>
    <w:rsid w:val="31E3679B"/>
    <w:rsid w:val="31E732FD"/>
    <w:rsid w:val="32517576"/>
    <w:rsid w:val="32BE5C2C"/>
    <w:rsid w:val="32F6633F"/>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B0F90"/>
    <w:rsid w:val="352C3FC8"/>
    <w:rsid w:val="354D7158"/>
    <w:rsid w:val="358D5588"/>
    <w:rsid w:val="35D97CAC"/>
    <w:rsid w:val="35F32E32"/>
    <w:rsid w:val="35F47802"/>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263D8"/>
    <w:rsid w:val="38586797"/>
    <w:rsid w:val="385D15DF"/>
    <w:rsid w:val="38BC0149"/>
    <w:rsid w:val="38D87D1C"/>
    <w:rsid w:val="39636459"/>
    <w:rsid w:val="396B7F6C"/>
    <w:rsid w:val="39B417A9"/>
    <w:rsid w:val="39FC5695"/>
    <w:rsid w:val="3A006D8E"/>
    <w:rsid w:val="3A3651E5"/>
    <w:rsid w:val="3A744481"/>
    <w:rsid w:val="3A8C7BEF"/>
    <w:rsid w:val="3A906246"/>
    <w:rsid w:val="3AE42C8C"/>
    <w:rsid w:val="3B1226F4"/>
    <w:rsid w:val="3B2349B7"/>
    <w:rsid w:val="3B616CFF"/>
    <w:rsid w:val="3B6259F6"/>
    <w:rsid w:val="3B976654"/>
    <w:rsid w:val="3BC01EFC"/>
    <w:rsid w:val="3BCA786A"/>
    <w:rsid w:val="3BD31E2F"/>
    <w:rsid w:val="3BE4377A"/>
    <w:rsid w:val="3BF15831"/>
    <w:rsid w:val="3C105946"/>
    <w:rsid w:val="3C471448"/>
    <w:rsid w:val="3C5F759A"/>
    <w:rsid w:val="3C6C525A"/>
    <w:rsid w:val="3CCE00E4"/>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546F9"/>
    <w:rsid w:val="3E5A7334"/>
    <w:rsid w:val="3E7B5D6B"/>
    <w:rsid w:val="3E843E66"/>
    <w:rsid w:val="3E8F51FE"/>
    <w:rsid w:val="3E926F87"/>
    <w:rsid w:val="3E9A59DE"/>
    <w:rsid w:val="3E9E7CE5"/>
    <w:rsid w:val="3EAF4836"/>
    <w:rsid w:val="3EC33DFA"/>
    <w:rsid w:val="3F060E16"/>
    <w:rsid w:val="3F1D1096"/>
    <w:rsid w:val="3F2F0234"/>
    <w:rsid w:val="3F6363FE"/>
    <w:rsid w:val="3F756B8F"/>
    <w:rsid w:val="3F7642EF"/>
    <w:rsid w:val="3F95482B"/>
    <w:rsid w:val="4019356B"/>
    <w:rsid w:val="40592157"/>
    <w:rsid w:val="40603639"/>
    <w:rsid w:val="406E1CAE"/>
    <w:rsid w:val="409B1D02"/>
    <w:rsid w:val="40A0133A"/>
    <w:rsid w:val="40C31A53"/>
    <w:rsid w:val="40FF545D"/>
    <w:rsid w:val="410067C8"/>
    <w:rsid w:val="410A1846"/>
    <w:rsid w:val="4175570A"/>
    <w:rsid w:val="418238EE"/>
    <w:rsid w:val="418F0D2A"/>
    <w:rsid w:val="41D01505"/>
    <w:rsid w:val="42474939"/>
    <w:rsid w:val="424C3C57"/>
    <w:rsid w:val="42613FF3"/>
    <w:rsid w:val="42660D96"/>
    <w:rsid w:val="428667D2"/>
    <w:rsid w:val="42CD1CE0"/>
    <w:rsid w:val="42D5169F"/>
    <w:rsid w:val="42E1381E"/>
    <w:rsid w:val="42ED6459"/>
    <w:rsid w:val="42FE58DD"/>
    <w:rsid w:val="43174B3D"/>
    <w:rsid w:val="434B790E"/>
    <w:rsid w:val="4360274F"/>
    <w:rsid w:val="438F22F2"/>
    <w:rsid w:val="43977AB6"/>
    <w:rsid w:val="43A3342B"/>
    <w:rsid w:val="43C77C27"/>
    <w:rsid w:val="43DE09EE"/>
    <w:rsid w:val="44002FAD"/>
    <w:rsid w:val="441D78FE"/>
    <w:rsid w:val="449101DD"/>
    <w:rsid w:val="44DE1391"/>
    <w:rsid w:val="451B2247"/>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D2CFE"/>
    <w:rsid w:val="46C4686E"/>
    <w:rsid w:val="46F50FB8"/>
    <w:rsid w:val="477B778F"/>
    <w:rsid w:val="478203EC"/>
    <w:rsid w:val="47B025FA"/>
    <w:rsid w:val="480706A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430DB"/>
    <w:rsid w:val="49B64211"/>
    <w:rsid w:val="49F6167F"/>
    <w:rsid w:val="4A064FA0"/>
    <w:rsid w:val="4A0C5BAA"/>
    <w:rsid w:val="4A16615C"/>
    <w:rsid w:val="4A4424D7"/>
    <w:rsid w:val="4A8C77D9"/>
    <w:rsid w:val="4AA429F3"/>
    <w:rsid w:val="4AB82D0F"/>
    <w:rsid w:val="4AC72EB0"/>
    <w:rsid w:val="4AEB7664"/>
    <w:rsid w:val="4AFD7C19"/>
    <w:rsid w:val="4B0567D1"/>
    <w:rsid w:val="4B236AAE"/>
    <w:rsid w:val="4B697E40"/>
    <w:rsid w:val="4B707271"/>
    <w:rsid w:val="4B9739F7"/>
    <w:rsid w:val="4BEE2503"/>
    <w:rsid w:val="4C245A30"/>
    <w:rsid w:val="4CB6685F"/>
    <w:rsid w:val="4CC367FE"/>
    <w:rsid w:val="4CCF7EB3"/>
    <w:rsid w:val="4D077F3C"/>
    <w:rsid w:val="4D123355"/>
    <w:rsid w:val="4D2A3B31"/>
    <w:rsid w:val="4D312C52"/>
    <w:rsid w:val="4D905305"/>
    <w:rsid w:val="4D964A72"/>
    <w:rsid w:val="4D9C1254"/>
    <w:rsid w:val="4DB87FCC"/>
    <w:rsid w:val="4E793892"/>
    <w:rsid w:val="4E800872"/>
    <w:rsid w:val="4EC569ED"/>
    <w:rsid w:val="4ED50EA1"/>
    <w:rsid w:val="4EEC050C"/>
    <w:rsid w:val="4F104EC3"/>
    <w:rsid w:val="4F47354A"/>
    <w:rsid w:val="4F87468D"/>
    <w:rsid w:val="4F911C54"/>
    <w:rsid w:val="4FE625E0"/>
    <w:rsid w:val="5021480F"/>
    <w:rsid w:val="50962ECB"/>
    <w:rsid w:val="50A42E38"/>
    <w:rsid w:val="50A4577F"/>
    <w:rsid w:val="50B73D1F"/>
    <w:rsid w:val="50BD5BC9"/>
    <w:rsid w:val="50C11EEE"/>
    <w:rsid w:val="50E97CFC"/>
    <w:rsid w:val="50FA4028"/>
    <w:rsid w:val="510D65B7"/>
    <w:rsid w:val="511157AB"/>
    <w:rsid w:val="51167616"/>
    <w:rsid w:val="513568BC"/>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E0C2F"/>
    <w:rsid w:val="53544462"/>
    <w:rsid w:val="538A03E0"/>
    <w:rsid w:val="5397158E"/>
    <w:rsid w:val="53FF492A"/>
    <w:rsid w:val="54013861"/>
    <w:rsid w:val="54487265"/>
    <w:rsid w:val="544D6070"/>
    <w:rsid w:val="54605E1E"/>
    <w:rsid w:val="54B3506A"/>
    <w:rsid w:val="54CA0D16"/>
    <w:rsid w:val="54DB0035"/>
    <w:rsid w:val="54DD4057"/>
    <w:rsid w:val="54E7490F"/>
    <w:rsid w:val="54FE1085"/>
    <w:rsid w:val="550764A4"/>
    <w:rsid w:val="550B2BF6"/>
    <w:rsid w:val="55214EB5"/>
    <w:rsid w:val="55364EFD"/>
    <w:rsid w:val="555A0F92"/>
    <w:rsid w:val="555D4828"/>
    <w:rsid w:val="557A4C8B"/>
    <w:rsid w:val="558931E1"/>
    <w:rsid w:val="55923347"/>
    <w:rsid w:val="55925180"/>
    <w:rsid w:val="55935C72"/>
    <w:rsid w:val="55983B1B"/>
    <w:rsid w:val="55A8376B"/>
    <w:rsid w:val="55DC29B6"/>
    <w:rsid w:val="55DD4241"/>
    <w:rsid w:val="56197939"/>
    <w:rsid w:val="56625644"/>
    <w:rsid w:val="566B6D1E"/>
    <w:rsid w:val="56916035"/>
    <w:rsid w:val="57032A2C"/>
    <w:rsid w:val="570F5219"/>
    <w:rsid w:val="575D12B5"/>
    <w:rsid w:val="57610A87"/>
    <w:rsid w:val="57730079"/>
    <w:rsid w:val="577B1140"/>
    <w:rsid w:val="577B7F21"/>
    <w:rsid w:val="577F181B"/>
    <w:rsid w:val="57921984"/>
    <w:rsid w:val="579737F0"/>
    <w:rsid w:val="57AB7B30"/>
    <w:rsid w:val="57AF5251"/>
    <w:rsid w:val="57B26373"/>
    <w:rsid w:val="57B63F04"/>
    <w:rsid w:val="57CD20C2"/>
    <w:rsid w:val="57D26A92"/>
    <w:rsid w:val="57D675AB"/>
    <w:rsid w:val="57D73717"/>
    <w:rsid w:val="57D95FDD"/>
    <w:rsid w:val="58134E48"/>
    <w:rsid w:val="58917D2F"/>
    <w:rsid w:val="5894085C"/>
    <w:rsid w:val="58AE4F0C"/>
    <w:rsid w:val="58B85899"/>
    <w:rsid w:val="58E363A9"/>
    <w:rsid w:val="59151B75"/>
    <w:rsid w:val="59166304"/>
    <w:rsid w:val="595E1678"/>
    <w:rsid w:val="596D5BD4"/>
    <w:rsid w:val="597E3DD8"/>
    <w:rsid w:val="59F80043"/>
    <w:rsid w:val="59FE5684"/>
    <w:rsid w:val="5A09252F"/>
    <w:rsid w:val="5A0B2778"/>
    <w:rsid w:val="5A2A7C7B"/>
    <w:rsid w:val="5A3E2560"/>
    <w:rsid w:val="5A4178A0"/>
    <w:rsid w:val="5A5D3B6E"/>
    <w:rsid w:val="5A637A76"/>
    <w:rsid w:val="5A6D33BA"/>
    <w:rsid w:val="5A792B1F"/>
    <w:rsid w:val="5A874767"/>
    <w:rsid w:val="5AA85BE2"/>
    <w:rsid w:val="5AAD6F28"/>
    <w:rsid w:val="5AC357EE"/>
    <w:rsid w:val="5AD63A24"/>
    <w:rsid w:val="5B2E1A1D"/>
    <w:rsid w:val="5B503CBD"/>
    <w:rsid w:val="5B843A1C"/>
    <w:rsid w:val="5B873E3F"/>
    <w:rsid w:val="5C02690E"/>
    <w:rsid w:val="5C1301DF"/>
    <w:rsid w:val="5C196DA7"/>
    <w:rsid w:val="5C234D0B"/>
    <w:rsid w:val="5C2A048C"/>
    <w:rsid w:val="5C80234E"/>
    <w:rsid w:val="5C8A680C"/>
    <w:rsid w:val="5D0C4701"/>
    <w:rsid w:val="5D0F0395"/>
    <w:rsid w:val="5D221076"/>
    <w:rsid w:val="5D397964"/>
    <w:rsid w:val="5D5A391C"/>
    <w:rsid w:val="5D5F10C0"/>
    <w:rsid w:val="5D891B7B"/>
    <w:rsid w:val="5DAD38EE"/>
    <w:rsid w:val="5DE352BC"/>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160E62"/>
    <w:rsid w:val="60232584"/>
    <w:rsid w:val="607330CE"/>
    <w:rsid w:val="60825176"/>
    <w:rsid w:val="609F2AC4"/>
    <w:rsid w:val="60C36D93"/>
    <w:rsid w:val="60FA2EE8"/>
    <w:rsid w:val="61054A27"/>
    <w:rsid w:val="610A52BC"/>
    <w:rsid w:val="611D2366"/>
    <w:rsid w:val="61421856"/>
    <w:rsid w:val="615227C4"/>
    <w:rsid w:val="615A6BD2"/>
    <w:rsid w:val="61654E3F"/>
    <w:rsid w:val="61665FE8"/>
    <w:rsid w:val="61710B30"/>
    <w:rsid w:val="617F52FC"/>
    <w:rsid w:val="6182292A"/>
    <w:rsid w:val="619F7F92"/>
    <w:rsid w:val="61B37860"/>
    <w:rsid w:val="61F94C26"/>
    <w:rsid w:val="62000E56"/>
    <w:rsid w:val="624F3E49"/>
    <w:rsid w:val="62632286"/>
    <w:rsid w:val="62885958"/>
    <w:rsid w:val="62F40B65"/>
    <w:rsid w:val="62F92E8C"/>
    <w:rsid w:val="62FC2CFE"/>
    <w:rsid w:val="63024505"/>
    <w:rsid w:val="635600A5"/>
    <w:rsid w:val="635B1DB5"/>
    <w:rsid w:val="63711FED"/>
    <w:rsid w:val="63880DDC"/>
    <w:rsid w:val="638D750D"/>
    <w:rsid w:val="63AC6CC0"/>
    <w:rsid w:val="64055776"/>
    <w:rsid w:val="640B0BB1"/>
    <w:rsid w:val="64240056"/>
    <w:rsid w:val="643E143A"/>
    <w:rsid w:val="64491666"/>
    <w:rsid w:val="647B0790"/>
    <w:rsid w:val="648B6EEF"/>
    <w:rsid w:val="64C158BF"/>
    <w:rsid w:val="64CE2EAA"/>
    <w:rsid w:val="653C3090"/>
    <w:rsid w:val="65854376"/>
    <w:rsid w:val="658767BE"/>
    <w:rsid w:val="65892531"/>
    <w:rsid w:val="65D35C16"/>
    <w:rsid w:val="66195831"/>
    <w:rsid w:val="662E75B1"/>
    <w:rsid w:val="66342C2E"/>
    <w:rsid w:val="663E784C"/>
    <w:rsid w:val="668B6A45"/>
    <w:rsid w:val="672F3F24"/>
    <w:rsid w:val="673E055F"/>
    <w:rsid w:val="67551CE3"/>
    <w:rsid w:val="675B6EA6"/>
    <w:rsid w:val="67A22552"/>
    <w:rsid w:val="67B22DCC"/>
    <w:rsid w:val="67BE71AA"/>
    <w:rsid w:val="67D90273"/>
    <w:rsid w:val="67DE5875"/>
    <w:rsid w:val="67E55852"/>
    <w:rsid w:val="67EB1AB4"/>
    <w:rsid w:val="67FA1285"/>
    <w:rsid w:val="68551F4F"/>
    <w:rsid w:val="68573DCC"/>
    <w:rsid w:val="687C10C9"/>
    <w:rsid w:val="68840C16"/>
    <w:rsid w:val="68876EFB"/>
    <w:rsid w:val="68884654"/>
    <w:rsid w:val="689F444F"/>
    <w:rsid w:val="68B96DBB"/>
    <w:rsid w:val="68BA3FE2"/>
    <w:rsid w:val="68CA2805"/>
    <w:rsid w:val="68E937A3"/>
    <w:rsid w:val="693E15D3"/>
    <w:rsid w:val="694D7A8E"/>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6570BB"/>
    <w:rsid w:val="6C8C67B7"/>
    <w:rsid w:val="6C9D744C"/>
    <w:rsid w:val="6D167928"/>
    <w:rsid w:val="6D26299B"/>
    <w:rsid w:val="6D3B0EFE"/>
    <w:rsid w:val="6D4772EC"/>
    <w:rsid w:val="6D7325C2"/>
    <w:rsid w:val="6D9078AF"/>
    <w:rsid w:val="6DA36E8D"/>
    <w:rsid w:val="6DAA3FEF"/>
    <w:rsid w:val="6DC0172B"/>
    <w:rsid w:val="6DCB690C"/>
    <w:rsid w:val="6DCF3CF9"/>
    <w:rsid w:val="6DD41A5B"/>
    <w:rsid w:val="6DD479A0"/>
    <w:rsid w:val="6DF43C2E"/>
    <w:rsid w:val="6DF51CA3"/>
    <w:rsid w:val="6E8335BD"/>
    <w:rsid w:val="6E8718AC"/>
    <w:rsid w:val="6E8E12EF"/>
    <w:rsid w:val="6E972936"/>
    <w:rsid w:val="6ED446C5"/>
    <w:rsid w:val="6EF54E4F"/>
    <w:rsid w:val="6F2A7D94"/>
    <w:rsid w:val="6F8331F1"/>
    <w:rsid w:val="6F8869CF"/>
    <w:rsid w:val="6FAE1A09"/>
    <w:rsid w:val="6FD75BF8"/>
    <w:rsid w:val="70707057"/>
    <w:rsid w:val="707723D0"/>
    <w:rsid w:val="707B5277"/>
    <w:rsid w:val="70F5661B"/>
    <w:rsid w:val="71223F0B"/>
    <w:rsid w:val="71360107"/>
    <w:rsid w:val="713B688E"/>
    <w:rsid w:val="7172296C"/>
    <w:rsid w:val="71D43752"/>
    <w:rsid w:val="71F1796A"/>
    <w:rsid w:val="72154626"/>
    <w:rsid w:val="72262B5D"/>
    <w:rsid w:val="72283FF7"/>
    <w:rsid w:val="722E7212"/>
    <w:rsid w:val="723A0474"/>
    <w:rsid w:val="725923E4"/>
    <w:rsid w:val="72864BF7"/>
    <w:rsid w:val="729023FC"/>
    <w:rsid w:val="72FE0D18"/>
    <w:rsid w:val="73424715"/>
    <w:rsid w:val="7382577A"/>
    <w:rsid w:val="73B230E5"/>
    <w:rsid w:val="73BB1F14"/>
    <w:rsid w:val="73C0646E"/>
    <w:rsid w:val="742222F5"/>
    <w:rsid w:val="74476126"/>
    <w:rsid w:val="74706664"/>
    <w:rsid w:val="747D56CB"/>
    <w:rsid w:val="747F3682"/>
    <w:rsid w:val="749C4185"/>
    <w:rsid w:val="74D5083B"/>
    <w:rsid w:val="75067759"/>
    <w:rsid w:val="752E6DCD"/>
    <w:rsid w:val="7551380D"/>
    <w:rsid w:val="75600BE5"/>
    <w:rsid w:val="7564475C"/>
    <w:rsid w:val="7583797F"/>
    <w:rsid w:val="75846785"/>
    <w:rsid w:val="75D20F1D"/>
    <w:rsid w:val="75DA2C18"/>
    <w:rsid w:val="75F54412"/>
    <w:rsid w:val="761D08E0"/>
    <w:rsid w:val="76350859"/>
    <w:rsid w:val="765D347C"/>
    <w:rsid w:val="76826699"/>
    <w:rsid w:val="76C0074B"/>
    <w:rsid w:val="76C87133"/>
    <w:rsid w:val="76CD08D5"/>
    <w:rsid w:val="76DB4B92"/>
    <w:rsid w:val="77052AA4"/>
    <w:rsid w:val="77136511"/>
    <w:rsid w:val="772263BF"/>
    <w:rsid w:val="77340A39"/>
    <w:rsid w:val="77351FD0"/>
    <w:rsid w:val="77472422"/>
    <w:rsid w:val="777F31F2"/>
    <w:rsid w:val="77D1700D"/>
    <w:rsid w:val="77EC04CC"/>
    <w:rsid w:val="78141BB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95E96"/>
    <w:rsid w:val="7A1D1975"/>
    <w:rsid w:val="7A3E5150"/>
    <w:rsid w:val="7A4670D6"/>
    <w:rsid w:val="7A534B63"/>
    <w:rsid w:val="7A55633D"/>
    <w:rsid w:val="7A615382"/>
    <w:rsid w:val="7A67303B"/>
    <w:rsid w:val="7AAB1D04"/>
    <w:rsid w:val="7ABA4368"/>
    <w:rsid w:val="7AD05746"/>
    <w:rsid w:val="7B0D6380"/>
    <w:rsid w:val="7B257FFD"/>
    <w:rsid w:val="7B343476"/>
    <w:rsid w:val="7B5A2978"/>
    <w:rsid w:val="7B5A7E4C"/>
    <w:rsid w:val="7B667AF9"/>
    <w:rsid w:val="7B7468F8"/>
    <w:rsid w:val="7BEE0103"/>
    <w:rsid w:val="7C0A0FE4"/>
    <w:rsid w:val="7C254906"/>
    <w:rsid w:val="7C465EFB"/>
    <w:rsid w:val="7C590818"/>
    <w:rsid w:val="7C7C10F6"/>
    <w:rsid w:val="7C853BEA"/>
    <w:rsid w:val="7C881368"/>
    <w:rsid w:val="7CD75321"/>
    <w:rsid w:val="7CE27788"/>
    <w:rsid w:val="7CE43AAD"/>
    <w:rsid w:val="7D0C32F1"/>
    <w:rsid w:val="7D0F408D"/>
    <w:rsid w:val="7D491C6C"/>
    <w:rsid w:val="7D5429C0"/>
    <w:rsid w:val="7D6E6D43"/>
    <w:rsid w:val="7DB57A34"/>
    <w:rsid w:val="7DE60973"/>
    <w:rsid w:val="7DEF0916"/>
    <w:rsid w:val="7E1E5218"/>
    <w:rsid w:val="7E262469"/>
    <w:rsid w:val="7E8C7DB3"/>
    <w:rsid w:val="7E9A4E1F"/>
    <w:rsid w:val="7EA7723A"/>
    <w:rsid w:val="7EF56FBB"/>
    <w:rsid w:val="7F0768EB"/>
    <w:rsid w:val="7F143BEC"/>
    <w:rsid w:val="7F715AF2"/>
    <w:rsid w:val="7F886E69"/>
    <w:rsid w:val="7FF70992"/>
    <w:rsid w:val="BB7FA927"/>
    <w:rsid w:val="F5FFD31F"/>
    <w:rsid w:val="F6B90362"/>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ind w:left="431" w:hanging="431"/>
      <w:outlineLvl w:val="0"/>
    </w:pPr>
    <w:rPr>
      <w:b/>
      <w:bCs/>
      <w:kern w:val="44"/>
      <w:sz w:val="32"/>
      <w:szCs w:val="44"/>
    </w:rPr>
  </w:style>
  <w:style w:type="paragraph" w:styleId="4">
    <w:name w:val="heading 2"/>
    <w:basedOn w:val="1"/>
    <w:next w:val="1"/>
    <w:qFormat/>
    <w:uiPriority w:val="0"/>
    <w:pPr>
      <w:keepNext/>
      <w:keepLines/>
      <w:tabs>
        <w:tab w:val="left" w:pos="432"/>
      </w:tabs>
      <w:adjustRightInd/>
      <w:spacing w:line="360" w:lineRule="auto"/>
      <w:ind w:left="432" w:hanging="432"/>
      <w:jc w:val="center"/>
      <w:outlineLvl w:val="1"/>
    </w:pPr>
    <w:rPr>
      <w:rFonts w:ascii="仿宋_GB2312" w:hAnsi="仿宋_GB2312" w:eastAsia="仿宋"/>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323"/>
    <w:qFormat/>
    <w:uiPriority w:val="0"/>
    <w:pPr>
      <w:ind w:firstLine="420"/>
    </w:pPr>
    <w:rPr>
      <w:rFonts w:hAnsi="Calibri" w:cs="Times New Roman"/>
      <w:snapToGrid/>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267"/>
    <w:qFormat/>
    <w:uiPriority w:val="0"/>
    <w:pPr>
      <w:spacing w:line="480" w:lineRule="exact"/>
      <w:ind w:firstLine="480" w:firstLineChars="200"/>
    </w:pPr>
    <w:rPr>
      <w:rFonts w:ascii="宋体" w:hAnsi="宋体"/>
      <w:sz w:val="24"/>
    </w:rPr>
  </w:style>
  <w:style w:type="paragraph" w:styleId="27">
    <w:name w:val="Body Text First Indent 2"/>
    <w:basedOn w:val="26"/>
    <w:link w:val="123"/>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9"/>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字符"/>
    <w:qFormat/>
    <w:uiPriority w:val="9"/>
    <w:rPr>
      <w:rFonts w:ascii="Arial" w:hAnsi="Arial" w:eastAsia="黑体" w:cs="Arial"/>
      <w:b/>
      <w:bCs/>
      <w:snapToGrid w:val="0"/>
      <w:kern w:val="44"/>
      <w:sz w:val="44"/>
      <w:szCs w:val="44"/>
    </w:rPr>
  </w:style>
  <w:style w:type="character" w:customStyle="1" w:styleId="81">
    <w:name w:val="标题 3 字符"/>
    <w:qFormat/>
    <w:uiPriority w:val="9"/>
    <w:rPr>
      <w:b/>
      <w:bCs/>
      <w:kern w:val="2"/>
      <w:sz w:val="32"/>
      <w:szCs w:val="32"/>
    </w:rPr>
  </w:style>
  <w:style w:type="paragraph" w:customStyle="1" w:styleId="82">
    <w:name w:val="正文1"/>
    <w:basedOn w:val="1"/>
    <w:qFormat/>
    <w:uiPriority w:val="0"/>
    <w:pPr>
      <w:spacing w:line="318" w:lineRule="atLeast"/>
      <w:ind w:left="369" w:firstLine="369"/>
      <w:textAlignment w:val="baseline"/>
    </w:pPr>
    <w:rPr>
      <w:rFonts w:hint="eastAsia" w:ascii="宋体"/>
    </w:rPr>
  </w:style>
  <w:style w:type="paragraph" w:customStyle="1" w:styleId="83">
    <w:name w:val="BodyText1I2"/>
    <w:basedOn w:val="84"/>
    <w:next w:val="1"/>
    <w:qFormat/>
    <w:uiPriority w:val="0"/>
    <w:pPr>
      <w:ind w:firstLine="420"/>
    </w:pPr>
  </w:style>
  <w:style w:type="paragraph" w:customStyle="1" w:styleId="84">
    <w:name w:val="BodyTextIndent"/>
    <w:basedOn w:val="1"/>
    <w:qFormat/>
    <w:uiPriority w:val="0"/>
    <w:pPr>
      <w:spacing w:after="120"/>
      <w:ind w:left="420" w:leftChars="200"/>
      <w:textAlignment w:val="baseline"/>
    </w:pPr>
    <w:rPr>
      <w:szCs w:val="20"/>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27"/>
    <w:qFormat/>
    <w:uiPriority w:val="0"/>
    <w:rPr>
      <w:rFonts w:ascii="宋体" w:hAnsi="宋体"/>
      <w:kern w:val="2"/>
      <w:sz w:val="21"/>
      <w:szCs w:val="24"/>
    </w:rPr>
  </w:style>
  <w:style w:type="character" w:customStyle="1" w:styleId="124">
    <w:name w:val="font11"/>
    <w:basedOn w:val="70"/>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basedOn w:val="70"/>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99"/>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8"/>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99"/>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Microsoft JhengHei Light"/>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rFonts w:ascii="Times New Roman" w:hAnsi="Times New Roman" w:eastAsia="宋体"/>
      <w:b/>
      <w:bCs/>
      <w:kern w:val="44"/>
      <w:sz w:val="32"/>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1"/>
    <w:qFormat/>
    <w:uiPriority w:val="10"/>
    <w:rPr>
      <w:b/>
      <w:sz w:val="24"/>
      <w:lang w:val="en-GB"/>
    </w:rPr>
  </w:style>
  <w:style w:type="character" w:customStyle="1" w:styleId="289">
    <w:name w:val="font81"/>
    <w:basedOn w:val="70"/>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9"/>
    <w:qFormat/>
    <w:uiPriority w:val="0"/>
    <w:rPr>
      <w:rFonts w:ascii="黑体" w:hAnsi="Courier New" w:eastAsia="黑体"/>
    </w:rPr>
  </w:style>
  <w:style w:type="character" w:customStyle="1" w:styleId="304">
    <w:name w:val="正文文本 2 字符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3"/>
    <w:qFormat/>
    <w:uiPriority w:val="0"/>
    <w:rPr>
      <w:kern w:val="2"/>
      <w:sz w:val="21"/>
    </w:rPr>
  </w:style>
  <w:style w:type="character" w:customStyle="1" w:styleId="333">
    <w:name w:val="font31"/>
    <w:basedOn w:val="70"/>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1"/>
    <w:qFormat/>
    <w:uiPriority w:val="0"/>
    <w:rPr>
      <w:kern w:val="2"/>
      <w:sz w:val="21"/>
      <w:szCs w:val="24"/>
    </w:rPr>
  </w:style>
  <w:style w:type="character" w:customStyle="1" w:styleId="347">
    <w:name w:val="签名 字符"/>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Microsoft JhengHei Light"/>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70"/>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5"/>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Microsoft JhengHei Light"/>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517"/>
    <w:next w:val="25"/>
    <w:qFormat/>
    <w:uiPriority w:val="0"/>
    <w:pPr>
      <w:adjustRightInd/>
      <w:ind w:firstLine="200" w:firstLineChars="200"/>
    </w:pPr>
    <w:rPr>
      <w:rFonts w:ascii="Arial" w:hAnsi="Arial"/>
      <w:spacing w:val="-5"/>
      <w:kern w:val="0"/>
      <w:sz w:val="24"/>
      <w:szCs w:val="20"/>
    </w:rPr>
  </w:style>
  <w:style w:type="paragraph" w:customStyle="1" w:styleId="517">
    <w:name w:val="表格文字（两侧对齐）"/>
    <w:basedOn w:val="1"/>
    <w:qFormat/>
    <w:uiPriority w:val="0"/>
    <w:pPr>
      <w:snapToGrid w:val="0"/>
      <w:jc w:val="left"/>
    </w:pPr>
    <w:rPr>
      <w:sz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Microsoft JhengHei Light"/>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Microsoft JhengHei Light"/>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1"/>
    <w:basedOn w:val="3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Microsoft JhengHei Light"/>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4"/>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0"/>
    <w:qFormat/>
    <w:uiPriority w:val="0"/>
    <w:rPr>
      <w:kern w:val="2"/>
      <w:sz w:val="21"/>
      <w:szCs w:val="24"/>
      <w:lang w:val="zh-CN"/>
    </w:rPr>
  </w:style>
  <w:style w:type="character" w:customStyle="1" w:styleId="935">
    <w:name w:val="无间隔 字符"/>
    <w:link w:val="484"/>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basedOn w:val="70"/>
    <w:qFormat/>
    <w:uiPriority w:val="0"/>
    <w:rPr>
      <w:rFonts w:hint="eastAsia" w:ascii="宋体" w:hAnsi="宋体" w:eastAsia="宋体" w:cs="宋体"/>
      <w:color w:val="000000"/>
      <w:sz w:val="22"/>
      <w:szCs w:val="22"/>
      <w:u w:val="none"/>
    </w:rPr>
  </w:style>
  <w:style w:type="character" w:customStyle="1" w:styleId="965">
    <w:name w:val="font91"/>
    <w:basedOn w:val="70"/>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条目2"/>
    <w:basedOn w:val="35"/>
    <w:qFormat/>
    <w:uiPriority w:val="0"/>
    <w:pPr>
      <w:numPr>
        <w:ilvl w:val="0"/>
        <w:numId w:val="1"/>
      </w:numPr>
      <w:tabs>
        <w:tab w:val="left" w:pos="420"/>
      </w:tabs>
      <w:adjustRightInd/>
      <w:spacing w:line="360" w:lineRule="auto"/>
    </w:pPr>
    <w:rPr>
      <w:rFonts w:cs="Courier New"/>
      <w:snapToGrid/>
      <w:color w:val="000000"/>
      <w:sz w:val="24"/>
    </w:rPr>
  </w:style>
  <w:style w:type="character" w:customStyle="1" w:styleId="968">
    <w:name w:val="font101"/>
    <w:basedOn w:val="70"/>
    <w:qFormat/>
    <w:uiPriority w:val="0"/>
    <w:rPr>
      <w:rFonts w:ascii="Calibri" w:hAnsi="Calibri" w:cs="Calibri"/>
      <w:color w:val="000000"/>
      <w:sz w:val="24"/>
      <w:szCs w:val="24"/>
      <w:u w:val="none"/>
    </w:rPr>
  </w:style>
  <w:style w:type="paragraph" w:customStyle="1" w:styleId="969">
    <w:name w:val="[Normal]"/>
    <w:qFormat/>
    <w:uiPriority w:val="0"/>
    <w:rPr>
      <w:rFonts w:ascii="宋体" w:hAnsi="宋体" w:eastAsia="等线" w:cs="Times New Roman"/>
      <w:sz w:val="24"/>
      <w:szCs w:val="22"/>
      <w:lang w:val="zh-CN" w:eastAsia="zh-CN" w:bidi="ar-SA"/>
    </w:rPr>
  </w:style>
  <w:style w:type="paragraph" w:customStyle="1" w:styleId="970">
    <w:name w:val="纯文本3"/>
    <w:basedOn w:val="971"/>
    <w:qFormat/>
    <w:uiPriority w:val="0"/>
    <w:pPr>
      <w:widowControl/>
      <w:jc w:val="left"/>
    </w:pPr>
    <w:rPr>
      <w:rFonts w:ascii="宋体" w:hAnsi="Courier New"/>
    </w:rPr>
  </w:style>
  <w:style w:type="paragraph" w:customStyle="1" w:styleId="971">
    <w:name w:val="正文7"/>
    <w:qFormat/>
    <w:uiPriority w:val="0"/>
    <w:pPr>
      <w:widowControl w:val="0"/>
      <w:jc w:val="both"/>
    </w:pPr>
    <w:rPr>
      <w:rFonts w:hint="eastAsia" w:ascii="Calibri" w:hAnsi="Calibri" w:eastAsia="宋体" w:cs="Times New Roman"/>
      <w:kern w:val="2"/>
      <w:sz w:val="21"/>
      <w:lang w:val="en-US" w:eastAsia="zh-CN" w:bidi="ar-SA"/>
    </w:rPr>
  </w:style>
  <w:style w:type="character" w:customStyle="1" w:styleId="972">
    <w:name w:val="font112"/>
    <w:basedOn w:val="70"/>
    <w:qFormat/>
    <w:uiPriority w:val="0"/>
    <w:rPr>
      <w:rFonts w:ascii="微软雅黑" w:hAnsi="微软雅黑" w:eastAsia="微软雅黑" w:cs="微软雅黑"/>
      <w:color w:val="000000"/>
      <w:sz w:val="20"/>
      <w:szCs w:val="20"/>
      <w:u w:val="none"/>
    </w:rPr>
  </w:style>
  <w:style w:type="paragraph" w:customStyle="1" w:styleId="973">
    <w:name w:val="纯文本4"/>
    <w:basedOn w:val="974"/>
    <w:qFormat/>
    <w:uiPriority w:val="0"/>
    <w:pPr>
      <w:widowControl/>
      <w:jc w:val="left"/>
    </w:pPr>
    <w:rPr>
      <w:rFonts w:ascii="宋体" w:hAnsi="Courier New"/>
    </w:rPr>
  </w:style>
  <w:style w:type="paragraph" w:customStyle="1" w:styleId="974">
    <w:name w:val="正文8"/>
    <w:qFormat/>
    <w:uiPriority w:val="0"/>
    <w:pPr>
      <w:widowControl w:val="0"/>
      <w:jc w:val="both"/>
    </w:pPr>
    <w:rPr>
      <w:rFonts w:hint="eastAsia" w:ascii="Calibri" w:hAnsi="Calibri" w:eastAsia="宋体" w:cs="Times New Roman"/>
      <w:kern w:val="2"/>
      <w:sz w:val="21"/>
      <w:lang w:val="en-US" w:eastAsia="zh-CN" w:bidi="ar-SA"/>
    </w:rPr>
  </w:style>
  <w:style w:type="character" w:customStyle="1" w:styleId="975">
    <w:name w:val="font121"/>
    <w:basedOn w:val="70"/>
    <w:qFormat/>
    <w:uiPriority w:val="0"/>
    <w:rPr>
      <w:rFonts w:ascii="Microsoft JhengHei" w:hAnsi="Microsoft JhengHei" w:eastAsia="Microsoft JhengHei" w:cs="Microsoft JhengHei"/>
      <w:color w:val="000000"/>
      <w:sz w:val="18"/>
      <w:szCs w:val="18"/>
      <w:u w:val="none"/>
    </w:rPr>
  </w:style>
  <w:style w:type="paragraph" w:customStyle="1" w:styleId="976">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 w:val="18"/>
      <w:szCs w:val="18"/>
    </w:rPr>
  </w:style>
  <w:style w:type="paragraph" w:customStyle="1" w:styleId="977">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978">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宋体" w:hAnsi="宋体" w:cs="宋体"/>
      <w:kern w:val="0"/>
      <w:sz w:val="18"/>
      <w:szCs w:val="18"/>
    </w:rPr>
  </w:style>
  <w:style w:type="paragraph" w:customStyle="1" w:styleId="979">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80">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981">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82">
    <w:name w:val="xl10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83">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84">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top"/>
    </w:pPr>
    <w:rPr>
      <w:rFonts w:ascii="宋体" w:hAnsi="宋体" w:cs="宋体"/>
      <w:kern w:val="0"/>
      <w:sz w:val="18"/>
      <w:szCs w:val="18"/>
    </w:rPr>
  </w:style>
  <w:style w:type="paragraph" w:customStyle="1" w:styleId="985">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i/>
      <w:iCs/>
      <w:kern w:val="0"/>
      <w:sz w:val="18"/>
      <w:szCs w:val="18"/>
    </w:rPr>
  </w:style>
  <w:style w:type="paragraph" w:customStyle="1" w:styleId="986">
    <w:name w:val="xl105"/>
    <w:basedOn w:val="1"/>
    <w:qFormat/>
    <w:uiPriority w:val="0"/>
    <w:pPr>
      <w:widowControl/>
      <w:adjustRightInd/>
      <w:spacing w:before="100" w:beforeAutospacing="1" w:after="100" w:afterAutospacing="1"/>
      <w:jc w:val="left"/>
      <w:textAlignment w:val="bottom"/>
    </w:pPr>
    <w:rPr>
      <w:rFonts w:ascii="宋体" w:hAnsi="宋体" w:cs="宋体"/>
      <w:kern w:val="0"/>
      <w:sz w:val="18"/>
      <w:szCs w:val="18"/>
    </w:rPr>
  </w:style>
  <w:style w:type="paragraph" w:customStyle="1" w:styleId="987">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988">
    <w:name w:val="xl10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FF0000"/>
      <w:kern w:val="0"/>
      <w:sz w:val="18"/>
      <w:szCs w:val="18"/>
    </w:rPr>
  </w:style>
  <w:style w:type="paragraph" w:customStyle="1" w:styleId="989">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FF0000"/>
      <w:kern w:val="0"/>
      <w:sz w:val="18"/>
      <w:szCs w:val="18"/>
    </w:rPr>
  </w:style>
  <w:style w:type="paragraph" w:customStyle="1" w:styleId="990">
    <w:name w:val="xl109"/>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991">
    <w:name w:val="xl11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992">
    <w:name w:val="xl11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993">
    <w:name w:val="xl11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994">
    <w:name w:val="xl11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995">
    <w:name w:val="Normal_8"/>
    <w:next w:val="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167</Pages>
  <Words>11209</Words>
  <Characters>12193</Characters>
  <Lines>739</Lines>
  <Paragraphs>208</Paragraphs>
  <TotalTime>8</TotalTime>
  <ScaleCrop>false</ScaleCrop>
  <LinksUpToDate>false</LinksUpToDate>
  <CharactersWithSpaces>12548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cp:lastModifiedBy>
  <cp:lastPrinted>2023-04-14T08:44:00Z</cp:lastPrinted>
  <dcterms:modified xsi:type="dcterms:W3CDTF">2025-07-17T10:13:40Z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EB063B118BA646638A45FCC8ED51FB4D_13</vt:lpwstr>
  </property>
  <property fmtid="{D5CDD505-2E9C-101B-9397-08002B2CF9AE}" pid="5" name="KSOTemplateDocerSaveRecord">
    <vt:lpwstr>eyJoZGlkIjoiZjNmNmUxNzQ5OGY3YWM5NmZkY2Q0MDdhZjljMGQ5NGIiLCJ1c2VySWQiOiIyMTg4NDcwMDgifQ==</vt:lpwstr>
  </property>
</Properties>
</file>