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8"/>
          <w:szCs w:val="36"/>
          <w:lang w:eastAsia="zh-CN"/>
        </w:rPr>
      </w:pPr>
    </w:p>
    <w:p>
      <w:pPr>
        <w:spacing w:after="100" w:afterAutospacing="1" w:line="800" w:lineRule="exact"/>
        <w:ind w:right="-108"/>
        <w:jc w:val="center"/>
        <w:rPr>
          <w:rFonts w:hint="eastAsia" w:ascii="宋体" w:hAnsi="宋体" w:eastAsia="宋体"/>
          <w:b/>
          <w:bCs/>
          <w:sz w:val="40"/>
          <w:szCs w:val="40"/>
          <w:lang w:eastAsia="zh-CN"/>
        </w:rPr>
      </w:pPr>
      <w:r>
        <w:rPr>
          <w:rFonts w:hint="eastAsia" w:ascii="宋体" w:hAnsi="宋体"/>
          <w:b/>
          <w:bCs/>
          <w:sz w:val="40"/>
          <w:szCs w:val="40"/>
          <w:lang w:eastAsia="zh-CN"/>
        </w:rPr>
        <w:t>江山经济开发区数字化园区（江东化工园区）建设项目</w:t>
      </w:r>
    </w:p>
    <w:p>
      <w:pPr>
        <w:spacing w:after="100" w:afterAutospacing="1" w:line="800" w:lineRule="exact"/>
        <w:ind w:right="-108"/>
        <w:jc w:val="center"/>
        <w:rPr>
          <w:rFonts w:ascii="宋体" w:hAnsi="宋体"/>
          <w:b/>
          <w:bCs/>
          <w:sz w:val="40"/>
          <w:szCs w:val="40"/>
        </w:rPr>
      </w:pPr>
      <w:r>
        <w:rPr>
          <w:rFonts w:hint="eastAsia" w:ascii="宋体" w:hAnsi="宋体"/>
          <w:b/>
          <w:bCs/>
          <w:sz w:val="40"/>
          <w:szCs w:val="40"/>
        </w:rPr>
        <w:t>项目编号：（</w:t>
      </w:r>
      <w:r>
        <w:rPr>
          <w:rFonts w:hint="eastAsia" w:ascii="宋体" w:hAnsi="宋体"/>
          <w:b/>
          <w:bCs/>
          <w:sz w:val="40"/>
          <w:szCs w:val="40"/>
          <w:lang w:val="en-US" w:eastAsia="zh-CN"/>
        </w:rPr>
        <w:t>ZJZZ-ZFCG-2020-0172</w:t>
      </w:r>
      <w:r>
        <w:rPr>
          <w:rFonts w:hint="eastAsia" w:ascii="宋体" w:hAnsi="宋体"/>
          <w:b/>
          <w:bCs/>
          <w:sz w:val="40"/>
          <w:szCs w:val="40"/>
        </w:rPr>
        <w:t>）</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公</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开</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招</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标</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文</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件</w:t>
      </w:r>
    </w:p>
    <w:p>
      <w:pPr>
        <w:ind w:right="-110"/>
        <w:rPr>
          <w:rFonts w:ascii="宋体" w:hAnsi="宋体"/>
          <w:sz w:val="32"/>
          <w:szCs w:val="32"/>
        </w:rPr>
      </w:pPr>
    </w:p>
    <w:p>
      <w:pPr>
        <w:spacing w:line="500" w:lineRule="exact"/>
        <w:ind w:right="531" w:rightChars="253" w:firstLine="990" w:firstLineChars="275"/>
        <w:rPr>
          <w:rFonts w:hint="eastAsia" w:ascii="宋体" w:hAnsi="宋体" w:eastAsia="宋体"/>
          <w:sz w:val="36"/>
          <w:szCs w:val="36"/>
          <w:lang w:eastAsia="zh-CN"/>
        </w:rPr>
      </w:pPr>
      <w:r>
        <w:rPr>
          <w:rFonts w:hint="eastAsia" w:ascii="宋体" w:hAnsi="宋体"/>
          <w:sz w:val="36"/>
          <w:szCs w:val="36"/>
        </w:rPr>
        <w:t>委托单位：</w:t>
      </w:r>
      <w:r>
        <w:rPr>
          <w:rFonts w:hint="eastAsia" w:ascii="宋体" w:hAnsi="宋体"/>
          <w:sz w:val="36"/>
          <w:szCs w:val="36"/>
          <w:lang w:eastAsia="zh-CN"/>
        </w:rPr>
        <w:t>浙江省江山经济开发区管理委员会</w:t>
      </w:r>
    </w:p>
    <w:p>
      <w:pPr>
        <w:spacing w:line="500" w:lineRule="exact"/>
        <w:ind w:right="531" w:rightChars="253" w:firstLine="990" w:firstLineChars="275"/>
        <w:rPr>
          <w:rFonts w:ascii="宋体" w:hAnsi="宋体"/>
          <w:sz w:val="36"/>
          <w:szCs w:val="36"/>
        </w:rPr>
      </w:pPr>
    </w:p>
    <w:p>
      <w:pPr>
        <w:spacing w:line="500" w:lineRule="exact"/>
        <w:ind w:right="531" w:rightChars="253" w:firstLine="990" w:firstLineChars="275"/>
        <w:rPr>
          <w:rFonts w:ascii="宋体" w:hAnsi="宋体"/>
          <w:sz w:val="36"/>
          <w:szCs w:val="36"/>
        </w:rPr>
      </w:pPr>
      <w:r>
        <w:rPr>
          <w:rFonts w:hint="eastAsia" w:ascii="宋体" w:hAnsi="宋体"/>
          <w:sz w:val="36"/>
          <w:szCs w:val="36"/>
        </w:rPr>
        <w:t>代理机构：浙江中正工程项目管理有限公司</w:t>
      </w:r>
    </w:p>
    <w:p>
      <w:pPr>
        <w:spacing w:line="500" w:lineRule="exact"/>
        <w:ind w:right="531" w:rightChars="253" w:firstLine="990" w:firstLineChars="275"/>
        <w:rPr>
          <w:rFonts w:ascii="宋体" w:hAnsi="宋体"/>
          <w:sz w:val="36"/>
          <w:szCs w:val="36"/>
        </w:rPr>
      </w:pPr>
    </w:p>
    <w:p>
      <w:pPr>
        <w:spacing w:line="500" w:lineRule="exact"/>
        <w:ind w:right="531" w:rightChars="253" w:firstLine="990" w:firstLineChars="275"/>
        <w:rPr>
          <w:rFonts w:ascii="宋体" w:hAnsi="宋体"/>
          <w:sz w:val="36"/>
          <w:szCs w:val="36"/>
        </w:rPr>
      </w:pPr>
      <w:r>
        <w:rPr>
          <w:rFonts w:hint="eastAsia" w:ascii="宋体" w:hAnsi="宋体"/>
          <w:sz w:val="36"/>
          <w:szCs w:val="36"/>
        </w:rPr>
        <w:t>备案单位：江山市财政局</w:t>
      </w:r>
    </w:p>
    <w:p>
      <w:pPr>
        <w:spacing w:line="500" w:lineRule="exact"/>
        <w:ind w:left="1470" w:leftChars="700" w:right="531" w:rightChars="253" w:firstLine="480" w:firstLineChars="200"/>
        <w:rPr>
          <w:rFonts w:ascii="宋体" w:hAnsi="宋体"/>
          <w:sz w:val="24"/>
          <w:szCs w:val="24"/>
        </w:rPr>
      </w:pPr>
      <w:r>
        <w:rPr>
          <w:rFonts w:hint="eastAsia" w:ascii="宋体" w:hAnsi="宋体"/>
          <w:sz w:val="24"/>
          <w:szCs w:val="24"/>
        </w:rPr>
        <w:t>起草人：</w:t>
      </w:r>
      <w:r>
        <w:rPr>
          <w:rFonts w:hint="eastAsia" w:ascii="宋体" w:hAnsi="宋体"/>
          <w:sz w:val="24"/>
          <w:szCs w:val="24"/>
          <w:lang w:eastAsia="zh-CN"/>
        </w:rPr>
        <w:t>徐权锐</w:t>
      </w:r>
      <w:r>
        <w:rPr>
          <w:rFonts w:hint="eastAsia" w:ascii="宋体" w:hAnsi="宋体"/>
          <w:sz w:val="24"/>
          <w:szCs w:val="24"/>
        </w:rPr>
        <w:t xml:space="preserve">         审核人：</w:t>
      </w:r>
      <w:r>
        <w:rPr>
          <w:rFonts w:hint="eastAsia" w:ascii="宋体" w:hAnsi="宋体"/>
          <w:sz w:val="24"/>
          <w:szCs w:val="24"/>
          <w:lang w:eastAsia="zh-CN"/>
        </w:rPr>
        <w:t>戴勤登</w:t>
      </w:r>
      <w:r>
        <w:rPr>
          <w:rFonts w:hint="eastAsia" w:ascii="宋体" w:hAnsi="宋体"/>
          <w:sz w:val="24"/>
          <w:szCs w:val="24"/>
        </w:rPr>
        <w:t xml:space="preserve"> </w:t>
      </w:r>
    </w:p>
    <w:p>
      <w:pPr>
        <w:snapToGrid w:val="0"/>
        <w:spacing w:line="600" w:lineRule="exact"/>
        <w:jc w:val="center"/>
        <w:rPr>
          <w:rFonts w:ascii="宋体" w:hAnsi="宋体" w:cs="宋体"/>
          <w:b/>
          <w:sz w:val="32"/>
          <w:szCs w:val="32"/>
        </w:rPr>
      </w:pPr>
      <w:r>
        <w:rPr>
          <w:rFonts w:hint="eastAsia" w:ascii="宋体" w:hAnsi="宋体"/>
          <w:b/>
          <w:sz w:val="32"/>
          <w:szCs w:val="32"/>
        </w:rPr>
        <w:t>二〇二〇</w:t>
      </w:r>
      <w:r>
        <w:rPr>
          <w:rFonts w:hint="eastAsia" w:ascii="宋体" w:hAnsi="宋体" w:cs="宋体"/>
          <w:b/>
          <w:sz w:val="32"/>
          <w:szCs w:val="32"/>
        </w:rPr>
        <w:t>年</w:t>
      </w:r>
      <w:r>
        <w:rPr>
          <w:rFonts w:hint="eastAsia" w:ascii="宋体" w:hAnsi="宋体" w:cs="宋体"/>
          <w:b/>
          <w:sz w:val="32"/>
          <w:szCs w:val="32"/>
          <w:lang w:eastAsia="zh-CN"/>
        </w:rPr>
        <w:t>八</w:t>
      </w:r>
      <w:r>
        <w:rPr>
          <w:rFonts w:hint="eastAsia" w:ascii="宋体" w:hAnsi="宋体" w:cs="宋体"/>
          <w:b/>
          <w:sz w:val="32"/>
          <w:szCs w:val="32"/>
        </w:rPr>
        <w:t>月</w:t>
      </w:r>
    </w:p>
    <w:p>
      <w:pPr>
        <w:snapToGrid w:val="0"/>
        <w:spacing w:line="360" w:lineRule="auto"/>
        <w:jc w:val="center"/>
        <w:rPr>
          <w:rFonts w:ascii="宋体" w:hAnsi="宋体" w:cs="宋体"/>
          <w:b/>
          <w:szCs w:val="72"/>
        </w:rPr>
      </w:pPr>
      <w:r>
        <w:rPr>
          <w:rFonts w:hint="eastAsia" w:ascii="宋体" w:hAnsi="宋体" w:cs="宋体"/>
          <w:b/>
          <w:sz w:val="72"/>
          <w:szCs w:val="72"/>
        </w:rPr>
        <w:br w:type="page"/>
      </w:r>
    </w:p>
    <w:p>
      <w:pPr>
        <w:snapToGrid w:val="0"/>
        <w:spacing w:line="360" w:lineRule="auto"/>
        <w:jc w:val="center"/>
        <w:rPr>
          <w:rFonts w:ascii="宋体" w:hAnsi="宋体" w:cs="宋体"/>
          <w:b/>
          <w:sz w:val="32"/>
          <w:szCs w:val="72"/>
        </w:rPr>
      </w:pPr>
      <w:r>
        <w:rPr>
          <w:rFonts w:hint="eastAsia" w:ascii="宋体" w:hAnsi="宋体" w:cs="宋体"/>
          <w:b/>
          <w:sz w:val="32"/>
          <w:szCs w:val="72"/>
        </w:rPr>
        <w:t>目 录</w:t>
      </w:r>
    </w:p>
    <w:p>
      <w:pPr>
        <w:pStyle w:val="41"/>
        <w:tabs>
          <w:tab w:val="right" w:leader="dot" w:pos="9637"/>
          <w:tab w:val="clear" w:pos="8835"/>
        </w:tabs>
        <w:rPr>
          <w:rFonts w:asciiTheme="minorEastAsia" w:hAnsiTheme="minorEastAsia" w:eastAsiaTheme="minorEastAsia" w:cstheme="minorBidi"/>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w:instrText>
      </w:r>
      <w:r>
        <w:rPr>
          <w:rFonts w:hint="eastAsia" w:asciiTheme="minorEastAsia" w:hAnsiTheme="minorEastAsia" w:eastAsiaTheme="minorEastAsia"/>
          <w:sz w:val="24"/>
          <w:szCs w:val="24"/>
        </w:rPr>
        <w:instrText xml:space="preserve">TOC \o "1-2" \h \z \u</w:instrText>
      </w:r>
      <w:r>
        <w:rPr>
          <w:rFonts w:asciiTheme="minorEastAsia" w:hAnsiTheme="minorEastAsia" w:eastAsiaTheme="minorEastAsia"/>
          <w:sz w:val="24"/>
          <w:szCs w:val="24"/>
        </w:rPr>
        <w:instrText xml:space="preserve"> </w:instrText>
      </w:r>
      <w:r>
        <w:rPr>
          <w:rFonts w:asciiTheme="minorEastAsia" w:hAnsiTheme="minorEastAsia" w:eastAsiaTheme="minorEastAsia"/>
          <w:sz w:val="24"/>
          <w:szCs w:val="24"/>
        </w:rPr>
        <w:fldChar w:fldCharType="separate"/>
      </w:r>
      <w:r>
        <w:fldChar w:fldCharType="begin"/>
      </w:r>
      <w:r>
        <w:instrText xml:space="preserve"> HYPERLINK \l "_Toc45436661" </w:instrText>
      </w:r>
      <w:r>
        <w:fldChar w:fldCharType="separate"/>
      </w:r>
      <w:r>
        <w:rPr>
          <w:rStyle w:val="68"/>
          <w:rFonts w:cs="宋体" w:asciiTheme="minorEastAsia" w:hAnsiTheme="minorEastAsia" w:eastAsiaTheme="minorEastAsia"/>
          <w:b/>
          <w:sz w:val="24"/>
          <w:szCs w:val="24"/>
        </w:rPr>
        <w:t>第一章 招标公告</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"_Toc45436662" </w:instrText>
      </w:r>
      <w:r>
        <w:fldChar w:fldCharType="separate"/>
      </w:r>
      <w:r>
        <w:rPr>
          <w:rStyle w:val="68"/>
          <w:rFonts w:asciiTheme="minorEastAsia" w:hAnsiTheme="minorEastAsia" w:eastAsiaTheme="minorEastAsia"/>
          <w:sz w:val="24"/>
          <w:szCs w:val="24"/>
        </w:rPr>
        <w:t>一、</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招标项目编号：</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"_Toc45436663" </w:instrText>
      </w:r>
      <w:r>
        <w:fldChar w:fldCharType="separate"/>
      </w:r>
      <w:r>
        <w:rPr>
          <w:rStyle w:val="68"/>
          <w:rFonts w:asciiTheme="minorEastAsia" w:hAnsiTheme="minorEastAsia" w:eastAsiaTheme="minorEastAsia"/>
          <w:sz w:val="24"/>
          <w:szCs w:val="24"/>
        </w:rPr>
        <w:t>二、</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采购组织类型：分散委托中介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"_Toc45436664" </w:instrText>
      </w:r>
      <w:r>
        <w:fldChar w:fldCharType="separate"/>
      </w:r>
      <w:r>
        <w:rPr>
          <w:rStyle w:val="68"/>
          <w:rFonts w:asciiTheme="minorEastAsia" w:hAnsiTheme="minorEastAsia" w:eastAsiaTheme="minorEastAsia"/>
          <w:sz w:val="24"/>
          <w:szCs w:val="24"/>
        </w:rPr>
        <w:t>三、</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招标项目概况: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"_Toc45436665" </w:instrText>
      </w:r>
      <w:r>
        <w:fldChar w:fldCharType="separate"/>
      </w:r>
      <w:r>
        <w:rPr>
          <w:rStyle w:val="68"/>
          <w:rFonts w:asciiTheme="minorEastAsia" w:hAnsiTheme="minorEastAsia" w:eastAsiaTheme="minorEastAsia"/>
          <w:sz w:val="24"/>
          <w:szCs w:val="24"/>
        </w:rPr>
        <w:t>四、</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投标供应商资格要求: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"_Toc45436666" </w:instrText>
      </w:r>
      <w:r>
        <w:fldChar w:fldCharType="separate"/>
      </w:r>
      <w:r>
        <w:rPr>
          <w:rStyle w:val="68"/>
          <w:rFonts w:asciiTheme="minorEastAsia" w:hAnsiTheme="minorEastAsia" w:eastAsiaTheme="minorEastAsia"/>
          <w:sz w:val="24"/>
          <w:szCs w:val="24"/>
        </w:rPr>
        <w:t>五、</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招标文件的报名/发售时间、地址、售价:</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"_Toc45436667" </w:instrText>
      </w:r>
      <w:r>
        <w:fldChar w:fldCharType="separate"/>
      </w:r>
      <w:r>
        <w:rPr>
          <w:rStyle w:val="68"/>
          <w:rFonts w:asciiTheme="minorEastAsia" w:hAnsiTheme="minorEastAsia" w:eastAsiaTheme="minorEastAsia"/>
          <w:sz w:val="24"/>
          <w:szCs w:val="24"/>
        </w:rPr>
        <w:t>七、</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投标截止时间：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"_Toc45436668" </w:instrText>
      </w:r>
      <w:r>
        <w:fldChar w:fldCharType="separate"/>
      </w:r>
      <w:r>
        <w:rPr>
          <w:rStyle w:val="68"/>
          <w:rFonts w:asciiTheme="minorEastAsia" w:hAnsiTheme="minorEastAsia" w:eastAsiaTheme="minorEastAsia"/>
          <w:sz w:val="24"/>
          <w:szCs w:val="24"/>
        </w:rPr>
        <w:t>八、</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开标时间：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84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"_Toc45436669" </w:instrText>
      </w:r>
      <w:r>
        <w:fldChar w:fldCharType="separate"/>
      </w:r>
      <w:r>
        <w:rPr>
          <w:rStyle w:val="68"/>
          <w:rFonts w:asciiTheme="minorEastAsia" w:hAnsiTheme="minorEastAsia" w:eastAsiaTheme="minorEastAsia"/>
          <w:sz w:val="24"/>
          <w:szCs w:val="24"/>
        </w:rPr>
        <w:t>九、</w:t>
      </w:r>
      <w:r>
        <w:rPr>
          <w:rFonts w:asciiTheme="minorEastAsia" w:hAnsiTheme="minorEastAsia" w:eastAsiaTheme="minorEastAsia" w:cstheme="minorBidi"/>
          <w:sz w:val="24"/>
          <w:szCs w:val="24"/>
        </w:rPr>
        <w:tab/>
      </w:r>
      <w:r>
        <w:rPr>
          <w:rStyle w:val="68"/>
          <w:rFonts w:asciiTheme="minorEastAsia" w:hAnsiTheme="minorEastAsia" w:eastAsiaTheme="minorEastAsia"/>
          <w:bCs/>
          <w:sz w:val="24"/>
          <w:szCs w:val="24"/>
        </w:rPr>
        <w:t>开标地址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"_Toc45436670" </w:instrText>
      </w:r>
      <w:r>
        <w:fldChar w:fldCharType="separate"/>
      </w:r>
      <w:r>
        <w:rPr>
          <w:rStyle w:val="68"/>
          <w:rFonts w:asciiTheme="minorEastAsia" w:hAnsiTheme="minorEastAsia" w:eastAsiaTheme="minorEastAsia"/>
          <w:sz w:val="24"/>
          <w:szCs w:val="24"/>
        </w:rPr>
        <w:t>十、</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投标保证金：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26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"_Toc45436671" </w:instrText>
      </w:r>
      <w:r>
        <w:fldChar w:fldCharType="separate"/>
      </w:r>
      <w:r>
        <w:rPr>
          <w:rStyle w:val="68"/>
          <w:rFonts w:asciiTheme="minorEastAsia" w:hAnsiTheme="minorEastAsia" w:eastAsiaTheme="minorEastAsia"/>
          <w:sz w:val="24"/>
          <w:szCs w:val="24"/>
        </w:rPr>
        <w:t>十一、</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公告期限：5个工作日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26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"_Toc45436672" </w:instrText>
      </w:r>
      <w:r>
        <w:fldChar w:fldCharType="separate"/>
      </w:r>
      <w:r>
        <w:rPr>
          <w:rStyle w:val="68"/>
          <w:rFonts w:asciiTheme="minorEastAsia" w:hAnsiTheme="minorEastAsia" w:eastAsiaTheme="minorEastAsia"/>
          <w:sz w:val="24"/>
          <w:szCs w:val="24"/>
        </w:rPr>
        <w:t>十二、</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其他事项：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"_Toc45436673" </w:instrText>
      </w:r>
      <w:r>
        <w:fldChar w:fldCharType="separate"/>
      </w:r>
      <w:r>
        <w:rPr>
          <w:rStyle w:val="68"/>
          <w:rFonts w:cs="宋体" w:asciiTheme="minorEastAsia" w:hAnsiTheme="minorEastAsia" w:eastAsiaTheme="minorEastAsia"/>
          <w:b/>
          <w:sz w:val="24"/>
          <w:szCs w:val="24"/>
        </w:rPr>
        <w:t>第二章  投标须知前附表及投标须知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"_Toc45436674" </w:instrText>
      </w:r>
      <w:r>
        <w:fldChar w:fldCharType="separate"/>
      </w:r>
      <w:r>
        <w:rPr>
          <w:rStyle w:val="68"/>
          <w:rFonts w:asciiTheme="minorEastAsia" w:hAnsiTheme="minorEastAsia" w:eastAsiaTheme="minorEastAsia"/>
          <w:sz w:val="24"/>
          <w:szCs w:val="24"/>
        </w:rPr>
        <w:t>一、 投标须知前附表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"_Toc45436675" </w:instrText>
      </w:r>
      <w:r>
        <w:fldChar w:fldCharType="separate"/>
      </w:r>
      <w:r>
        <w:rPr>
          <w:rStyle w:val="68"/>
          <w:rFonts w:asciiTheme="minorEastAsia" w:hAnsiTheme="minorEastAsia" w:eastAsiaTheme="minorEastAsia"/>
          <w:sz w:val="24"/>
          <w:szCs w:val="24"/>
        </w:rPr>
        <w:t>二、 投标须知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"_Toc45436676" </w:instrText>
      </w:r>
      <w:r>
        <w:fldChar w:fldCharType="separate"/>
      </w:r>
      <w:r>
        <w:rPr>
          <w:rStyle w:val="68"/>
          <w:rFonts w:asciiTheme="minorEastAsia" w:hAnsiTheme="minorEastAsia" w:eastAsiaTheme="minorEastAsia"/>
          <w:sz w:val="24"/>
          <w:szCs w:val="24"/>
        </w:rPr>
        <w:t>三、 招标文件说明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"_Toc45436677" </w:instrText>
      </w:r>
      <w:r>
        <w:fldChar w:fldCharType="separate"/>
      </w:r>
      <w:r>
        <w:rPr>
          <w:rStyle w:val="68"/>
          <w:rFonts w:asciiTheme="minorEastAsia" w:hAnsiTheme="minorEastAsia" w:eastAsiaTheme="minorEastAsia"/>
          <w:sz w:val="24"/>
          <w:szCs w:val="24"/>
        </w:rPr>
        <w:t>四、 投标文件的编制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"_Toc45436678" </w:instrText>
      </w:r>
      <w:r>
        <w:fldChar w:fldCharType="separate"/>
      </w:r>
      <w:r>
        <w:rPr>
          <w:rStyle w:val="68"/>
          <w:rFonts w:asciiTheme="minorEastAsia" w:hAnsiTheme="minorEastAsia" w:eastAsiaTheme="minorEastAsia"/>
          <w:sz w:val="24"/>
          <w:szCs w:val="24"/>
        </w:rPr>
        <w:t>五、 投标保证金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"_Toc45436680" </w:instrText>
      </w:r>
      <w:r>
        <w:fldChar w:fldCharType="separate"/>
      </w:r>
      <w:r>
        <w:rPr>
          <w:rStyle w:val="68"/>
          <w:rFonts w:asciiTheme="minorEastAsia" w:hAnsiTheme="minorEastAsia" w:eastAsiaTheme="minorEastAsia"/>
          <w:sz w:val="24"/>
          <w:szCs w:val="24"/>
        </w:rPr>
        <w:t>六、 投标文件的签署及规定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"_Toc45436681" </w:instrText>
      </w:r>
      <w:r>
        <w:fldChar w:fldCharType="separate"/>
      </w:r>
      <w:r>
        <w:rPr>
          <w:rStyle w:val="68"/>
          <w:rFonts w:asciiTheme="minorEastAsia" w:hAnsiTheme="minorEastAsia" w:eastAsiaTheme="minorEastAsia"/>
          <w:sz w:val="24"/>
          <w:szCs w:val="24"/>
        </w:rPr>
        <w:t>七、 投标文件的递交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"_Toc45436682" </w:instrText>
      </w:r>
      <w:r>
        <w:fldChar w:fldCharType="separate"/>
      </w:r>
      <w:r>
        <w:rPr>
          <w:rStyle w:val="68"/>
          <w:rFonts w:asciiTheme="minorEastAsia" w:hAnsiTheme="minorEastAsia" w:eastAsiaTheme="minorEastAsia"/>
          <w:sz w:val="24"/>
          <w:szCs w:val="24"/>
        </w:rPr>
        <w:t>八、 投标无效的情形</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"_Toc45436683" </w:instrText>
      </w:r>
      <w:r>
        <w:fldChar w:fldCharType="separate"/>
      </w:r>
      <w:r>
        <w:rPr>
          <w:rStyle w:val="68"/>
          <w:rFonts w:asciiTheme="minorEastAsia" w:hAnsiTheme="minorEastAsia" w:eastAsiaTheme="minorEastAsia"/>
          <w:sz w:val="24"/>
          <w:szCs w:val="24"/>
        </w:rPr>
        <w:t>九、 废标的情形</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"_Toc45436684" </w:instrText>
      </w:r>
      <w:r>
        <w:fldChar w:fldCharType="separate"/>
      </w:r>
      <w:r>
        <w:rPr>
          <w:rStyle w:val="68"/>
          <w:rFonts w:asciiTheme="minorEastAsia" w:hAnsiTheme="minorEastAsia" w:eastAsiaTheme="minorEastAsia"/>
          <w:sz w:val="24"/>
          <w:szCs w:val="24"/>
        </w:rPr>
        <w:t>十、 开标和评标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"_Toc45436685" </w:instrText>
      </w:r>
      <w:r>
        <w:fldChar w:fldCharType="separate"/>
      </w:r>
      <w:r>
        <w:rPr>
          <w:rStyle w:val="68"/>
          <w:rFonts w:asciiTheme="minorEastAsia" w:hAnsiTheme="minorEastAsia" w:eastAsiaTheme="minorEastAsia"/>
          <w:sz w:val="24"/>
          <w:szCs w:val="24"/>
        </w:rPr>
        <w:t>十一、 授予合同</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"_Toc45436686" </w:instrText>
      </w:r>
      <w:r>
        <w:fldChar w:fldCharType="separate"/>
      </w:r>
      <w:r>
        <w:rPr>
          <w:rStyle w:val="68"/>
          <w:rFonts w:asciiTheme="minorEastAsia" w:hAnsiTheme="minorEastAsia" w:eastAsiaTheme="minorEastAsia"/>
          <w:sz w:val="24"/>
          <w:szCs w:val="24"/>
        </w:rPr>
        <w:t>十二、 法律责任</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"_Toc45436687" </w:instrText>
      </w:r>
      <w:r>
        <w:fldChar w:fldCharType="separate"/>
      </w:r>
      <w:r>
        <w:rPr>
          <w:rStyle w:val="68"/>
          <w:rFonts w:asciiTheme="minorEastAsia" w:hAnsiTheme="minorEastAsia" w:eastAsiaTheme="minorEastAsia"/>
          <w:sz w:val="24"/>
          <w:szCs w:val="24"/>
        </w:rPr>
        <w:t>十三、 其他</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"_Toc45436688" </w:instrText>
      </w:r>
      <w:r>
        <w:fldChar w:fldCharType="separate"/>
      </w:r>
      <w:r>
        <w:rPr>
          <w:rStyle w:val="68"/>
          <w:rFonts w:cs="宋体" w:asciiTheme="minorEastAsia" w:hAnsiTheme="minorEastAsia" w:eastAsiaTheme="minorEastAsia"/>
          <w:b/>
          <w:sz w:val="24"/>
          <w:szCs w:val="24"/>
        </w:rPr>
        <w:t>第三章 采购内容及要求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"_Toc45436689" </w:instrText>
      </w:r>
      <w:r>
        <w:fldChar w:fldCharType="separate"/>
      </w:r>
      <w:r>
        <w:rPr>
          <w:rStyle w:val="68"/>
          <w:rFonts w:cs="宋体" w:asciiTheme="minorEastAsia" w:hAnsiTheme="minorEastAsia" w:eastAsiaTheme="minorEastAsia"/>
          <w:b/>
          <w:bCs/>
          <w:sz w:val="24"/>
          <w:szCs w:val="24"/>
          <w:lang w:val="zh-CN"/>
        </w:rPr>
        <w:t>第四章</w:t>
      </w:r>
      <w:r>
        <w:rPr>
          <w:rStyle w:val="68"/>
          <w:rFonts w:cs="宋体" w:asciiTheme="minorEastAsia" w:hAnsiTheme="minorEastAsia" w:eastAsiaTheme="minorEastAsia"/>
          <w:b/>
          <w:bCs/>
          <w:sz w:val="24"/>
          <w:szCs w:val="24"/>
        </w:rPr>
        <w:t xml:space="preserve"> </w:t>
      </w:r>
      <w:r>
        <w:rPr>
          <w:rStyle w:val="68"/>
          <w:rFonts w:cs="宋体" w:asciiTheme="minorEastAsia" w:hAnsiTheme="minorEastAsia" w:eastAsiaTheme="minorEastAsia"/>
          <w:b/>
          <w:bCs/>
          <w:sz w:val="24"/>
          <w:szCs w:val="24"/>
          <w:lang w:val="zh-CN"/>
        </w:rPr>
        <w:t>评标办法及开评标程序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"_Toc45436690" </w:instrText>
      </w:r>
      <w:r>
        <w:fldChar w:fldCharType="separate"/>
      </w:r>
      <w:r>
        <w:rPr>
          <w:rStyle w:val="68"/>
          <w:rFonts w:cs="宋体" w:asciiTheme="minorEastAsia" w:hAnsiTheme="minorEastAsia" w:eastAsiaTheme="minorEastAsia"/>
          <w:b/>
          <w:bCs/>
          <w:sz w:val="24"/>
          <w:szCs w:val="24"/>
          <w:lang w:val="zh-CN"/>
        </w:rPr>
        <w:t>一、</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评标委员会的组成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"_Toc45436691" </w:instrText>
      </w:r>
      <w:r>
        <w:fldChar w:fldCharType="separate"/>
      </w:r>
      <w:r>
        <w:rPr>
          <w:rStyle w:val="68"/>
          <w:rFonts w:cs="宋体" w:asciiTheme="minorEastAsia" w:hAnsiTheme="minorEastAsia" w:eastAsiaTheme="minorEastAsia"/>
          <w:b/>
          <w:bCs/>
          <w:sz w:val="24"/>
          <w:szCs w:val="24"/>
          <w:lang w:val="zh-CN"/>
        </w:rPr>
        <w:t>二、</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评标原则</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"_Toc45436692" </w:instrText>
      </w:r>
      <w:r>
        <w:fldChar w:fldCharType="separate"/>
      </w:r>
      <w:r>
        <w:rPr>
          <w:rStyle w:val="68"/>
          <w:rFonts w:cs="宋体" w:asciiTheme="minorEastAsia" w:hAnsiTheme="minorEastAsia" w:eastAsiaTheme="minorEastAsia"/>
          <w:b/>
          <w:bCs/>
          <w:sz w:val="24"/>
          <w:szCs w:val="24"/>
          <w:lang w:val="zh-CN"/>
        </w:rPr>
        <w:t>三、</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注意事项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hint="eastAsia" w:asciiTheme="minorEastAsia" w:hAnsiTheme="minorEastAsia" w:eastAsiaTheme="minorEastAsia" w:cstheme="minorBidi"/>
          <w:smallCaps w:val="0"/>
          <w:sz w:val="24"/>
          <w:szCs w:val="24"/>
          <w:lang w:val="en-US" w:eastAsia="zh-CN"/>
        </w:rPr>
      </w:pPr>
      <w:r>
        <w:fldChar w:fldCharType="begin"/>
      </w:r>
      <w:r>
        <w:instrText xml:space="preserve"> HYPERLINK \l "_Toc45436693" </w:instrText>
      </w:r>
      <w:r>
        <w:fldChar w:fldCharType="separate"/>
      </w:r>
      <w:r>
        <w:rPr>
          <w:rStyle w:val="68"/>
          <w:rFonts w:cs="宋体" w:asciiTheme="minorEastAsia" w:hAnsiTheme="minorEastAsia" w:eastAsiaTheme="minorEastAsia"/>
          <w:b/>
          <w:bCs/>
          <w:sz w:val="24"/>
          <w:szCs w:val="24"/>
          <w:lang w:val="zh-CN"/>
        </w:rPr>
        <w:t>四、</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评分标准</w:t>
      </w:r>
      <w:r>
        <w:rPr>
          <w:rFonts w:asciiTheme="minorEastAsia" w:hAnsiTheme="minorEastAsia" w:eastAsiaTheme="minorEastAsia"/>
          <w:sz w:val="24"/>
          <w:szCs w:val="24"/>
        </w:rPr>
        <w:tab/>
      </w:r>
      <w:r>
        <w:rPr>
          <w:rFonts w:hint="eastAsia" w:asciiTheme="minorEastAsia" w:hAnsiTheme="minorEastAsia" w:eastAsiaTheme="minorEastAsia"/>
          <w:sz w:val="24"/>
          <w:szCs w:val="24"/>
          <w:lang w:val="en-US" w:eastAsia="zh-CN"/>
        </w:rPr>
        <w:t>6</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val="en-US" w:eastAsia="zh-CN"/>
        </w:rPr>
        <w:t>7</w:t>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"_Toc45436694" </w:instrText>
      </w:r>
      <w:r>
        <w:fldChar w:fldCharType="separate"/>
      </w:r>
      <w:r>
        <w:rPr>
          <w:rStyle w:val="68"/>
          <w:rFonts w:cs="宋体" w:asciiTheme="minorEastAsia" w:hAnsiTheme="minorEastAsia" w:eastAsiaTheme="minorEastAsia"/>
          <w:b/>
          <w:bCs/>
          <w:sz w:val="24"/>
          <w:szCs w:val="24"/>
          <w:lang w:val="zh-CN"/>
        </w:rPr>
        <w:t>五、</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电子投标开标及评审程序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"_Toc45436695" </w:instrText>
      </w:r>
      <w:r>
        <w:fldChar w:fldCharType="separate"/>
      </w:r>
      <w:r>
        <w:rPr>
          <w:rStyle w:val="68"/>
          <w:rFonts w:asciiTheme="minorEastAsia" w:hAnsiTheme="minorEastAsia" w:eastAsiaTheme="minorEastAsia"/>
          <w:b/>
          <w:sz w:val="24"/>
          <w:szCs w:val="24"/>
        </w:rPr>
        <w:t>第五章  合同（草案）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"_Toc45436696" </w:instrText>
      </w:r>
      <w:r>
        <w:fldChar w:fldCharType="separate"/>
      </w:r>
      <w:r>
        <w:rPr>
          <w:rStyle w:val="68"/>
          <w:rFonts w:cs="宋体" w:asciiTheme="minorEastAsia" w:hAnsiTheme="minorEastAsia" w:eastAsiaTheme="minorEastAsia"/>
          <w:b/>
          <w:sz w:val="24"/>
          <w:szCs w:val="24"/>
        </w:rPr>
        <w:t>第六章  应提交的有关格式范例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"_Toc45436697" </w:instrText>
      </w:r>
      <w:r>
        <w:fldChar w:fldCharType="separate"/>
      </w:r>
      <w:r>
        <w:rPr>
          <w:rStyle w:val="68"/>
          <w:rFonts w:asciiTheme="minorEastAsia" w:hAnsiTheme="minorEastAsia" w:eastAsiaTheme="minorEastAsia"/>
          <w:b/>
          <w:bCs/>
          <w:sz w:val="24"/>
          <w:szCs w:val="24"/>
        </w:rPr>
        <w:t>一、</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投标文件封面</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"_Toc45436698" </w:instrText>
      </w:r>
      <w:r>
        <w:fldChar w:fldCharType="separate"/>
      </w:r>
      <w:r>
        <w:rPr>
          <w:rStyle w:val="68"/>
          <w:rFonts w:asciiTheme="minorEastAsia" w:hAnsiTheme="minorEastAsia" w:eastAsiaTheme="minorEastAsia"/>
          <w:b/>
          <w:bCs/>
          <w:sz w:val="24"/>
          <w:szCs w:val="24"/>
        </w:rPr>
        <w:t>二、</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资格文件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"_Toc45436699" </w:instrText>
      </w:r>
      <w:r>
        <w:fldChar w:fldCharType="separate"/>
      </w:r>
      <w:r>
        <w:rPr>
          <w:rStyle w:val="68"/>
          <w:rFonts w:asciiTheme="minorEastAsia" w:hAnsiTheme="minorEastAsia" w:eastAsiaTheme="minorEastAsia"/>
          <w:sz w:val="24"/>
          <w:szCs w:val="24"/>
        </w:rPr>
        <w:t>1、</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sz w:val="24"/>
          <w:szCs w:val="24"/>
        </w:rPr>
        <w:t>投标函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"_Toc45436700" </w:instrText>
      </w:r>
      <w:r>
        <w:fldChar w:fldCharType="separate"/>
      </w:r>
      <w:r>
        <w:rPr>
          <w:rStyle w:val="68"/>
          <w:rFonts w:asciiTheme="minorEastAsia" w:hAnsiTheme="minorEastAsia" w:eastAsiaTheme="minorEastAsia"/>
          <w:sz w:val="24"/>
          <w:szCs w:val="24"/>
        </w:rPr>
        <w:t>2、</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sz w:val="24"/>
          <w:szCs w:val="24"/>
        </w:rPr>
        <w:t>法定代表人授权书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"_Toc45436701" </w:instrText>
      </w:r>
      <w:r>
        <w:fldChar w:fldCharType="separate"/>
      </w:r>
      <w:r>
        <w:rPr>
          <w:rStyle w:val="68"/>
          <w:rFonts w:asciiTheme="minorEastAsia" w:hAnsiTheme="minorEastAsia" w:eastAsiaTheme="minorEastAsia"/>
          <w:sz w:val="24"/>
          <w:szCs w:val="24"/>
        </w:rPr>
        <w:t>3、</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sz w:val="24"/>
          <w:szCs w:val="24"/>
        </w:rPr>
        <w:t>供应商资格声明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"_Toc45436702" </w:instrText>
      </w:r>
      <w:r>
        <w:fldChar w:fldCharType="separate"/>
      </w:r>
      <w:r>
        <w:rPr>
          <w:rStyle w:val="68"/>
          <w:rFonts w:asciiTheme="minorEastAsia" w:hAnsiTheme="minorEastAsia" w:eastAsiaTheme="minorEastAsia"/>
          <w:b/>
          <w:bCs/>
          <w:sz w:val="24"/>
          <w:szCs w:val="24"/>
        </w:rPr>
        <w:t>三、</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商务技术文件格式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"_Toc45436703" </w:instrText>
      </w:r>
      <w:r>
        <w:fldChar w:fldCharType="separate"/>
      </w:r>
      <w:r>
        <w:rPr>
          <w:rStyle w:val="68"/>
          <w:rFonts w:asciiTheme="minorEastAsia" w:hAnsiTheme="minorEastAsia" w:eastAsiaTheme="minorEastAsia"/>
          <w:b/>
          <w:bCs/>
          <w:sz w:val="24"/>
          <w:szCs w:val="24"/>
        </w:rPr>
        <w:t>四、</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报价文件格式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tabs>
          <w:tab w:val="right" w:leader="dot" w:pos="9637"/>
        </w:tabs>
        <w:snapToGrid w:val="0"/>
        <w:spacing w:before="120" w:beforeLines="50" w:after="120" w:afterLines="50" w:line="360" w:lineRule="auto"/>
        <w:jc w:val="center"/>
        <w:outlineLvl w:val="0"/>
        <w:rPr>
          <w:rFonts w:ascii="宋体" w:hAnsi="宋体" w:cs="宋体"/>
          <w:b/>
          <w:sz w:val="32"/>
          <w:szCs w:val="32"/>
        </w:rPr>
      </w:pPr>
      <w:r>
        <w:rPr>
          <w:rFonts w:asciiTheme="minorEastAsia" w:hAnsiTheme="minorEastAsia" w:eastAsiaTheme="minorEastAsia"/>
          <w:sz w:val="24"/>
          <w:szCs w:val="24"/>
        </w:rPr>
        <w:fldChar w:fldCharType="end"/>
      </w:r>
      <w:r>
        <w:rPr>
          <w:rFonts w:hint="eastAsia" w:ascii="宋体" w:hAnsi="宋体" w:cs="宋体"/>
          <w:sz w:val="32"/>
          <w:szCs w:val="32"/>
        </w:rPr>
        <w:br w:type="page"/>
      </w:r>
      <w:bookmarkStart w:id="0" w:name="_Toc356371429"/>
      <w:bookmarkStart w:id="1" w:name="_Toc45436661"/>
      <w:r>
        <w:rPr>
          <w:rFonts w:hint="eastAsia" w:ascii="宋体" w:hAnsi="宋体" w:cs="宋体"/>
          <w:b/>
          <w:sz w:val="32"/>
          <w:szCs w:val="32"/>
        </w:rPr>
        <w:t>第一章 招标公告</w:t>
      </w:r>
      <w:bookmarkEnd w:id="0"/>
      <w:bookmarkEnd w:id="1"/>
    </w:p>
    <w:p>
      <w:pPr>
        <w:tabs>
          <w:tab w:val="left" w:pos="4820"/>
        </w:tabs>
        <w:spacing w:line="320" w:lineRule="exact"/>
        <w:ind w:firstLine="540" w:firstLineChars="225"/>
        <w:jc w:val="left"/>
        <w:rPr>
          <w:rFonts w:ascii="宋体" w:hAnsi="宋体"/>
          <w:sz w:val="24"/>
        </w:rPr>
      </w:pPr>
      <w:r>
        <w:rPr>
          <w:rFonts w:hint="eastAsia" w:ascii="宋体" w:hAnsi="宋体"/>
          <w:sz w:val="24"/>
        </w:rPr>
        <w:t>根据</w:t>
      </w:r>
      <w:r>
        <w:rPr>
          <w:rFonts w:ascii="宋体" w:hAnsi="宋体"/>
          <w:sz w:val="24"/>
        </w:rPr>
        <w:t>《中华人民共和国政府采购法》</w:t>
      </w:r>
      <w:r>
        <w:rPr>
          <w:rFonts w:hint="eastAsia" w:ascii="宋体" w:hAnsi="宋体"/>
          <w:sz w:val="24"/>
        </w:rPr>
        <w:t>等有关规定</w:t>
      </w:r>
      <w:r>
        <w:rPr>
          <w:rFonts w:ascii="宋体" w:hAnsi="宋体"/>
          <w:sz w:val="24"/>
        </w:rPr>
        <w:t>，</w:t>
      </w:r>
      <w:r>
        <w:rPr>
          <w:rFonts w:hint="eastAsia" w:ascii="宋体" w:hAnsi="宋体"/>
          <w:sz w:val="24"/>
        </w:rPr>
        <w:t>浙江中正工程项目管理有限公司受</w:t>
      </w:r>
      <w:r>
        <w:rPr>
          <w:rFonts w:hint="eastAsia" w:ascii="宋体" w:hAnsi="宋体"/>
          <w:sz w:val="24"/>
          <w:lang w:eastAsia="zh-CN"/>
        </w:rPr>
        <w:t>浙江省江山经济开发区管理委员会</w:t>
      </w:r>
      <w:r>
        <w:rPr>
          <w:rFonts w:hint="eastAsia" w:ascii="宋体" w:hAnsi="宋体"/>
          <w:sz w:val="24"/>
        </w:rPr>
        <w:t>委托，现</w:t>
      </w:r>
      <w:r>
        <w:rPr>
          <w:rFonts w:ascii="宋体" w:hAnsi="宋体"/>
          <w:sz w:val="24"/>
        </w:rPr>
        <w:t>就</w:t>
      </w:r>
      <w:r>
        <w:rPr>
          <w:rFonts w:hint="eastAsia" w:ascii="宋体" w:hAnsi="宋体"/>
          <w:sz w:val="24"/>
          <w:lang w:eastAsia="zh-CN"/>
        </w:rPr>
        <w:t>江山经济开发区数字化园区（江东化工园区）建设项目</w:t>
      </w:r>
      <w:r>
        <w:rPr>
          <w:rFonts w:ascii="宋体" w:hAnsi="宋体"/>
          <w:sz w:val="24"/>
        </w:rPr>
        <w:t>进行</w:t>
      </w:r>
      <w:r>
        <w:rPr>
          <w:rFonts w:hint="eastAsia" w:ascii="宋体" w:hAnsi="宋体"/>
          <w:sz w:val="24"/>
        </w:rPr>
        <w:t>公开招标</w:t>
      </w:r>
      <w:r>
        <w:rPr>
          <w:rFonts w:ascii="宋体" w:hAnsi="宋体"/>
          <w:sz w:val="24"/>
        </w:rPr>
        <w:t>，</w:t>
      </w:r>
      <w:r>
        <w:rPr>
          <w:rFonts w:hint="eastAsia" w:ascii="宋体" w:hAnsi="宋体"/>
          <w:sz w:val="24"/>
        </w:rPr>
        <w:t>欢迎</w:t>
      </w:r>
      <w:r>
        <w:rPr>
          <w:rFonts w:ascii="宋体" w:hAnsi="宋体"/>
          <w:sz w:val="24"/>
        </w:rPr>
        <w:t>国内合格的供应商前来</w:t>
      </w:r>
      <w:r>
        <w:rPr>
          <w:rFonts w:hint="eastAsia" w:ascii="宋体" w:hAnsi="宋体"/>
          <w:sz w:val="24"/>
        </w:rPr>
        <w:t>投标</w:t>
      </w:r>
      <w:r>
        <w:rPr>
          <w:rFonts w:ascii="宋体" w:hAnsi="宋体"/>
          <w:sz w:val="24"/>
        </w:rPr>
        <w:t>。</w:t>
      </w:r>
    </w:p>
    <w:p>
      <w:pPr>
        <w:numPr>
          <w:ilvl w:val="0"/>
          <w:numId w:val="1"/>
        </w:numPr>
        <w:tabs>
          <w:tab w:val="left" w:pos="709"/>
        </w:tabs>
        <w:spacing w:line="320" w:lineRule="exact"/>
        <w:jc w:val="left"/>
        <w:outlineLvl w:val="0"/>
        <w:rPr>
          <w:rFonts w:ascii="宋体" w:hAnsi="宋体"/>
          <w:sz w:val="24"/>
        </w:rPr>
      </w:pPr>
      <w:bookmarkStart w:id="2" w:name="_Toc36110474"/>
      <w:bookmarkStart w:id="3" w:name="_Toc36110348"/>
      <w:bookmarkStart w:id="4" w:name="_Toc45436662"/>
      <w:bookmarkStart w:id="5" w:name="_Toc24017910"/>
      <w:bookmarkStart w:id="6" w:name="_Toc36110214"/>
      <w:bookmarkStart w:id="7" w:name="_Toc12541622"/>
      <w:bookmarkStart w:id="8" w:name="_Toc18163962"/>
      <w:bookmarkStart w:id="9" w:name="_Toc24017964"/>
      <w:r>
        <w:rPr>
          <w:rFonts w:ascii="宋体" w:hAnsi="宋体"/>
          <w:sz w:val="24"/>
        </w:rPr>
        <w:t>招标</w:t>
      </w:r>
      <w:r>
        <w:rPr>
          <w:rFonts w:hint="eastAsia" w:ascii="宋体" w:hAnsi="宋体"/>
          <w:sz w:val="24"/>
        </w:rPr>
        <w:t>项目</w:t>
      </w:r>
      <w:r>
        <w:rPr>
          <w:rFonts w:ascii="宋体" w:hAnsi="宋体"/>
          <w:sz w:val="24"/>
        </w:rPr>
        <w:t>编号</w:t>
      </w:r>
      <w:r>
        <w:rPr>
          <w:rFonts w:hint="eastAsia" w:ascii="宋体" w:hAnsi="宋体"/>
          <w:sz w:val="24"/>
          <w:szCs w:val="22"/>
        </w:rPr>
        <w:t>：</w:t>
      </w:r>
      <w:bookmarkEnd w:id="2"/>
      <w:bookmarkEnd w:id="3"/>
      <w:bookmarkEnd w:id="4"/>
      <w:bookmarkEnd w:id="5"/>
      <w:bookmarkEnd w:id="6"/>
      <w:bookmarkEnd w:id="7"/>
      <w:bookmarkEnd w:id="8"/>
      <w:bookmarkEnd w:id="9"/>
      <w:r>
        <w:rPr>
          <w:rFonts w:hint="eastAsia" w:ascii="宋体" w:hAnsi="宋体"/>
          <w:sz w:val="24"/>
          <w:szCs w:val="22"/>
          <w:lang w:val="en-US" w:eastAsia="zh-CN"/>
        </w:rPr>
        <w:t>ZJZZ-ZFCG-2020-0172</w:t>
      </w:r>
    </w:p>
    <w:p>
      <w:pPr>
        <w:numPr>
          <w:ilvl w:val="0"/>
          <w:numId w:val="1"/>
        </w:numPr>
        <w:tabs>
          <w:tab w:val="left" w:pos="709"/>
          <w:tab w:val="left" w:pos="4820"/>
        </w:tabs>
        <w:spacing w:line="320" w:lineRule="exact"/>
        <w:jc w:val="left"/>
        <w:outlineLvl w:val="0"/>
        <w:rPr>
          <w:rFonts w:ascii="宋体" w:hAnsi="宋体"/>
          <w:sz w:val="24"/>
        </w:rPr>
      </w:pPr>
      <w:bookmarkStart w:id="10" w:name="_Toc36110349"/>
      <w:bookmarkStart w:id="11" w:name="_Toc24017965"/>
      <w:bookmarkStart w:id="12" w:name="_Toc18163963"/>
      <w:bookmarkStart w:id="13" w:name="_Toc12541623"/>
      <w:bookmarkStart w:id="14" w:name="_Toc45436663"/>
      <w:bookmarkStart w:id="15" w:name="_Toc36110475"/>
      <w:bookmarkStart w:id="16" w:name="_Toc36110215"/>
      <w:bookmarkStart w:id="17" w:name="_Toc24017911"/>
      <w:r>
        <w:rPr>
          <w:rFonts w:hint="eastAsia" w:ascii="宋体" w:hAnsi="宋体"/>
          <w:sz w:val="24"/>
        </w:rPr>
        <w:t>采购组织类型：分散委托中介</w:t>
      </w:r>
      <w:bookmarkEnd w:id="10"/>
      <w:bookmarkEnd w:id="11"/>
      <w:bookmarkEnd w:id="12"/>
      <w:bookmarkEnd w:id="13"/>
      <w:bookmarkEnd w:id="14"/>
      <w:bookmarkEnd w:id="15"/>
      <w:bookmarkEnd w:id="16"/>
      <w:bookmarkEnd w:id="17"/>
    </w:p>
    <w:p>
      <w:pPr>
        <w:numPr>
          <w:ilvl w:val="0"/>
          <w:numId w:val="1"/>
        </w:numPr>
        <w:tabs>
          <w:tab w:val="left" w:pos="709"/>
          <w:tab w:val="left" w:pos="4820"/>
        </w:tabs>
        <w:spacing w:line="320" w:lineRule="exact"/>
        <w:jc w:val="left"/>
        <w:outlineLvl w:val="0"/>
        <w:rPr>
          <w:rFonts w:ascii="宋体" w:hAnsi="宋体"/>
          <w:sz w:val="24"/>
        </w:rPr>
      </w:pPr>
      <w:bookmarkStart w:id="18" w:name="_Toc36110476"/>
      <w:bookmarkStart w:id="19" w:name="_Toc12541624"/>
      <w:bookmarkStart w:id="20" w:name="_Toc36110216"/>
      <w:bookmarkStart w:id="21" w:name="_Toc45436664"/>
      <w:bookmarkStart w:id="22" w:name="_Toc24017966"/>
      <w:bookmarkStart w:id="23" w:name="_Toc18163964"/>
      <w:bookmarkStart w:id="24" w:name="_Toc36110350"/>
      <w:bookmarkStart w:id="25" w:name="_Toc24017912"/>
      <w:r>
        <w:rPr>
          <w:rFonts w:ascii="宋体" w:hAnsi="宋体"/>
          <w:sz w:val="24"/>
        </w:rPr>
        <w:t>招标</w:t>
      </w:r>
      <w:r>
        <w:rPr>
          <w:rFonts w:hint="eastAsia" w:ascii="宋体" w:hAnsi="宋体"/>
          <w:sz w:val="24"/>
        </w:rPr>
        <w:t>项目概况:</w:t>
      </w:r>
      <w:bookmarkEnd w:id="18"/>
      <w:bookmarkEnd w:id="19"/>
      <w:bookmarkEnd w:id="20"/>
      <w:bookmarkEnd w:id="21"/>
      <w:bookmarkEnd w:id="22"/>
      <w:bookmarkEnd w:id="23"/>
      <w:bookmarkEnd w:id="24"/>
      <w:bookmarkEnd w:id="25"/>
    </w:p>
    <w:tbl>
      <w:tblPr>
        <w:tblStyle w:val="6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11"/>
        <w:gridCol w:w="709"/>
        <w:gridCol w:w="709"/>
        <w:gridCol w:w="1276"/>
        <w:gridCol w:w="214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标项序号</w:t>
            </w:r>
          </w:p>
        </w:tc>
        <w:tc>
          <w:tcPr>
            <w:tcW w:w="3011"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标项名称</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数量</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单位</w:t>
            </w:r>
          </w:p>
        </w:tc>
        <w:tc>
          <w:tcPr>
            <w:tcW w:w="1276" w:type="dxa"/>
            <w:vAlign w:val="center"/>
          </w:tcPr>
          <w:p>
            <w:pPr>
              <w:tabs>
                <w:tab w:val="left" w:pos="709"/>
                <w:tab w:val="left" w:pos="4820"/>
              </w:tabs>
              <w:spacing w:line="320" w:lineRule="exact"/>
              <w:jc w:val="center"/>
              <w:rPr>
                <w:rFonts w:ascii="宋体" w:hAnsi="宋体"/>
                <w:sz w:val="22"/>
              </w:rPr>
            </w:pPr>
            <w:r>
              <w:rPr>
                <w:rFonts w:hint="eastAsia" w:ascii="宋体" w:hAnsi="宋体"/>
                <w:sz w:val="22"/>
                <w:highlight w:val="none"/>
              </w:rPr>
              <w:t>预算金额(万元)</w:t>
            </w:r>
          </w:p>
        </w:tc>
        <w:tc>
          <w:tcPr>
            <w:tcW w:w="2147"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简要规格描述或标项</w:t>
            </w:r>
            <w:r>
              <w:rPr>
                <w:rFonts w:ascii="宋体" w:hAnsi="宋体"/>
                <w:sz w:val="22"/>
              </w:rPr>
              <w:t>基本概况介绍</w:t>
            </w:r>
          </w:p>
        </w:tc>
        <w:tc>
          <w:tcPr>
            <w:tcW w:w="937"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75"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1</w:t>
            </w:r>
          </w:p>
        </w:tc>
        <w:tc>
          <w:tcPr>
            <w:tcW w:w="3011" w:type="dxa"/>
            <w:vAlign w:val="center"/>
          </w:tcPr>
          <w:p>
            <w:pPr>
              <w:tabs>
                <w:tab w:val="left" w:pos="709"/>
                <w:tab w:val="left" w:pos="4820"/>
              </w:tabs>
              <w:spacing w:line="320" w:lineRule="exact"/>
              <w:jc w:val="center"/>
              <w:rPr>
                <w:rFonts w:hint="eastAsia" w:ascii="宋体" w:hAnsi="宋体" w:eastAsia="宋体"/>
                <w:sz w:val="22"/>
                <w:lang w:eastAsia="zh-CN"/>
              </w:rPr>
            </w:pPr>
            <w:r>
              <w:rPr>
                <w:rFonts w:hint="eastAsia" w:ascii="宋体" w:hAnsi="宋体"/>
                <w:sz w:val="22"/>
                <w:lang w:eastAsia="zh-CN"/>
              </w:rPr>
              <w:t>江山经济开发区数字化园区（江东化工园区）建设项目</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1</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项</w:t>
            </w:r>
          </w:p>
        </w:tc>
        <w:tc>
          <w:tcPr>
            <w:tcW w:w="1276" w:type="dxa"/>
            <w:vAlign w:val="center"/>
          </w:tcPr>
          <w:p>
            <w:pPr>
              <w:tabs>
                <w:tab w:val="left" w:pos="709"/>
                <w:tab w:val="left" w:pos="4820"/>
              </w:tabs>
              <w:spacing w:line="320" w:lineRule="exact"/>
              <w:jc w:val="center"/>
              <w:rPr>
                <w:rFonts w:hint="default" w:ascii="宋体" w:hAnsi="宋体"/>
                <w:sz w:val="22"/>
                <w:szCs w:val="22"/>
                <w:lang w:val="en-US" w:eastAsia="zh-CN"/>
              </w:rPr>
            </w:pPr>
            <w:r>
              <w:rPr>
                <w:rFonts w:hint="default" w:ascii="宋体" w:hAnsi="宋体"/>
                <w:sz w:val="22"/>
                <w:szCs w:val="22"/>
                <w:lang w:val="en-US" w:eastAsia="zh-CN"/>
              </w:rPr>
              <w:t>1006</w:t>
            </w:r>
            <w:r>
              <w:rPr>
                <w:rFonts w:hint="eastAsia" w:ascii="宋体" w:hAnsi="宋体"/>
                <w:sz w:val="22"/>
                <w:szCs w:val="22"/>
                <w:lang w:val="en-US" w:eastAsia="zh-CN"/>
              </w:rPr>
              <w:t>.</w:t>
            </w:r>
            <w:r>
              <w:rPr>
                <w:rFonts w:hint="default" w:ascii="宋体" w:hAnsi="宋体"/>
                <w:sz w:val="22"/>
                <w:szCs w:val="22"/>
                <w:lang w:val="en-US" w:eastAsia="zh-CN"/>
              </w:rPr>
              <w:t>3892</w:t>
            </w:r>
          </w:p>
        </w:tc>
        <w:tc>
          <w:tcPr>
            <w:tcW w:w="2147" w:type="dxa"/>
            <w:vAlign w:val="center"/>
          </w:tcPr>
          <w:p>
            <w:pPr>
              <w:tabs>
                <w:tab w:val="left" w:pos="709"/>
                <w:tab w:val="left" w:pos="4820"/>
              </w:tabs>
              <w:spacing w:line="320" w:lineRule="exact"/>
              <w:jc w:val="center"/>
              <w:rPr>
                <w:rFonts w:hint="eastAsia" w:ascii="宋体" w:hAnsi="宋体"/>
                <w:sz w:val="22"/>
                <w:szCs w:val="22"/>
              </w:rPr>
            </w:pPr>
            <w:r>
              <w:rPr>
                <w:rFonts w:hint="eastAsia" w:ascii="宋体" w:hAnsi="宋体"/>
                <w:sz w:val="22"/>
                <w:szCs w:val="22"/>
              </w:rPr>
              <w:t>（详细采购要求见招标文件第三章）</w:t>
            </w:r>
          </w:p>
        </w:tc>
        <w:tc>
          <w:tcPr>
            <w:tcW w:w="937" w:type="dxa"/>
            <w:vAlign w:val="center"/>
          </w:tcPr>
          <w:p>
            <w:pPr>
              <w:tabs>
                <w:tab w:val="left" w:pos="709"/>
                <w:tab w:val="left" w:pos="4820"/>
              </w:tabs>
              <w:spacing w:line="320" w:lineRule="exact"/>
              <w:jc w:val="center"/>
              <w:rPr>
                <w:rFonts w:ascii="宋体" w:hAnsi="宋体"/>
                <w:sz w:val="22"/>
              </w:rPr>
            </w:pPr>
          </w:p>
        </w:tc>
      </w:tr>
    </w:tbl>
    <w:p>
      <w:pPr>
        <w:numPr>
          <w:ilvl w:val="0"/>
          <w:numId w:val="1"/>
        </w:numPr>
        <w:tabs>
          <w:tab w:val="left" w:pos="709"/>
          <w:tab w:val="left" w:pos="4820"/>
        </w:tabs>
        <w:spacing w:line="320" w:lineRule="exact"/>
        <w:jc w:val="left"/>
        <w:outlineLvl w:val="0"/>
        <w:rPr>
          <w:rFonts w:ascii="宋体" w:hAnsi="宋体"/>
          <w:sz w:val="24"/>
        </w:rPr>
      </w:pPr>
      <w:bookmarkStart w:id="26" w:name="_Toc18163965"/>
      <w:bookmarkStart w:id="27" w:name="_Toc45436665"/>
      <w:bookmarkStart w:id="28" w:name="_Toc36110351"/>
      <w:bookmarkStart w:id="29" w:name="_Toc24017967"/>
      <w:bookmarkStart w:id="30" w:name="_Toc36110477"/>
      <w:bookmarkStart w:id="31" w:name="_Toc12541625"/>
      <w:bookmarkStart w:id="32" w:name="_Toc36110217"/>
      <w:bookmarkStart w:id="33" w:name="_Toc24017913"/>
      <w:r>
        <w:rPr>
          <w:rFonts w:ascii="宋体" w:hAnsi="宋体"/>
          <w:sz w:val="24"/>
        </w:rPr>
        <w:t>投标</w:t>
      </w:r>
      <w:r>
        <w:rPr>
          <w:rFonts w:hint="eastAsia" w:ascii="宋体" w:hAnsi="宋体"/>
          <w:sz w:val="24"/>
        </w:rPr>
        <w:t>供应商</w:t>
      </w:r>
      <w:r>
        <w:rPr>
          <w:rFonts w:ascii="宋体" w:hAnsi="宋体"/>
          <w:sz w:val="24"/>
        </w:rPr>
        <w:t>资格要求</w:t>
      </w:r>
      <w:r>
        <w:rPr>
          <w:rFonts w:hint="eastAsia" w:ascii="宋体" w:hAnsi="宋体"/>
          <w:sz w:val="24"/>
        </w:rPr>
        <w:t>:</w:t>
      </w:r>
      <w:bookmarkEnd w:id="26"/>
      <w:bookmarkEnd w:id="27"/>
      <w:bookmarkEnd w:id="28"/>
      <w:bookmarkEnd w:id="29"/>
      <w:bookmarkEnd w:id="30"/>
      <w:bookmarkEnd w:id="31"/>
      <w:bookmarkEnd w:id="32"/>
      <w:bookmarkEnd w:id="33"/>
    </w:p>
    <w:p>
      <w:pPr>
        <w:tabs>
          <w:tab w:val="left" w:pos="709"/>
          <w:tab w:val="left" w:pos="4820"/>
        </w:tabs>
        <w:spacing w:line="320" w:lineRule="exact"/>
        <w:ind w:firstLine="660" w:firstLineChars="275"/>
        <w:jc w:val="left"/>
        <w:rPr>
          <w:rFonts w:hint="eastAsia" w:ascii="宋体" w:hAnsi="宋体"/>
          <w:sz w:val="24"/>
          <w:szCs w:val="22"/>
        </w:rPr>
      </w:pPr>
      <w:r>
        <w:rPr>
          <w:rFonts w:hint="eastAsia" w:ascii="宋体" w:hAnsi="宋体"/>
          <w:sz w:val="24"/>
          <w:szCs w:val="22"/>
        </w:rPr>
        <w:t>1.符合《中华人民共和国政府采购法》第二十二条要求,且必须为未被列入“信用中国”网站(www.creditchina.gov.cn)、中国政府采购网(www.ccgp.gov.cn)渠道信用记录失信被执行人、重大税收违法案件当事人名单、政府采购严重违法失信行为记录名单的投标人。</w:t>
      </w:r>
    </w:p>
    <w:p>
      <w:pPr>
        <w:tabs>
          <w:tab w:val="left" w:pos="709"/>
          <w:tab w:val="left" w:pos="4820"/>
        </w:tabs>
        <w:spacing w:line="320" w:lineRule="exact"/>
        <w:ind w:firstLine="660" w:firstLineChars="275"/>
        <w:jc w:val="left"/>
        <w:rPr>
          <w:rFonts w:hint="eastAsia" w:ascii="宋体" w:hAnsi="宋体"/>
          <w:sz w:val="24"/>
          <w:szCs w:val="22"/>
          <w:lang w:eastAsia="zh-CN"/>
        </w:rPr>
      </w:pPr>
      <w:r>
        <w:rPr>
          <w:rFonts w:hint="eastAsia" w:ascii="宋体" w:hAnsi="宋体"/>
          <w:sz w:val="24"/>
          <w:szCs w:val="22"/>
        </w:rPr>
        <w:t>2.在中华人民共和国境内注册，具有独立法人资格能承担本项目的</w:t>
      </w:r>
      <w:r>
        <w:rPr>
          <w:rFonts w:hint="eastAsia" w:ascii="宋体" w:hAnsi="宋体"/>
          <w:sz w:val="24"/>
          <w:szCs w:val="22"/>
          <w:lang w:eastAsia="zh-CN"/>
        </w:rPr>
        <w:t>供应商或网络运营商。</w:t>
      </w:r>
    </w:p>
    <w:p>
      <w:pPr>
        <w:tabs>
          <w:tab w:val="left" w:pos="709"/>
          <w:tab w:val="left" w:pos="4820"/>
        </w:tabs>
        <w:spacing w:line="320" w:lineRule="exact"/>
        <w:ind w:firstLine="660" w:firstLineChars="275"/>
        <w:jc w:val="left"/>
        <w:rPr>
          <w:rFonts w:hint="eastAsia" w:ascii="宋体" w:hAnsi="宋体"/>
          <w:sz w:val="24"/>
          <w:szCs w:val="22"/>
        </w:rPr>
      </w:pPr>
      <w:r>
        <w:rPr>
          <w:rFonts w:hint="eastAsia" w:ascii="宋体" w:hAnsi="宋体"/>
          <w:sz w:val="24"/>
          <w:szCs w:val="22"/>
        </w:rPr>
        <w:t>3.单位负责人为同一人或者存在直接控股、管理关系的不同投标人，不得参加同一合同项下的政府采购活动。</w:t>
      </w:r>
    </w:p>
    <w:p>
      <w:pPr>
        <w:tabs>
          <w:tab w:val="left" w:pos="709"/>
          <w:tab w:val="left" w:pos="4820"/>
        </w:tabs>
        <w:spacing w:line="320" w:lineRule="exact"/>
        <w:ind w:firstLine="660" w:firstLineChars="275"/>
        <w:jc w:val="left"/>
        <w:rPr>
          <w:rFonts w:hint="eastAsia" w:ascii="宋体" w:hAnsi="宋体"/>
          <w:sz w:val="24"/>
          <w:szCs w:val="22"/>
        </w:rPr>
      </w:pPr>
      <w:r>
        <w:rPr>
          <w:rFonts w:hint="eastAsia" w:ascii="宋体" w:hAnsi="宋体"/>
          <w:sz w:val="24"/>
          <w:szCs w:val="22"/>
          <w:lang w:val="en-US" w:eastAsia="zh-CN"/>
        </w:rPr>
        <w:t>4</w:t>
      </w:r>
      <w:r>
        <w:rPr>
          <w:rFonts w:hint="eastAsia" w:ascii="宋体" w:hAnsi="宋体"/>
          <w:sz w:val="24"/>
          <w:szCs w:val="22"/>
        </w:rPr>
        <w:t>.本项目谢绝联合体投标。</w:t>
      </w:r>
    </w:p>
    <w:p>
      <w:pPr>
        <w:numPr>
          <w:ilvl w:val="0"/>
          <w:numId w:val="1"/>
        </w:numPr>
        <w:tabs>
          <w:tab w:val="left" w:pos="709"/>
          <w:tab w:val="left" w:pos="4820"/>
        </w:tabs>
        <w:spacing w:line="320" w:lineRule="exact"/>
        <w:jc w:val="left"/>
        <w:outlineLvl w:val="0"/>
        <w:rPr>
          <w:rFonts w:ascii="宋体" w:hAnsi="宋体"/>
          <w:sz w:val="24"/>
        </w:rPr>
      </w:pPr>
      <w:bookmarkStart w:id="34" w:name="_Toc12541626"/>
      <w:bookmarkStart w:id="35" w:name="_Toc45436666"/>
      <w:bookmarkStart w:id="36" w:name="_Toc36110352"/>
      <w:bookmarkStart w:id="37" w:name="_Toc24017914"/>
      <w:bookmarkStart w:id="38" w:name="_Toc24017968"/>
      <w:bookmarkStart w:id="39" w:name="_Toc36110218"/>
      <w:bookmarkStart w:id="40" w:name="_Toc36110478"/>
      <w:bookmarkStart w:id="41" w:name="_Toc18163966"/>
      <w:r>
        <w:rPr>
          <w:rFonts w:hint="eastAsia" w:ascii="宋体" w:hAnsi="宋体"/>
          <w:sz w:val="24"/>
        </w:rPr>
        <w:t>招标文件的报名/发售时间、地址、售价:</w:t>
      </w:r>
      <w:bookmarkEnd w:id="34"/>
      <w:bookmarkEnd w:id="35"/>
      <w:bookmarkEnd w:id="36"/>
      <w:bookmarkEnd w:id="37"/>
      <w:bookmarkEnd w:id="38"/>
      <w:bookmarkEnd w:id="39"/>
      <w:bookmarkEnd w:id="40"/>
      <w:bookmarkEnd w:id="41"/>
    </w:p>
    <w:p>
      <w:pPr>
        <w:tabs>
          <w:tab w:val="left" w:pos="709"/>
          <w:tab w:val="left" w:pos="4820"/>
        </w:tabs>
        <w:spacing w:line="320" w:lineRule="exact"/>
        <w:ind w:firstLine="660" w:firstLineChars="275"/>
        <w:jc w:val="left"/>
        <w:rPr>
          <w:rFonts w:hint="eastAsia" w:ascii="宋体" w:hAnsi="宋体"/>
          <w:sz w:val="24"/>
          <w:szCs w:val="22"/>
        </w:rPr>
      </w:pPr>
      <w:r>
        <w:rPr>
          <w:rFonts w:hint="eastAsia" w:ascii="宋体" w:hAnsi="宋体"/>
          <w:sz w:val="24"/>
          <w:szCs w:val="22"/>
        </w:rPr>
        <w:t>1．报名/发售时间：公告发布之日起至投标文件递交截止时间前。</w:t>
      </w:r>
    </w:p>
    <w:p>
      <w:pPr>
        <w:tabs>
          <w:tab w:val="left" w:pos="709"/>
          <w:tab w:val="left" w:pos="4820"/>
        </w:tabs>
        <w:spacing w:line="320" w:lineRule="exact"/>
        <w:ind w:firstLine="660" w:firstLineChars="275"/>
        <w:jc w:val="left"/>
        <w:rPr>
          <w:rFonts w:hint="eastAsia" w:ascii="宋体" w:hAnsi="宋体"/>
          <w:sz w:val="24"/>
          <w:szCs w:val="22"/>
        </w:rPr>
      </w:pPr>
      <w:r>
        <w:rPr>
          <w:rFonts w:hint="eastAsia" w:ascii="宋体" w:hAnsi="宋体"/>
          <w:sz w:val="24"/>
          <w:szCs w:val="22"/>
        </w:rPr>
        <w:t>2．报名/发售地址：本项目采用网上报名，不接受现场报名，未经网上报名，其投标文件将被拒绝。登陆政采云平台，在线申请获取招标文件。（进入“项目采购”应用，在获取招标文件菜单中选择项目，申请获取招标文件，并在附件中上传营业执照原件扫描件。本项目招标文件不收取工本费；仅需浏览招标文件的供应商可点击“游客，浏览招标文件”直接下载招标文件浏览）。</w:t>
      </w:r>
    </w:p>
    <w:p>
      <w:pPr>
        <w:tabs>
          <w:tab w:val="left" w:pos="709"/>
          <w:tab w:val="left" w:pos="4820"/>
        </w:tabs>
        <w:spacing w:line="320" w:lineRule="exact"/>
        <w:ind w:firstLine="660" w:firstLineChars="275"/>
        <w:jc w:val="left"/>
        <w:rPr>
          <w:rFonts w:hint="eastAsia" w:ascii="宋体" w:hAnsi="宋体"/>
          <w:sz w:val="24"/>
          <w:szCs w:val="22"/>
        </w:rPr>
      </w:pPr>
      <w:r>
        <w:rPr>
          <w:rFonts w:hint="eastAsia" w:ascii="宋体" w:hAnsi="宋体"/>
          <w:sz w:val="24"/>
          <w:szCs w:val="22"/>
        </w:rPr>
        <w:t>3．标书售价(元)：0</w:t>
      </w:r>
    </w:p>
    <w:p>
      <w:pPr>
        <w:pStyle w:val="32"/>
        <w:numPr>
          <w:ilvl w:val="0"/>
          <w:numId w:val="1"/>
        </w:numPr>
        <w:wordWrap w:val="0"/>
        <w:adjustRightInd w:val="0"/>
        <w:snapToGrid w:val="0"/>
        <w:spacing w:before="120" w:after="120" w:line="500" w:lineRule="exact"/>
        <w:rPr>
          <w:rFonts w:hAnsi="宋体"/>
          <w:sz w:val="24"/>
        </w:rPr>
      </w:pPr>
      <w:bookmarkStart w:id="42" w:name="_Toc24017915"/>
      <w:bookmarkStart w:id="43" w:name="_Toc12541627"/>
      <w:bookmarkStart w:id="44" w:name="_Toc18163967"/>
      <w:bookmarkStart w:id="45" w:name="_Toc24017969"/>
      <w:r>
        <w:rPr>
          <w:rFonts w:hint="eastAsia" w:hAnsi="宋体"/>
          <w:sz w:val="24"/>
        </w:rPr>
        <w:t>投标说明</w:t>
      </w:r>
    </w:p>
    <w:p>
      <w:pPr>
        <w:tabs>
          <w:tab w:val="left" w:pos="709"/>
          <w:tab w:val="left" w:pos="4820"/>
        </w:tabs>
        <w:spacing w:line="320" w:lineRule="exact"/>
        <w:ind w:firstLine="660" w:firstLineChars="275"/>
        <w:jc w:val="left"/>
        <w:rPr>
          <w:rFonts w:ascii="宋体" w:hAnsi="宋体"/>
          <w:b w:val="0"/>
          <w:bCs/>
          <w:color w:val="auto"/>
          <w:sz w:val="24"/>
          <w:highlight w:val="none"/>
        </w:rPr>
      </w:pPr>
      <w:r>
        <w:rPr>
          <w:rFonts w:hint="eastAsia" w:ascii="宋体" w:hAnsi="宋体"/>
          <w:b w:val="0"/>
          <w:bCs/>
          <w:color w:val="auto"/>
          <w:sz w:val="24"/>
          <w:highlight w:val="none"/>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tabs>
          <w:tab w:val="left" w:pos="709"/>
          <w:tab w:val="left" w:pos="4820"/>
        </w:tabs>
        <w:spacing w:line="320" w:lineRule="exact"/>
        <w:ind w:firstLine="660" w:firstLineChars="275"/>
        <w:jc w:val="left"/>
        <w:rPr>
          <w:rFonts w:ascii="宋体" w:hAnsi="宋体"/>
          <w:b w:val="0"/>
          <w:bCs/>
          <w:color w:val="auto"/>
          <w:sz w:val="24"/>
          <w:highlight w:val="none"/>
        </w:rPr>
      </w:pPr>
      <w:r>
        <w:rPr>
          <w:rFonts w:hint="eastAsia" w:ascii="宋体" w:hAnsi="宋体"/>
          <w:b w:val="0"/>
          <w:bCs/>
          <w:color w:val="auto"/>
          <w:sz w:val="24"/>
          <w:highlight w:val="none"/>
        </w:rPr>
        <w:t>2、投标人应在开标前完成CA数字证书办理以及驱动下载（办理流程详见浙江政府采购官网）。完成CA数字证书办理预计一周左右，建议各投标人抓紧时间办理。</w:t>
      </w:r>
    </w:p>
    <w:p>
      <w:pPr>
        <w:tabs>
          <w:tab w:val="left" w:pos="709"/>
          <w:tab w:val="left" w:pos="4820"/>
        </w:tabs>
        <w:spacing w:line="320" w:lineRule="exact"/>
        <w:ind w:firstLine="660" w:firstLineChars="275"/>
        <w:jc w:val="left"/>
        <w:rPr>
          <w:rFonts w:ascii="宋体" w:hAnsi="宋体"/>
          <w:b w:val="0"/>
          <w:bCs/>
          <w:color w:val="auto"/>
          <w:sz w:val="24"/>
          <w:highlight w:val="none"/>
        </w:rPr>
      </w:pPr>
      <w:r>
        <w:rPr>
          <w:rFonts w:hint="eastAsia" w:ascii="宋体" w:hAnsi="宋体"/>
          <w:b w:val="0"/>
          <w:bCs/>
          <w:color w:val="auto"/>
          <w:sz w:val="24"/>
          <w:highlight w:val="none"/>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numPr>
          <w:ilvl w:val="0"/>
          <w:numId w:val="1"/>
        </w:numPr>
        <w:tabs>
          <w:tab w:val="left" w:pos="709"/>
          <w:tab w:val="left" w:pos="4820"/>
        </w:tabs>
        <w:spacing w:line="320" w:lineRule="exact"/>
        <w:jc w:val="left"/>
        <w:outlineLvl w:val="0"/>
        <w:rPr>
          <w:rFonts w:ascii="宋体" w:hAnsi="宋体"/>
          <w:color w:val="auto"/>
          <w:sz w:val="24"/>
          <w:highlight w:val="none"/>
        </w:rPr>
      </w:pPr>
      <w:bookmarkStart w:id="46" w:name="_Toc45436667"/>
      <w:bookmarkStart w:id="47" w:name="_Toc36110479"/>
      <w:bookmarkStart w:id="48" w:name="_Toc36110219"/>
      <w:bookmarkStart w:id="49" w:name="_Toc36110353"/>
      <w:r>
        <w:rPr>
          <w:rFonts w:ascii="宋体" w:hAnsi="宋体"/>
          <w:color w:val="auto"/>
          <w:sz w:val="24"/>
          <w:highlight w:val="none"/>
        </w:rPr>
        <w:t>投标截止时间</w:t>
      </w:r>
    </w:p>
    <w:p>
      <w:pPr>
        <w:rPr>
          <w:color w:val="auto"/>
          <w:sz w:val="24"/>
          <w:szCs w:val="22"/>
          <w:highlight w:val="none"/>
        </w:rPr>
      </w:pPr>
      <w:r>
        <w:rPr>
          <w:rFonts w:hint="eastAsia"/>
          <w:color w:val="auto"/>
          <w:sz w:val="24"/>
          <w:szCs w:val="22"/>
          <w:highlight w:val="none"/>
        </w:rPr>
        <w:t>投标截止时间</w:t>
      </w:r>
      <w:r>
        <w:rPr>
          <w:color w:val="auto"/>
          <w:sz w:val="24"/>
          <w:szCs w:val="22"/>
          <w:highlight w:val="none"/>
        </w:rPr>
        <w:t>：</w:t>
      </w:r>
      <w:r>
        <w:rPr>
          <w:rFonts w:hint="eastAsia"/>
          <w:color w:val="auto"/>
          <w:sz w:val="24"/>
          <w:szCs w:val="22"/>
          <w:highlight w:val="none"/>
        </w:rPr>
        <w:t>2020年</w:t>
      </w:r>
      <w:r>
        <w:rPr>
          <w:rFonts w:hint="eastAsia"/>
          <w:color w:val="auto"/>
          <w:sz w:val="24"/>
          <w:szCs w:val="22"/>
          <w:highlight w:val="none"/>
          <w:lang w:val="en-US" w:eastAsia="zh-CN"/>
        </w:rPr>
        <w:t>9</w:t>
      </w:r>
      <w:r>
        <w:rPr>
          <w:rFonts w:hint="eastAsia"/>
          <w:color w:val="auto"/>
          <w:sz w:val="24"/>
          <w:szCs w:val="22"/>
          <w:highlight w:val="none"/>
        </w:rPr>
        <w:t>月</w:t>
      </w:r>
      <w:r>
        <w:rPr>
          <w:rFonts w:hint="eastAsia"/>
          <w:color w:val="auto"/>
          <w:sz w:val="24"/>
          <w:szCs w:val="22"/>
          <w:highlight w:val="none"/>
          <w:lang w:val="en-US" w:eastAsia="zh-CN"/>
        </w:rPr>
        <w:t>15</w:t>
      </w:r>
      <w:r>
        <w:rPr>
          <w:rFonts w:hint="eastAsia"/>
          <w:color w:val="auto"/>
          <w:sz w:val="24"/>
          <w:szCs w:val="22"/>
          <w:highlight w:val="none"/>
        </w:rPr>
        <w:t>日9时00分00秒</w:t>
      </w:r>
      <w:bookmarkEnd w:id="42"/>
      <w:bookmarkEnd w:id="43"/>
      <w:bookmarkEnd w:id="44"/>
      <w:bookmarkEnd w:id="45"/>
      <w:bookmarkEnd w:id="46"/>
      <w:bookmarkEnd w:id="47"/>
      <w:bookmarkEnd w:id="48"/>
      <w:bookmarkEnd w:id="49"/>
    </w:p>
    <w:p>
      <w:pPr>
        <w:rPr>
          <w:color w:val="auto"/>
          <w:highlight w:val="none"/>
        </w:rPr>
      </w:pPr>
      <w:bookmarkStart w:id="50" w:name="_Toc24017970"/>
      <w:bookmarkStart w:id="51" w:name="_Toc24017916"/>
      <w:bookmarkStart w:id="52" w:name="_Toc12541628"/>
      <w:bookmarkStart w:id="53" w:name="_Toc18163968"/>
    </w:p>
    <w:p>
      <w:pPr>
        <w:ind w:firstLine="424" w:firstLineChars="177"/>
        <w:rPr>
          <w:rFonts w:hint="eastAsia"/>
          <w:color w:val="auto"/>
          <w:sz w:val="24"/>
          <w:szCs w:val="22"/>
          <w:highlight w:val="none"/>
        </w:rPr>
      </w:pPr>
      <w:r>
        <w:rPr>
          <w:color w:val="auto"/>
          <w:sz w:val="24"/>
          <w:szCs w:val="22"/>
          <w:highlight w:val="none"/>
        </w:rPr>
        <w:t>投标</w:t>
      </w:r>
      <w:r>
        <w:rPr>
          <w:rFonts w:hint="eastAsia"/>
          <w:color w:val="auto"/>
          <w:sz w:val="24"/>
          <w:szCs w:val="22"/>
          <w:highlight w:val="none"/>
        </w:rPr>
        <w:t>要求</w:t>
      </w:r>
      <w:r>
        <w:rPr>
          <w:color w:val="auto"/>
          <w:sz w:val="24"/>
          <w:szCs w:val="22"/>
          <w:highlight w:val="none"/>
        </w:rPr>
        <w:t>：</w:t>
      </w:r>
      <w:bookmarkEnd w:id="50"/>
      <w:bookmarkEnd w:id="51"/>
      <w:bookmarkEnd w:id="52"/>
      <w:bookmarkEnd w:id="53"/>
      <w:r>
        <w:rPr>
          <w:rFonts w:hint="eastAsia"/>
          <w:color w:val="auto"/>
          <w:sz w:val="24"/>
          <w:szCs w:val="22"/>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320" w:lineRule="exact"/>
        <w:ind w:firstLine="480" w:firstLineChars="200"/>
        <w:outlineLvl w:val="0"/>
        <w:rPr>
          <w:rFonts w:hint="eastAsia"/>
          <w:color w:val="auto"/>
          <w:sz w:val="24"/>
          <w:szCs w:val="22"/>
          <w:highlight w:val="none"/>
        </w:rPr>
      </w:pPr>
      <w:r>
        <w:rPr>
          <w:rFonts w:hint="eastAsia" w:hAnsi="宋体"/>
          <w:sz w:val="24"/>
        </w:rPr>
        <w:t>投标人应在投标截止时间后将附件的供应商现场确认声明书填写并按手印，同时将原件扫描件发送至邮箱（</w:t>
      </w:r>
      <w:r>
        <w:rPr>
          <w:rFonts w:hint="eastAsia" w:hAnsi="宋体"/>
          <w:sz w:val="24"/>
          <w:lang w:val="en-US" w:eastAsia="zh-CN"/>
        </w:rPr>
        <w:t>312118382</w:t>
      </w:r>
      <w:r>
        <w:rPr>
          <w:rFonts w:hint="eastAsia" w:hAnsi="宋体"/>
          <w:sz w:val="24"/>
        </w:rPr>
        <w:t>@qq.com）。</w:t>
      </w:r>
    </w:p>
    <w:p>
      <w:pPr>
        <w:ind w:firstLine="424" w:firstLineChars="177"/>
        <w:rPr>
          <w:color w:val="auto"/>
          <w:sz w:val="24"/>
          <w:szCs w:val="22"/>
          <w:highlight w:val="none"/>
        </w:rPr>
      </w:pPr>
      <w:r>
        <w:rPr>
          <w:rFonts w:hint="eastAsia"/>
          <w:color w:val="auto"/>
          <w:sz w:val="24"/>
          <w:szCs w:val="22"/>
          <w:highlight w:val="none"/>
        </w:rPr>
        <w:t>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color w:val="auto"/>
          <w:sz w:val="24"/>
          <w:szCs w:val="22"/>
          <w:highlight w:val="none"/>
          <w:lang w:eastAsia="zh-CN"/>
        </w:rPr>
        <w:t>312118382@qq.com</w:t>
      </w:r>
      <w:r>
        <w:rPr>
          <w:rFonts w:hint="eastAsia"/>
          <w:color w:val="auto"/>
          <w:sz w:val="24"/>
          <w:szCs w:val="22"/>
          <w:highlight w:val="none"/>
        </w:rPr>
        <w:t>),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color w:val="auto"/>
          <w:sz w:val="24"/>
          <w:szCs w:val="22"/>
          <w:highlight w:val="none"/>
          <w:lang w:eastAsia="zh-CN"/>
        </w:rPr>
        <w:t>312118382@qq.com</w:t>
      </w:r>
      <w:r>
        <w:rPr>
          <w:rFonts w:hint="eastAsia"/>
          <w:color w:val="auto"/>
          <w:sz w:val="24"/>
          <w:szCs w:val="22"/>
          <w:highlight w:val="none"/>
        </w:rPr>
        <w:t>)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p>
      <w:pPr>
        <w:numPr>
          <w:ilvl w:val="0"/>
          <w:numId w:val="1"/>
        </w:numPr>
        <w:tabs>
          <w:tab w:val="left" w:pos="709"/>
          <w:tab w:val="left" w:pos="4820"/>
        </w:tabs>
        <w:spacing w:line="320" w:lineRule="exact"/>
        <w:jc w:val="left"/>
        <w:outlineLvl w:val="0"/>
        <w:rPr>
          <w:rFonts w:ascii="宋体" w:hAnsi="宋体"/>
          <w:color w:val="auto"/>
          <w:sz w:val="24"/>
          <w:highlight w:val="none"/>
        </w:rPr>
      </w:pPr>
      <w:bookmarkStart w:id="54" w:name="_Toc45436668"/>
      <w:bookmarkStart w:id="55" w:name="_Toc36110220"/>
      <w:bookmarkStart w:id="56" w:name="_Toc18163969"/>
      <w:bookmarkStart w:id="57" w:name="_Toc24017971"/>
      <w:bookmarkStart w:id="58" w:name="_Toc36110480"/>
      <w:bookmarkStart w:id="59" w:name="_Toc36110354"/>
      <w:bookmarkStart w:id="60" w:name="_Toc12541629"/>
      <w:bookmarkStart w:id="61" w:name="_Toc24017917"/>
      <w:r>
        <w:rPr>
          <w:rFonts w:ascii="宋体" w:hAnsi="宋体"/>
          <w:color w:val="auto"/>
          <w:sz w:val="24"/>
          <w:highlight w:val="none"/>
        </w:rPr>
        <w:t>开标时间</w:t>
      </w:r>
    </w:p>
    <w:p>
      <w:pPr>
        <w:rPr>
          <w:color w:val="auto"/>
          <w:sz w:val="24"/>
          <w:szCs w:val="22"/>
          <w:highlight w:val="none"/>
        </w:rPr>
      </w:pPr>
      <w:r>
        <w:rPr>
          <w:rFonts w:hint="eastAsia"/>
          <w:color w:val="auto"/>
          <w:sz w:val="24"/>
          <w:szCs w:val="22"/>
          <w:highlight w:val="none"/>
        </w:rPr>
        <w:t>开标时间</w:t>
      </w:r>
      <w:r>
        <w:rPr>
          <w:color w:val="auto"/>
          <w:sz w:val="24"/>
          <w:szCs w:val="22"/>
          <w:highlight w:val="none"/>
        </w:rPr>
        <w:t>：</w:t>
      </w:r>
      <w:r>
        <w:rPr>
          <w:rFonts w:hint="eastAsia"/>
          <w:color w:val="auto"/>
          <w:sz w:val="24"/>
          <w:szCs w:val="22"/>
          <w:highlight w:val="none"/>
        </w:rPr>
        <w:t>2020年</w:t>
      </w:r>
      <w:r>
        <w:rPr>
          <w:rFonts w:hint="eastAsia"/>
          <w:color w:val="auto"/>
          <w:sz w:val="24"/>
          <w:szCs w:val="22"/>
          <w:highlight w:val="none"/>
          <w:lang w:val="en-US" w:eastAsia="zh-CN"/>
        </w:rPr>
        <w:t>9</w:t>
      </w:r>
      <w:r>
        <w:rPr>
          <w:rFonts w:hint="eastAsia"/>
          <w:color w:val="auto"/>
          <w:sz w:val="24"/>
          <w:szCs w:val="22"/>
          <w:highlight w:val="none"/>
        </w:rPr>
        <w:t xml:space="preserve"> 月</w:t>
      </w:r>
      <w:r>
        <w:rPr>
          <w:rFonts w:hint="eastAsia"/>
          <w:color w:val="auto"/>
          <w:sz w:val="24"/>
          <w:szCs w:val="22"/>
          <w:highlight w:val="none"/>
          <w:lang w:val="en-US" w:eastAsia="zh-CN"/>
        </w:rPr>
        <w:t>15</w:t>
      </w:r>
      <w:r>
        <w:rPr>
          <w:rFonts w:hint="eastAsia"/>
          <w:color w:val="auto"/>
          <w:sz w:val="24"/>
          <w:szCs w:val="22"/>
          <w:highlight w:val="none"/>
        </w:rPr>
        <w:t>日 9 时00 分00 秒</w:t>
      </w:r>
      <w:bookmarkEnd w:id="54"/>
      <w:bookmarkEnd w:id="55"/>
      <w:bookmarkEnd w:id="56"/>
      <w:bookmarkEnd w:id="57"/>
      <w:bookmarkEnd w:id="58"/>
      <w:bookmarkEnd w:id="59"/>
      <w:bookmarkEnd w:id="60"/>
      <w:bookmarkEnd w:id="61"/>
    </w:p>
    <w:p>
      <w:pPr>
        <w:numPr>
          <w:ilvl w:val="0"/>
          <w:numId w:val="1"/>
        </w:numPr>
        <w:tabs>
          <w:tab w:val="left" w:pos="709"/>
          <w:tab w:val="left" w:pos="4820"/>
        </w:tabs>
        <w:spacing w:line="320" w:lineRule="exact"/>
        <w:jc w:val="left"/>
        <w:outlineLvl w:val="0"/>
        <w:rPr>
          <w:rFonts w:ascii="宋体" w:hAnsi="宋体"/>
          <w:color w:val="auto"/>
          <w:sz w:val="24"/>
          <w:highlight w:val="none"/>
        </w:rPr>
      </w:pPr>
      <w:bookmarkStart w:id="62" w:name="_Toc12541630"/>
      <w:bookmarkStart w:id="63" w:name="_Toc36110481"/>
      <w:bookmarkStart w:id="64" w:name="_Toc18163970"/>
      <w:bookmarkStart w:id="65" w:name="_Toc24017972"/>
      <w:bookmarkStart w:id="66" w:name="_Toc45436669"/>
      <w:bookmarkStart w:id="67" w:name="_Toc36110355"/>
      <w:bookmarkStart w:id="68" w:name="_Toc36110221"/>
      <w:bookmarkStart w:id="69" w:name="_Toc24017918"/>
      <w:r>
        <w:rPr>
          <w:rFonts w:hint="eastAsia" w:ascii="宋体" w:hAnsi="宋体"/>
          <w:bCs/>
          <w:color w:val="auto"/>
          <w:sz w:val="24"/>
          <w:highlight w:val="none"/>
        </w:rPr>
        <w:t>开标地址</w:t>
      </w:r>
      <w:r>
        <w:rPr>
          <w:rFonts w:hint="eastAsia" w:ascii="宋体" w:hAnsi="宋体"/>
          <w:color w:val="auto"/>
          <w:sz w:val="24"/>
          <w:highlight w:val="none"/>
        </w:rPr>
        <w:t>：</w:t>
      </w:r>
      <w:bookmarkEnd w:id="62"/>
      <w:r>
        <w:rPr>
          <w:rFonts w:hint="eastAsia" w:ascii="宋体" w:hAnsi="宋体"/>
          <w:color w:val="auto"/>
          <w:sz w:val="24"/>
          <w:highlight w:val="none"/>
        </w:rPr>
        <w:t xml:space="preserve">江山市公共资源交易中心 </w:t>
      </w:r>
      <w:r>
        <w:rPr>
          <w:rFonts w:hint="eastAsia" w:ascii="宋体" w:hAnsi="宋体"/>
          <w:color w:val="auto"/>
          <w:sz w:val="24"/>
          <w:highlight w:val="none"/>
          <w:u w:val="single"/>
        </w:rPr>
        <w:t>2</w:t>
      </w:r>
      <w:r>
        <w:rPr>
          <w:rFonts w:hint="eastAsia" w:ascii="宋体" w:hAnsi="宋体"/>
          <w:color w:val="auto"/>
          <w:sz w:val="24"/>
          <w:highlight w:val="none"/>
        </w:rPr>
        <w:t>号开标厅（江山市景星西路万商城五号楼B一楼 ）</w:t>
      </w:r>
      <w:bookmarkEnd w:id="63"/>
      <w:bookmarkEnd w:id="64"/>
      <w:bookmarkEnd w:id="65"/>
      <w:bookmarkEnd w:id="66"/>
      <w:bookmarkEnd w:id="67"/>
      <w:bookmarkEnd w:id="68"/>
      <w:bookmarkEnd w:id="69"/>
    </w:p>
    <w:p>
      <w:pPr>
        <w:numPr>
          <w:ilvl w:val="0"/>
          <w:numId w:val="1"/>
        </w:numPr>
        <w:tabs>
          <w:tab w:val="left" w:pos="709"/>
        </w:tabs>
        <w:spacing w:line="320" w:lineRule="exact"/>
        <w:jc w:val="left"/>
        <w:outlineLvl w:val="0"/>
        <w:rPr>
          <w:rFonts w:ascii="宋体" w:hAnsi="宋体"/>
          <w:color w:val="auto"/>
          <w:sz w:val="24"/>
          <w:highlight w:val="none"/>
        </w:rPr>
      </w:pPr>
      <w:bookmarkStart w:id="70" w:name="_Toc12541631"/>
      <w:bookmarkStart w:id="71" w:name="_Toc24017919"/>
      <w:bookmarkStart w:id="72" w:name="_Toc36110356"/>
      <w:bookmarkStart w:id="73" w:name="_Toc36110482"/>
      <w:bookmarkStart w:id="74" w:name="_Toc36110222"/>
      <w:bookmarkStart w:id="75" w:name="_Toc45436670"/>
      <w:bookmarkStart w:id="76" w:name="_Toc24017973"/>
      <w:bookmarkStart w:id="77" w:name="_Toc18163971"/>
      <w:r>
        <w:rPr>
          <w:rFonts w:ascii="宋体" w:hAnsi="宋体"/>
          <w:color w:val="auto"/>
          <w:sz w:val="24"/>
          <w:highlight w:val="none"/>
        </w:rPr>
        <w:t>投标保证金：</w:t>
      </w:r>
      <w:bookmarkEnd w:id="70"/>
      <w:bookmarkEnd w:id="71"/>
      <w:bookmarkEnd w:id="72"/>
      <w:bookmarkEnd w:id="73"/>
      <w:bookmarkEnd w:id="74"/>
      <w:bookmarkEnd w:id="75"/>
      <w:bookmarkEnd w:id="76"/>
      <w:bookmarkEnd w:id="77"/>
    </w:p>
    <w:p>
      <w:pPr>
        <w:tabs>
          <w:tab w:val="left" w:pos="709"/>
          <w:tab w:val="left" w:pos="4820"/>
        </w:tabs>
        <w:snapToGrid w:val="0"/>
        <w:ind w:firstLine="480" w:firstLineChars="200"/>
        <w:jc w:val="left"/>
        <w:rPr>
          <w:rFonts w:ascii="宋体" w:hAnsi="宋体"/>
          <w:color w:val="000000"/>
          <w:sz w:val="24"/>
        </w:rPr>
      </w:pPr>
      <w:r>
        <w:rPr>
          <w:rFonts w:hint="eastAsia" w:ascii="宋体" w:hAnsi="宋体"/>
          <w:color w:val="000000"/>
          <w:sz w:val="24"/>
        </w:rPr>
        <w:t>根据浙财采监〔2019〕5号文件，自2019年6月1日起，全省政府采购货物和服务招标投标活动不得向供应商收取投标保证金，非招标采购方式采购货物、工程和服务亦同.</w:t>
      </w:r>
    </w:p>
    <w:p>
      <w:pPr>
        <w:tabs>
          <w:tab w:val="left" w:pos="709"/>
          <w:tab w:val="left" w:pos="4820"/>
        </w:tabs>
        <w:snapToGrid w:val="0"/>
        <w:ind w:firstLine="480" w:firstLineChars="200"/>
        <w:jc w:val="left"/>
        <w:rPr>
          <w:rFonts w:ascii="宋体" w:hAnsi="宋体"/>
          <w:color w:val="000000"/>
          <w:sz w:val="24"/>
        </w:rPr>
      </w:pPr>
      <w:r>
        <w:rPr>
          <w:rFonts w:hint="eastAsia" w:ascii="宋体" w:hAnsi="宋体"/>
          <w:color w:val="000000"/>
          <w:sz w:val="24"/>
        </w:rPr>
        <w:t>投标保证金(元)：0元</w:t>
      </w:r>
      <w:r>
        <w:rPr>
          <w:rFonts w:ascii="宋体" w:hAnsi="宋体"/>
          <w:color w:val="000000"/>
          <w:sz w:val="24"/>
        </w:rPr>
        <w:t xml:space="preserve"> 。</w:t>
      </w:r>
    </w:p>
    <w:p>
      <w:pPr>
        <w:numPr>
          <w:ilvl w:val="0"/>
          <w:numId w:val="1"/>
        </w:numPr>
        <w:tabs>
          <w:tab w:val="left" w:pos="709"/>
        </w:tabs>
        <w:spacing w:line="320" w:lineRule="exact"/>
        <w:jc w:val="left"/>
        <w:outlineLvl w:val="0"/>
        <w:rPr>
          <w:rFonts w:ascii="宋体" w:hAnsi="宋体"/>
          <w:sz w:val="24"/>
        </w:rPr>
      </w:pPr>
      <w:bookmarkStart w:id="78" w:name="_Toc24017974"/>
      <w:bookmarkStart w:id="79" w:name="_Toc36110483"/>
      <w:bookmarkStart w:id="80" w:name="_Toc18163972"/>
      <w:bookmarkStart w:id="81" w:name="_Toc36110223"/>
      <w:bookmarkStart w:id="82" w:name="_Toc45436671"/>
      <w:bookmarkStart w:id="83" w:name="_Toc36110357"/>
      <w:bookmarkStart w:id="84" w:name="_Toc12541632"/>
      <w:bookmarkStart w:id="85" w:name="_Toc24017920"/>
      <w:r>
        <w:rPr>
          <w:rFonts w:hint="eastAsia" w:ascii="宋体" w:hAnsi="宋体"/>
          <w:sz w:val="24"/>
        </w:rPr>
        <w:t>公告期限：5个工作日</w:t>
      </w:r>
      <w:bookmarkEnd w:id="78"/>
      <w:bookmarkEnd w:id="79"/>
      <w:bookmarkEnd w:id="80"/>
      <w:bookmarkEnd w:id="81"/>
      <w:bookmarkEnd w:id="82"/>
      <w:bookmarkEnd w:id="83"/>
      <w:bookmarkEnd w:id="84"/>
      <w:bookmarkEnd w:id="85"/>
    </w:p>
    <w:p>
      <w:pPr>
        <w:numPr>
          <w:ilvl w:val="0"/>
          <w:numId w:val="1"/>
        </w:numPr>
        <w:tabs>
          <w:tab w:val="left" w:pos="709"/>
        </w:tabs>
        <w:spacing w:line="320" w:lineRule="exact"/>
        <w:jc w:val="left"/>
        <w:outlineLvl w:val="0"/>
        <w:rPr>
          <w:rFonts w:ascii="宋体" w:hAnsi="宋体"/>
          <w:sz w:val="24"/>
        </w:rPr>
      </w:pPr>
      <w:bookmarkStart w:id="86" w:name="_Toc36110224"/>
      <w:bookmarkStart w:id="87" w:name="_Toc18163973"/>
      <w:bookmarkStart w:id="88" w:name="_Toc24017921"/>
      <w:bookmarkStart w:id="89" w:name="_Toc45436672"/>
      <w:bookmarkStart w:id="90" w:name="_Toc24017975"/>
      <w:bookmarkStart w:id="91" w:name="_Toc36110358"/>
      <w:bookmarkStart w:id="92" w:name="_Toc36110484"/>
      <w:bookmarkStart w:id="93" w:name="_Toc12541633"/>
      <w:r>
        <w:rPr>
          <w:rFonts w:hint="eastAsia" w:ascii="宋体" w:hAnsi="宋体"/>
          <w:sz w:val="24"/>
        </w:rPr>
        <w:t>其他事项：</w:t>
      </w:r>
      <w:bookmarkEnd w:id="86"/>
      <w:bookmarkEnd w:id="87"/>
      <w:bookmarkEnd w:id="88"/>
      <w:bookmarkEnd w:id="89"/>
      <w:bookmarkEnd w:id="90"/>
      <w:bookmarkEnd w:id="91"/>
      <w:bookmarkEnd w:id="92"/>
      <w:bookmarkEnd w:id="93"/>
    </w:p>
    <w:p/>
    <w:p>
      <w:pPr>
        <w:ind w:firstLine="424" w:firstLineChars="177"/>
        <w:rPr>
          <w:sz w:val="24"/>
          <w:szCs w:val="22"/>
        </w:rPr>
      </w:pPr>
      <w:bookmarkStart w:id="94" w:name="_Toc18163974"/>
      <w:bookmarkStart w:id="95" w:name="_Toc36110485"/>
      <w:bookmarkStart w:id="96" w:name="_Toc24017922"/>
      <w:bookmarkStart w:id="97" w:name="_Toc36110225"/>
      <w:bookmarkStart w:id="98" w:name="_Toc12541634"/>
      <w:bookmarkStart w:id="99" w:name="_Toc24017976"/>
      <w:bookmarkStart w:id="100" w:name="_Toc36110359"/>
      <w:r>
        <w:rPr>
          <w:sz w:val="24"/>
          <w:szCs w:val="22"/>
        </w:rPr>
        <w:t>1、</w:t>
      </w:r>
      <w:r>
        <w:rPr>
          <w:rFonts w:hint="eastAsia"/>
          <w:sz w:val="24"/>
          <w:szCs w:val="22"/>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94"/>
      <w:bookmarkEnd w:id="95"/>
      <w:bookmarkEnd w:id="96"/>
      <w:bookmarkEnd w:id="97"/>
      <w:bookmarkEnd w:id="98"/>
      <w:bookmarkEnd w:id="99"/>
      <w:bookmarkEnd w:id="100"/>
    </w:p>
    <w:p>
      <w:pPr>
        <w:tabs>
          <w:tab w:val="left" w:pos="709"/>
          <w:tab w:val="left" w:pos="4820"/>
        </w:tabs>
        <w:spacing w:line="320" w:lineRule="exact"/>
        <w:ind w:firstLine="480" w:firstLineChars="200"/>
        <w:jc w:val="left"/>
        <w:rPr>
          <w:rFonts w:ascii="宋体" w:hAnsi="宋体"/>
          <w:sz w:val="24"/>
        </w:rPr>
      </w:pPr>
      <w:r>
        <w:rPr>
          <w:rFonts w:hint="eastAsia" w:ascii="宋体" w:hAnsi="宋体"/>
          <w:sz w:val="24"/>
          <w:lang w:val="en-US" w:eastAsia="zh-CN"/>
        </w:rPr>
        <w:t>2</w:t>
      </w:r>
      <w:r>
        <w:rPr>
          <w:rFonts w:ascii="宋体" w:hAnsi="宋体"/>
          <w:sz w:val="24"/>
        </w:rPr>
        <w:t>、</w:t>
      </w:r>
      <w:r>
        <w:rPr>
          <w:rFonts w:hint="eastAsia" w:ascii="宋体" w:hAnsi="宋体"/>
          <w:sz w:val="24"/>
        </w:rPr>
        <w:t>采购项目需要落实的政府采购政策:</w:t>
      </w:r>
    </w:p>
    <w:p>
      <w:pPr>
        <w:shd w:val="clear" w:color="auto" w:fill="FFFFFF"/>
        <w:tabs>
          <w:tab w:val="left" w:pos="709"/>
          <w:tab w:val="left" w:pos="4820"/>
        </w:tabs>
        <w:spacing w:line="320" w:lineRule="exact"/>
        <w:ind w:firstLine="480"/>
        <w:jc w:val="left"/>
        <w:rPr>
          <w:rFonts w:ascii="宋体" w:hAnsi="宋体" w:cs="宋体"/>
          <w:kern w:val="0"/>
          <w:sz w:val="20"/>
          <w:szCs w:val="21"/>
        </w:rPr>
      </w:pPr>
      <w:bookmarkStart w:id="101" w:name="B36_其他事项"/>
      <w:r>
        <w:rPr>
          <w:rFonts w:hint="eastAsia" w:ascii="宋体" w:hAnsi="宋体" w:cs="宋体"/>
          <w:b/>
          <w:bCs/>
          <w:kern w:val="0"/>
          <w:sz w:val="24"/>
          <w:szCs w:val="27"/>
        </w:rPr>
        <w:t>根据《政府采购促进中小企业发展暂行办法》（财库[2011]181号文件）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widowControl/>
        <w:shd w:val="clear" w:color="auto" w:fill="FFFFFF"/>
        <w:tabs>
          <w:tab w:val="left" w:pos="709"/>
          <w:tab w:val="left" w:pos="4820"/>
        </w:tabs>
        <w:spacing w:line="320" w:lineRule="exact"/>
        <w:ind w:firstLine="470"/>
        <w:jc w:val="left"/>
        <w:rPr>
          <w:rFonts w:ascii="宋体" w:hAnsi="宋体" w:cs="宋体"/>
          <w:kern w:val="0"/>
          <w:sz w:val="24"/>
          <w:szCs w:val="27"/>
        </w:rPr>
      </w:pPr>
      <w:r>
        <w:rPr>
          <w:rFonts w:hint="eastAsia" w:ascii="宋体" w:hAnsi="宋体" w:cs="宋体"/>
          <w:kern w:val="0"/>
          <w:sz w:val="24"/>
          <w:szCs w:val="27"/>
        </w:rPr>
        <w:t>属于小型、微型企业的残疾人福利性单位、监狱企业，不重复享受政策。供应商提供的《残疾人福利性单位声明函》、《监狱企业声明函》与事实不符的，依照《政府采购法》第七十七条第一款的规定追究法律责任。</w:t>
      </w:r>
    </w:p>
    <w:p>
      <w:pPr>
        <w:tabs>
          <w:tab w:val="left" w:pos="709"/>
          <w:tab w:val="left" w:pos="4820"/>
        </w:tabs>
        <w:jc w:val="left"/>
        <w:rPr>
          <w:rFonts w:ascii="宋体" w:hAnsi="宋体" w:cs="宋体"/>
          <w:kern w:val="0"/>
          <w:sz w:val="24"/>
          <w:szCs w:val="27"/>
        </w:rPr>
      </w:pPr>
      <w:r>
        <w:rPr>
          <w:rFonts w:hint="eastAsia" w:ascii="宋体" w:hAnsi="宋体"/>
          <w:lang w:val="en-US" w:eastAsia="zh-CN"/>
        </w:rPr>
        <w:t>3</w:t>
      </w:r>
      <w:r>
        <w:rPr>
          <w:rFonts w:ascii="宋体" w:hAnsi="宋体"/>
        </w:rPr>
        <w:t>、</w:t>
      </w:r>
      <w:r>
        <w:rPr>
          <w:rFonts w:ascii="宋体" w:hAnsi="宋体" w:cs="宋体"/>
          <w:kern w:val="0"/>
          <w:sz w:val="24"/>
          <w:szCs w:val="27"/>
        </w:rPr>
        <w:t>其他事项</w:t>
      </w:r>
    </w:p>
    <w:p>
      <w:pPr>
        <w:tabs>
          <w:tab w:val="left" w:pos="709"/>
          <w:tab w:val="left" w:pos="4820"/>
        </w:tabs>
        <w:ind w:firstLine="480" w:firstLineChars="200"/>
        <w:jc w:val="left"/>
        <w:rPr>
          <w:rFonts w:ascii="宋体" w:hAnsi="宋体" w:cs="宋体"/>
          <w:kern w:val="0"/>
          <w:sz w:val="24"/>
          <w:szCs w:val="27"/>
        </w:rPr>
      </w:pPr>
      <w:r>
        <w:rPr>
          <w:rFonts w:hint="eastAsia" w:ascii="宋体" w:hAnsi="宋体" w:cs="宋体"/>
          <w:kern w:val="0"/>
          <w:sz w:val="24"/>
          <w:szCs w:val="27"/>
          <w:lang w:val="en-US" w:eastAsia="zh-CN"/>
        </w:rPr>
        <w:t>3</w:t>
      </w:r>
      <w:r>
        <w:rPr>
          <w:rFonts w:hint="eastAsia" w:ascii="宋体" w:hAnsi="宋体" w:cs="宋体"/>
          <w:kern w:val="0"/>
          <w:sz w:val="24"/>
          <w:szCs w:val="27"/>
        </w:rPr>
        <w:t>.1注册供应商事宜</w:t>
      </w:r>
    </w:p>
    <w:p>
      <w:pPr>
        <w:tabs>
          <w:tab w:val="left" w:pos="709"/>
          <w:tab w:val="left" w:pos="4820"/>
        </w:tabs>
        <w:ind w:firstLine="480" w:firstLineChars="200"/>
        <w:jc w:val="left"/>
        <w:rPr>
          <w:rFonts w:hint="eastAsia" w:ascii="宋体" w:hAnsi="宋体" w:cs="宋体"/>
          <w:kern w:val="0"/>
          <w:sz w:val="24"/>
          <w:szCs w:val="27"/>
        </w:rPr>
      </w:pPr>
      <w:r>
        <w:rPr>
          <w:rFonts w:hint="eastAsia" w:ascii="宋体" w:hAnsi="宋体" w:cs="宋体"/>
          <w:kern w:val="0"/>
          <w:sz w:val="24"/>
          <w:szCs w:val="27"/>
        </w:rPr>
        <w:t>▲未注册加入一旦被确定为中标人的，应当在《中标通知书》发出前的三个工作日内按《关于印发浙江省政府供应商注册及诚信管理暂行办法通知》[浙财采监字〔2009〕28号]文件的规定进行注册，否则，采购人将拒绝向其发出《中标通知书》，并可以直接按排名次之的投标人为中标人。</w:t>
      </w:r>
    </w:p>
    <w:p>
      <w:pPr>
        <w:tabs>
          <w:tab w:val="left" w:pos="709"/>
          <w:tab w:val="left" w:pos="4820"/>
        </w:tabs>
        <w:ind w:firstLine="480" w:firstLineChars="200"/>
        <w:jc w:val="left"/>
        <w:rPr>
          <w:rFonts w:hint="eastAsia"/>
          <w:lang w:val="en-US" w:eastAsia="zh-CN"/>
        </w:rPr>
      </w:pPr>
      <w:r>
        <w:rPr>
          <w:rFonts w:hint="eastAsia" w:ascii="宋体" w:hAnsi="宋体" w:cs="宋体"/>
          <w:kern w:val="0"/>
          <w:sz w:val="24"/>
          <w:szCs w:val="27"/>
          <w:lang w:val="en-US" w:eastAsia="zh-CN"/>
        </w:rPr>
        <w:t>3.2采购代理费：按按照国家发改委规定的服务类标准（详见《招标代理服务收费管理暂行办法》计价格［2002］1980号)收取，由中标人承担。在中标人领取中标通知书时支付给采购代理机构。</w:t>
      </w:r>
    </w:p>
    <w:bookmarkEnd w:id="101"/>
    <w:p>
      <w:pPr>
        <w:tabs>
          <w:tab w:val="left" w:pos="709"/>
        </w:tabs>
        <w:spacing w:line="320" w:lineRule="exact"/>
        <w:ind w:firstLine="120" w:firstLineChars="50"/>
        <w:jc w:val="left"/>
        <w:rPr>
          <w:rFonts w:ascii="宋体" w:hAnsi="宋体"/>
          <w:sz w:val="24"/>
          <w:highlight w:val="none"/>
        </w:rPr>
      </w:pPr>
      <w:r>
        <w:rPr>
          <w:rFonts w:hint="eastAsia" w:ascii="宋体" w:hAnsi="宋体"/>
          <w:sz w:val="24"/>
          <w:highlight w:val="none"/>
        </w:rPr>
        <w:t>十三、联系方式</w:t>
      </w:r>
    </w:p>
    <w:p>
      <w:pPr>
        <w:tabs>
          <w:tab w:val="left" w:pos="709"/>
          <w:tab w:val="left" w:pos="4820"/>
        </w:tabs>
        <w:spacing w:line="320" w:lineRule="exact"/>
        <w:ind w:left="420" w:firstLine="147"/>
        <w:jc w:val="left"/>
        <w:rPr>
          <w:rFonts w:ascii="宋体" w:hAnsi="宋体"/>
          <w:sz w:val="24"/>
          <w:highlight w:val="none"/>
        </w:rPr>
      </w:pPr>
      <w:r>
        <w:rPr>
          <w:rFonts w:ascii="宋体" w:hAnsi="宋体"/>
          <w:sz w:val="24"/>
          <w:highlight w:val="none"/>
        </w:rPr>
        <w:t>1、</w:t>
      </w:r>
      <w:r>
        <w:rPr>
          <w:rFonts w:hint="eastAsia" w:ascii="宋体" w:hAnsi="宋体"/>
          <w:sz w:val="24"/>
          <w:highlight w:val="none"/>
        </w:rPr>
        <w:t>采购代理机构名称：浙江中正工程项目管理有限公司</w:t>
      </w:r>
    </w:p>
    <w:p>
      <w:pPr>
        <w:tabs>
          <w:tab w:val="left" w:pos="709"/>
          <w:tab w:val="left" w:pos="4820"/>
        </w:tabs>
        <w:spacing w:line="320" w:lineRule="exact"/>
        <w:ind w:left="420" w:firstLine="147"/>
        <w:jc w:val="left"/>
        <w:rPr>
          <w:rFonts w:hint="eastAsia" w:ascii="宋体" w:hAnsi="宋体" w:eastAsia="宋体"/>
          <w:sz w:val="24"/>
          <w:highlight w:val="none"/>
          <w:lang w:eastAsia="zh-CN"/>
        </w:rPr>
      </w:pPr>
      <w:r>
        <w:rPr>
          <w:rFonts w:hint="eastAsia" w:ascii="宋体" w:hAnsi="宋体"/>
          <w:sz w:val="24"/>
          <w:highlight w:val="none"/>
        </w:rPr>
        <w:t>联系人：</w:t>
      </w:r>
      <w:r>
        <w:rPr>
          <w:rFonts w:hint="eastAsia" w:ascii="宋体" w:hAnsi="宋体"/>
          <w:sz w:val="24"/>
          <w:highlight w:val="none"/>
          <w:lang w:eastAsia="zh-CN"/>
        </w:rPr>
        <w:t>徐权锐</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联系电话：0570-4057007</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传真：/</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地址：</w:t>
      </w:r>
      <w:r>
        <w:rPr>
          <w:rFonts w:hint="eastAsia" w:ascii="宋体" w:hAnsi="宋体" w:cs="宋体"/>
          <w:kern w:val="0"/>
          <w:sz w:val="24"/>
          <w:highlight w:val="none"/>
        </w:rPr>
        <w:t>浙江中正工程项目管理有限公司(江山市文苑路89-3号二楼)</w:t>
      </w:r>
    </w:p>
    <w:p>
      <w:pPr>
        <w:tabs>
          <w:tab w:val="left" w:pos="709"/>
          <w:tab w:val="left" w:pos="4820"/>
        </w:tabs>
        <w:spacing w:line="320" w:lineRule="exact"/>
        <w:ind w:left="420" w:firstLine="147"/>
        <w:jc w:val="left"/>
        <w:rPr>
          <w:rFonts w:hint="eastAsia" w:ascii="宋体" w:hAnsi="宋体" w:eastAsia="宋体"/>
          <w:sz w:val="24"/>
          <w:highlight w:val="none"/>
          <w:lang w:eastAsia="zh-CN"/>
        </w:rPr>
      </w:pPr>
      <w:r>
        <w:rPr>
          <w:rFonts w:hint="eastAsia" w:ascii="宋体" w:hAnsi="宋体"/>
          <w:sz w:val="24"/>
          <w:highlight w:val="none"/>
        </w:rPr>
        <w:t>2、采购人名称：</w:t>
      </w:r>
      <w:r>
        <w:rPr>
          <w:rFonts w:hint="eastAsia" w:ascii="宋体" w:hAnsi="宋体"/>
          <w:sz w:val="24"/>
          <w:highlight w:val="none"/>
          <w:lang w:eastAsia="zh-CN"/>
        </w:rPr>
        <w:t>浙江省江山经济开发区管理委员会</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eastAsia="zh-CN"/>
        </w:rPr>
        <w:t>江健</w:t>
      </w:r>
      <w:r>
        <w:rPr>
          <w:rFonts w:hint="eastAsia"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联系电话：0570-4221788</w:t>
      </w:r>
      <w:r>
        <w:rPr>
          <w:rFonts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传真：</w:t>
      </w:r>
      <w:r>
        <w:rPr>
          <w:rFonts w:hint="eastAsia" w:ascii="宋体" w:hAnsi="宋体"/>
          <w:sz w:val="24"/>
          <w:highlight w:val="none"/>
          <w:lang w:val="en-US" w:eastAsia="zh-CN"/>
        </w:rPr>
        <w:t>/</w:t>
      </w:r>
      <w:r>
        <w:rPr>
          <w:rFonts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 xml:space="preserve">地址：江山经济开发区山海协作园山海路15号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3、同级政府采购监督管理部门名称：江山市财政局</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eastAsia="zh-CN"/>
        </w:rPr>
        <w:t>王科长</w:t>
      </w:r>
      <w:r>
        <w:rPr>
          <w:rFonts w:hint="eastAsia"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监督投诉电话：</w:t>
      </w:r>
      <w:r>
        <w:rPr>
          <w:rFonts w:hint="eastAsia" w:ascii="宋体" w:hAnsi="宋体"/>
          <w:sz w:val="24"/>
          <w:szCs w:val="22"/>
          <w:highlight w:val="none"/>
        </w:rPr>
        <w:t>0570-4033811</w:t>
      </w:r>
      <w:r>
        <w:rPr>
          <w:rFonts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传真：/</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地址：江山市鹿溪中路240号</w:t>
      </w:r>
    </w:p>
    <w:p>
      <w:pPr>
        <w:rPr>
          <w:highlight w:val="none"/>
        </w:rPr>
      </w:pPr>
    </w:p>
    <w:p>
      <w:pPr>
        <w:tabs>
          <w:tab w:val="right" w:leader="dot" w:pos="8835"/>
        </w:tabs>
        <w:snapToGrid w:val="0"/>
        <w:spacing w:before="120" w:beforeLines="50" w:after="120" w:afterLines="50" w:line="360" w:lineRule="auto"/>
        <w:jc w:val="center"/>
        <w:outlineLvl w:val="0"/>
        <w:rPr>
          <w:rFonts w:ascii="宋体" w:hAnsi="宋体" w:cs="宋体"/>
          <w:b/>
          <w:sz w:val="32"/>
          <w:szCs w:val="32"/>
        </w:rPr>
      </w:pPr>
      <w:r>
        <w:rPr>
          <w:rFonts w:ascii="宋体" w:hAnsi="宋体" w:cs="宋体"/>
          <w:b/>
          <w:sz w:val="32"/>
          <w:szCs w:val="32"/>
        </w:rPr>
        <w:br w:type="page"/>
      </w:r>
    </w:p>
    <w:p>
      <w:pPr>
        <w:snapToGrid w:val="0"/>
        <w:spacing w:before="120" w:beforeLines="50" w:after="120" w:afterLines="50" w:line="360" w:lineRule="auto"/>
        <w:jc w:val="center"/>
        <w:outlineLvl w:val="0"/>
        <w:rPr>
          <w:rFonts w:ascii="宋体" w:hAnsi="宋体" w:cs="宋体"/>
          <w:b/>
          <w:sz w:val="32"/>
          <w:szCs w:val="32"/>
        </w:rPr>
      </w:pPr>
      <w:bookmarkStart w:id="102" w:name="_Toc322352982"/>
      <w:bookmarkStart w:id="103" w:name="_Toc354491896"/>
      <w:bookmarkStart w:id="104" w:name="_Toc356371430"/>
      <w:bookmarkStart w:id="105" w:name="_Toc45436673"/>
      <w:r>
        <w:rPr>
          <w:rFonts w:hint="eastAsia" w:ascii="宋体" w:hAnsi="宋体" w:cs="宋体"/>
          <w:b/>
          <w:sz w:val="32"/>
          <w:szCs w:val="32"/>
        </w:rPr>
        <w:t>第二章  投标</w:t>
      </w:r>
      <w:bookmarkEnd w:id="102"/>
      <w:bookmarkEnd w:id="103"/>
      <w:r>
        <w:rPr>
          <w:rFonts w:hint="eastAsia" w:ascii="宋体" w:hAnsi="宋体" w:cs="宋体"/>
          <w:b/>
          <w:sz w:val="32"/>
          <w:szCs w:val="32"/>
        </w:rPr>
        <w:t>须知前附表及投标须知</w:t>
      </w:r>
      <w:bookmarkEnd w:id="104"/>
      <w:bookmarkEnd w:id="105"/>
    </w:p>
    <w:p>
      <w:pPr>
        <w:numPr>
          <w:ilvl w:val="0"/>
          <w:numId w:val="2"/>
        </w:numPr>
        <w:snapToGrid w:val="0"/>
        <w:spacing w:before="120" w:beforeLines="50" w:after="120" w:afterLines="50"/>
        <w:outlineLvl w:val="1"/>
        <w:rPr>
          <w:rFonts w:ascii="宋体" w:hAnsi="宋体"/>
          <w:sz w:val="24"/>
          <w:szCs w:val="24"/>
        </w:rPr>
      </w:pPr>
      <w:bookmarkStart w:id="106" w:name="_Toc356371431"/>
      <w:bookmarkStart w:id="107" w:name="_Toc359934206"/>
      <w:bookmarkStart w:id="108" w:name="_Toc18163976"/>
      <w:bookmarkStart w:id="109" w:name="_Toc45436674"/>
      <w:r>
        <w:rPr>
          <w:rFonts w:hint="eastAsia" w:ascii="宋体" w:hAnsi="宋体"/>
          <w:sz w:val="24"/>
          <w:szCs w:val="24"/>
        </w:rPr>
        <w:t>投标须知前附表</w:t>
      </w:r>
      <w:bookmarkEnd w:id="106"/>
      <w:bookmarkEnd w:id="107"/>
      <w:bookmarkEnd w:id="108"/>
      <w:bookmarkEnd w:id="109"/>
    </w:p>
    <w:tbl>
      <w:tblPr>
        <w:tblStyle w:val="60"/>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264"/>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71" w:type="dxa"/>
            <w:vAlign w:val="center"/>
          </w:tcPr>
          <w:p>
            <w:pPr>
              <w:pStyle w:val="32"/>
              <w:snapToGrid w:val="0"/>
              <w:ind w:left="57" w:leftChars="27"/>
              <w:jc w:val="center"/>
              <w:rPr>
                <w:rFonts w:hAnsi="宋体"/>
                <w:b/>
                <w:kern w:val="2"/>
                <w:sz w:val="24"/>
                <w:szCs w:val="24"/>
              </w:rPr>
            </w:pPr>
            <w:r>
              <w:rPr>
                <w:rFonts w:hint="eastAsia" w:hAnsi="宋体"/>
                <w:b/>
                <w:kern w:val="2"/>
                <w:sz w:val="24"/>
                <w:szCs w:val="24"/>
              </w:rPr>
              <w:t>序号</w:t>
            </w:r>
          </w:p>
        </w:tc>
        <w:tc>
          <w:tcPr>
            <w:tcW w:w="2264" w:type="dxa"/>
            <w:vAlign w:val="center"/>
          </w:tcPr>
          <w:p>
            <w:pPr>
              <w:pStyle w:val="32"/>
              <w:snapToGrid w:val="0"/>
              <w:jc w:val="center"/>
              <w:rPr>
                <w:rFonts w:hAnsi="宋体"/>
                <w:b/>
                <w:kern w:val="2"/>
                <w:sz w:val="24"/>
                <w:szCs w:val="24"/>
              </w:rPr>
            </w:pPr>
            <w:r>
              <w:rPr>
                <w:rFonts w:hint="eastAsia" w:hAnsi="宋体"/>
                <w:b/>
                <w:kern w:val="2"/>
                <w:sz w:val="24"/>
                <w:szCs w:val="24"/>
              </w:rPr>
              <w:t>内  容</w:t>
            </w:r>
          </w:p>
        </w:tc>
        <w:tc>
          <w:tcPr>
            <w:tcW w:w="6718" w:type="dxa"/>
            <w:vAlign w:val="center"/>
          </w:tcPr>
          <w:p>
            <w:pPr>
              <w:pStyle w:val="32"/>
              <w:snapToGrid w:val="0"/>
              <w:jc w:val="center"/>
              <w:rPr>
                <w:rFonts w:hAnsi="宋体"/>
                <w:b/>
                <w:kern w:val="2"/>
                <w:sz w:val="24"/>
                <w:szCs w:val="24"/>
              </w:rPr>
            </w:pPr>
            <w:r>
              <w:rPr>
                <w:rFonts w:hint="eastAsia" w:hAnsi="宋体"/>
                <w:b/>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w:t>
            </w:r>
          </w:p>
        </w:tc>
        <w:tc>
          <w:tcPr>
            <w:tcW w:w="2264" w:type="dxa"/>
            <w:vAlign w:val="center"/>
          </w:tcPr>
          <w:p>
            <w:pPr>
              <w:pStyle w:val="32"/>
              <w:snapToGrid w:val="0"/>
              <w:rPr>
                <w:rFonts w:hAnsi="宋体"/>
                <w:kern w:val="2"/>
                <w:sz w:val="24"/>
                <w:szCs w:val="24"/>
              </w:rPr>
            </w:pPr>
            <w:r>
              <w:rPr>
                <w:rFonts w:hint="eastAsia" w:hAnsi="宋体"/>
                <w:kern w:val="2"/>
                <w:sz w:val="24"/>
                <w:szCs w:val="24"/>
              </w:rPr>
              <w:t>采购人</w:t>
            </w:r>
          </w:p>
        </w:tc>
        <w:tc>
          <w:tcPr>
            <w:tcW w:w="6718" w:type="dxa"/>
            <w:vAlign w:val="center"/>
          </w:tcPr>
          <w:p>
            <w:pPr>
              <w:pStyle w:val="32"/>
              <w:snapToGrid w:val="0"/>
              <w:ind w:left="57" w:leftChars="27"/>
              <w:rPr>
                <w:rFonts w:hint="eastAsia" w:hAnsi="宋体" w:eastAsia="宋体"/>
                <w:kern w:val="2"/>
                <w:sz w:val="24"/>
                <w:szCs w:val="24"/>
                <w:lang w:eastAsia="zh-CN"/>
              </w:rPr>
            </w:pPr>
            <w:r>
              <w:rPr>
                <w:rFonts w:hint="eastAsia" w:hAnsi="宋体"/>
                <w:kern w:val="2"/>
                <w:sz w:val="24"/>
                <w:szCs w:val="24"/>
                <w:lang w:eastAsia="zh-CN"/>
              </w:rPr>
              <w:t>浙江省江山经济开发区管理委员会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2</w:t>
            </w:r>
          </w:p>
        </w:tc>
        <w:tc>
          <w:tcPr>
            <w:tcW w:w="2264" w:type="dxa"/>
            <w:vAlign w:val="center"/>
          </w:tcPr>
          <w:p>
            <w:pPr>
              <w:pStyle w:val="32"/>
              <w:snapToGrid w:val="0"/>
              <w:rPr>
                <w:rFonts w:hAnsi="宋体"/>
                <w:kern w:val="2"/>
                <w:sz w:val="24"/>
                <w:szCs w:val="24"/>
              </w:rPr>
            </w:pPr>
            <w:r>
              <w:rPr>
                <w:rFonts w:hint="eastAsia" w:hAnsi="宋体"/>
                <w:kern w:val="2"/>
                <w:sz w:val="24"/>
                <w:szCs w:val="24"/>
              </w:rPr>
              <w:t>项目名称</w:t>
            </w:r>
          </w:p>
        </w:tc>
        <w:tc>
          <w:tcPr>
            <w:tcW w:w="6718" w:type="dxa"/>
            <w:vAlign w:val="center"/>
          </w:tcPr>
          <w:p>
            <w:pPr>
              <w:rPr>
                <w:rFonts w:hint="eastAsia" w:ascii="宋体" w:hAnsi="宋体" w:eastAsia="宋体"/>
                <w:sz w:val="24"/>
                <w:lang w:eastAsia="zh-CN"/>
              </w:rPr>
            </w:pPr>
            <w:r>
              <w:rPr>
                <w:rFonts w:hint="eastAsia" w:ascii="宋体" w:hAnsi="宋体"/>
                <w:sz w:val="24"/>
                <w:lang w:eastAsia="zh-CN"/>
              </w:rPr>
              <w:t>江山经济开发区数字化园区（江东化工园区）建设项目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3</w:t>
            </w:r>
          </w:p>
        </w:tc>
        <w:tc>
          <w:tcPr>
            <w:tcW w:w="2264" w:type="dxa"/>
            <w:vAlign w:val="center"/>
          </w:tcPr>
          <w:p>
            <w:pPr>
              <w:pStyle w:val="32"/>
              <w:snapToGrid w:val="0"/>
              <w:rPr>
                <w:rFonts w:hAnsi="宋体"/>
                <w:kern w:val="2"/>
                <w:sz w:val="24"/>
                <w:szCs w:val="24"/>
              </w:rPr>
            </w:pPr>
            <w:r>
              <w:rPr>
                <w:rFonts w:hint="eastAsia" w:hAnsi="宋体"/>
                <w:kern w:val="2"/>
                <w:sz w:val="24"/>
                <w:szCs w:val="24"/>
              </w:rPr>
              <w:t>采购预算</w:t>
            </w:r>
          </w:p>
        </w:tc>
        <w:tc>
          <w:tcPr>
            <w:tcW w:w="6718" w:type="dxa"/>
            <w:vAlign w:val="center"/>
          </w:tcPr>
          <w:p>
            <w:pPr>
              <w:pStyle w:val="32"/>
              <w:snapToGrid w:val="0"/>
              <w:rPr>
                <w:rFonts w:hAnsi="宋体"/>
                <w:kern w:val="2"/>
                <w:sz w:val="24"/>
                <w:szCs w:val="24"/>
                <w:highlight w:val="none"/>
              </w:rPr>
            </w:pPr>
            <w:r>
              <w:rPr>
                <w:rFonts w:hint="eastAsia" w:hAnsi="宋体"/>
                <w:kern w:val="2"/>
                <w:sz w:val="24"/>
                <w:highlight w:val="none"/>
                <w:lang w:val="en-US" w:eastAsia="zh-CN"/>
              </w:rPr>
              <w:t>1006.3892</w:t>
            </w:r>
            <w:r>
              <w:rPr>
                <w:rFonts w:hint="eastAsia" w:hAnsi="宋体"/>
                <w:kern w:val="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4</w:t>
            </w:r>
          </w:p>
        </w:tc>
        <w:tc>
          <w:tcPr>
            <w:tcW w:w="2264" w:type="dxa"/>
            <w:vAlign w:val="center"/>
          </w:tcPr>
          <w:p>
            <w:pPr>
              <w:pStyle w:val="32"/>
              <w:snapToGrid w:val="0"/>
              <w:rPr>
                <w:rFonts w:hAnsi="宋体"/>
                <w:kern w:val="2"/>
                <w:sz w:val="24"/>
                <w:szCs w:val="24"/>
              </w:rPr>
            </w:pPr>
            <w:r>
              <w:rPr>
                <w:rFonts w:hint="eastAsia" w:hAnsi="宋体"/>
                <w:kern w:val="2"/>
                <w:sz w:val="24"/>
                <w:szCs w:val="24"/>
              </w:rPr>
              <w:t>交货期限</w:t>
            </w:r>
          </w:p>
        </w:tc>
        <w:tc>
          <w:tcPr>
            <w:tcW w:w="6718" w:type="dxa"/>
            <w:vAlign w:val="center"/>
          </w:tcPr>
          <w:p>
            <w:pPr>
              <w:pStyle w:val="32"/>
              <w:snapToGrid w:val="0"/>
              <w:rPr>
                <w:rFonts w:hAnsi="宋体"/>
                <w:color w:val="FF0000"/>
                <w:kern w:val="2"/>
                <w:sz w:val="24"/>
                <w:szCs w:val="24"/>
                <w:highlight w:val="none"/>
              </w:rPr>
            </w:pPr>
            <w:r>
              <w:rPr>
                <w:rFonts w:hAnsi="宋体"/>
                <w:kern w:val="2"/>
                <w:sz w:val="24"/>
                <w:highlight w:val="none"/>
              </w:rPr>
              <w:t>2020</w:t>
            </w:r>
            <w:r>
              <w:rPr>
                <w:rFonts w:hint="eastAsia" w:hAnsi="宋体"/>
                <w:kern w:val="2"/>
                <w:sz w:val="24"/>
                <w:highlight w:val="none"/>
              </w:rPr>
              <w:t>年</w:t>
            </w:r>
            <w:r>
              <w:rPr>
                <w:rFonts w:hint="eastAsia" w:hAnsi="宋体"/>
                <w:kern w:val="2"/>
                <w:sz w:val="24"/>
                <w:highlight w:val="none"/>
                <w:lang w:val="en-US" w:eastAsia="zh-CN"/>
              </w:rPr>
              <w:t>10</w:t>
            </w:r>
            <w:r>
              <w:rPr>
                <w:rFonts w:hint="eastAsia" w:hAnsi="宋体"/>
                <w:kern w:val="2"/>
                <w:sz w:val="24"/>
                <w:highlight w:val="none"/>
              </w:rPr>
              <w:t>月2</w:t>
            </w:r>
            <w:r>
              <w:rPr>
                <w:rFonts w:hAnsi="宋体"/>
                <w:kern w:val="2"/>
                <w:sz w:val="24"/>
                <w:highlight w:val="none"/>
              </w:rPr>
              <w:t>0</w:t>
            </w:r>
            <w:r>
              <w:rPr>
                <w:rFonts w:hint="eastAsia" w:hAnsi="宋体"/>
                <w:kern w:val="2"/>
                <w:sz w:val="24"/>
                <w:highlight w:val="none"/>
              </w:rPr>
              <w:t>日之前完工。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jc w:val="center"/>
              <w:rPr>
                <w:rFonts w:hAnsi="宋体"/>
                <w:kern w:val="2"/>
                <w:sz w:val="24"/>
                <w:szCs w:val="24"/>
              </w:rPr>
            </w:pPr>
            <w:r>
              <w:rPr>
                <w:rFonts w:hint="eastAsia" w:hAnsi="宋体"/>
                <w:kern w:val="2"/>
                <w:sz w:val="24"/>
                <w:szCs w:val="24"/>
              </w:rPr>
              <w:t>5</w:t>
            </w:r>
          </w:p>
        </w:tc>
        <w:tc>
          <w:tcPr>
            <w:tcW w:w="2264" w:type="dxa"/>
            <w:vAlign w:val="center"/>
          </w:tcPr>
          <w:p>
            <w:pPr>
              <w:pStyle w:val="32"/>
              <w:snapToGrid w:val="0"/>
              <w:rPr>
                <w:rFonts w:hAnsi="宋体"/>
                <w:kern w:val="2"/>
                <w:sz w:val="24"/>
                <w:szCs w:val="24"/>
              </w:rPr>
            </w:pPr>
            <w:r>
              <w:rPr>
                <w:rFonts w:hint="eastAsia" w:hAnsi="宋体"/>
                <w:kern w:val="2"/>
                <w:sz w:val="24"/>
                <w:szCs w:val="24"/>
              </w:rPr>
              <w:t>投标有效期</w:t>
            </w:r>
          </w:p>
        </w:tc>
        <w:tc>
          <w:tcPr>
            <w:tcW w:w="6718" w:type="dxa"/>
            <w:vAlign w:val="center"/>
          </w:tcPr>
          <w:p>
            <w:pPr>
              <w:pStyle w:val="32"/>
              <w:snapToGrid w:val="0"/>
              <w:rPr>
                <w:rFonts w:hAnsi="宋体"/>
                <w:kern w:val="2"/>
                <w:sz w:val="24"/>
                <w:szCs w:val="24"/>
              </w:rPr>
            </w:pPr>
            <w:r>
              <w:rPr>
                <w:rFonts w:hint="eastAsia" w:hAnsi="宋体"/>
                <w:kern w:val="2"/>
                <w:sz w:val="24"/>
                <w:szCs w:val="24"/>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871" w:type="dxa"/>
            <w:vAlign w:val="center"/>
          </w:tcPr>
          <w:p>
            <w:pPr>
              <w:pStyle w:val="32"/>
              <w:snapToGrid w:val="0"/>
              <w:jc w:val="center"/>
              <w:rPr>
                <w:rFonts w:hAnsi="宋体"/>
                <w:kern w:val="2"/>
                <w:sz w:val="24"/>
                <w:szCs w:val="24"/>
              </w:rPr>
            </w:pPr>
            <w:r>
              <w:rPr>
                <w:rFonts w:hint="eastAsia" w:hAnsi="宋体"/>
                <w:kern w:val="2"/>
                <w:sz w:val="24"/>
                <w:szCs w:val="24"/>
              </w:rPr>
              <w:t>6</w:t>
            </w:r>
          </w:p>
        </w:tc>
        <w:tc>
          <w:tcPr>
            <w:tcW w:w="2264" w:type="dxa"/>
            <w:vAlign w:val="center"/>
          </w:tcPr>
          <w:p>
            <w:pPr>
              <w:rPr>
                <w:rFonts w:ascii="宋体" w:hAnsi="宋体"/>
                <w:color w:val="auto"/>
                <w:sz w:val="24"/>
                <w:szCs w:val="24"/>
              </w:rPr>
            </w:pPr>
            <w:r>
              <w:rPr>
                <w:rFonts w:hint="eastAsia" w:ascii="宋体" w:hAnsi="宋体"/>
                <w:color w:val="auto"/>
                <w:sz w:val="24"/>
                <w:szCs w:val="24"/>
              </w:rPr>
              <w:t>投标保证金</w:t>
            </w:r>
          </w:p>
        </w:tc>
        <w:tc>
          <w:tcPr>
            <w:tcW w:w="6718" w:type="dxa"/>
            <w:vAlign w:val="center"/>
          </w:tcPr>
          <w:p>
            <w:pPr>
              <w:snapToGrid w:val="0"/>
              <w:rPr>
                <w:rFonts w:ascii="宋体" w:hAnsi="宋体"/>
                <w:color w:val="auto"/>
                <w:sz w:val="24"/>
                <w:szCs w:val="24"/>
              </w:rPr>
            </w:pPr>
            <w:r>
              <w:rPr>
                <w:rFonts w:hint="eastAsia" w:ascii="宋体" w:hAnsi="宋体"/>
                <w:color w:val="auto"/>
                <w:sz w:val="24"/>
                <w:szCs w:val="24"/>
              </w:rPr>
              <w:t>根据浙财采监〔2019〕5号文件，自2019年6月1日起，全省政府采购货物和服务招标投标活动不得向供应商收取投标保证金，非招标采购方式采购货物、工程和服务亦同</w:t>
            </w:r>
          </w:p>
          <w:p>
            <w:pPr>
              <w:pStyle w:val="32"/>
              <w:snapToGrid w:val="0"/>
              <w:rPr>
                <w:rFonts w:hAnsi="宋体"/>
                <w:color w:val="auto"/>
                <w:sz w:val="24"/>
                <w:szCs w:val="24"/>
              </w:rPr>
            </w:pPr>
            <w:r>
              <w:rPr>
                <w:rFonts w:hint="eastAsia" w:hAnsi="宋体"/>
                <w:color w:val="auto"/>
                <w:sz w:val="24"/>
                <w:szCs w:val="24"/>
              </w:rPr>
              <w:t>投标保证金(元)：0元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871" w:type="dxa"/>
            <w:vAlign w:val="center"/>
          </w:tcPr>
          <w:p>
            <w:pPr>
              <w:spacing w:line="400" w:lineRule="exact"/>
              <w:jc w:val="center"/>
              <w:rPr>
                <w:rFonts w:ascii="宋体" w:hAnsi="宋体"/>
                <w:bCs/>
                <w:szCs w:val="21"/>
              </w:rPr>
            </w:pPr>
            <w:r>
              <w:rPr>
                <w:rFonts w:hint="eastAsia" w:ascii="宋体" w:hAnsi="宋体"/>
                <w:bCs/>
                <w:szCs w:val="21"/>
              </w:rPr>
              <w:t>7</w:t>
            </w:r>
          </w:p>
        </w:tc>
        <w:tc>
          <w:tcPr>
            <w:tcW w:w="2264" w:type="dxa"/>
            <w:vAlign w:val="center"/>
          </w:tcPr>
          <w:p>
            <w:pPr>
              <w:jc w:val="both"/>
              <w:rPr>
                <w:rFonts w:ascii="宋体" w:hAnsi="宋体"/>
                <w:b w:val="0"/>
                <w:bCs/>
                <w:color w:val="auto"/>
                <w:sz w:val="24"/>
                <w:szCs w:val="24"/>
              </w:rPr>
            </w:pPr>
            <w:r>
              <w:rPr>
                <w:rFonts w:hint="eastAsia" w:ascii="宋体" w:hAnsi="宋体"/>
                <w:b w:val="0"/>
                <w:bCs/>
                <w:color w:val="auto"/>
                <w:sz w:val="24"/>
                <w:szCs w:val="24"/>
              </w:rPr>
              <w:t>网上注册：</w:t>
            </w:r>
          </w:p>
        </w:tc>
        <w:tc>
          <w:tcPr>
            <w:tcW w:w="6718" w:type="dxa"/>
            <w:vAlign w:val="center"/>
          </w:tcPr>
          <w:p>
            <w:pPr>
              <w:rPr>
                <w:rFonts w:ascii="宋体" w:hAnsi="宋体"/>
                <w:b w:val="0"/>
                <w:bCs/>
                <w:color w:val="auto"/>
                <w:sz w:val="24"/>
                <w:szCs w:val="24"/>
              </w:rPr>
            </w:pPr>
            <w:r>
              <w:rPr>
                <w:rFonts w:hint="eastAsia" w:ascii="宋体" w:hAnsi="宋体"/>
                <w:b w:val="0"/>
                <w:bCs/>
                <w:color w:val="auto"/>
                <w:sz w:val="24"/>
                <w:szCs w:val="24"/>
              </w:rPr>
              <w:t>投标供应商购买招标文件后，应当按照《浙江省政府采购供应商注册及诚信管理暂行办法》的规定，在“浙江省政府采购网（http://www.zjzfcg.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8</w:t>
            </w:r>
          </w:p>
        </w:tc>
        <w:tc>
          <w:tcPr>
            <w:tcW w:w="2264" w:type="dxa"/>
            <w:vAlign w:val="center"/>
          </w:tcPr>
          <w:p>
            <w:pPr>
              <w:pStyle w:val="32"/>
              <w:snapToGrid w:val="0"/>
              <w:rPr>
                <w:rFonts w:hAnsi="宋体"/>
                <w:b w:val="0"/>
                <w:bCs/>
                <w:color w:val="auto"/>
                <w:kern w:val="2"/>
                <w:sz w:val="24"/>
                <w:szCs w:val="24"/>
                <w:highlight w:val="none"/>
              </w:rPr>
            </w:pPr>
            <w:r>
              <w:rPr>
                <w:rFonts w:hint="eastAsia" w:hAnsi="宋体"/>
                <w:b w:val="0"/>
                <w:bCs/>
                <w:color w:val="auto"/>
                <w:kern w:val="2"/>
                <w:sz w:val="24"/>
                <w:szCs w:val="24"/>
                <w:highlight w:val="none"/>
              </w:rPr>
              <w:t>投标文件形式、制作及组成</w:t>
            </w:r>
          </w:p>
        </w:tc>
        <w:tc>
          <w:tcPr>
            <w:tcW w:w="6718" w:type="dxa"/>
            <w:vAlign w:val="center"/>
          </w:tcPr>
          <w:p>
            <w:pPr>
              <w:wordWrap w:val="0"/>
              <w:spacing w:line="500" w:lineRule="exact"/>
              <w:rPr>
                <w:rFonts w:ascii="宋体" w:hAnsi="宋体"/>
                <w:b w:val="0"/>
                <w:bCs/>
                <w:color w:val="auto"/>
                <w:sz w:val="24"/>
                <w:szCs w:val="24"/>
                <w:highlight w:val="none"/>
              </w:rPr>
            </w:pPr>
            <w:r>
              <w:rPr>
                <w:rFonts w:hint="eastAsia" w:ascii="宋体" w:hAnsi="宋体"/>
                <w:b w:val="0"/>
                <w:bCs/>
                <w:color w:val="auto"/>
                <w:sz w:val="24"/>
                <w:szCs w:val="24"/>
                <w:highlight w:val="none"/>
              </w:rPr>
              <w:t>投标人应准备电子投标文件：</w:t>
            </w:r>
          </w:p>
          <w:p>
            <w:pPr>
              <w:wordWrap w:val="0"/>
              <w:rPr>
                <w:rFonts w:ascii="宋体" w:hAnsi="宋体"/>
                <w:b w:val="0"/>
                <w:bCs/>
                <w:color w:val="auto"/>
                <w:sz w:val="24"/>
                <w:szCs w:val="24"/>
                <w:highlight w:val="none"/>
              </w:rPr>
            </w:pPr>
            <w:r>
              <w:rPr>
                <w:rFonts w:hint="eastAsia" w:ascii="宋体" w:hAnsi="宋体"/>
                <w:b w:val="0"/>
                <w:bCs/>
                <w:color w:val="auto"/>
                <w:sz w:val="24"/>
                <w:szCs w:val="24"/>
                <w:highlight w:val="none"/>
              </w:rPr>
              <w:t>（1）电子投标文件，按政采云平台供应商项目采购-电子招投标操作指南（网址：https://help.zcygov.cn/web/site_2/2018/12-28/2573.html）及本招标文件要求递交。</w:t>
            </w:r>
          </w:p>
          <w:p>
            <w:pPr>
              <w:wordWrap w:val="0"/>
              <w:spacing w:line="500" w:lineRule="exact"/>
              <w:rPr>
                <w:rFonts w:ascii="宋体" w:hAnsi="宋体"/>
                <w:b w:val="0"/>
                <w:bCs/>
                <w:color w:val="auto"/>
                <w:sz w:val="24"/>
                <w:highlight w:val="none"/>
              </w:rPr>
            </w:pPr>
            <w:r>
              <w:rPr>
                <w:rFonts w:hint="eastAsia" w:ascii="宋体" w:hAnsi="宋体"/>
                <w:b w:val="0"/>
                <w:bCs/>
                <w:color w:val="auto"/>
                <w:sz w:val="24"/>
                <w:szCs w:val="24"/>
                <w:highlight w:val="none"/>
              </w:rPr>
              <w:t>（2）</w:t>
            </w:r>
            <w:r>
              <w:rPr>
                <w:rFonts w:hint="eastAsia" w:ascii="宋体" w:hAnsi="宋体"/>
                <w:b w:val="0"/>
                <w:bCs/>
                <w:color w:val="auto"/>
                <w:sz w:val="24"/>
                <w:highlight w:val="none"/>
              </w:rPr>
              <w:t>中标供应商应在中标后提供三份纸质备份投标文件（电子投标文件纸质版）给采购代理机构。</w:t>
            </w:r>
          </w:p>
          <w:p>
            <w:pPr>
              <w:wordWrap w:val="0"/>
              <w:rPr>
                <w:rFonts w:ascii="宋体" w:hAnsi="宋体"/>
                <w:b w:val="0"/>
                <w:bCs/>
                <w:color w:val="auto"/>
                <w:sz w:val="24"/>
                <w:szCs w:val="24"/>
                <w:highlight w:val="none"/>
              </w:rPr>
            </w:pPr>
            <w:r>
              <w:rPr>
                <w:rFonts w:hint="eastAsia" w:ascii="宋体" w:hAnsi="宋体"/>
                <w:b w:val="0"/>
                <w:bCs/>
                <w:color w:val="auto"/>
                <w:sz w:val="24"/>
                <w:highlight w:val="none"/>
              </w:rPr>
              <w:t>投标文件均由资格文件、商务技术文件、报价文件组成。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９</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投标文件递交截止时间</w:t>
            </w:r>
          </w:p>
        </w:tc>
        <w:tc>
          <w:tcPr>
            <w:tcW w:w="6718" w:type="dxa"/>
            <w:vAlign w:val="center"/>
          </w:tcPr>
          <w:p>
            <w:pPr>
              <w:pStyle w:val="32"/>
              <w:snapToGrid w:val="0"/>
              <w:rPr>
                <w:rFonts w:hAnsi="宋体"/>
                <w:color w:val="auto"/>
                <w:kern w:val="2"/>
                <w:sz w:val="24"/>
                <w:szCs w:val="24"/>
              </w:rPr>
            </w:pPr>
            <w:r>
              <w:rPr>
                <w:rFonts w:hint="eastAsia" w:hAnsi="宋体"/>
                <w:color w:val="auto"/>
                <w:sz w:val="24"/>
              </w:rPr>
              <w:t>2020年</w:t>
            </w:r>
            <w:r>
              <w:rPr>
                <w:rFonts w:hint="eastAsia" w:hAnsi="宋体"/>
                <w:color w:val="auto"/>
                <w:sz w:val="24"/>
                <w:u w:val="single"/>
                <w:lang w:val="en-US" w:eastAsia="zh-CN"/>
              </w:rPr>
              <w:t>9</w:t>
            </w:r>
            <w:r>
              <w:rPr>
                <w:rFonts w:hint="eastAsia" w:hAnsi="宋体"/>
                <w:color w:val="auto"/>
                <w:sz w:val="24"/>
              </w:rPr>
              <w:t>月</w:t>
            </w:r>
            <w:r>
              <w:rPr>
                <w:rFonts w:hint="eastAsia" w:hAnsi="宋体"/>
                <w:color w:val="auto"/>
                <w:sz w:val="24"/>
                <w:u w:val="single"/>
                <w:lang w:val="en-US" w:eastAsia="zh-CN"/>
              </w:rPr>
              <w:t>15</w:t>
            </w:r>
            <w:r>
              <w:rPr>
                <w:rFonts w:hint="eastAsia" w:hAnsi="宋体"/>
                <w:color w:val="auto"/>
                <w:sz w:val="24"/>
              </w:rPr>
              <w:t>日</w:t>
            </w:r>
            <w:r>
              <w:rPr>
                <w:rFonts w:hint="eastAsia" w:hAnsi="宋体"/>
                <w:color w:val="auto"/>
                <w:sz w:val="24"/>
                <w:u w:val="single"/>
              </w:rPr>
              <w:t>9</w:t>
            </w:r>
            <w:r>
              <w:rPr>
                <w:rFonts w:hint="eastAsia" w:hAnsi="宋体"/>
                <w:color w:val="auto"/>
                <w:sz w:val="24"/>
              </w:rPr>
              <w:t>时</w:t>
            </w:r>
            <w:r>
              <w:rPr>
                <w:rFonts w:hint="eastAsia" w:hAnsi="宋体"/>
                <w:color w:val="auto"/>
                <w:sz w:val="24"/>
                <w:u w:val="single"/>
              </w:rPr>
              <w:t>00</w:t>
            </w:r>
            <w:r>
              <w:rPr>
                <w:rFonts w:hint="eastAsia" w:hAnsi="宋体"/>
                <w:color w:val="auto"/>
                <w:sz w:val="24"/>
              </w:rPr>
              <w:t>分</w:t>
            </w:r>
            <w:r>
              <w:rPr>
                <w:rFonts w:hint="eastAsia" w:hAnsi="宋体"/>
                <w:color w:val="auto"/>
                <w:sz w:val="24"/>
                <w:u w:val="single"/>
              </w:rPr>
              <w:t>00</w:t>
            </w:r>
            <w:r>
              <w:rPr>
                <w:rFonts w:hint="eastAsia" w:hAnsi="宋体"/>
                <w:color w:val="auto"/>
                <w:sz w:val="24"/>
              </w:rPr>
              <w:t>秒</w:t>
            </w:r>
            <w:r>
              <w:rPr>
                <w:rFonts w:hint="eastAsia" w:hAnsi="宋体"/>
                <w:color w:val="auto"/>
                <w:kern w:val="2"/>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10</w:t>
            </w:r>
          </w:p>
        </w:tc>
        <w:tc>
          <w:tcPr>
            <w:tcW w:w="2264" w:type="dxa"/>
            <w:vAlign w:val="center"/>
          </w:tcPr>
          <w:p>
            <w:pPr>
              <w:pStyle w:val="32"/>
              <w:snapToGrid w:val="0"/>
              <w:rPr>
                <w:rFonts w:hAnsi="宋体"/>
                <w:color w:val="auto"/>
                <w:kern w:val="2"/>
                <w:sz w:val="24"/>
                <w:szCs w:val="24"/>
                <w:highlight w:val="none"/>
              </w:rPr>
            </w:pPr>
            <w:r>
              <w:rPr>
                <w:rFonts w:hint="eastAsia" w:hAnsi="宋体"/>
                <w:color w:val="auto"/>
                <w:kern w:val="2"/>
                <w:sz w:val="24"/>
                <w:szCs w:val="24"/>
                <w:highlight w:val="none"/>
              </w:rPr>
              <w:t>开标地点</w:t>
            </w:r>
          </w:p>
        </w:tc>
        <w:tc>
          <w:tcPr>
            <w:tcW w:w="6718" w:type="dxa"/>
            <w:vAlign w:val="center"/>
          </w:tcPr>
          <w:p>
            <w:pPr>
              <w:pStyle w:val="32"/>
              <w:snapToGrid w:val="0"/>
              <w:rPr>
                <w:rFonts w:hAnsi="宋体"/>
                <w:color w:val="auto"/>
                <w:kern w:val="2"/>
                <w:sz w:val="24"/>
                <w:szCs w:val="24"/>
                <w:highlight w:val="none"/>
              </w:rPr>
            </w:pPr>
            <w:r>
              <w:rPr>
                <w:rFonts w:hint="eastAsia" w:hAnsi="宋体"/>
                <w:color w:val="auto"/>
                <w:sz w:val="24"/>
                <w:szCs w:val="24"/>
                <w:highlight w:val="none"/>
              </w:rPr>
              <w:t>江山市公共资源交易中心2 号开标厅（江山市景星西路万商城五号楼B一楼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11</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开标时间</w:t>
            </w:r>
          </w:p>
        </w:tc>
        <w:tc>
          <w:tcPr>
            <w:tcW w:w="6718" w:type="dxa"/>
            <w:vAlign w:val="center"/>
          </w:tcPr>
          <w:p>
            <w:pPr>
              <w:pStyle w:val="32"/>
              <w:snapToGrid w:val="0"/>
              <w:rPr>
                <w:rFonts w:hAnsi="宋体"/>
                <w:color w:val="auto"/>
                <w:kern w:val="2"/>
                <w:sz w:val="24"/>
                <w:szCs w:val="24"/>
              </w:rPr>
            </w:pPr>
            <w:r>
              <w:rPr>
                <w:rFonts w:hint="eastAsia" w:hAnsi="宋体"/>
                <w:color w:val="auto"/>
                <w:sz w:val="24"/>
              </w:rPr>
              <w:t>2020年</w:t>
            </w:r>
            <w:r>
              <w:rPr>
                <w:rFonts w:hint="eastAsia" w:hAnsi="宋体"/>
                <w:color w:val="auto"/>
                <w:sz w:val="24"/>
                <w:u w:val="single"/>
                <w:lang w:val="en-US" w:eastAsia="zh-CN"/>
              </w:rPr>
              <w:t>9</w:t>
            </w:r>
            <w:r>
              <w:rPr>
                <w:rFonts w:hint="eastAsia" w:hAnsi="宋体"/>
                <w:color w:val="auto"/>
                <w:sz w:val="24"/>
              </w:rPr>
              <w:t>月</w:t>
            </w:r>
            <w:r>
              <w:rPr>
                <w:rFonts w:hint="eastAsia" w:hAnsi="宋体"/>
                <w:color w:val="auto"/>
                <w:sz w:val="24"/>
                <w:u w:val="single"/>
                <w:lang w:val="en-US" w:eastAsia="zh-CN"/>
              </w:rPr>
              <w:t>15</w:t>
            </w:r>
            <w:r>
              <w:rPr>
                <w:rFonts w:hint="eastAsia" w:hAnsi="宋体"/>
                <w:color w:val="auto"/>
                <w:sz w:val="24"/>
              </w:rPr>
              <w:t>日</w:t>
            </w:r>
            <w:r>
              <w:rPr>
                <w:rFonts w:hint="eastAsia" w:hAnsi="宋体"/>
                <w:color w:val="auto"/>
                <w:sz w:val="24"/>
                <w:u w:val="single"/>
              </w:rPr>
              <w:t>9</w:t>
            </w:r>
            <w:r>
              <w:rPr>
                <w:rFonts w:hint="eastAsia" w:hAnsi="宋体"/>
                <w:color w:val="auto"/>
                <w:sz w:val="24"/>
              </w:rPr>
              <w:t>时</w:t>
            </w:r>
            <w:r>
              <w:rPr>
                <w:rFonts w:hint="eastAsia" w:hAnsi="宋体"/>
                <w:color w:val="auto"/>
                <w:sz w:val="24"/>
                <w:u w:val="single"/>
              </w:rPr>
              <w:t>00</w:t>
            </w:r>
            <w:r>
              <w:rPr>
                <w:rFonts w:hint="eastAsia" w:hAnsi="宋体"/>
                <w:color w:val="auto"/>
                <w:sz w:val="24"/>
              </w:rPr>
              <w:t>分</w:t>
            </w:r>
            <w:r>
              <w:rPr>
                <w:rFonts w:hint="eastAsia" w:hAnsi="宋体"/>
                <w:color w:val="auto"/>
                <w:sz w:val="24"/>
                <w:u w:val="single"/>
              </w:rPr>
              <w:t>00</w:t>
            </w:r>
            <w:r>
              <w:rPr>
                <w:rFonts w:hint="eastAsia" w:hAnsi="宋体"/>
                <w:color w:val="auto"/>
                <w:sz w:val="24"/>
              </w:rPr>
              <w:t>秒</w:t>
            </w:r>
            <w:r>
              <w:rPr>
                <w:rFonts w:hint="eastAsia" w:hAnsi="宋体"/>
                <w:color w:val="auto"/>
                <w:kern w:val="2"/>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12</w:t>
            </w:r>
          </w:p>
        </w:tc>
        <w:tc>
          <w:tcPr>
            <w:tcW w:w="2264" w:type="dxa"/>
            <w:vAlign w:val="center"/>
          </w:tcPr>
          <w:p>
            <w:pPr>
              <w:pStyle w:val="32"/>
              <w:snapToGrid w:val="0"/>
              <w:rPr>
                <w:rFonts w:hAnsi="宋体"/>
                <w:b/>
                <w:color w:val="auto"/>
                <w:kern w:val="2"/>
                <w:sz w:val="24"/>
                <w:szCs w:val="24"/>
                <w:highlight w:val="none"/>
              </w:rPr>
            </w:pPr>
            <w:r>
              <w:rPr>
                <w:rFonts w:hint="eastAsia" w:hAnsi="宋体"/>
                <w:b/>
                <w:color w:val="auto"/>
                <w:kern w:val="2"/>
                <w:sz w:val="24"/>
                <w:szCs w:val="24"/>
                <w:highlight w:val="none"/>
              </w:rPr>
              <w:t>电子投标文件的传输递交</w:t>
            </w:r>
          </w:p>
        </w:tc>
        <w:tc>
          <w:tcPr>
            <w:tcW w:w="6718" w:type="dxa"/>
            <w:vAlign w:val="center"/>
          </w:tcPr>
          <w:p>
            <w:pPr>
              <w:wordWrap w:val="0"/>
              <w:rPr>
                <w:rFonts w:ascii="宋体" w:hAnsi="宋体"/>
                <w:b/>
                <w:color w:val="auto"/>
                <w:sz w:val="24"/>
                <w:szCs w:val="24"/>
                <w:highlight w:val="none"/>
              </w:rPr>
            </w:pPr>
            <w:r>
              <w:rPr>
                <w:rFonts w:hint="eastAsia" w:ascii="宋体" w:hAnsi="宋体"/>
                <w:b/>
                <w:color w:val="auto"/>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ascii="宋体" w:hAnsi="宋体"/>
                <w:b/>
                <w:color w:val="auto"/>
                <w:sz w:val="24"/>
                <w:szCs w:val="24"/>
                <w:highlight w:val="none"/>
                <w:lang w:eastAsia="zh-CN"/>
              </w:rPr>
              <w:t>312118382@qq.com</w:t>
            </w:r>
            <w:r>
              <w:rPr>
                <w:rFonts w:hint="eastAsia" w:ascii="宋体" w:hAnsi="宋体"/>
                <w:b/>
                <w:color w:val="auto"/>
                <w:sz w:val="24"/>
                <w:szCs w:val="24"/>
                <w:highlight w:val="none"/>
              </w:rPr>
              <w:t>),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ascii="宋体" w:hAnsi="宋体"/>
                <w:b/>
                <w:color w:val="auto"/>
                <w:sz w:val="24"/>
                <w:szCs w:val="24"/>
                <w:highlight w:val="none"/>
                <w:lang w:eastAsia="zh-CN"/>
              </w:rPr>
              <w:t>312118382@qq.com</w:t>
            </w:r>
            <w:r>
              <w:rPr>
                <w:rFonts w:hint="eastAsia" w:ascii="宋体" w:hAnsi="宋体"/>
                <w:b/>
                <w:color w:val="auto"/>
                <w:sz w:val="24"/>
                <w:szCs w:val="24"/>
                <w:highlight w:val="none"/>
              </w:rPr>
              <w:t>)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13</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招标结果公告期限</w:t>
            </w:r>
          </w:p>
        </w:tc>
        <w:tc>
          <w:tcPr>
            <w:tcW w:w="6718" w:type="dxa"/>
            <w:vAlign w:val="center"/>
          </w:tcPr>
          <w:p>
            <w:pPr>
              <w:pStyle w:val="32"/>
              <w:snapToGrid w:val="0"/>
              <w:rPr>
                <w:rFonts w:hAnsi="宋体"/>
                <w:color w:val="auto"/>
                <w:kern w:val="2"/>
                <w:sz w:val="24"/>
                <w:szCs w:val="24"/>
              </w:rPr>
            </w:pPr>
            <w:r>
              <w:rPr>
                <w:rFonts w:hint="eastAsia" w:hAnsi="宋体"/>
                <w:color w:val="auto"/>
                <w:kern w:val="2"/>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ind w:left="57" w:leftChars="27"/>
              <w:jc w:val="center"/>
              <w:rPr>
                <w:rFonts w:hAnsi="宋体"/>
                <w:kern w:val="2"/>
                <w:sz w:val="24"/>
                <w:szCs w:val="24"/>
              </w:rPr>
            </w:pPr>
            <w:r>
              <w:rPr>
                <w:rFonts w:hint="eastAsia" w:hAnsi="宋体"/>
                <w:kern w:val="2"/>
                <w:sz w:val="24"/>
                <w:szCs w:val="24"/>
              </w:rPr>
              <w:t>14</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签订合同</w:t>
            </w:r>
          </w:p>
        </w:tc>
        <w:tc>
          <w:tcPr>
            <w:tcW w:w="6718" w:type="dxa"/>
            <w:vAlign w:val="center"/>
          </w:tcPr>
          <w:p>
            <w:pPr>
              <w:pStyle w:val="32"/>
              <w:snapToGrid w:val="0"/>
              <w:rPr>
                <w:rFonts w:hAnsi="宋体"/>
                <w:color w:val="auto"/>
                <w:kern w:val="2"/>
                <w:sz w:val="24"/>
                <w:szCs w:val="24"/>
              </w:rPr>
            </w:pPr>
            <w:r>
              <w:rPr>
                <w:rFonts w:hint="eastAsia" w:hAnsi="宋体"/>
                <w:color w:val="auto"/>
                <w:kern w:val="2"/>
                <w:sz w:val="24"/>
                <w:szCs w:val="24"/>
              </w:rPr>
              <w:t>中标通知书发出后</w:t>
            </w:r>
            <w:r>
              <w:rPr>
                <w:rFonts w:hint="eastAsia" w:hAnsi="宋体"/>
                <w:color w:val="auto"/>
                <w:kern w:val="2"/>
                <w:sz w:val="24"/>
                <w:szCs w:val="24"/>
                <w:lang w:eastAsia="zh-CN"/>
              </w:rPr>
              <w:t>十天</w:t>
            </w:r>
            <w:r>
              <w:rPr>
                <w:rFonts w:hint="eastAsia" w:hAnsi="宋体"/>
                <w:color w:val="auto"/>
                <w:kern w:val="2"/>
                <w:sz w:val="24"/>
                <w:szCs w:val="24"/>
              </w:rPr>
              <w:t>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15</w:t>
            </w:r>
          </w:p>
        </w:tc>
        <w:tc>
          <w:tcPr>
            <w:tcW w:w="2264" w:type="dxa"/>
            <w:vAlign w:val="center"/>
          </w:tcPr>
          <w:p>
            <w:pPr>
              <w:pStyle w:val="32"/>
              <w:snapToGrid w:val="0"/>
              <w:rPr>
                <w:rFonts w:hAnsi="宋体"/>
                <w:color w:val="auto"/>
                <w:kern w:val="2"/>
                <w:sz w:val="24"/>
                <w:szCs w:val="24"/>
                <w:highlight w:val="none"/>
              </w:rPr>
            </w:pPr>
            <w:r>
              <w:rPr>
                <w:rFonts w:hint="eastAsia" w:hAnsi="宋体"/>
                <w:color w:val="auto"/>
                <w:kern w:val="2"/>
                <w:sz w:val="24"/>
                <w:szCs w:val="24"/>
                <w:highlight w:val="none"/>
              </w:rPr>
              <w:t>中标人履约保证金交纳</w:t>
            </w:r>
          </w:p>
        </w:tc>
        <w:tc>
          <w:tcPr>
            <w:tcW w:w="6718" w:type="dxa"/>
            <w:vAlign w:val="center"/>
          </w:tcPr>
          <w:p>
            <w:pPr>
              <w:pStyle w:val="32"/>
              <w:snapToGrid w:val="0"/>
              <w:rPr>
                <w:rFonts w:hAnsi="宋体"/>
                <w:color w:val="auto"/>
                <w:kern w:val="2"/>
                <w:sz w:val="24"/>
                <w:szCs w:val="24"/>
                <w:highlight w:val="none"/>
              </w:rPr>
            </w:pPr>
            <w:r>
              <w:rPr>
                <w:rFonts w:hint="eastAsia" w:hAnsi="宋体"/>
                <w:color w:val="auto"/>
                <w:sz w:val="24"/>
                <w:szCs w:val="24"/>
                <w:highlight w:val="none"/>
              </w:rPr>
              <w:t>中标人通过电汇、转账、银行或保险公司出具履约保函向采购人交纳中标金额5%的履约保证金</w:t>
            </w:r>
            <w:r>
              <w:rPr>
                <w:rFonts w:hAnsi="宋体"/>
                <w:color w:val="auto"/>
                <w:sz w:val="24"/>
                <w:szCs w:val="24"/>
                <w:highlight w:val="none"/>
              </w:rPr>
              <w:t>，</w:t>
            </w:r>
            <w:r>
              <w:rPr>
                <w:rFonts w:hint="eastAsia" w:hAnsi="宋体"/>
                <w:color w:val="auto"/>
                <w:sz w:val="24"/>
                <w:szCs w:val="24"/>
                <w:highlight w:val="none"/>
              </w:rPr>
              <w:t>项目验收合格后自动转为质量保证金。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16</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履约保证金退还</w:t>
            </w:r>
          </w:p>
        </w:tc>
        <w:tc>
          <w:tcPr>
            <w:tcW w:w="6718" w:type="dxa"/>
            <w:vAlign w:val="center"/>
          </w:tcPr>
          <w:p>
            <w:pPr>
              <w:pStyle w:val="32"/>
              <w:snapToGrid w:val="0"/>
              <w:rPr>
                <w:rFonts w:hAnsi="宋体"/>
                <w:color w:val="auto"/>
                <w:kern w:val="2"/>
                <w:sz w:val="24"/>
                <w:szCs w:val="24"/>
              </w:rPr>
            </w:pPr>
            <w:r>
              <w:rPr>
                <w:rFonts w:hint="eastAsia" w:hAnsi="宋体"/>
                <w:color w:val="auto"/>
                <w:kern w:val="2"/>
                <w:sz w:val="24"/>
                <w:szCs w:val="24"/>
              </w:rPr>
              <w:t>项目验收合格维保期满后，无息退还。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17</w:t>
            </w:r>
          </w:p>
        </w:tc>
        <w:tc>
          <w:tcPr>
            <w:tcW w:w="2264" w:type="dxa"/>
            <w:vAlign w:val="center"/>
          </w:tcPr>
          <w:p>
            <w:pPr>
              <w:pStyle w:val="32"/>
              <w:rPr>
                <w:rFonts w:hAnsi="宋体"/>
                <w:kern w:val="2"/>
                <w:sz w:val="24"/>
                <w:szCs w:val="24"/>
              </w:rPr>
            </w:pPr>
            <w:r>
              <w:rPr>
                <w:rFonts w:hint="eastAsia" w:hAnsi="宋体"/>
                <w:kern w:val="2"/>
                <w:sz w:val="24"/>
                <w:szCs w:val="24"/>
              </w:rPr>
              <w:t>联合体投标</w:t>
            </w:r>
          </w:p>
        </w:tc>
        <w:tc>
          <w:tcPr>
            <w:tcW w:w="6718" w:type="dxa"/>
            <w:vAlign w:val="center"/>
          </w:tcPr>
          <w:p>
            <w:pPr>
              <w:pStyle w:val="32"/>
              <w:rPr>
                <w:rFonts w:hAnsi="宋体"/>
                <w:kern w:val="2"/>
                <w:sz w:val="24"/>
                <w:szCs w:val="24"/>
              </w:rPr>
            </w:pPr>
            <w:r>
              <w:rPr>
                <w:rFonts w:hint="eastAsia" w:hAnsi="宋体"/>
                <w:kern w:val="2"/>
                <w:sz w:val="24"/>
                <w:szCs w:val="24"/>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18</w:t>
            </w:r>
          </w:p>
        </w:tc>
        <w:tc>
          <w:tcPr>
            <w:tcW w:w="2264" w:type="dxa"/>
            <w:vAlign w:val="center"/>
          </w:tcPr>
          <w:p>
            <w:pPr>
              <w:pStyle w:val="32"/>
              <w:spacing w:line="380" w:lineRule="exact"/>
              <w:rPr>
                <w:rFonts w:hAnsi="宋体"/>
                <w:kern w:val="2"/>
                <w:sz w:val="24"/>
                <w:szCs w:val="24"/>
              </w:rPr>
            </w:pPr>
            <w:r>
              <w:rPr>
                <w:rFonts w:hint="eastAsia" w:hAnsi="宋体"/>
                <w:kern w:val="2"/>
                <w:sz w:val="24"/>
                <w:szCs w:val="24"/>
              </w:rPr>
              <w:t>信用查询</w:t>
            </w:r>
          </w:p>
        </w:tc>
        <w:tc>
          <w:tcPr>
            <w:tcW w:w="6718" w:type="dxa"/>
            <w:vAlign w:val="center"/>
          </w:tcPr>
          <w:p>
            <w:pPr>
              <w:pStyle w:val="32"/>
              <w:snapToGrid w:val="0"/>
              <w:spacing w:line="380" w:lineRule="exact"/>
              <w:rPr>
                <w:rFonts w:hAnsi="宋体"/>
                <w:kern w:val="2"/>
                <w:sz w:val="24"/>
                <w:szCs w:val="24"/>
              </w:rPr>
            </w:pPr>
            <w:r>
              <w:rPr>
                <w:rFonts w:hint="eastAsia" w:hAnsi="宋体"/>
                <w:kern w:val="2"/>
                <w:sz w:val="24"/>
                <w:szCs w:val="24"/>
              </w:rPr>
              <w:t>根据《关于在政府采购活动中查询及使用信用记录有关问题的通知》财库[2016]125号的规定：</w:t>
            </w:r>
          </w:p>
          <w:p>
            <w:pPr>
              <w:pStyle w:val="32"/>
              <w:snapToGrid w:val="0"/>
              <w:spacing w:line="380" w:lineRule="exact"/>
              <w:rPr>
                <w:rFonts w:hAnsi="宋体"/>
                <w:kern w:val="2"/>
                <w:sz w:val="24"/>
                <w:szCs w:val="24"/>
              </w:rPr>
            </w:pPr>
            <w:r>
              <w:rPr>
                <w:rFonts w:hint="eastAsia" w:hAnsi="宋体"/>
                <w:kern w:val="2"/>
                <w:sz w:val="24"/>
                <w:szCs w:val="24"/>
              </w:rPr>
              <w:t>1）采购人或采购代理机构将对本项目投标人的信用记录进行查询。查询渠道为信用中国网站（www.creditchina.gov.cn）、中国政府采购网（www.ccgp.gov.cn）；</w:t>
            </w:r>
          </w:p>
          <w:p>
            <w:pPr>
              <w:pStyle w:val="32"/>
              <w:snapToGrid w:val="0"/>
              <w:spacing w:line="380" w:lineRule="exact"/>
              <w:rPr>
                <w:rFonts w:hAnsi="宋体"/>
                <w:kern w:val="2"/>
                <w:sz w:val="24"/>
                <w:szCs w:val="24"/>
              </w:rPr>
            </w:pPr>
            <w:r>
              <w:rPr>
                <w:rFonts w:hint="eastAsia" w:hAnsi="宋体"/>
                <w:kern w:val="2"/>
                <w:sz w:val="24"/>
                <w:szCs w:val="24"/>
              </w:rPr>
              <w:t>2）截止时点：提交投标文件（响应文件）截止时间前3年内；</w:t>
            </w:r>
          </w:p>
          <w:p>
            <w:pPr>
              <w:pStyle w:val="32"/>
              <w:snapToGrid w:val="0"/>
              <w:spacing w:line="380" w:lineRule="exact"/>
              <w:rPr>
                <w:rFonts w:hAnsi="宋体"/>
                <w:kern w:val="2"/>
                <w:sz w:val="24"/>
                <w:szCs w:val="24"/>
              </w:rPr>
            </w:pPr>
            <w:r>
              <w:rPr>
                <w:rFonts w:hint="eastAsia" w:hAnsi="宋体"/>
                <w:kern w:val="2"/>
                <w:sz w:val="24"/>
                <w:szCs w:val="24"/>
              </w:rPr>
              <w:t>3）查询记录和证据的留存：信用信息查询记录和证据以网页截图等方式留存。</w:t>
            </w:r>
          </w:p>
          <w:p>
            <w:pPr>
              <w:pStyle w:val="32"/>
              <w:snapToGrid w:val="0"/>
              <w:spacing w:line="380" w:lineRule="exact"/>
              <w:rPr>
                <w:rFonts w:hAnsi="宋体"/>
                <w:kern w:val="2"/>
                <w:sz w:val="24"/>
                <w:szCs w:val="24"/>
              </w:rPr>
            </w:pPr>
            <w:r>
              <w:rPr>
                <w:rFonts w:hint="eastAsia" w:hAnsi="宋体"/>
                <w:kern w:val="2"/>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32"/>
              <w:snapToGrid w:val="0"/>
              <w:spacing w:line="380" w:lineRule="exact"/>
              <w:rPr>
                <w:rFonts w:hAnsi="宋体"/>
                <w:kern w:val="2"/>
                <w:sz w:val="24"/>
                <w:szCs w:val="24"/>
              </w:rPr>
            </w:pPr>
            <w:r>
              <w:rPr>
                <w:rFonts w:hint="eastAsia" w:hAnsi="宋体"/>
                <w:kern w:val="2"/>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b w:val="0"/>
                <w:bCs w:val="0"/>
                <w:color w:val="auto"/>
                <w:kern w:val="2"/>
                <w:sz w:val="24"/>
                <w:szCs w:val="24"/>
              </w:rPr>
            </w:pPr>
            <w:r>
              <w:rPr>
                <w:rFonts w:hint="eastAsia" w:hAnsi="宋体"/>
                <w:b w:val="0"/>
                <w:bCs w:val="0"/>
                <w:color w:val="auto"/>
                <w:kern w:val="2"/>
                <w:sz w:val="24"/>
                <w:szCs w:val="24"/>
              </w:rPr>
              <w:t>19</w:t>
            </w:r>
          </w:p>
        </w:tc>
        <w:tc>
          <w:tcPr>
            <w:tcW w:w="2264" w:type="dxa"/>
            <w:vAlign w:val="center"/>
          </w:tcPr>
          <w:p>
            <w:pPr>
              <w:pStyle w:val="32"/>
              <w:rPr>
                <w:rFonts w:hAnsi="宋体"/>
                <w:b w:val="0"/>
                <w:bCs w:val="0"/>
                <w:color w:val="auto"/>
                <w:kern w:val="2"/>
                <w:sz w:val="24"/>
                <w:szCs w:val="24"/>
              </w:rPr>
            </w:pPr>
            <w:r>
              <w:rPr>
                <w:rFonts w:hint="eastAsia" w:hAnsi="宋体"/>
                <w:b w:val="0"/>
                <w:bCs w:val="0"/>
                <w:color w:val="auto"/>
                <w:kern w:val="2"/>
                <w:sz w:val="24"/>
                <w:szCs w:val="24"/>
              </w:rPr>
              <w:t>采购代理费用</w:t>
            </w:r>
          </w:p>
        </w:tc>
        <w:tc>
          <w:tcPr>
            <w:tcW w:w="6718" w:type="dxa"/>
            <w:vAlign w:val="center"/>
          </w:tcPr>
          <w:p>
            <w:pPr>
              <w:pStyle w:val="32"/>
              <w:rPr>
                <w:rFonts w:hint="default" w:hAnsi="宋体" w:eastAsia="宋体"/>
                <w:b w:val="0"/>
                <w:bCs w:val="0"/>
                <w:color w:val="auto"/>
                <w:kern w:val="2"/>
                <w:sz w:val="24"/>
                <w:szCs w:val="24"/>
                <w:lang w:val="en-US" w:eastAsia="zh-CN"/>
              </w:rPr>
            </w:pPr>
            <w:r>
              <w:rPr>
                <w:rFonts w:hint="eastAsia" w:ascii="宋体" w:hAnsi="宋体" w:eastAsia="宋体" w:cs="宋体"/>
                <w:kern w:val="0"/>
                <w:sz w:val="24"/>
                <w:szCs w:val="27"/>
                <w:lang w:val="en-US" w:eastAsia="zh-CN" w:bidi="ar-SA"/>
              </w:rPr>
              <w:t>按按照国家发改委规定的服务类标准（详见《招标代理服务收费管理暂行办法》计价格［2002］1980号)收取，由中标人承担。在中标人领取中标通知书时支付给采购代理机构。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20</w:t>
            </w:r>
          </w:p>
        </w:tc>
        <w:tc>
          <w:tcPr>
            <w:tcW w:w="2264" w:type="dxa"/>
            <w:vAlign w:val="center"/>
          </w:tcPr>
          <w:p>
            <w:pPr>
              <w:pStyle w:val="32"/>
              <w:spacing w:line="380" w:lineRule="exact"/>
              <w:rPr>
                <w:rFonts w:hAnsi="宋体"/>
                <w:b/>
                <w:color w:val="FF0000"/>
                <w:kern w:val="2"/>
                <w:sz w:val="24"/>
                <w:szCs w:val="24"/>
              </w:rPr>
            </w:pPr>
            <w:r>
              <w:rPr>
                <w:rFonts w:hint="eastAsia" w:hAnsi="宋体"/>
                <w:b w:val="0"/>
                <w:bCs/>
                <w:color w:val="auto"/>
                <w:kern w:val="2"/>
                <w:sz w:val="24"/>
                <w:szCs w:val="24"/>
              </w:rPr>
              <w:t>注意事项</w:t>
            </w:r>
          </w:p>
        </w:tc>
        <w:tc>
          <w:tcPr>
            <w:tcW w:w="6718" w:type="dxa"/>
            <w:vAlign w:val="center"/>
          </w:tcPr>
          <w:p>
            <w:pPr>
              <w:pStyle w:val="32"/>
              <w:snapToGrid w:val="0"/>
              <w:spacing w:line="380" w:lineRule="exact"/>
              <w:rPr>
                <w:rFonts w:hAnsi="宋体"/>
                <w:b/>
                <w:color w:val="FF0000"/>
                <w:kern w:val="2"/>
                <w:sz w:val="24"/>
                <w:szCs w:val="24"/>
              </w:rPr>
            </w:pPr>
            <w:r>
              <w:rPr>
                <w:rFonts w:hint="eastAsia" w:hAnsi="宋体"/>
                <w:b w:val="0"/>
                <w:bCs/>
                <w:color w:val="auto"/>
                <w:kern w:val="2"/>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bl>
    <w:p>
      <w:pPr>
        <w:numPr>
          <w:ilvl w:val="0"/>
          <w:numId w:val="2"/>
        </w:numPr>
        <w:snapToGrid w:val="0"/>
        <w:spacing w:before="120" w:beforeLines="50" w:after="120" w:afterLines="50"/>
        <w:ind w:left="0" w:firstLine="480" w:firstLineChars="200"/>
        <w:outlineLvl w:val="1"/>
        <w:rPr>
          <w:rFonts w:ascii="宋体" w:hAnsi="宋体"/>
          <w:sz w:val="24"/>
          <w:szCs w:val="24"/>
        </w:rPr>
      </w:pPr>
      <w:bookmarkStart w:id="110" w:name="_Toc356371433"/>
      <w:bookmarkStart w:id="111" w:name="_Toc359934207"/>
      <w:r>
        <w:rPr>
          <w:rFonts w:hint="eastAsia" w:ascii="宋体" w:hAnsi="宋体"/>
          <w:sz w:val="24"/>
          <w:szCs w:val="24"/>
        </w:rPr>
        <w:br w:type="page"/>
      </w:r>
      <w:bookmarkStart w:id="112" w:name="_Toc18163977"/>
      <w:bookmarkStart w:id="113" w:name="_Toc45436675"/>
      <w:r>
        <w:rPr>
          <w:rFonts w:hint="eastAsia" w:ascii="宋体" w:hAnsi="宋体"/>
          <w:sz w:val="24"/>
          <w:szCs w:val="24"/>
        </w:rPr>
        <w:t>投标须知</w:t>
      </w:r>
      <w:bookmarkEnd w:id="110"/>
      <w:bookmarkEnd w:id="111"/>
      <w:bookmarkEnd w:id="112"/>
      <w:bookmarkEnd w:id="113"/>
    </w:p>
    <w:p>
      <w:pPr>
        <w:numPr>
          <w:ilvl w:val="1"/>
          <w:numId w:val="2"/>
        </w:numPr>
        <w:snapToGrid w:val="0"/>
        <w:ind w:firstLine="480" w:firstLineChars="200"/>
        <w:rPr>
          <w:rFonts w:ascii="宋体" w:hAnsi="宋体"/>
          <w:sz w:val="24"/>
          <w:szCs w:val="24"/>
        </w:rPr>
      </w:pPr>
      <w:r>
        <w:rPr>
          <w:rFonts w:hint="eastAsia" w:ascii="宋体" w:hAnsi="宋体"/>
          <w:sz w:val="24"/>
          <w:szCs w:val="24"/>
        </w:rPr>
        <w:t>适用范围</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本招标文件仅适用于本次招标采购项目的招标、投标、评标、定标、验收、合同履约、付款等行为。</w:t>
      </w:r>
    </w:p>
    <w:p>
      <w:pPr>
        <w:numPr>
          <w:ilvl w:val="1"/>
          <w:numId w:val="2"/>
        </w:numPr>
        <w:snapToGrid w:val="0"/>
        <w:ind w:firstLine="480" w:firstLineChars="200"/>
        <w:rPr>
          <w:rFonts w:ascii="宋体" w:hAnsi="宋体"/>
          <w:sz w:val="24"/>
          <w:szCs w:val="24"/>
        </w:rPr>
      </w:pPr>
      <w:r>
        <w:rPr>
          <w:rFonts w:hint="eastAsia" w:ascii="宋体" w:hAnsi="宋体"/>
          <w:sz w:val="24"/>
          <w:szCs w:val="24"/>
        </w:rPr>
        <w:t>定义</w:t>
      </w:r>
    </w:p>
    <w:p>
      <w:pPr>
        <w:numPr>
          <w:ilvl w:val="2"/>
          <w:numId w:val="2"/>
        </w:numPr>
        <w:snapToGrid w:val="0"/>
        <w:ind w:firstLine="480" w:firstLineChars="200"/>
        <w:rPr>
          <w:rFonts w:ascii="宋体" w:hAnsi="宋体"/>
          <w:sz w:val="24"/>
          <w:szCs w:val="24"/>
        </w:rPr>
      </w:pPr>
      <w:r>
        <w:rPr>
          <w:rFonts w:hint="eastAsia" w:ascii="宋体" w:hAnsi="宋体"/>
          <w:sz w:val="24"/>
          <w:szCs w:val="24"/>
        </w:rPr>
        <w:t>“招标人”系指组织本次招标的浙江中正工程项目管理公司。</w:t>
      </w:r>
    </w:p>
    <w:p>
      <w:pPr>
        <w:numPr>
          <w:ilvl w:val="2"/>
          <w:numId w:val="2"/>
        </w:numPr>
        <w:snapToGrid w:val="0"/>
        <w:ind w:firstLine="480" w:firstLineChars="200"/>
        <w:rPr>
          <w:rFonts w:ascii="宋体" w:hAnsi="宋体"/>
          <w:sz w:val="24"/>
          <w:szCs w:val="24"/>
        </w:rPr>
      </w:pPr>
      <w:r>
        <w:rPr>
          <w:rFonts w:hint="eastAsia" w:ascii="宋体" w:hAnsi="宋体"/>
          <w:sz w:val="24"/>
          <w:szCs w:val="24"/>
        </w:rPr>
        <w:t>“采购人”系指提出本次采购的委托单位：</w:t>
      </w:r>
      <w:r>
        <w:rPr>
          <w:rFonts w:hint="eastAsia" w:ascii="宋体" w:hAnsi="宋体"/>
          <w:sz w:val="24"/>
          <w:szCs w:val="24"/>
          <w:lang w:eastAsia="zh-CN"/>
        </w:rPr>
        <w:t>浙江省江山经济开发区管理委员会</w:t>
      </w:r>
      <w:r>
        <w:rPr>
          <w:rFonts w:hint="eastAsia" w:ascii="宋体" w:hAnsi="宋体"/>
          <w:sz w:val="24"/>
          <w:szCs w:val="24"/>
        </w:rPr>
        <w:t>。</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“投标人”系指向提交投标文件的供应商。</w:t>
      </w:r>
    </w:p>
    <w:p>
      <w:pPr>
        <w:numPr>
          <w:ilvl w:val="2"/>
          <w:numId w:val="2"/>
        </w:numPr>
        <w:snapToGrid w:val="0"/>
        <w:ind w:firstLine="480" w:firstLineChars="200"/>
        <w:rPr>
          <w:rFonts w:ascii="宋体" w:hAnsi="宋体"/>
          <w:sz w:val="24"/>
          <w:szCs w:val="24"/>
        </w:rPr>
      </w:pPr>
      <w:r>
        <w:rPr>
          <w:rFonts w:hint="eastAsia" w:ascii="宋体" w:hAnsi="宋体"/>
          <w:sz w:val="24"/>
          <w:szCs w:val="24"/>
        </w:rPr>
        <w:t>“货物”系指投标人按投标文件规定向采购人提供的设备及使用手册等。</w:t>
      </w:r>
    </w:p>
    <w:p>
      <w:pPr>
        <w:numPr>
          <w:ilvl w:val="2"/>
          <w:numId w:val="2"/>
        </w:numPr>
        <w:snapToGrid w:val="0"/>
        <w:ind w:firstLine="480" w:firstLineChars="200"/>
        <w:rPr>
          <w:rFonts w:ascii="宋体" w:hAnsi="宋体"/>
          <w:sz w:val="24"/>
          <w:szCs w:val="24"/>
        </w:rPr>
      </w:pPr>
      <w:r>
        <w:rPr>
          <w:rFonts w:hint="eastAsia" w:ascii="宋体" w:hAnsi="宋体"/>
          <w:sz w:val="24"/>
          <w:szCs w:val="24"/>
        </w:rPr>
        <w:t>“服务”系指根据本合同规定，中标人必须承担技术协助、培训以及其他类似的义务。</w:t>
      </w:r>
    </w:p>
    <w:p>
      <w:pPr>
        <w:numPr>
          <w:ilvl w:val="2"/>
          <w:numId w:val="2"/>
        </w:numPr>
        <w:snapToGrid w:val="0"/>
        <w:ind w:firstLine="480" w:firstLineChars="200"/>
        <w:rPr>
          <w:rFonts w:ascii="宋体" w:hAnsi="宋体"/>
          <w:sz w:val="24"/>
          <w:szCs w:val="24"/>
        </w:rPr>
      </w:pPr>
      <w:r>
        <w:rPr>
          <w:rFonts w:hint="eastAsia" w:ascii="宋体" w:hAnsi="宋体"/>
          <w:sz w:val="24"/>
          <w:szCs w:val="24"/>
        </w:rPr>
        <w:t>“▲”系指实质性要求条款。</w:t>
      </w:r>
    </w:p>
    <w:p>
      <w:pPr>
        <w:numPr>
          <w:ilvl w:val="1"/>
          <w:numId w:val="2"/>
        </w:numPr>
        <w:snapToGrid w:val="0"/>
        <w:ind w:firstLine="480" w:firstLineChars="200"/>
        <w:rPr>
          <w:rFonts w:ascii="宋体" w:hAnsi="宋体"/>
          <w:sz w:val="24"/>
          <w:szCs w:val="24"/>
        </w:rPr>
      </w:pPr>
      <w:r>
        <w:rPr>
          <w:rFonts w:hint="eastAsia" w:ascii="宋体" w:hAnsi="宋体"/>
          <w:sz w:val="24"/>
          <w:szCs w:val="24"/>
        </w:rPr>
        <w:t>投标费用</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不论投标结果如何，投标人均应自行承担所有与投标有关的全部费用。</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招标方式</w:t>
      </w:r>
    </w:p>
    <w:p>
      <w:pPr>
        <w:tabs>
          <w:tab w:val="left" w:pos="0"/>
        </w:tabs>
        <w:snapToGrid w:val="0"/>
        <w:ind w:firstLine="480" w:firstLineChars="200"/>
        <w:jc w:val="left"/>
        <w:rPr>
          <w:rFonts w:ascii="宋体" w:hAnsi="宋体"/>
          <w:sz w:val="24"/>
          <w:szCs w:val="24"/>
        </w:rPr>
      </w:pPr>
      <w:r>
        <w:rPr>
          <w:rFonts w:hint="eastAsia" w:ascii="宋体" w:hAnsi="宋体"/>
          <w:sz w:val="24"/>
          <w:szCs w:val="24"/>
        </w:rPr>
        <w:t>本次采购采用公开招标方式进行。</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投标委托</w:t>
      </w:r>
    </w:p>
    <w:p>
      <w:pPr>
        <w:tabs>
          <w:tab w:val="left" w:pos="0"/>
        </w:tabs>
        <w:snapToGrid w:val="0"/>
        <w:ind w:firstLine="480" w:firstLineChars="200"/>
        <w:rPr>
          <w:rFonts w:ascii="宋体" w:hAnsi="宋体"/>
          <w:sz w:val="24"/>
          <w:szCs w:val="24"/>
        </w:rPr>
      </w:pPr>
      <w:r>
        <w:rPr>
          <w:rFonts w:hint="eastAsia" w:ascii="宋体" w:hAnsi="宋体"/>
          <w:sz w:val="24"/>
          <w:szCs w:val="24"/>
        </w:rPr>
        <w:t>投标人代表须携带有效身份证件。如投标人代表不是法定代表人，须有法定代表人出具的授权委托书。</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联合体投标</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本项目不接受联合体投标。</w:t>
      </w:r>
    </w:p>
    <w:p>
      <w:pPr>
        <w:numPr>
          <w:ilvl w:val="1"/>
          <w:numId w:val="2"/>
        </w:numPr>
        <w:snapToGrid w:val="0"/>
        <w:ind w:firstLine="480" w:firstLineChars="200"/>
        <w:rPr>
          <w:rFonts w:ascii="宋体" w:hAnsi="宋体"/>
          <w:sz w:val="24"/>
          <w:szCs w:val="24"/>
        </w:rPr>
      </w:pPr>
      <w:r>
        <w:rPr>
          <w:rFonts w:hint="eastAsia" w:ascii="宋体" w:hAnsi="宋体"/>
          <w:sz w:val="24"/>
          <w:szCs w:val="24"/>
        </w:rPr>
        <w:t>转包与分包</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本项目不允许转包、分包。</w:t>
      </w:r>
    </w:p>
    <w:p>
      <w:pPr>
        <w:numPr>
          <w:ilvl w:val="1"/>
          <w:numId w:val="2"/>
        </w:numPr>
        <w:snapToGrid w:val="0"/>
        <w:ind w:firstLine="480" w:firstLineChars="200"/>
        <w:rPr>
          <w:rFonts w:ascii="宋体" w:hAnsi="宋体"/>
          <w:sz w:val="24"/>
          <w:szCs w:val="24"/>
        </w:rPr>
      </w:pPr>
      <w:r>
        <w:rPr>
          <w:rFonts w:hint="eastAsia" w:ascii="宋体" w:hAnsi="宋体"/>
          <w:sz w:val="24"/>
          <w:szCs w:val="24"/>
        </w:rPr>
        <w:t>特别说明：</w:t>
      </w:r>
    </w:p>
    <w:p>
      <w:pPr>
        <w:numPr>
          <w:ilvl w:val="2"/>
          <w:numId w:val="2"/>
        </w:numPr>
        <w:snapToGrid w:val="0"/>
        <w:ind w:firstLine="480" w:firstLineChars="200"/>
        <w:rPr>
          <w:rFonts w:ascii="宋体" w:hAnsi="宋体"/>
          <w:sz w:val="24"/>
          <w:szCs w:val="24"/>
        </w:rPr>
      </w:pPr>
      <w:r>
        <w:rPr>
          <w:rFonts w:hint="eastAsia" w:ascii="宋体" w:hAnsi="宋体"/>
          <w:sz w:val="24"/>
          <w:szCs w:val="24"/>
        </w:rPr>
        <w:t>▲根据《中华人民共和国政府采购法实施条例》第十八条的规定,单位负责人为同一人或者存在直接控股、管理关系的不同供应商，不得参加同一合同项下的政府采购活动。</w:t>
      </w:r>
    </w:p>
    <w:p>
      <w:pPr>
        <w:numPr>
          <w:ilvl w:val="2"/>
          <w:numId w:val="2"/>
        </w:numPr>
        <w:snapToGrid w:val="0"/>
        <w:ind w:firstLine="480" w:firstLineChars="200"/>
        <w:rPr>
          <w:rFonts w:ascii="宋体" w:hAnsi="宋体"/>
          <w:sz w:val="24"/>
          <w:szCs w:val="24"/>
        </w:rPr>
      </w:pP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▲投标人投标所使用的资格、信誉、荣誉、业绩与企业认证必须为本法人所拥有。投标人投标所使用的采购项目实施人员必须为本法人员工。</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▲投标人应仔细阅读招标文件的所有内容，按照招标文件的要求提交投标文件，并对所提供的全部资料的真实性承担法律责任。</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0"/>
          <w:numId w:val="2"/>
        </w:numPr>
        <w:snapToGrid w:val="0"/>
        <w:spacing w:before="120" w:beforeLines="50" w:after="120" w:afterLines="50"/>
        <w:ind w:left="0" w:firstLine="480" w:firstLineChars="200"/>
        <w:outlineLvl w:val="1"/>
        <w:rPr>
          <w:rFonts w:ascii="宋体" w:hAnsi="宋体"/>
          <w:sz w:val="24"/>
          <w:szCs w:val="24"/>
        </w:rPr>
      </w:pPr>
      <w:bookmarkStart w:id="114" w:name="_Toc45436676"/>
      <w:bookmarkStart w:id="115" w:name="_Toc18163978"/>
      <w:bookmarkStart w:id="116" w:name="_Toc356371434"/>
      <w:bookmarkStart w:id="117" w:name="_Toc359934208"/>
      <w:r>
        <w:rPr>
          <w:rFonts w:hint="eastAsia" w:ascii="宋体" w:hAnsi="宋体"/>
          <w:sz w:val="24"/>
          <w:szCs w:val="24"/>
        </w:rPr>
        <w:t>招标文件说明</w:t>
      </w:r>
      <w:bookmarkEnd w:id="114"/>
      <w:bookmarkEnd w:id="115"/>
      <w:bookmarkEnd w:id="116"/>
      <w:bookmarkEnd w:id="117"/>
    </w:p>
    <w:p>
      <w:pPr>
        <w:numPr>
          <w:ilvl w:val="1"/>
          <w:numId w:val="3"/>
        </w:numPr>
        <w:snapToGrid w:val="0"/>
        <w:ind w:firstLine="480" w:firstLineChars="200"/>
        <w:rPr>
          <w:rFonts w:ascii="宋体" w:hAnsi="宋体"/>
          <w:sz w:val="24"/>
          <w:szCs w:val="24"/>
        </w:rPr>
      </w:pPr>
      <w:r>
        <w:rPr>
          <w:rFonts w:hint="eastAsia" w:ascii="宋体" w:hAnsi="宋体"/>
          <w:sz w:val="24"/>
          <w:szCs w:val="24"/>
        </w:rPr>
        <w:t>招标文件的组成</w:t>
      </w:r>
    </w:p>
    <w:p>
      <w:pPr>
        <w:numPr>
          <w:ilvl w:val="2"/>
          <w:numId w:val="3"/>
        </w:numPr>
        <w:snapToGrid w:val="0"/>
        <w:ind w:firstLine="480" w:firstLineChars="200"/>
        <w:rPr>
          <w:rFonts w:ascii="宋体" w:hAnsi="宋体"/>
          <w:sz w:val="24"/>
          <w:szCs w:val="24"/>
        </w:rPr>
      </w:pPr>
      <w:r>
        <w:rPr>
          <w:rFonts w:hint="eastAsia" w:ascii="宋体" w:hAnsi="宋体"/>
          <w:sz w:val="24"/>
          <w:szCs w:val="24"/>
        </w:rPr>
        <w:t>招标公告；</w:t>
      </w:r>
    </w:p>
    <w:p>
      <w:pPr>
        <w:numPr>
          <w:ilvl w:val="2"/>
          <w:numId w:val="3"/>
        </w:numPr>
        <w:snapToGrid w:val="0"/>
        <w:ind w:firstLine="480" w:firstLineChars="200"/>
        <w:rPr>
          <w:rFonts w:ascii="宋体" w:hAnsi="宋体"/>
          <w:sz w:val="24"/>
          <w:szCs w:val="24"/>
        </w:rPr>
      </w:pPr>
      <w:r>
        <w:rPr>
          <w:rFonts w:hint="eastAsia" w:ascii="宋体" w:hAnsi="宋体"/>
          <w:sz w:val="24"/>
          <w:szCs w:val="24"/>
        </w:rPr>
        <w:t>投标须知前附表及投标须知；</w:t>
      </w:r>
    </w:p>
    <w:p>
      <w:pPr>
        <w:numPr>
          <w:ilvl w:val="2"/>
          <w:numId w:val="3"/>
        </w:numPr>
        <w:snapToGrid w:val="0"/>
        <w:ind w:firstLine="480" w:firstLineChars="200"/>
        <w:rPr>
          <w:rFonts w:ascii="宋体" w:hAnsi="宋体"/>
          <w:sz w:val="24"/>
          <w:szCs w:val="24"/>
        </w:rPr>
      </w:pPr>
      <w:r>
        <w:rPr>
          <w:rFonts w:hint="eastAsia" w:ascii="宋体" w:hAnsi="宋体"/>
          <w:sz w:val="24"/>
          <w:szCs w:val="24"/>
        </w:rPr>
        <w:t>采购内容及要求；</w:t>
      </w:r>
    </w:p>
    <w:p>
      <w:pPr>
        <w:numPr>
          <w:ilvl w:val="2"/>
          <w:numId w:val="3"/>
        </w:numPr>
        <w:snapToGrid w:val="0"/>
        <w:ind w:firstLine="480" w:firstLineChars="200"/>
        <w:rPr>
          <w:rFonts w:ascii="宋体" w:hAnsi="宋体"/>
          <w:sz w:val="24"/>
          <w:szCs w:val="24"/>
        </w:rPr>
      </w:pPr>
      <w:r>
        <w:rPr>
          <w:rFonts w:hint="eastAsia" w:ascii="宋体" w:hAnsi="宋体"/>
          <w:sz w:val="24"/>
          <w:szCs w:val="24"/>
        </w:rPr>
        <w:t>评标办法及开评标程序</w:t>
      </w:r>
    </w:p>
    <w:p>
      <w:pPr>
        <w:numPr>
          <w:ilvl w:val="2"/>
          <w:numId w:val="3"/>
        </w:numPr>
        <w:snapToGrid w:val="0"/>
        <w:ind w:firstLine="480" w:firstLineChars="200"/>
        <w:rPr>
          <w:rFonts w:ascii="宋体" w:hAnsi="宋体"/>
          <w:sz w:val="24"/>
          <w:szCs w:val="24"/>
        </w:rPr>
      </w:pPr>
      <w:r>
        <w:rPr>
          <w:rFonts w:hint="eastAsia" w:ascii="宋体" w:hAnsi="宋体"/>
          <w:sz w:val="24"/>
          <w:szCs w:val="24"/>
        </w:rPr>
        <w:t>合同草案；</w:t>
      </w:r>
    </w:p>
    <w:p>
      <w:pPr>
        <w:numPr>
          <w:ilvl w:val="2"/>
          <w:numId w:val="3"/>
        </w:numPr>
        <w:snapToGrid w:val="0"/>
        <w:ind w:firstLine="480" w:firstLineChars="200"/>
        <w:rPr>
          <w:rFonts w:ascii="宋体" w:hAnsi="宋体"/>
          <w:sz w:val="24"/>
          <w:szCs w:val="24"/>
        </w:rPr>
      </w:pPr>
      <w:r>
        <w:rPr>
          <w:rFonts w:hint="eastAsia" w:ascii="宋体" w:hAnsi="宋体"/>
          <w:sz w:val="24"/>
          <w:szCs w:val="24"/>
        </w:rPr>
        <w:t>应提交的有关格式范例。</w:t>
      </w:r>
    </w:p>
    <w:p>
      <w:pPr>
        <w:numPr>
          <w:ilvl w:val="1"/>
          <w:numId w:val="3"/>
        </w:numPr>
        <w:snapToGrid w:val="0"/>
        <w:ind w:firstLine="480" w:firstLineChars="200"/>
        <w:rPr>
          <w:rFonts w:ascii="宋体" w:hAnsi="宋体"/>
          <w:sz w:val="24"/>
          <w:szCs w:val="24"/>
        </w:rPr>
      </w:pPr>
      <w:r>
        <w:rPr>
          <w:rFonts w:hint="eastAsia" w:ascii="宋体" w:hAnsi="宋体"/>
          <w:sz w:val="24"/>
          <w:szCs w:val="24"/>
        </w:rPr>
        <w:t>招标文件的澄清及修改</w:t>
      </w:r>
    </w:p>
    <w:p>
      <w:pPr>
        <w:numPr>
          <w:ilvl w:val="2"/>
          <w:numId w:val="3"/>
        </w:numPr>
        <w:snapToGrid w:val="0"/>
        <w:ind w:firstLine="480" w:firstLineChars="200"/>
        <w:rPr>
          <w:rFonts w:ascii="宋体" w:hAnsi="宋体"/>
          <w:sz w:val="24"/>
          <w:szCs w:val="24"/>
        </w:rPr>
      </w:pPr>
      <w:r>
        <w:rPr>
          <w:rFonts w:hint="eastAsia" w:ascii="宋体" w:hAnsi="宋体"/>
          <w:sz w:val="24"/>
          <w:szCs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numPr>
          <w:ilvl w:val="0"/>
          <w:numId w:val="4"/>
        </w:numPr>
        <w:snapToGrid w:val="0"/>
        <w:spacing w:before="120" w:beforeLines="50" w:after="120" w:afterLines="50"/>
        <w:ind w:left="0" w:firstLine="480" w:firstLineChars="200"/>
        <w:outlineLvl w:val="1"/>
        <w:rPr>
          <w:rFonts w:ascii="宋体" w:hAnsi="宋体"/>
          <w:sz w:val="24"/>
          <w:szCs w:val="24"/>
        </w:rPr>
      </w:pPr>
      <w:bookmarkStart w:id="118" w:name="_Toc356371435"/>
      <w:bookmarkStart w:id="119" w:name="_Toc359934209"/>
      <w:bookmarkStart w:id="120" w:name="_Toc18163979"/>
      <w:bookmarkStart w:id="121" w:name="_Toc45436677"/>
      <w:r>
        <w:rPr>
          <w:rFonts w:hint="eastAsia" w:ascii="宋体" w:hAnsi="宋体"/>
          <w:sz w:val="24"/>
          <w:szCs w:val="24"/>
        </w:rPr>
        <w:t>投标文件的编制</w:t>
      </w:r>
      <w:bookmarkEnd w:id="118"/>
      <w:bookmarkEnd w:id="119"/>
      <w:bookmarkEnd w:id="120"/>
      <w:bookmarkEnd w:id="121"/>
    </w:p>
    <w:p>
      <w:pPr>
        <w:numPr>
          <w:ilvl w:val="1"/>
          <w:numId w:val="3"/>
        </w:numPr>
        <w:snapToGrid w:val="0"/>
        <w:ind w:firstLine="480" w:firstLineChars="200"/>
        <w:rPr>
          <w:rFonts w:ascii="宋体" w:hAnsi="宋体"/>
          <w:sz w:val="24"/>
          <w:szCs w:val="24"/>
        </w:rPr>
      </w:pPr>
      <w:r>
        <w:rPr>
          <w:rFonts w:hint="eastAsia" w:ascii="宋体" w:hAnsi="宋体"/>
          <w:sz w:val="24"/>
          <w:szCs w:val="24"/>
        </w:rPr>
        <w:t>总体要求</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供应商应仔细阅读招标文件的所有内容，按本文件的要求提供投标文件，并保证所提供的全部资料的真实性，以使其投标文件对招标文件作出实质性响应，否则，其投标文件可能导致投标无效。</w:t>
      </w:r>
    </w:p>
    <w:p>
      <w:pPr>
        <w:numPr>
          <w:ilvl w:val="2"/>
          <w:numId w:val="3"/>
        </w:numPr>
        <w:snapToGrid w:val="0"/>
        <w:ind w:firstLine="480" w:firstLineChars="200"/>
        <w:rPr>
          <w:rFonts w:ascii="宋体" w:hAnsi="宋体"/>
          <w:sz w:val="24"/>
          <w:szCs w:val="24"/>
        </w:rPr>
      </w:pPr>
      <w:r>
        <w:rPr>
          <w:rFonts w:hint="eastAsia" w:ascii="宋体" w:hAnsi="宋体"/>
          <w:sz w:val="24"/>
          <w:szCs w:val="24"/>
        </w:rPr>
        <w:t>投标文件及投标人与采购有关的来往通知，函件和文件均应使用中文。</w:t>
      </w:r>
    </w:p>
    <w:p>
      <w:pPr>
        <w:numPr>
          <w:ilvl w:val="2"/>
          <w:numId w:val="3"/>
        </w:numPr>
        <w:snapToGrid w:val="0"/>
        <w:ind w:firstLine="480" w:firstLineChars="200"/>
        <w:rPr>
          <w:rFonts w:ascii="宋体" w:hAnsi="宋体"/>
          <w:sz w:val="24"/>
          <w:szCs w:val="24"/>
        </w:rPr>
      </w:pPr>
      <w:r>
        <w:rPr>
          <w:rFonts w:hint="eastAsia" w:ascii="宋体" w:hAnsi="宋体"/>
          <w:sz w:val="24"/>
          <w:szCs w:val="24"/>
        </w:rPr>
        <w:t>投标人应按本文件中提供的文件格式、内容和要求制作投标文件。</w:t>
      </w:r>
    </w:p>
    <w:p>
      <w:pPr>
        <w:numPr>
          <w:ilvl w:val="2"/>
          <w:numId w:val="3"/>
        </w:numPr>
        <w:snapToGrid w:val="0"/>
        <w:ind w:firstLine="480" w:firstLineChars="200"/>
        <w:rPr>
          <w:rFonts w:ascii="宋体" w:hAnsi="宋体"/>
          <w:b w:val="0"/>
          <w:bCs/>
          <w:color w:val="auto"/>
          <w:sz w:val="24"/>
          <w:szCs w:val="24"/>
        </w:rPr>
      </w:pPr>
      <w:r>
        <w:rPr>
          <w:rFonts w:hint="eastAsia" w:ascii="宋体" w:hAnsi="宋体"/>
          <w:b w:val="0"/>
          <w:bCs/>
          <w:color w:val="auto"/>
          <w:sz w:val="24"/>
          <w:szCs w:val="24"/>
        </w:rPr>
        <w:t>投标文件的形式</w:t>
      </w:r>
    </w:p>
    <w:p>
      <w:pPr>
        <w:snapToGrid w:val="0"/>
        <w:ind w:firstLine="480" w:firstLineChars="200"/>
        <w:rPr>
          <w:rFonts w:ascii="宋体" w:hAnsi="宋体"/>
          <w:b w:val="0"/>
          <w:bCs/>
          <w:color w:val="auto"/>
          <w:sz w:val="24"/>
          <w:szCs w:val="24"/>
        </w:rPr>
      </w:pPr>
      <w:r>
        <w:rPr>
          <w:rFonts w:hint="eastAsia" w:ascii="宋体" w:hAnsi="宋体"/>
          <w:b w:val="0"/>
          <w:bCs/>
          <w:color w:val="auto"/>
          <w:sz w:val="24"/>
          <w:szCs w:val="24"/>
        </w:rPr>
        <w:t>投标文件为电子投标文件。电子投标文件按政采云平台供应商项目采购-电子招投标操作指南（网址：https://help.zcygov.cn/web/site_2/2018/12-28/2573.html）及本招标文件要求制作、加密并递交。</w:t>
      </w:r>
    </w:p>
    <w:p>
      <w:pPr>
        <w:numPr>
          <w:ilvl w:val="1"/>
          <w:numId w:val="3"/>
        </w:numPr>
        <w:snapToGrid w:val="0"/>
        <w:ind w:firstLine="480" w:firstLineChars="200"/>
        <w:rPr>
          <w:rFonts w:ascii="宋体" w:hAnsi="宋体"/>
          <w:sz w:val="24"/>
          <w:szCs w:val="24"/>
        </w:rPr>
      </w:pPr>
      <w:r>
        <w:rPr>
          <w:rFonts w:hint="eastAsia" w:ascii="宋体" w:hAnsi="宋体"/>
          <w:sz w:val="24"/>
          <w:szCs w:val="24"/>
        </w:rPr>
        <w:t>投标文件的组成</w:t>
      </w:r>
    </w:p>
    <w:p>
      <w:pPr>
        <w:snapToGrid w:val="0"/>
        <w:spacing w:line="500" w:lineRule="exact"/>
        <w:ind w:firstLine="480" w:firstLineChars="200"/>
        <w:rPr>
          <w:rFonts w:ascii="宋体" w:hAnsi="宋体"/>
          <w:b w:val="0"/>
          <w:bCs/>
          <w:color w:val="auto"/>
          <w:sz w:val="24"/>
          <w:szCs w:val="24"/>
        </w:rPr>
      </w:pPr>
      <w:r>
        <w:rPr>
          <w:rFonts w:hint="eastAsia" w:ascii="宋体" w:hAnsi="宋体"/>
          <w:sz w:val="24"/>
          <w:szCs w:val="24"/>
        </w:rPr>
        <w:t>投标人应按本文件中提供的文件格式、内容和要求制作投标文件。</w:t>
      </w:r>
      <w:r>
        <w:rPr>
          <w:rFonts w:hint="eastAsia" w:ascii="宋体" w:hAnsi="宋体"/>
          <w:b w:val="0"/>
          <w:bCs/>
          <w:color w:val="auto"/>
          <w:sz w:val="24"/>
          <w:szCs w:val="24"/>
        </w:rPr>
        <w:t>▲电子投标文件应分为【资格文件】、【商务技术文件】和【报价文件】。其中电子投标文件中所须加盖公章部分均采用CA签章。</w:t>
      </w:r>
    </w:p>
    <w:p>
      <w:pPr>
        <w:numPr>
          <w:ilvl w:val="2"/>
          <w:numId w:val="3"/>
        </w:numPr>
        <w:snapToGrid w:val="0"/>
        <w:ind w:firstLine="480" w:firstLineChars="200"/>
        <w:rPr>
          <w:rFonts w:ascii="宋体" w:hAnsi="宋体"/>
          <w:sz w:val="24"/>
          <w:szCs w:val="24"/>
        </w:rPr>
      </w:pPr>
      <w:r>
        <w:rPr>
          <w:rFonts w:hint="eastAsia" w:ascii="宋体" w:hAnsi="宋体"/>
          <w:sz w:val="24"/>
          <w:szCs w:val="24"/>
        </w:rPr>
        <w:t>【资格文件】</w:t>
      </w:r>
    </w:p>
    <w:p>
      <w:pPr>
        <w:numPr>
          <w:ilvl w:val="3"/>
          <w:numId w:val="3"/>
        </w:numPr>
        <w:snapToGrid w:val="0"/>
        <w:ind w:firstLine="480" w:firstLineChars="200"/>
        <w:rPr>
          <w:rFonts w:ascii="宋体" w:hAnsi="宋体"/>
          <w:sz w:val="24"/>
          <w:szCs w:val="24"/>
        </w:rPr>
      </w:pPr>
      <w:r>
        <w:rPr>
          <w:rFonts w:hint="eastAsia" w:ascii="宋体" w:hAnsi="宋体"/>
          <w:sz w:val="24"/>
          <w:szCs w:val="24"/>
        </w:rPr>
        <w:t>▲资格文件封面（格式以采购文件格式为准）；</w:t>
      </w:r>
    </w:p>
    <w:p>
      <w:pPr>
        <w:numPr>
          <w:ilvl w:val="3"/>
          <w:numId w:val="3"/>
        </w:numPr>
        <w:snapToGrid w:val="0"/>
        <w:ind w:firstLine="480" w:firstLineChars="200"/>
        <w:rPr>
          <w:rFonts w:ascii="宋体" w:hAnsi="宋体"/>
          <w:sz w:val="24"/>
          <w:szCs w:val="24"/>
        </w:rPr>
      </w:pPr>
      <w:r>
        <w:rPr>
          <w:rFonts w:hint="eastAsia" w:ascii="宋体" w:hAnsi="宋体"/>
          <w:sz w:val="24"/>
          <w:szCs w:val="24"/>
        </w:rPr>
        <w:t>▲投标函；</w:t>
      </w:r>
    </w:p>
    <w:p>
      <w:pPr>
        <w:numPr>
          <w:ilvl w:val="3"/>
          <w:numId w:val="3"/>
        </w:numPr>
        <w:snapToGrid w:val="0"/>
        <w:ind w:firstLine="480" w:firstLineChars="200"/>
        <w:rPr>
          <w:rFonts w:ascii="宋体" w:hAnsi="宋体"/>
          <w:sz w:val="24"/>
          <w:szCs w:val="24"/>
        </w:rPr>
      </w:pPr>
      <w:r>
        <w:rPr>
          <w:rFonts w:hint="eastAsia" w:ascii="宋体" w:hAnsi="宋体"/>
          <w:sz w:val="24"/>
          <w:szCs w:val="24"/>
        </w:rPr>
        <w:t>▲供应商资格声明；</w:t>
      </w:r>
    </w:p>
    <w:p>
      <w:pPr>
        <w:numPr>
          <w:ilvl w:val="3"/>
          <w:numId w:val="3"/>
        </w:numPr>
        <w:snapToGrid w:val="0"/>
        <w:ind w:firstLine="480" w:firstLineChars="200"/>
        <w:rPr>
          <w:rFonts w:ascii="宋体" w:hAnsi="宋体"/>
          <w:sz w:val="24"/>
          <w:szCs w:val="24"/>
        </w:rPr>
      </w:pPr>
      <w:r>
        <w:rPr>
          <w:rFonts w:hint="eastAsia" w:ascii="宋体" w:hAnsi="宋体"/>
          <w:sz w:val="24"/>
          <w:szCs w:val="24"/>
        </w:rPr>
        <w:t>▲未注册供应商提供：有效的《企业法人营业执照》副本原件扫描件；</w:t>
      </w:r>
    </w:p>
    <w:p>
      <w:pPr>
        <w:numPr>
          <w:ilvl w:val="3"/>
          <w:numId w:val="3"/>
        </w:numPr>
        <w:snapToGrid w:val="0"/>
        <w:ind w:firstLine="480" w:firstLineChars="200"/>
        <w:rPr>
          <w:rFonts w:ascii="宋体" w:hAnsi="宋体"/>
          <w:sz w:val="24"/>
          <w:szCs w:val="24"/>
        </w:rPr>
      </w:pPr>
      <w:r>
        <w:rPr>
          <w:rFonts w:hint="eastAsia" w:ascii="宋体" w:hAnsi="宋体"/>
          <w:sz w:val="24"/>
          <w:szCs w:val="24"/>
        </w:rPr>
        <w:t>注册供应商提供：</w:t>
      </w:r>
      <w:r>
        <w:rPr>
          <w:rFonts w:ascii="宋体" w:hAnsi="宋体"/>
          <w:sz w:val="24"/>
          <w:szCs w:val="24"/>
        </w:rPr>
        <w:t>注册供应商从浙江省政府采购</w:t>
      </w:r>
      <w:r>
        <w:rPr>
          <w:rFonts w:hint="eastAsia" w:ascii="宋体" w:hAnsi="宋体"/>
          <w:sz w:val="24"/>
          <w:szCs w:val="24"/>
        </w:rPr>
        <w:t>网打印</w:t>
      </w:r>
      <w:r>
        <w:rPr>
          <w:rFonts w:ascii="宋体" w:hAnsi="宋体"/>
          <w:sz w:val="24"/>
          <w:szCs w:val="24"/>
        </w:rPr>
        <w:t>《浙江省政府采购注册供应商资格信息登记表》</w:t>
      </w:r>
      <w:r>
        <w:rPr>
          <w:rFonts w:hint="eastAsia" w:ascii="宋体" w:hAnsi="宋体"/>
          <w:sz w:val="24"/>
          <w:szCs w:val="24"/>
        </w:rPr>
        <w:t>（或其他能证明其为</w:t>
      </w:r>
      <w:r>
        <w:rPr>
          <w:rFonts w:ascii="宋体" w:hAnsi="宋体"/>
          <w:sz w:val="24"/>
          <w:szCs w:val="24"/>
        </w:rPr>
        <w:t>浙江省政府采购</w:t>
      </w:r>
      <w:r>
        <w:rPr>
          <w:rFonts w:hint="eastAsia" w:ascii="宋体" w:hAnsi="宋体"/>
          <w:sz w:val="24"/>
          <w:szCs w:val="24"/>
        </w:rPr>
        <w:t>网正式注册供应商的材料）</w:t>
      </w:r>
      <w:r>
        <w:rPr>
          <w:rFonts w:ascii="宋体" w:hAnsi="宋体"/>
          <w:sz w:val="24"/>
          <w:szCs w:val="24"/>
        </w:rPr>
        <w:t>，并加盖公章</w:t>
      </w:r>
      <w:r>
        <w:rPr>
          <w:rFonts w:hint="eastAsia" w:ascii="宋体" w:hAnsi="宋体"/>
          <w:sz w:val="24"/>
          <w:szCs w:val="24"/>
        </w:rPr>
        <w:t>和有效的《企业法人营业执照》原件扫描件</w:t>
      </w:r>
      <w:r>
        <w:rPr>
          <w:rFonts w:ascii="宋体" w:hAnsi="宋体"/>
          <w:sz w:val="24"/>
          <w:szCs w:val="24"/>
        </w:rPr>
        <w:t>，</w:t>
      </w:r>
      <w:r>
        <w:rPr>
          <w:rFonts w:hint="eastAsia" w:ascii="宋体" w:hAnsi="宋体"/>
          <w:sz w:val="24"/>
          <w:szCs w:val="24"/>
        </w:rPr>
        <w:t>放入资格文件；</w:t>
      </w:r>
    </w:p>
    <w:p>
      <w:pPr>
        <w:numPr>
          <w:ilvl w:val="3"/>
          <w:numId w:val="3"/>
        </w:numPr>
        <w:snapToGrid w:val="0"/>
        <w:ind w:firstLine="480" w:firstLineChars="200"/>
        <w:rPr>
          <w:rFonts w:ascii="宋体" w:hAnsi="宋体"/>
          <w:sz w:val="24"/>
          <w:szCs w:val="24"/>
        </w:rPr>
      </w:pPr>
      <w:r>
        <w:rPr>
          <w:rFonts w:hint="eastAsia" w:ascii="宋体" w:hAnsi="宋体"/>
          <w:sz w:val="24"/>
          <w:szCs w:val="24"/>
        </w:rPr>
        <w:t>▲授权代表参加投标的，须提供法人授权委托书；</w:t>
      </w:r>
    </w:p>
    <w:p>
      <w:pPr>
        <w:numPr>
          <w:ilvl w:val="3"/>
          <w:numId w:val="3"/>
        </w:numPr>
        <w:snapToGrid w:val="0"/>
        <w:ind w:firstLine="480" w:firstLineChars="200"/>
        <w:rPr>
          <w:rFonts w:ascii="宋体" w:hAnsi="宋体"/>
          <w:sz w:val="24"/>
          <w:szCs w:val="24"/>
        </w:rPr>
      </w:pPr>
      <w:r>
        <w:rPr>
          <w:rFonts w:hint="eastAsia" w:ascii="宋体" w:hAnsi="宋体"/>
          <w:sz w:val="24"/>
          <w:szCs w:val="24"/>
        </w:rPr>
        <w:t>▲法定代表人或法人授权代表身份证（参加投标人证件）；</w:t>
      </w:r>
    </w:p>
    <w:p>
      <w:pPr>
        <w:numPr>
          <w:ilvl w:val="3"/>
          <w:numId w:val="3"/>
        </w:numPr>
        <w:snapToGrid w:val="0"/>
        <w:ind w:firstLine="480" w:firstLineChars="200"/>
        <w:rPr>
          <w:rFonts w:ascii="宋体" w:hAnsi="宋体"/>
          <w:sz w:val="24"/>
          <w:szCs w:val="24"/>
        </w:rPr>
      </w:pPr>
      <w:r>
        <w:rPr>
          <w:rFonts w:ascii="宋体" w:hAnsi="宋体"/>
          <w:sz w:val="24"/>
          <w:szCs w:val="24"/>
        </w:rPr>
        <w:t>▲税务机关出具的纳税证明</w:t>
      </w:r>
      <w:r>
        <w:rPr>
          <w:rFonts w:hint="eastAsia" w:ascii="宋体" w:hAnsi="宋体"/>
          <w:sz w:val="24"/>
          <w:szCs w:val="24"/>
        </w:rPr>
        <w:t>原件扫描件或网上电子件</w:t>
      </w:r>
      <w:r>
        <w:rPr>
          <w:rFonts w:ascii="宋体" w:hAnsi="宋体"/>
          <w:sz w:val="24"/>
          <w:szCs w:val="24"/>
        </w:rPr>
        <w:t>（加盖税务机关章）</w:t>
      </w:r>
    </w:p>
    <w:p>
      <w:pPr>
        <w:numPr>
          <w:ilvl w:val="3"/>
          <w:numId w:val="3"/>
        </w:numPr>
        <w:snapToGrid w:val="0"/>
        <w:ind w:firstLine="480" w:firstLineChars="200"/>
        <w:rPr>
          <w:rFonts w:ascii="宋体" w:hAnsi="宋体"/>
          <w:sz w:val="24"/>
          <w:szCs w:val="24"/>
        </w:rPr>
      </w:pPr>
      <w:r>
        <w:rPr>
          <w:rFonts w:hint="eastAsia" w:ascii="宋体" w:hAnsi="宋体"/>
          <w:sz w:val="24"/>
          <w:szCs w:val="24"/>
        </w:rPr>
        <w:t>最新一期纳税信用等级C级（或C级以上）证明原件扫描件或网上电子件；</w:t>
      </w:r>
    </w:p>
    <w:p>
      <w:pPr>
        <w:numPr>
          <w:ilvl w:val="3"/>
          <w:numId w:val="3"/>
        </w:numPr>
        <w:snapToGrid w:val="0"/>
        <w:ind w:firstLine="480" w:firstLineChars="200"/>
        <w:rPr>
          <w:rFonts w:ascii="宋体" w:hAnsi="宋体"/>
          <w:sz w:val="24"/>
          <w:szCs w:val="24"/>
        </w:rPr>
      </w:pPr>
      <w:r>
        <w:rPr>
          <w:rFonts w:ascii="宋体" w:hAnsi="宋体"/>
          <w:sz w:val="24"/>
          <w:szCs w:val="24"/>
        </w:rPr>
        <w:t>▲第三方</w:t>
      </w:r>
      <w:r>
        <w:rPr>
          <w:rFonts w:hint="eastAsia" w:ascii="宋体" w:hAnsi="宋体"/>
          <w:sz w:val="24"/>
          <w:szCs w:val="24"/>
        </w:rPr>
        <w:t>出具的</w:t>
      </w:r>
      <w:r>
        <w:rPr>
          <w:rFonts w:ascii="宋体" w:hAnsi="宋体"/>
          <w:sz w:val="24"/>
          <w:szCs w:val="24"/>
        </w:rPr>
        <w:t>缴纳社会保障资金的相关材料</w:t>
      </w:r>
      <w:r>
        <w:rPr>
          <w:rFonts w:hint="eastAsia" w:ascii="宋体" w:hAnsi="宋体"/>
          <w:sz w:val="24"/>
          <w:szCs w:val="24"/>
        </w:rPr>
        <w:t>原件扫描件或网上电子件；</w:t>
      </w:r>
    </w:p>
    <w:p>
      <w:pPr>
        <w:numPr>
          <w:ilvl w:val="3"/>
          <w:numId w:val="3"/>
        </w:numPr>
        <w:snapToGrid w:val="0"/>
        <w:ind w:firstLine="480" w:firstLineChars="200"/>
        <w:rPr>
          <w:rFonts w:ascii="宋体" w:hAnsi="宋体"/>
          <w:sz w:val="24"/>
          <w:szCs w:val="24"/>
        </w:rPr>
      </w:pPr>
      <w:r>
        <w:rPr>
          <w:rFonts w:hint="eastAsia" w:ascii="宋体" w:hAnsi="宋体"/>
          <w:sz w:val="24"/>
          <w:szCs w:val="24"/>
        </w:rPr>
        <w:t>投标人上一年度财务状况报告原件扫描件或网上电子件（资产负债表、利润表、现金流量表或第三方出具报告）；</w:t>
      </w:r>
      <w:r>
        <w:rPr>
          <w:rFonts w:hint="eastAsia" w:ascii="宋体" w:hAnsi="宋体"/>
          <w:sz w:val="24"/>
          <w:szCs w:val="24"/>
        </w:rPr>
        <w:tab/>
      </w:r>
    </w:p>
    <w:p>
      <w:pPr>
        <w:numPr>
          <w:ilvl w:val="3"/>
          <w:numId w:val="3"/>
        </w:numPr>
        <w:snapToGrid w:val="0"/>
        <w:ind w:firstLine="480" w:firstLineChars="200"/>
        <w:rPr>
          <w:rFonts w:ascii="宋体" w:hAnsi="宋体"/>
          <w:sz w:val="24"/>
          <w:szCs w:val="24"/>
        </w:rPr>
      </w:pPr>
      <w:r>
        <w:rPr>
          <w:rFonts w:hint="eastAsia" w:ascii="宋体" w:hAnsi="宋体"/>
          <w:sz w:val="24"/>
          <w:szCs w:val="24"/>
        </w:rPr>
        <w:t>▲参加政府采购活动前3年内在经营活动中没有重大违法记录的书面声明（格式自拟，加盖公章）；</w:t>
      </w:r>
    </w:p>
    <w:p>
      <w:pPr>
        <w:numPr>
          <w:ilvl w:val="3"/>
          <w:numId w:val="3"/>
        </w:numPr>
        <w:snapToGrid w:val="0"/>
        <w:ind w:firstLine="480" w:firstLineChars="200"/>
        <w:rPr>
          <w:rFonts w:ascii="宋体" w:hAnsi="宋体"/>
          <w:sz w:val="24"/>
          <w:szCs w:val="24"/>
        </w:rPr>
      </w:pPr>
      <w:r>
        <w:rPr>
          <w:rFonts w:hint="eastAsia" w:ascii="宋体" w:hAnsi="宋体"/>
          <w:sz w:val="24"/>
          <w:szCs w:val="24"/>
        </w:rPr>
        <w:t>未被列入“信用中国”网站(www.creditchina.gov.cn)、中国政府采购网(www.ccgp.gov.cn)渠道信用记录失信被执行人、重大税收违法案件当事人名单、政府采购严重违法失信行为记录名单的证明材料原件扫描件或网上电子件。</w:t>
      </w:r>
    </w:p>
    <w:p>
      <w:pPr>
        <w:tabs>
          <w:tab w:val="left" w:pos="0"/>
        </w:tabs>
        <w:snapToGrid w:val="0"/>
        <w:ind w:firstLine="482" w:firstLineChars="200"/>
        <w:rPr>
          <w:rFonts w:ascii="宋体" w:hAnsi="宋体"/>
          <w:sz w:val="24"/>
          <w:szCs w:val="24"/>
        </w:rPr>
      </w:pPr>
      <w:r>
        <w:rPr>
          <w:rFonts w:hint="eastAsia" w:ascii="宋体" w:hAnsi="宋体"/>
          <w:b/>
          <w:sz w:val="24"/>
          <w:szCs w:val="24"/>
        </w:rPr>
        <w:t>注：资格审查不通过不进入下一轮评标</w:t>
      </w:r>
    </w:p>
    <w:p>
      <w:pPr>
        <w:numPr>
          <w:ilvl w:val="2"/>
          <w:numId w:val="3"/>
        </w:numPr>
        <w:snapToGrid w:val="0"/>
        <w:ind w:firstLine="480" w:firstLineChars="200"/>
        <w:rPr>
          <w:rFonts w:ascii="宋体" w:hAnsi="宋体"/>
          <w:sz w:val="24"/>
          <w:szCs w:val="24"/>
        </w:rPr>
      </w:pPr>
      <w:r>
        <w:rPr>
          <w:rFonts w:hint="eastAsia" w:ascii="宋体" w:hAnsi="宋体"/>
          <w:sz w:val="24"/>
          <w:szCs w:val="24"/>
        </w:rPr>
        <w:t>【商务技术文件】</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投标人自评分表</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▲详细的产品清单及货物简要说明一览表（注明品牌型号及具体配置、及产地）；</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▲设备详细参数偏离表,投标人应按所投设备的实际参数填写详细参数偏离表</w:t>
      </w:r>
      <w:r>
        <w:rPr>
          <w:rFonts w:hint="eastAsia" w:ascii="宋体" w:hAnsi="宋体" w:eastAsia="宋体" w:cs="Times New Roman"/>
          <w:sz w:val="24"/>
          <w:szCs w:val="24"/>
          <w:lang w:eastAsia="zh-CN"/>
        </w:rPr>
        <w:t>；</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产品说明书或产品主要技术资料和性能的详细描述，全部部件明细表（包括品牌、制造厂名和主要技术参数、产地等）；</w:t>
      </w:r>
    </w:p>
    <w:p>
      <w:pPr>
        <w:numPr>
          <w:ilvl w:val="3"/>
          <w:numId w:val="3"/>
        </w:numPr>
        <w:snapToGrid w:val="0"/>
        <w:ind w:firstLine="480" w:firstLineChars="200"/>
        <w:rPr>
          <w:rFonts w:hint="eastAsia" w:ascii="宋体" w:hAnsi="宋体"/>
          <w:sz w:val="24"/>
          <w:szCs w:val="24"/>
        </w:rPr>
      </w:pPr>
      <w:r>
        <w:rPr>
          <w:rFonts w:hint="eastAsia" w:ascii="宋体" w:hAnsi="宋体" w:eastAsia="宋体" w:cs="Times New Roman"/>
          <w:sz w:val="24"/>
          <w:szCs w:val="24"/>
          <w:lang w:bidi="ar"/>
        </w:rPr>
        <w:t>本项目为紧急建设工程，要求中标方签订合同后30个日内完成江东工业园区数字化园区综合管理平台上线，投标人投标时需做出书面承诺</w:t>
      </w:r>
      <w:r>
        <w:rPr>
          <w:rFonts w:hint="eastAsia" w:ascii="宋体" w:hAnsi="宋体" w:eastAsia="宋体" w:cs="Times New Roman"/>
          <w:sz w:val="24"/>
          <w:szCs w:val="24"/>
          <w:lang w:eastAsia="zh-CN" w:bidi="ar"/>
        </w:rPr>
        <w:t>。（承诺书格式自拟）</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项目理解及</w:t>
      </w:r>
      <w:r>
        <w:rPr>
          <w:rFonts w:hint="eastAsia" w:ascii="宋体" w:hAnsi="宋体" w:cs="Times New Roman"/>
          <w:sz w:val="24"/>
          <w:szCs w:val="24"/>
          <w:lang w:eastAsia="zh-CN"/>
        </w:rPr>
        <w:t>技术、实施</w:t>
      </w:r>
      <w:r>
        <w:rPr>
          <w:rFonts w:hint="eastAsia" w:ascii="宋体" w:hAnsi="宋体" w:eastAsia="宋体" w:cs="Times New Roman"/>
          <w:sz w:val="24"/>
          <w:szCs w:val="24"/>
        </w:rPr>
        <w:t>方案；</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系统演示；</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软件产品成熟度</w:t>
      </w:r>
      <w:r>
        <w:rPr>
          <w:rFonts w:hint="eastAsia" w:ascii="宋体" w:hAnsi="宋体" w:cs="Times New Roman"/>
          <w:sz w:val="24"/>
          <w:szCs w:val="24"/>
          <w:lang w:eastAsia="zh-CN"/>
        </w:rPr>
        <w:t>；</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业绩案例；</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eastAsia="zh-CN"/>
        </w:rPr>
        <w:t>投入人员情况</w:t>
      </w:r>
      <w:r>
        <w:rPr>
          <w:rFonts w:hint="eastAsia" w:ascii="宋体" w:hAnsi="宋体" w:eastAsia="宋体" w:cs="Times New Roman"/>
          <w:sz w:val="24"/>
          <w:szCs w:val="24"/>
        </w:rPr>
        <w:t>；</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售后服务；</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涉及评分的其他材料。</w:t>
      </w:r>
    </w:p>
    <w:p>
      <w:pPr>
        <w:numPr>
          <w:ilvl w:val="2"/>
          <w:numId w:val="3"/>
        </w:numPr>
        <w:snapToGrid w:val="0"/>
        <w:ind w:firstLine="480" w:firstLineChars="200"/>
        <w:rPr>
          <w:rFonts w:ascii="宋体" w:hAnsi="宋体"/>
          <w:sz w:val="24"/>
          <w:szCs w:val="24"/>
        </w:rPr>
      </w:pPr>
      <w:r>
        <w:rPr>
          <w:rFonts w:hint="eastAsia" w:ascii="宋体" w:hAnsi="宋体"/>
          <w:sz w:val="24"/>
          <w:szCs w:val="24"/>
        </w:rPr>
        <w:t>【报价文件】</w:t>
      </w:r>
    </w:p>
    <w:p>
      <w:pPr>
        <w:numPr>
          <w:ilvl w:val="3"/>
          <w:numId w:val="3"/>
        </w:numPr>
        <w:snapToGrid w:val="0"/>
        <w:ind w:firstLine="480" w:firstLineChars="200"/>
        <w:rPr>
          <w:rFonts w:ascii="宋体" w:hAnsi="宋体"/>
          <w:sz w:val="24"/>
          <w:szCs w:val="24"/>
        </w:rPr>
      </w:pPr>
      <w:r>
        <w:rPr>
          <w:rFonts w:hint="eastAsia" w:ascii="宋体" w:hAnsi="宋体"/>
          <w:sz w:val="24"/>
          <w:szCs w:val="24"/>
        </w:rPr>
        <w:t>▲开标一览表；</w:t>
      </w:r>
    </w:p>
    <w:p>
      <w:pPr>
        <w:numPr>
          <w:ilvl w:val="3"/>
          <w:numId w:val="3"/>
        </w:numPr>
        <w:snapToGrid w:val="0"/>
        <w:ind w:firstLine="480" w:firstLineChars="200"/>
        <w:rPr>
          <w:rFonts w:ascii="宋体" w:hAnsi="宋体"/>
          <w:sz w:val="24"/>
          <w:szCs w:val="24"/>
        </w:rPr>
      </w:pPr>
      <w:r>
        <w:rPr>
          <w:rFonts w:hint="eastAsia" w:ascii="宋体" w:hAnsi="宋体"/>
          <w:sz w:val="24"/>
          <w:szCs w:val="24"/>
        </w:rPr>
        <w:t>▲报价明细表</w:t>
      </w:r>
    </w:p>
    <w:p>
      <w:pPr>
        <w:numPr>
          <w:ilvl w:val="3"/>
          <w:numId w:val="3"/>
        </w:numPr>
        <w:snapToGrid w:val="0"/>
        <w:ind w:firstLine="480" w:firstLineChars="200"/>
        <w:rPr>
          <w:rFonts w:ascii="宋体" w:hAnsi="宋体"/>
          <w:sz w:val="24"/>
          <w:szCs w:val="24"/>
        </w:rPr>
      </w:pPr>
      <w:r>
        <w:rPr>
          <w:rFonts w:hint="eastAsia" w:ascii="宋体" w:hAnsi="宋体"/>
          <w:sz w:val="24"/>
          <w:szCs w:val="24"/>
        </w:rPr>
        <w:t>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p>
      <w:pPr>
        <w:numPr>
          <w:ilvl w:val="1"/>
          <w:numId w:val="3"/>
        </w:numPr>
        <w:snapToGrid w:val="0"/>
        <w:ind w:firstLine="480" w:firstLineChars="200"/>
        <w:rPr>
          <w:rFonts w:ascii="宋体" w:hAnsi="宋体"/>
          <w:sz w:val="24"/>
          <w:szCs w:val="24"/>
        </w:rPr>
      </w:pPr>
      <w:bookmarkStart w:id="122" w:name="_Toc356371443"/>
      <w:bookmarkStart w:id="123" w:name="_Toc322352983"/>
      <w:bookmarkStart w:id="124" w:name="_Toc354491897"/>
      <w:r>
        <w:rPr>
          <w:rFonts w:hint="eastAsia" w:ascii="宋体" w:hAnsi="宋体"/>
          <w:sz w:val="24"/>
          <w:szCs w:val="24"/>
        </w:rPr>
        <w:t>投标文件内容填写说明</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应在认真阅读招标文件所有内容的基础上，按照招标文件的要求编制完整的投标文件。投标文件应按照招标文件中规定的统一格式填写，电子投标文件按政采云平台供应商项目采购-电子招投标操作指南（网址：https://help.zcygov.cn/web/site_2/2018/12-28/2573.html）及本招标文件要求制作、加密。招标文件对投标文件格式有要求的应按格式逐项填写内容，不准有空项；无相应内容可填的项应填写“无”、“未测试”、“没有相应指标”等明确的回答文字。</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供应商必须保证投标文件所提供的全部资料真实可靠，并接受招标人对其中任何资料进一步审查的要求。</w:t>
      </w:r>
    </w:p>
    <w:p>
      <w:pPr>
        <w:numPr>
          <w:ilvl w:val="2"/>
          <w:numId w:val="3"/>
        </w:numPr>
        <w:snapToGrid w:val="0"/>
        <w:ind w:firstLine="480" w:firstLineChars="200"/>
        <w:rPr>
          <w:rFonts w:ascii="宋体" w:hAnsi="宋体"/>
          <w:sz w:val="24"/>
          <w:szCs w:val="24"/>
        </w:rPr>
      </w:pPr>
      <w:r>
        <w:rPr>
          <w:rFonts w:hint="eastAsia" w:ascii="宋体" w:hAnsi="宋体"/>
          <w:sz w:val="24"/>
          <w:szCs w:val="24"/>
        </w:rPr>
        <w:t>《开标一览表》为在开标仪式上唱标的内容，要求按格式填写、统一规范，不得自行增减内容。</w:t>
      </w:r>
    </w:p>
    <w:p>
      <w:pPr>
        <w:numPr>
          <w:ilvl w:val="2"/>
          <w:numId w:val="3"/>
        </w:numPr>
        <w:snapToGrid w:val="0"/>
        <w:ind w:firstLine="480" w:firstLineChars="200"/>
        <w:rPr>
          <w:rFonts w:ascii="宋体" w:hAnsi="宋体"/>
          <w:sz w:val="24"/>
          <w:szCs w:val="24"/>
        </w:rPr>
      </w:pPr>
      <w:r>
        <w:rPr>
          <w:rFonts w:hint="eastAsia" w:ascii="宋体" w:hAnsi="宋体"/>
          <w:sz w:val="24"/>
          <w:szCs w:val="24"/>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3"/>
        </w:numPr>
        <w:snapToGrid w:val="0"/>
        <w:ind w:firstLine="480" w:firstLineChars="200"/>
        <w:rPr>
          <w:rFonts w:ascii="宋体" w:hAnsi="宋体"/>
          <w:sz w:val="24"/>
          <w:szCs w:val="24"/>
        </w:rPr>
      </w:pPr>
      <w:r>
        <w:rPr>
          <w:rFonts w:hint="eastAsia" w:ascii="宋体" w:hAnsi="宋体"/>
          <w:sz w:val="24"/>
          <w:szCs w:val="24"/>
        </w:rPr>
        <w:t>由于字迹模糊或表达不清引起的后果由投标人负责。</w:t>
      </w:r>
    </w:p>
    <w:p>
      <w:pPr>
        <w:numPr>
          <w:ilvl w:val="2"/>
          <w:numId w:val="3"/>
        </w:numPr>
        <w:snapToGrid w:val="0"/>
        <w:ind w:firstLine="480" w:firstLineChars="200"/>
        <w:rPr>
          <w:rFonts w:ascii="宋体" w:hAnsi="宋体"/>
          <w:sz w:val="24"/>
          <w:szCs w:val="24"/>
        </w:rPr>
      </w:pPr>
      <w:r>
        <w:rPr>
          <w:rFonts w:hint="eastAsia" w:ascii="宋体" w:hAnsi="宋体"/>
          <w:sz w:val="24"/>
          <w:szCs w:val="24"/>
        </w:rPr>
        <w:t>设备详细参数偏离表：所投产品如与采购产品在型号、规格、技术参数、性能、工艺、材料、质量等方面有偏离或对产品配置有好的建议，应填写《设备详细参数偏离表》，否则认为响应招标文件要求。</w:t>
      </w:r>
    </w:p>
    <w:p>
      <w:pPr>
        <w:numPr>
          <w:ilvl w:val="1"/>
          <w:numId w:val="5"/>
        </w:numPr>
        <w:snapToGrid w:val="0"/>
        <w:ind w:firstLine="480" w:firstLineChars="200"/>
        <w:rPr>
          <w:rFonts w:ascii="宋体" w:hAnsi="宋体"/>
          <w:sz w:val="24"/>
          <w:szCs w:val="24"/>
        </w:rPr>
      </w:pPr>
      <w:r>
        <w:rPr>
          <w:rFonts w:hint="eastAsia" w:ascii="宋体" w:hAnsi="宋体"/>
          <w:sz w:val="24"/>
          <w:szCs w:val="24"/>
        </w:rPr>
        <w:t>投标报价</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投标报价应按招标文件中相关附表格式填写；</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报价是履行合同的最终报价，投标人在报价单中提供的总报价在合同执行过程中固定不变，投标人不得以任何理由予以变更。报价中必须包含货物及零配件的购置安装、运输保险、装卸、培训辅导、质保期售后服务、全额含税发票、雇员费用、合同施工过程中的应预见和不可预见费用等；</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投标文件只允许有一个报价，有选择的或有条件的报价将不予接受。</w:t>
      </w:r>
    </w:p>
    <w:p>
      <w:pPr>
        <w:numPr>
          <w:ilvl w:val="1"/>
          <w:numId w:val="5"/>
        </w:numPr>
        <w:snapToGrid w:val="0"/>
        <w:ind w:firstLine="480" w:firstLineChars="200"/>
        <w:rPr>
          <w:rFonts w:ascii="宋体" w:hAnsi="宋体"/>
          <w:sz w:val="24"/>
          <w:szCs w:val="24"/>
        </w:rPr>
      </w:pPr>
      <w:r>
        <w:rPr>
          <w:rFonts w:hint="eastAsia" w:ascii="宋体" w:hAnsi="宋体"/>
          <w:sz w:val="24"/>
          <w:szCs w:val="24"/>
        </w:rPr>
        <w:t>投标有效期</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▲投标文件从投标文件递交截止之日起，有效期为90天；</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25" w:name="_Toc45436678"/>
      <w:bookmarkStart w:id="126" w:name="_Toc356371436"/>
      <w:bookmarkStart w:id="127" w:name="_Toc359924093"/>
      <w:bookmarkStart w:id="128" w:name="_Toc18163980"/>
      <w:r>
        <w:rPr>
          <w:rFonts w:hint="eastAsia" w:ascii="宋体" w:hAnsi="宋体"/>
          <w:sz w:val="24"/>
          <w:szCs w:val="24"/>
        </w:rPr>
        <w:t>投标保证金</w:t>
      </w:r>
      <w:bookmarkEnd w:id="125"/>
      <w:bookmarkEnd w:id="126"/>
      <w:bookmarkEnd w:id="127"/>
      <w:bookmarkEnd w:id="128"/>
    </w:p>
    <w:p>
      <w:pPr>
        <w:numPr>
          <w:numId w:val="0"/>
        </w:numPr>
        <w:snapToGrid w:val="0"/>
        <w:ind w:leftChars="200" w:firstLine="480" w:firstLineChars="200"/>
        <w:rPr>
          <w:rFonts w:hint="eastAsia" w:ascii="宋体" w:hAnsi="宋体" w:eastAsia="宋体"/>
          <w:sz w:val="24"/>
          <w:szCs w:val="24"/>
          <w:lang w:eastAsia="zh-CN"/>
        </w:rPr>
      </w:pPr>
      <w:bookmarkStart w:id="129" w:name="_Toc359924094"/>
      <w:r>
        <w:rPr>
          <w:rFonts w:hint="eastAsia" w:ascii="宋体" w:hAnsi="宋体"/>
          <w:sz w:val="24"/>
          <w:szCs w:val="24"/>
        </w:rPr>
        <w:t>根据浙财采监〔2019〕5号文件，自2019年6月1日起，全省政府采购货物和服务招标投标活动不得向供应商收取投标保证金，非招标采购方式采购货物、工程和服务亦同</w:t>
      </w:r>
      <w:r>
        <w:rPr>
          <w:rFonts w:hint="eastAsia" w:ascii="宋体" w:hAnsi="宋体"/>
          <w:sz w:val="24"/>
          <w:szCs w:val="24"/>
          <w:lang w:eastAsia="zh-CN"/>
        </w:rPr>
        <w:t>。</w:t>
      </w:r>
    </w:p>
    <w:p>
      <w:pPr>
        <w:numPr>
          <w:numId w:val="0"/>
        </w:numPr>
        <w:snapToGrid w:val="0"/>
        <w:ind w:leftChars="200" w:firstLine="480" w:firstLineChars="200"/>
        <w:rPr>
          <w:rFonts w:hint="eastAsia" w:ascii="宋体" w:hAnsi="宋体"/>
          <w:sz w:val="24"/>
          <w:szCs w:val="24"/>
        </w:rPr>
      </w:pPr>
      <w:bookmarkStart w:id="130" w:name="_Toc36110232"/>
      <w:bookmarkStart w:id="131" w:name="_Toc24017983"/>
      <w:bookmarkStart w:id="132" w:name="_Toc45436679"/>
      <w:bookmarkStart w:id="133" w:name="_Toc36110492"/>
      <w:bookmarkStart w:id="134" w:name="_Toc18163981"/>
      <w:bookmarkStart w:id="135" w:name="_Toc36110366"/>
      <w:r>
        <w:rPr>
          <w:rFonts w:hint="eastAsia" w:ascii="宋体" w:hAnsi="宋体"/>
          <w:sz w:val="24"/>
          <w:szCs w:val="24"/>
        </w:rPr>
        <w:t>投标保证金(元)：0元</w:t>
      </w:r>
      <w:bookmarkEnd w:id="130"/>
      <w:bookmarkEnd w:id="131"/>
      <w:bookmarkEnd w:id="132"/>
      <w:bookmarkEnd w:id="133"/>
      <w:bookmarkEnd w:id="134"/>
      <w:bookmarkEnd w:id="135"/>
    </w:p>
    <w:p>
      <w:pPr>
        <w:numPr>
          <w:ilvl w:val="0"/>
          <w:numId w:val="4"/>
        </w:numPr>
        <w:snapToGrid w:val="0"/>
        <w:spacing w:before="120" w:beforeLines="50" w:after="120" w:afterLines="50"/>
        <w:ind w:left="1" w:firstLine="480" w:firstLineChars="200"/>
        <w:outlineLvl w:val="1"/>
        <w:rPr>
          <w:rFonts w:ascii="宋体" w:hAnsi="宋体"/>
          <w:color w:val="000000"/>
          <w:sz w:val="24"/>
          <w:szCs w:val="24"/>
        </w:rPr>
      </w:pPr>
      <w:bookmarkStart w:id="136" w:name="_Toc45436680"/>
      <w:bookmarkStart w:id="137" w:name="_Toc18163982"/>
      <w:r>
        <w:rPr>
          <w:rFonts w:hint="eastAsia" w:ascii="宋体" w:hAnsi="宋体"/>
          <w:color w:val="000000"/>
          <w:sz w:val="24"/>
          <w:szCs w:val="24"/>
        </w:rPr>
        <w:t>投标文件的签署及规定</w:t>
      </w:r>
      <w:bookmarkEnd w:id="129"/>
      <w:bookmarkEnd w:id="136"/>
      <w:bookmarkEnd w:id="137"/>
    </w:p>
    <w:p>
      <w:pPr>
        <w:numPr>
          <w:ilvl w:val="1"/>
          <w:numId w:val="5"/>
        </w:numPr>
        <w:snapToGrid w:val="0"/>
        <w:ind w:firstLine="480" w:firstLineChars="200"/>
        <w:rPr>
          <w:rFonts w:ascii="宋体" w:hAnsi="宋体"/>
          <w:sz w:val="24"/>
          <w:szCs w:val="24"/>
        </w:rPr>
      </w:pPr>
      <w:r>
        <w:rPr>
          <w:rFonts w:hint="eastAsia" w:ascii="宋体" w:hAnsi="宋体"/>
          <w:sz w:val="24"/>
          <w:szCs w:val="24"/>
        </w:rPr>
        <w:t>电子投标文件按政采云平台供应商项目采购-电子招投标操作指南（网址：https://help.zcygov.cn/web/site_2/2018/12-28/2573.html）及本招标文件规定的格式和顺序编制电子投标文件并进行关联定位。供应应商应按本须知的相关要求准备响应文件，每套文件须清楚的标明“资格文件”、“商务技术文件”、“报价文件”。</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38" w:name="_Toc45436681"/>
      <w:bookmarkStart w:id="139" w:name="_Toc18163983"/>
      <w:bookmarkStart w:id="140" w:name="_Toc356371437"/>
      <w:bookmarkStart w:id="141" w:name="_Toc359924095"/>
      <w:r>
        <w:rPr>
          <w:rFonts w:hint="eastAsia" w:ascii="宋体" w:hAnsi="宋体"/>
          <w:sz w:val="24"/>
          <w:szCs w:val="24"/>
        </w:rPr>
        <w:t>投标文件的递交</w:t>
      </w:r>
      <w:bookmarkEnd w:id="138"/>
      <w:bookmarkEnd w:id="139"/>
      <w:bookmarkEnd w:id="140"/>
      <w:bookmarkEnd w:id="141"/>
    </w:p>
    <w:p>
      <w:pPr>
        <w:numPr>
          <w:ilvl w:val="1"/>
          <w:numId w:val="5"/>
        </w:numPr>
        <w:snapToGrid w:val="0"/>
        <w:ind w:firstLine="480" w:firstLineChars="200"/>
        <w:rPr>
          <w:rFonts w:ascii="宋体" w:hAnsi="宋体"/>
          <w:sz w:val="24"/>
          <w:szCs w:val="24"/>
        </w:rPr>
      </w:pPr>
      <w:r>
        <w:rPr>
          <w:rFonts w:hint="eastAsia" w:ascii="宋体" w:hAnsi="宋体"/>
          <w:sz w:val="24"/>
          <w:szCs w:val="24"/>
        </w:rPr>
        <w:t>递交投标文件截止期</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ascii="宋体" w:hAnsi="宋体"/>
          <w:b w:val="0"/>
          <w:bCs/>
          <w:color w:val="auto"/>
          <w:sz w:val="24"/>
          <w:szCs w:val="24"/>
          <w:lang w:eastAsia="zh-CN"/>
        </w:rPr>
        <w:t>312118382@qq.com</w:t>
      </w:r>
      <w:r>
        <w:rPr>
          <w:rFonts w:hint="eastAsia" w:ascii="宋体" w:hAnsi="宋体"/>
          <w:b w:val="0"/>
          <w:bCs/>
          <w:color w:val="auto"/>
          <w:sz w:val="24"/>
          <w:szCs w:val="24"/>
        </w:rPr>
        <w:t>),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ascii="宋体" w:hAnsi="宋体"/>
          <w:b w:val="0"/>
          <w:bCs/>
          <w:color w:val="auto"/>
          <w:sz w:val="24"/>
          <w:szCs w:val="24"/>
          <w:lang w:eastAsia="zh-CN"/>
        </w:rPr>
        <w:t>312118382@qq.com</w:t>
      </w:r>
      <w:r>
        <w:rPr>
          <w:rFonts w:hint="eastAsia" w:ascii="宋体" w:hAnsi="宋体"/>
          <w:b w:val="0"/>
          <w:bCs/>
          <w:color w:val="auto"/>
          <w:sz w:val="24"/>
          <w:szCs w:val="24"/>
        </w:rPr>
        <w:t>)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鉴于近期“新冠疫情”防控需要，建议投标人授权代表不到投标现场。</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投标截止时间后，投标人可直接登录政采云平台，用“项目采购-开标评标”功能对电子投标文件进行在线解密。在线解密电子投标文件时间为开标时间起60分钟内。</w:t>
      </w:r>
    </w:p>
    <w:p>
      <w:pPr>
        <w:numPr>
          <w:ilvl w:val="1"/>
          <w:numId w:val="5"/>
        </w:numPr>
        <w:snapToGrid w:val="0"/>
        <w:ind w:firstLine="480" w:firstLineChars="200"/>
        <w:rPr>
          <w:rFonts w:ascii="宋体" w:hAnsi="宋体"/>
          <w:sz w:val="24"/>
          <w:szCs w:val="24"/>
        </w:rPr>
      </w:pPr>
      <w:r>
        <w:rPr>
          <w:rFonts w:hint="eastAsia" w:ascii="宋体" w:hAnsi="宋体"/>
          <w:sz w:val="24"/>
          <w:szCs w:val="24"/>
        </w:rPr>
        <w:t>投标文件的修改和撤销</w:t>
      </w:r>
    </w:p>
    <w:p>
      <w:pPr>
        <w:numPr>
          <w:ilvl w:val="2"/>
          <w:numId w:val="5"/>
        </w:numPr>
        <w:snapToGrid w:val="0"/>
        <w:ind w:left="1" w:firstLine="480" w:firstLineChars="200"/>
        <w:rPr>
          <w:rFonts w:hint="eastAsia" w:ascii="宋体" w:hAnsi="宋体"/>
          <w:b w:val="0"/>
          <w:bCs/>
          <w:color w:val="auto"/>
          <w:sz w:val="24"/>
          <w:szCs w:val="24"/>
        </w:rPr>
      </w:pPr>
      <w:bookmarkStart w:id="142" w:name="_Toc18163984"/>
      <w:bookmarkStart w:id="143" w:name="_Toc359924096"/>
      <w:bookmarkStart w:id="144" w:name="_Toc356371438"/>
      <w:r>
        <w:rPr>
          <w:rFonts w:hint="eastAsia" w:ascii="宋体" w:hAnsi="宋体"/>
          <w:b w:val="0"/>
          <w:bCs/>
          <w:color w:val="auto"/>
          <w:sz w:val="24"/>
          <w:szCs w:val="24"/>
        </w:rPr>
        <w:t>递交响应文件截止时间之前补充或者修改电子投标文件的，应当先行撤回原文件，补充、修改后重新传输递交。</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在递交投标文件截止期之后，供应商不得对其投标文件做任何修改。</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递交投标文件截止期后，供应商不得撤回其投标文件。</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实质上没有响应本文件要求的投标文件将被拒绝。供应商不得通过修正或撤销不合要求的偏离或保留从而使其投标文件成为实质上响应的文件。</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45" w:name="_Toc45436682"/>
      <w:r>
        <w:rPr>
          <w:rFonts w:hint="eastAsia" w:ascii="宋体" w:hAnsi="宋体"/>
          <w:sz w:val="24"/>
          <w:szCs w:val="24"/>
        </w:rPr>
        <w:t>投标无效的情形</w:t>
      </w:r>
      <w:bookmarkEnd w:id="142"/>
      <w:bookmarkEnd w:id="143"/>
      <w:bookmarkEnd w:id="144"/>
      <w:bookmarkEnd w:id="145"/>
    </w:p>
    <w:p>
      <w:pPr>
        <w:numPr>
          <w:ilvl w:val="1"/>
          <w:numId w:val="5"/>
        </w:numPr>
        <w:snapToGrid w:val="0"/>
        <w:ind w:firstLine="480" w:firstLineChars="200"/>
        <w:rPr>
          <w:rFonts w:ascii="宋体" w:hAnsi="宋体"/>
          <w:sz w:val="24"/>
          <w:szCs w:val="24"/>
        </w:rPr>
      </w:pPr>
      <w:bookmarkStart w:id="146" w:name="_Toc356371439"/>
      <w:r>
        <w:rPr>
          <w:rFonts w:hint="eastAsia" w:ascii="宋体" w:hAnsi="宋体"/>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投标文件逾期送达的；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不具备招标文件规定资格要求；</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电子投标文件解密失败的；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电子投标文件未按规定要求提供电子签章的。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招标文件中有▲处条款投标人未作实质性响应的；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资格或商务技术文件中包含商务报价的；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投标人的报价明显低于成本价的，该投标人不能合理说明原因并提供证明材料的；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投标文件关键内容字迹模糊、无法辨认的；</w:t>
      </w:r>
    </w:p>
    <w:p>
      <w:pPr>
        <w:numPr>
          <w:ilvl w:val="2"/>
          <w:numId w:val="5"/>
        </w:numPr>
        <w:snapToGrid w:val="0"/>
        <w:ind w:left="1" w:firstLine="482" w:firstLineChars="200"/>
        <w:rPr>
          <w:rFonts w:hint="eastAsia" w:ascii="宋体" w:hAnsi="宋体"/>
          <w:b w:val="0"/>
          <w:bCs/>
          <w:color w:val="auto"/>
          <w:sz w:val="24"/>
          <w:szCs w:val="24"/>
        </w:rPr>
      </w:pPr>
      <w:r>
        <w:rPr>
          <w:rFonts w:hint="eastAsia" w:ascii="宋体" w:hAnsi="宋体"/>
          <w:b/>
          <w:bCs w:val="0"/>
          <w:color w:val="FF0000"/>
          <w:sz w:val="24"/>
          <w:szCs w:val="24"/>
          <w:lang w:eastAsia="zh-CN"/>
        </w:rPr>
        <w:t>投标货物报价明细表中分项报价及总价</w:t>
      </w:r>
      <w:r>
        <w:rPr>
          <w:rFonts w:hint="eastAsia" w:ascii="宋体" w:hAnsi="宋体"/>
          <w:b w:val="0"/>
          <w:bCs/>
          <w:color w:val="auto"/>
          <w:sz w:val="24"/>
          <w:szCs w:val="24"/>
        </w:rPr>
        <w:t>超出采购预算</w:t>
      </w:r>
      <w:r>
        <w:rPr>
          <w:rFonts w:hint="eastAsia" w:ascii="宋体" w:hAnsi="宋体"/>
          <w:b w:val="0"/>
          <w:bCs/>
          <w:color w:val="auto"/>
          <w:sz w:val="24"/>
          <w:szCs w:val="24"/>
          <w:lang w:eastAsia="zh-CN"/>
        </w:rPr>
        <w:t>单</w:t>
      </w:r>
      <w:r>
        <w:rPr>
          <w:rFonts w:hint="eastAsia" w:ascii="宋体" w:hAnsi="宋体"/>
          <w:b w:val="0"/>
          <w:bCs/>
          <w:color w:val="auto"/>
          <w:sz w:val="24"/>
          <w:szCs w:val="24"/>
        </w:rPr>
        <w:t>价或最高限价的；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提供虚假材料谋取中标的</w:t>
      </w:r>
    </w:p>
    <w:p>
      <w:pPr>
        <w:numPr>
          <w:ilvl w:val="2"/>
          <w:numId w:val="5"/>
        </w:numPr>
        <w:snapToGrid w:val="0"/>
        <w:ind w:left="1" w:firstLine="480" w:firstLineChars="200"/>
        <w:rPr>
          <w:rFonts w:ascii="宋体" w:hAnsi="宋体"/>
          <w:sz w:val="24"/>
        </w:rPr>
      </w:pPr>
      <w:r>
        <w:rPr>
          <w:rFonts w:hint="eastAsia" w:ascii="宋体" w:hAnsi="宋体"/>
          <w:b w:val="0"/>
          <w:bCs/>
          <w:color w:val="auto"/>
          <w:sz w:val="24"/>
          <w:szCs w:val="24"/>
        </w:rPr>
        <w:t>不符合法律、法规和招标文件规定的其他实质性要求的</w:t>
      </w:r>
      <w:r>
        <w:rPr>
          <w:rFonts w:hint="eastAsia" w:ascii="宋体" w:hAnsi="宋体"/>
          <w:sz w:val="24"/>
        </w:rPr>
        <w:t>。</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47" w:name="_Toc359592368"/>
      <w:bookmarkStart w:id="148" w:name="_Toc45436683"/>
      <w:bookmarkStart w:id="149" w:name="_Toc18163985"/>
      <w:bookmarkStart w:id="150" w:name="_Toc359924097"/>
      <w:r>
        <w:rPr>
          <w:rFonts w:hint="eastAsia" w:ascii="宋体" w:hAnsi="宋体"/>
          <w:sz w:val="24"/>
          <w:szCs w:val="24"/>
        </w:rPr>
        <w:t>废标的情形</w:t>
      </w:r>
      <w:bookmarkEnd w:id="147"/>
      <w:bookmarkEnd w:id="148"/>
      <w:bookmarkEnd w:id="149"/>
      <w:bookmarkEnd w:id="150"/>
    </w:p>
    <w:p>
      <w:pPr>
        <w:numPr>
          <w:ilvl w:val="1"/>
          <w:numId w:val="5"/>
        </w:numPr>
        <w:snapToGrid w:val="0"/>
        <w:ind w:firstLine="480" w:firstLineChars="200"/>
        <w:rPr>
          <w:rFonts w:ascii="宋体" w:hAnsi="宋体"/>
          <w:sz w:val="24"/>
          <w:szCs w:val="24"/>
        </w:rPr>
      </w:pPr>
      <w:r>
        <w:rPr>
          <w:rFonts w:hint="eastAsia" w:ascii="宋体" w:hAnsi="宋体"/>
          <w:sz w:val="24"/>
          <w:szCs w:val="24"/>
        </w:rPr>
        <w:t>在招标采购中，出现下列情形之一的，应予废标，废标后，采购人将废标理由通知所有投标人：</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符合专业条件的供应商或者对招标文件作实质性响应的供应商不足三家的；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出现影响采购公证的违法、违规行为的；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投标人的报价均超过了预算价或最高限价，采购人不能支付的；</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因重大变故，采购任务取消的；</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51" w:name="_Toc18163986"/>
      <w:bookmarkStart w:id="152" w:name="_Toc359924098"/>
      <w:bookmarkStart w:id="153" w:name="_Toc45436684"/>
      <w:r>
        <w:rPr>
          <w:rFonts w:hint="eastAsia" w:ascii="宋体" w:hAnsi="宋体"/>
          <w:sz w:val="24"/>
          <w:szCs w:val="24"/>
        </w:rPr>
        <w:t>开标</w:t>
      </w:r>
      <w:bookmarkEnd w:id="146"/>
      <w:r>
        <w:rPr>
          <w:rFonts w:hint="eastAsia" w:ascii="宋体" w:hAnsi="宋体"/>
          <w:sz w:val="24"/>
          <w:szCs w:val="24"/>
        </w:rPr>
        <w:t>和评标</w:t>
      </w:r>
      <w:bookmarkEnd w:id="151"/>
      <w:bookmarkEnd w:id="152"/>
      <w:bookmarkEnd w:id="153"/>
    </w:p>
    <w:p>
      <w:pPr>
        <w:numPr>
          <w:ilvl w:val="1"/>
          <w:numId w:val="5"/>
        </w:numPr>
        <w:snapToGrid w:val="0"/>
        <w:ind w:firstLine="480" w:firstLineChars="200"/>
        <w:rPr>
          <w:rFonts w:ascii="宋体" w:hAnsi="宋体"/>
          <w:sz w:val="24"/>
          <w:szCs w:val="24"/>
        </w:rPr>
      </w:pPr>
      <w:r>
        <w:rPr>
          <w:rFonts w:hint="eastAsia" w:ascii="宋体" w:hAnsi="宋体"/>
          <w:sz w:val="24"/>
          <w:szCs w:val="24"/>
        </w:rPr>
        <w:t>开标</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招标人在规定的日期、时间和地点组织招标会。</w:t>
      </w:r>
    </w:p>
    <w:p>
      <w:pPr>
        <w:numPr>
          <w:ilvl w:val="2"/>
          <w:numId w:val="5"/>
        </w:numPr>
        <w:snapToGrid w:val="0"/>
        <w:ind w:left="1" w:firstLine="480" w:firstLineChars="200"/>
        <w:rPr>
          <w:rFonts w:hint="eastAsia" w:ascii="宋体" w:hAnsi="宋体"/>
          <w:b w:val="0"/>
          <w:bCs/>
          <w:color w:val="auto"/>
          <w:sz w:val="24"/>
          <w:szCs w:val="24"/>
        </w:rPr>
      </w:pPr>
      <w:r>
        <w:rPr>
          <w:rFonts w:hint="eastAsia" w:ascii="宋体" w:hAnsi="宋体"/>
          <w:b w:val="0"/>
          <w:bCs/>
          <w:color w:val="auto"/>
          <w:sz w:val="24"/>
          <w:szCs w:val="24"/>
        </w:rPr>
        <w:t>电子投标文件开标</w:t>
      </w:r>
    </w:p>
    <w:p>
      <w:pPr>
        <w:spacing w:line="440" w:lineRule="exact"/>
        <w:ind w:firstLine="480" w:firstLineChars="200"/>
        <w:rPr>
          <w:rFonts w:ascii="宋体" w:hAnsi="宋体" w:cs="Arial"/>
          <w:b w:val="0"/>
          <w:bCs/>
          <w:color w:val="auto"/>
          <w:sz w:val="24"/>
          <w:szCs w:val="24"/>
        </w:rPr>
      </w:pPr>
      <w:r>
        <w:rPr>
          <w:rFonts w:hint="eastAsia" w:ascii="宋体" w:hAnsi="宋体"/>
          <w:b w:val="0"/>
          <w:bCs/>
          <w:color w:val="auto"/>
          <w:sz w:val="24"/>
        </w:rPr>
        <w:t>（1）投标截止时间后，投标人登录政采云平台，用“项目采购-开标评标”功能对电子投标文件进行在线解密。在线解密电子投标文件时间为开标时间起一个小时内。政采云上电子投标文件出现解密失败,采购代理机构将对提供的备份投标文件进行解密。</w:t>
      </w:r>
    </w:p>
    <w:p>
      <w:pPr>
        <w:snapToGrid w:val="0"/>
        <w:spacing w:line="500" w:lineRule="exact"/>
        <w:ind w:left="-27" w:firstLine="480" w:firstLineChars="200"/>
        <w:rPr>
          <w:rFonts w:ascii="宋体" w:hAnsi="宋体"/>
          <w:b w:val="0"/>
          <w:bCs/>
          <w:color w:val="auto"/>
          <w:sz w:val="24"/>
        </w:rPr>
      </w:pPr>
      <w:r>
        <w:rPr>
          <w:rFonts w:hint="eastAsia" w:ascii="宋体" w:hAnsi="宋体"/>
          <w:b w:val="0"/>
          <w:bCs/>
          <w:color w:val="auto"/>
          <w:sz w:val="24"/>
        </w:rPr>
        <w:t>（2）由采购人代表评审资格审查文件，若资格审查不符合招标文件要求，即终止其参与投标资格。</w:t>
      </w:r>
    </w:p>
    <w:p>
      <w:pPr>
        <w:numPr>
          <w:ilvl w:val="1"/>
          <w:numId w:val="5"/>
        </w:numPr>
        <w:snapToGrid w:val="0"/>
        <w:ind w:firstLine="480" w:firstLineChars="200"/>
        <w:rPr>
          <w:rFonts w:ascii="宋体" w:hAnsi="宋体"/>
          <w:sz w:val="24"/>
          <w:szCs w:val="24"/>
        </w:rPr>
      </w:pPr>
      <w:r>
        <w:rPr>
          <w:rFonts w:hint="eastAsia" w:ascii="宋体" w:hAnsi="宋体"/>
          <w:sz w:val="24"/>
          <w:szCs w:val="24"/>
        </w:rPr>
        <w:t>评标委员会</w:t>
      </w:r>
    </w:p>
    <w:p>
      <w:pPr>
        <w:numPr>
          <w:ilvl w:val="2"/>
          <w:numId w:val="5"/>
        </w:numPr>
        <w:snapToGrid w:val="0"/>
        <w:ind w:left="1" w:firstLine="480" w:firstLineChars="200"/>
        <w:rPr>
          <w:rFonts w:ascii="宋体" w:hAnsi="宋体"/>
          <w:sz w:val="24"/>
          <w:szCs w:val="24"/>
        </w:rPr>
      </w:pPr>
      <w:r>
        <w:rPr>
          <w:rFonts w:hint="eastAsia" w:ascii="宋体" w:hAnsi="宋体"/>
          <w:sz w:val="24"/>
          <w:szCs w:val="24"/>
        </w:rPr>
        <w:t>采购代理机构和采购人将根据招标采购货物的特点组建评标委员会</w:t>
      </w:r>
      <w:r>
        <w:rPr>
          <w:rFonts w:ascii="宋体" w:hAnsi="宋体"/>
          <w:sz w:val="24"/>
          <w:szCs w:val="24"/>
        </w:rPr>
        <w:t>,</w:t>
      </w:r>
      <w:r>
        <w:rPr>
          <w:rFonts w:hint="eastAsia" w:ascii="宋体" w:hAnsi="宋体"/>
          <w:sz w:val="24"/>
          <w:szCs w:val="24"/>
        </w:rPr>
        <w:t>其成员由技术、经济等方面的专家组成。评标委员会对投标文件进行审查、询标、评议和确定中标候选人。</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在评标期间,若有需要投标人应派代表参加询标。</w:t>
      </w:r>
    </w:p>
    <w:p>
      <w:pPr>
        <w:numPr>
          <w:ilvl w:val="1"/>
          <w:numId w:val="5"/>
        </w:numPr>
        <w:snapToGrid w:val="0"/>
        <w:ind w:firstLine="480" w:firstLineChars="200"/>
        <w:rPr>
          <w:rFonts w:ascii="宋体" w:hAnsi="宋体"/>
          <w:sz w:val="24"/>
          <w:szCs w:val="24"/>
        </w:rPr>
      </w:pPr>
      <w:r>
        <w:rPr>
          <w:rFonts w:hint="eastAsia" w:ascii="宋体" w:hAnsi="宋体"/>
          <w:sz w:val="24"/>
          <w:szCs w:val="24"/>
        </w:rPr>
        <w:t>对投标文件的审查和响应性的确定</w:t>
      </w:r>
    </w:p>
    <w:p>
      <w:pPr>
        <w:numPr>
          <w:ilvl w:val="2"/>
          <w:numId w:val="5"/>
        </w:numPr>
        <w:snapToGrid w:val="0"/>
        <w:ind w:left="1" w:firstLine="480" w:firstLineChars="200"/>
        <w:rPr>
          <w:rFonts w:ascii="宋体" w:hAnsi="宋体"/>
          <w:sz w:val="24"/>
          <w:szCs w:val="24"/>
        </w:rPr>
      </w:pPr>
      <w:r>
        <w:rPr>
          <w:rFonts w:hint="eastAsia" w:ascii="宋体" w:hAnsi="宋体"/>
          <w:sz w:val="24"/>
          <w:szCs w:val="24"/>
        </w:rPr>
        <w:t>评标委员会将审查投标文件是否真实、完整,总体编排是否有序,文件签署是否正确,有无计算上的错误等。</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算术错误将按以下方法更正: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sz w:val="24"/>
          <w:szCs w:val="24"/>
        </w:rPr>
        <w:t>。如果投标人不接受对其错误的更正，其投标将被拒绝。</w:t>
      </w:r>
    </w:p>
    <w:p>
      <w:pPr>
        <w:numPr>
          <w:ilvl w:val="1"/>
          <w:numId w:val="5"/>
        </w:numPr>
        <w:snapToGrid w:val="0"/>
        <w:ind w:firstLine="480" w:firstLineChars="200"/>
        <w:rPr>
          <w:rFonts w:ascii="宋体" w:hAnsi="宋体"/>
          <w:sz w:val="24"/>
          <w:szCs w:val="24"/>
        </w:rPr>
      </w:pPr>
      <w:r>
        <w:rPr>
          <w:rFonts w:hint="eastAsia" w:ascii="宋体" w:hAnsi="宋体"/>
          <w:sz w:val="24"/>
          <w:szCs w:val="24"/>
        </w:rPr>
        <w:t>评标</w:t>
      </w:r>
    </w:p>
    <w:p>
      <w:pPr>
        <w:numPr>
          <w:ilvl w:val="2"/>
          <w:numId w:val="5"/>
        </w:numPr>
        <w:snapToGrid w:val="0"/>
        <w:ind w:left="1" w:firstLine="480" w:firstLineChars="200"/>
        <w:rPr>
          <w:rFonts w:ascii="宋体" w:hAnsi="宋体"/>
          <w:sz w:val="24"/>
          <w:szCs w:val="24"/>
        </w:rPr>
      </w:pPr>
      <w:r>
        <w:rPr>
          <w:rFonts w:hint="eastAsia" w:ascii="宋体" w:hAnsi="宋体"/>
          <w:sz w:val="24"/>
          <w:szCs w:val="24"/>
        </w:rPr>
        <w:t>评定原则：根据符合采购需求、质量和服务等要求，综合评分确定中标人。</w:t>
      </w:r>
    </w:p>
    <w:p>
      <w:pPr>
        <w:numPr>
          <w:ilvl w:val="2"/>
          <w:numId w:val="5"/>
        </w:numPr>
        <w:snapToGrid w:val="0"/>
        <w:ind w:left="1" w:firstLine="480" w:firstLineChars="200"/>
        <w:rPr>
          <w:rFonts w:ascii="宋体" w:hAnsi="宋体"/>
          <w:b w:val="0"/>
          <w:bCs w:val="0"/>
          <w:color w:val="auto"/>
          <w:sz w:val="24"/>
          <w:szCs w:val="24"/>
        </w:rPr>
      </w:pPr>
      <w:r>
        <w:rPr>
          <w:rFonts w:hint="eastAsia" w:ascii="宋体" w:hAnsi="宋体"/>
          <w:b w:val="0"/>
          <w:bCs w:val="0"/>
          <w:color w:val="auto"/>
          <w:sz w:val="24"/>
          <w:szCs w:val="24"/>
        </w:rPr>
        <w:t>投标文件的澄清：在评标期间,对投标文件中含义不明确、同类问题表述不一致或者有明显文字和计算错误的内容，评标委员会可以书面形式（应当由评标委员会专家签字）要求投标人作出必要的澄清、说明或者纠正。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则视同默认采购结果，事后不得对采购相关人员、采购过程及结果提出异议。</w:t>
      </w:r>
    </w:p>
    <w:p>
      <w:pPr>
        <w:numPr>
          <w:ilvl w:val="1"/>
          <w:numId w:val="5"/>
        </w:numPr>
        <w:snapToGrid w:val="0"/>
        <w:ind w:firstLine="480" w:firstLineChars="200"/>
        <w:rPr>
          <w:rFonts w:ascii="宋体" w:hAnsi="宋体"/>
          <w:sz w:val="24"/>
          <w:szCs w:val="24"/>
        </w:rPr>
      </w:pPr>
      <w:r>
        <w:rPr>
          <w:rFonts w:hint="eastAsia" w:ascii="宋体" w:hAnsi="宋体"/>
          <w:color w:val="auto"/>
          <w:sz w:val="24"/>
          <w:szCs w:val="24"/>
        </w:rPr>
        <w:t>评标报告：评标委员会完成评定后，向招标人提交经各评标委员会成员签字的评</w:t>
      </w:r>
      <w:r>
        <w:rPr>
          <w:rFonts w:hint="eastAsia" w:ascii="宋体" w:hAnsi="宋体"/>
          <w:sz w:val="24"/>
          <w:szCs w:val="24"/>
        </w:rPr>
        <w:t>定结果报告，并按评定办法确定中标候选人。</w:t>
      </w:r>
    </w:p>
    <w:p>
      <w:pPr>
        <w:numPr>
          <w:ilvl w:val="1"/>
          <w:numId w:val="5"/>
        </w:numPr>
        <w:snapToGrid w:val="0"/>
        <w:ind w:firstLine="480" w:firstLineChars="200"/>
        <w:rPr>
          <w:rFonts w:ascii="宋体" w:hAnsi="宋体"/>
          <w:sz w:val="24"/>
          <w:szCs w:val="24"/>
        </w:rPr>
      </w:pPr>
      <w:r>
        <w:rPr>
          <w:rFonts w:hint="eastAsia" w:ascii="宋体" w:hAnsi="宋体"/>
          <w:sz w:val="24"/>
          <w:szCs w:val="24"/>
        </w:rPr>
        <w:t>保密</w:t>
      </w:r>
    </w:p>
    <w:p>
      <w:pPr>
        <w:numPr>
          <w:ilvl w:val="2"/>
          <w:numId w:val="5"/>
        </w:numPr>
        <w:snapToGrid w:val="0"/>
        <w:ind w:left="1" w:firstLine="480" w:firstLineChars="200"/>
        <w:rPr>
          <w:rFonts w:ascii="宋体" w:hAnsi="宋体"/>
          <w:sz w:val="24"/>
          <w:szCs w:val="24"/>
        </w:rPr>
      </w:pPr>
      <w:bookmarkStart w:id="154" w:name="_Toc356371440"/>
      <w:r>
        <w:rPr>
          <w:rFonts w:hint="eastAsia" w:ascii="宋体" w:hAnsi="宋体"/>
          <w:sz w:val="24"/>
          <w:szCs w:val="24"/>
        </w:rPr>
        <w:t>公开开标后直到宣布授予中标人合同为止,凡属于审查、澄清、评估和比较投标的有关资料且与授予合同有关的信息都不得向任何投标人或与上述评标过程无关的人员透露。</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投标人对评标、比较或授予合同决定的过程施加影响的企图和行为,都可能导致其投标被拒绝。</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55" w:name="_Toc45436685"/>
      <w:bookmarkStart w:id="156" w:name="_Toc359924099"/>
      <w:bookmarkStart w:id="157" w:name="_Toc18163987"/>
      <w:r>
        <w:rPr>
          <w:rFonts w:hint="eastAsia" w:ascii="宋体" w:hAnsi="宋体"/>
          <w:sz w:val="24"/>
          <w:szCs w:val="24"/>
        </w:rPr>
        <w:t>授予合同</w:t>
      </w:r>
      <w:bookmarkEnd w:id="154"/>
      <w:bookmarkEnd w:id="155"/>
      <w:bookmarkEnd w:id="156"/>
      <w:bookmarkEnd w:id="157"/>
    </w:p>
    <w:p>
      <w:pPr>
        <w:numPr>
          <w:ilvl w:val="1"/>
          <w:numId w:val="5"/>
        </w:numPr>
        <w:snapToGrid w:val="0"/>
        <w:ind w:firstLine="480" w:firstLineChars="200"/>
        <w:rPr>
          <w:rFonts w:ascii="宋体" w:hAnsi="宋体"/>
          <w:sz w:val="24"/>
          <w:szCs w:val="24"/>
        </w:rPr>
      </w:pPr>
      <w:r>
        <w:rPr>
          <w:rFonts w:hint="eastAsia" w:ascii="宋体" w:hAnsi="宋体"/>
          <w:sz w:val="24"/>
          <w:szCs w:val="24"/>
        </w:rPr>
        <w:t>中标通知和合同授予</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中标通知书：评定结果公告期间，浙江中正工程项目管理有限公司将以书面形式发出《中标通知书》。《中标通知书》一经发出即发生法律效力。《中标通知书》将作为签订合同的依据。</w:t>
      </w:r>
    </w:p>
    <w:p>
      <w:pPr>
        <w:numPr>
          <w:ilvl w:val="2"/>
          <w:numId w:val="5"/>
        </w:numPr>
        <w:snapToGrid w:val="0"/>
        <w:ind w:left="1"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履约保证金：中标人通过电汇、转账、银行或保险公司出具履约保函向采购人交纳中标金额5%的履约保证金。</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签订合同：中标人按《中标通知书》指定的时间、地点与甲方直接签订合同,并经浙江中正工程项目管理有限公司签证后生效。在有合理证据证明供应商在投标过程中承诺的内容不能实质响应的，采购人有权拒签合同。</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招标文件、澄清文件、投标文件等，均为签订合同的依据。</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中标人不遵守投标文件的要约、承诺，擅自修改投标文件的内容或在接到中标通知书规定的时间内，借故拖延、拒签合同者，报监管部门查处，同时，采购人将取消该供应商的中标资格，在此情况下，可将合同授予下一个候选人。</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签约后即为招标结束。投标文件一律不退。</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58" w:name="_Toc18163988"/>
      <w:bookmarkStart w:id="159" w:name="_Toc356371441"/>
      <w:bookmarkStart w:id="160" w:name="_Toc359924100"/>
      <w:bookmarkStart w:id="161" w:name="_Toc45436686"/>
      <w:r>
        <w:rPr>
          <w:rFonts w:hint="eastAsia" w:ascii="宋体" w:hAnsi="宋体"/>
          <w:sz w:val="24"/>
          <w:szCs w:val="24"/>
        </w:rPr>
        <w:t>法律责任</w:t>
      </w:r>
      <w:bookmarkEnd w:id="158"/>
      <w:bookmarkEnd w:id="159"/>
      <w:bookmarkEnd w:id="160"/>
      <w:bookmarkEnd w:id="161"/>
    </w:p>
    <w:p>
      <w:pPr>
        <w:numPr>
          <w:ilvl w:val="1"/>
          <w:numId w:val="5"/>
        </w:numPr>
        <w:snapToGrid w:val="0"/>
        <w:ind w:firstLine="480" w:firstLineChars="200"/>
        <w:rPr>
          <w:rFonts w:ascii="宋体" w:hAnsi="宋体"/>
          <w:sz w:val="24"/>
          <w:szCs w:val="24"/>
        </w:rPr>
      </w:pPr>
      <w:r>
        <w:rPr>
          <w:rFonts w:hint="eastAsia" w:ascii="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提供虚假材料谋取中标的;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采取不正当手段诋毁、排挤其他投标人的；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与采购人、采购代理机构、其他投标人恶意串通的；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向采购人、采购代理机构行贿或者提供其他不正当利益的；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在招标过程中与采购人进行协商谈判、不按照招标文件和中标人的投标文件订立合同,或者与采购人另行订立背离合同实质性内容的协议的；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拒绝有关部门监督检查或者提供虚假情况的；</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62" w:name="_Toc359924101"/>
      <w:bookmarkStart w:id="163" w:name="_Toc18163989"/>
      <w:bookmarkStart w:id="164" w:name="_Toc356371442"/>
      <w:bookmarkStart w:id="165" w:name="_Toc45436687"/>
      <w:r>
        <w:rPr>
          <w:rFonts w:hint="eastAsia" w:ascii="宋体" w:hAnsi="宋体"/>
          <w:sz w:val="24"/>
          <w:szCs w:val="24"/>
        </w:rPr>
        <w:t>其他</w:t>
      </w:r>
      <w:bookmarkEnd w:id="162"/>
      <w:bookmarkEnd w:id="163"/>
      <w:bookmarkEnd w:id="164"/>
      <w:bookmarkEnd w:id="165"/>
    </w:p>
    <w:p>
      <w:pPr>
        <w:numPr>
          <w:ilvl w:val="1"/>
          <w:numId w:val="5"/>
        </w:numPr>
        <w:snapToGrid w:val="0"/>
        <w:ind w:firstLine="480" w:firstLineChars="200"/>
        <w:rPr>
          <w:rFonts w:ascii="宋体" w:hAnsi="宋体"/>
          <w:sz w:val="24"/>
        </w:rPr>
      </w:pPr>
      <w:r>
        <w:rPr>
          <w:rFonts w:hint="eastAsia" w:ascii="宋体" w:hAnsi="宋体"/>
          <w:sz w:val="24"/>
        </w:rPr>
        <w:t>为保证该招标项目功能及质量达到预期效果，中标供应商实际提供产品的参数由业主方委托第三方根据招标文件参数逐项审核，不符合要求的，中标供应商作虚假应标处理，并没收履约保证金上缴国库，报监管部门查处及承担相应违约延期责任。</w:t>
      </w:r>
    </w:p>
    <w:p>
      <w:pPr>
        <w:numPr>
          <w:ilvl w:val="1"/>
          <w:numId w:val="5"/>
        </w:numPr>
        <w:snapToGrid w:val="0"/>
        <w:ind w:firstLine="480" w:firstLineChars="200"/>
        <w:rPr>
          <w:rFonts w:ascii="宋体" w:hAnsi="宋体"/>
          <w:sz w:val="24"/>
          <w:szCs w:val="24"/>
        </w:rPr>
      </w:pPr>
      <w:r>
        <w:rPr>
          <w:rFonts w:hint="eastAsia" w:ascii="宋体" w:hAnsi="宋体"/>
          <w:sz w:val="24"/>
          <w:szCs w:val="24"/>
        </w:rPr>
        <w:t>解释权：本招标文件是依据《政府采购法》及其《实施条例》等有关规定编制的，解释权属招标人。</w:t>
      </w:r>
    </w:p>
    <w:p>
      <w:pPr>
        <w:snapToGrid w:val="0"/>
        <w:ind w:firstLine="480" w:firstLineChars="200"/>
        <w:jc w:val="center"/>
        <w:outlineLvl w:val="0"/>
        <w:rPr>
          <w:rFonts w:ascii="宋体" w:hAnsi="宋体"/>
          <w:sz w:val="24"/>
          <w:szCs w:val="24"/>
        </w:rPr>
        <w:sectPr>
          <w:footerReference r:id="rId3" w:type="default"/>
          <w:pgSz w:w="11906" w:h="16838"/>
          <w:pgMar w:top="851" w:right="851" w:bottom="851" w:left="851" w:header="851" w:footer="992" w:gutter="567"/>
          <w:pgNumType w:fmt="decimal"/>
          <w:cols w:space="720" w:num="1"/>
          <w:docGrid w:linePitch="312" w:charSpace="0"/>
        </w:sectPr>
      </w:pPr>
    </w:p>
    <w:bookmarkEnd w:id="122"/>
    <w:bookmarkEnd w:id="123"/>
    <w:bookmarkEnd w:id="124"/>
    <w:p>
      <w:pPr>
        <w:numPr>
          <w:ilvl w:val="0"/>
          <w:numId w:val="6"/>
        </w:numPr>
        <w:spacing w:line="360" w:lineRule="auto"/>
        <w:jc w:val="center"/>
        <w:outlineLvl w:val="0"/>
        <w:rPr>
          <w:rFonts w:ascii="宋体" w:hAnsi="宋体" w:cs="宋体"/>
          <w:b/>
          <w:sz w:val="32"/>
          <w:szCs w:val="32"/>
        </w:rPr>
      </w:pPr>
      <w:bookmarkStart w:id="166" w:name="_Toc45436688"/>
      <w:r>
        <w:rPr>
          <w:rFonts w:hint="eastAsia" w:ascii="宋体" w:hAnsi="宋体" w:cs="宋体"/>
          <w:b/>
          <w:sz w:val="32"/>
          <w:szCs w:val="32"/>
        </w:rPr>
        <w:t>采购内容及要求</w:t>
      </w:r>
      <w:bookmarkEnd w:id="166"/>
      <w:bookmarkStart w:id="167" w:name="_Toc354491898"/>
      <w:bookmarkStart w:id="168" w:name="_Toc322352984"/>
    </w:p>
    <w:bookmarkEnd w:id="167"/>
    <w:bookmarkEnd w:id="168"/>
    <w:p>
      <w:pPr>
        <w:pStyle w:val="4"/>
        <w:pageBreakBefore w:val="0"/>
        <w:widowControl w:val="0"/>
        <w:tabs>
          <w:tab w:val="left" w:pos="959"/>
        </w:tabs>
        <w:kinsoku/>
        <w:wordWrap/>
        <w:overflowPunct/>
        <w:topLinePunct w:val="0"/>
        <w:autoSpaceDE/>
        <w:autoSpaceDN/>
        <w:bidi w:val="0"/>
        <w:adjustRightInd/>
        <w:snapToGrid/>
        <w:spacing w:line="240" w:lineRule="auto"/>
        <w:ind w:left="0" w:leftChars="0" w:firstLine="562" w:firstLineChars="200"/>
        <w:textAlignment w:val="auto"/>
      </w:pPr>
      <w:bookmarkStart w:id="169" w:name="_Toc354491900"/>
      <w:bookmarkStart w:id="170" w:name="_Toc316887628"/>
      <w:bookmarkStart w:id="171" w:name="_Toc322352986"/>
      <w:bookmarkStart w:id="172" w:name="_Toc356371471"/>
      <w:r>
        <w:t>一、</w:t>
      </w:r>
      <w:r>
        <w:tab/>
      </w:r>
      <w:bookmarkStart w:id="173" w:name="一、建设原则"/>
      <w:bookmarkEnd w:id="173"/>
      <w:r>
        <w:t>建设原则</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960" w:firstLineChars="400"/>
        <w:textAlignment w:val="auto"/>
        <w:rPr>
          <w:sz w:val="24"/>
          <w:szCs w:val="24"/>
        </w:rPr>
      </w:pPr>
      <w:r>
        <w:rPr>
          <w:sz w:val="24"/>
          <w:szCs w:val="24"/>
        </w:rPr>
        <w:t>本项目系统的建设应遵循下列原则：</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实用性原则：系统操作方法简单，让所有用户不培训或只需少量的培训即可使用。</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先进性原则：需采用国际先进的技术路线和体系结构，有较高的性能， 符合技术发展的方向。在进行系统分析设计时，采用面向对象的系统分析设计方法进行设计；采用组件的系统设计开发方法进行应用软件系统详细设计和程序开发。</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灵活性原则：坚持以需求为导向，紧紧围绕应用部门的业务应用的要求， 支持灵活多变的功能设置。</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稳定性原则：系统应能保证每周七天、每天二十四小时持续可靠运行， 另外，在整体设计中，根据实际情况采用完善的备份方式和灾难恢复计划，确保系统的稳定性。</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安全性原则：系统中安全性放在首位，应具有很高的安全性。在要求数据不丢失、系统可靠连续运转的同时，符合中国和国际有关的安全标准，并可在非理想环境下有效工作。</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可扩展性原则：为适应内部管理水平的不断提高，系统应具有灵活可靠的可扩展性，所有产品（包括软硬件）的选型及配置应考虑到整体系统的可扩展性。</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集成性原则：本系统充分考虑与其他业务系统之间的接口以及在各业务系统之上构建的综合信息系统的接口，各业务流程间采用无缝设计，最大限度的减少数据录入量，作到了数据“一次录入，重复使用，全程共享”。</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开放性原则：在主机系统、网络平台、数据库系统的选型上，在应用软件的设计开发上均使用目前国际上成熟、先进的技术，采用符合开放性国际标准和规范的开发运行平台。</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sz w:val="24"/>
          <w:szCs w:val="24"/>
        </w:rPr>
      </w:pPr>
      <w:r>
        <w:rPr>
          <w:rFonts w:hint="eastAsia" w:ascii="Times New Roman" w:hAnsi="Times New Roman" w:eastAsia="宋体" w:cs="Times New Roman"/>
          <w:kern w:val="0"/>
          <w:sz w:val="24"/>
          <w:szCs w:val="32"/>
          <w:lang w:val="en-US" w:eastAsia="zh-CN" w:bidi="ar-SA"/>
        </w:rPr>
        <w:t>易维护性原则：系统运行过程中操作应简单容易，系统日常维护、更新、备份、恢复等功能全面，能充分保证数据的完整性与真实性；系统的正常启动和运行过程应不需人工干预。</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sectPr>
          <w:pgSz w:w="11910" w:h="16840"/>
          <w:pgMar w:top="850" w:right="850" w:bottom="850" w:left="850" w:header="720" w:footer="720" w:gutter="0"/>
        </w:sectPr>
      </w:pPr>
      <w:r>
        <w:rPr>
          <w:rFonts w:hint="eastAsia" w:ascii="Times New Roman" w:hAnsi="Times New Roman" w:eastAsia="宋体" w:cs="Times New Roman"/>
          <w:kern w:val="0"/>
          <w:sz w:val="24"/>
          <w:szCs w:val="32"/>
          <w:lang w:val="en-US" w:eastAsia="zh-CN" w:bidi="ar-SA"/>
        </w:rPr>
        <w:t>标准化原则：系统应满足国家制定的相关技术规范的要求。</w:t>
      </w:r>
    </w:p>
    <w:p>
      <w:pPr>
        <w:numPr>
          <w:ilvl w:val="0"/>
          <w:numId w:val="8"/>
        </w:numPr>
        <w:tabs>
          <w:tab w:val="left" w:pos="959"/>
        </w:tabs>
        <w:spacing w:before="67" w:after="49" w:line="446" w:lineRule="auto"/>
        <w:ind w:left="120" w:right="11953" w:firstLine="0"/>
        <w:jc w:val="left"/>
        <w:rPr>
          <w:b/>
          <w:spacing w:val="-16"/>
          <w:sz w:val="24"/>
        </w:rPr>
      </w:pPr>
      <w:r>
        <w:rPr>
          <w:b/>
          <w:sz w:val="24"/>
        </w:rPr>
        <w:t>采购内</w:t>
      </w:r>
      <w:r>
        <w:rPr>
          <w:b/>
          <w:spacing w:val="-16"/>
          <w:sz w:val="24"/>
        </w:rPr>
        <w:t>容</w:t>
      </w:r>
    </w:p>
    <w:p>
      <w:pPr>
        <w:numPr>
          <w:ilvl w:val="0"/>
          <w:numId w:val="0"/>
        </w:numPr>
        <w:tabs>
          <w:tab w:val="left" w:pos="959"/>
        </w:tabs>
        <w:spacing w:before="67" w:after="49" w:line="446" w:lineRule="auto"/>
        <w:ind w:left="120" w:leftChars="0" w:right="11953" w:rightChars="0" w:firstLine="480" w:firstLineChars="200"/>
        <w:jc w:val="left"/>
        <w:rPr>
          <w:sz w:val="24"/>
        </w:rPr>
      </w:pPr>
      <w:r>
        <w:rPr>
          <w:sz w:val="24"/>
        </w:rPr>
        <w:t>1.建设系统汇总</w:t>
      </w:r>
    </w:p>
    <w:tbl>
      <w:tblPr>
        <w:tblStyle w:val="60"/>
        <w:tblW w:w="9138" w:type="dxa"/>
        <w:tblInd w:w="2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4899"/>
        <w:gridCol w:w="1148"/>
        <w:gridCol w:w="1237"/>
        <w:gridCol w:w="1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5" w:type="dxa"/>
          </w:tcPr>
          <w:p>
            <w:pPr>
              <w:pStyle w:val="388"/>
              <w:spacing w:before="148" w:line="290" w:lineRule="exact"/>
              <w:ind w:left="51" w:right="41"/>
              <w:jc w:val="center"/>
              <w:rPr>
                <w:sz w:val="24"/>
              </w:rPr>
            </w:pPr>
            <w:r>
              <w:rPr>
                <w:sz w:val="24"/>
              </w:rPr>
              <w:t>序号</w:t>
            </w:r>
          </w:p>
        </w:tc>
        <w:tc>
          <w:tcPr>
            <w:tcW w:w="4899" w:type="dxa"/>
          </w:tcPr>
          <w:p>
            <w:pPr>
              <w:pStyle w:val="388"/>
              <w:spacing w:before="148" w:line="290" w:lineRule="exact"/>
              <w:ind w:left="10"/>
              <w:jc w:val="center"/>
              <w:rPr>
                <w:sz w:val="24"/>
              </w:rPr>
            </w:pPr>
            <w:r>
              <w:rPr>
                <w:sz w:val="24"/>
              </w:rPr>
              <w:t>系统名称</w:t>
            </w:r>
          </w:p>
        </w:tc>
        <w:tc>
          <w:tcPr>
            <w:tcW w:w="1148" w:type="dxa"/>
          </w:tcPr>
          <w:p>
            <w:pPr>
              <w:pStyle w:val="388"/>
              <w:spacing w:before="148" w:line="290" w:lineRule="exact"/>
              <w:ind w:left="12"/>
              <w:jc w:val="center"/>
              <w:rPr>
                <w:sz w:val="24"/>
              </w:rPr>
            </w:pPr>
            <w:r>
              <w:rPr>
                <w:sz w:val="24"/>
              </w:rPr>
              <w:t>数量</w:t>
            </w:r>
          </w:p>
        </w:tc>
        <w:tc>
          <w:tcPr>
            <w:tcW w:w="1237" w:type="dxa"/>
          </w:tcPr>
          <w:p>
            <w:pPr>
              <w:pStyle w:val="388"/>
              <w:spacing w:before="148" w:line="290" w:lineRule="exact"/>
              <w:ind w:left="11"/>
              <w:jc w:val="center"/>
              <w:rPr>
                <w:sz w:val="24"/>
              </w:rPr>
            </w:pPr>
            <w:r>
              <w:rPr>
                <w:sz w:val="24"/>
              </w:rPr>
              <w:t>单位</w:t>
            </w:r>
          </w:p>
        </w:tc>
        <w:tc>
          <w:tcPr>
            <w:tcW w:w="1059" w:type="dxa"/>
          </w:tcPr>
          <w:p>
            <w:pPr>
              <w:pStyle w:val="388"/>
              <w:spacing w:before="148" w:line="290" w:lineRule="exact"/>
              <w:ind w:left="1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95" w:type="dxa"/>
          </w:tcPr>
          <w:p>
            <w:pPr>
              <w:pStyle w:val="388"/>
              <w:spacing w:before="80"/>
              <w:ind w:left="10"/>
              <w:jc w:val="center"/>
              <w:rPr>
                <w:sz w:val="24"/>
              </w:rPr>
            </w:pPr>
            <w:r>
              <w:rPr>
                <w:sz w:val="24"/>
              </w:rPr>
              <w:t>1</w:t>
            </w:r>
          </w:p>
        </w:tc>
        <w:tc>
          <w:tcPr>
            <w:tcW w:w="4899" w:type="dxa"/>
          </w:tcPr>
          <w:p>
            <w:pPr>
              <w:pStyle w:val="388"/>
              <w:spacing w:before="80"/>
              <w:ind w:left="10"/>
              <w:jc w:val="center"/>
              <w:rPr>
                <w:rFonts w:hint="eastAsia" w:eastAsia="宋体"/>
                <w:sz w:val="24"/>
                <w:lang w:eastAsia="zh-CN"/>
              </w:rPr>
            </w:pPr>
            <w:r>
              <w:rPr>
                <w:sz w:val="24"/>
              </w:rPr>
              <w:t>数字化园区综合管理</w:t>
            </w:r>
            <w:r>
              <w:rPr>
                <w:rFonts w:hint="eastAsia"/>
                <w:sz w:val="24"/>
                <w:lang w:eastAsia="zh-CN"/>
              </w:rPr>
              <w:t>平台</w:t>
            </w:r>
          </w:p>
        </w:tc>
        <w:tc>
          <w:tcPr>
            <w:tcW w:w="1148" w:type="dxa"/>
          </w:tcPr>
          <w:p>
            <w:pPr>
              <w:pStyle w:val="388"/>
              <w:spacing w:before="148" w:line="290" w:lineRule="exact"/>
              <w:ind w:right="501"/>
              <w:jc w:val="center"/>
              <w:rPr>
                <w:sz w:val="24"/>
              </w:rPr>
            </w:pPr>
            <w:r>
              <w:rPr>
                <w:sz w:val="24"/>
              </w:rPr>
              <w:t>1</w:t>
            </w:r>
          </w:p>
        </w:tc>
        <w:tc>
          <w:tcPr>
            <w:tcW w:w="1237" w:type="dxa"/>
          </w:tcPr>
          <w:p>
            <w:pPr>
              <w:pStyle w:val="388"/>
              <w:spacing w:before="148"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95" w:type="dxa"/>
          </w:tcPr>
          <w:p>
            <w:pPr>
              <w:pStyle w:val="388"/>
              <w:spacing w:before="80"/>
              <w:ind w:left="10"/>
              <w:jc w:val="center"/>
              <w:rPr>
                <w:sz w:val="24"/>
              </w:rPr>
            </w:pPr>
            <w:r>
              <w:rPr>
                <w:sz w:val="24"/>
              </w:rPr>
              <w:t>2</w:t>
            </w:r>
          </w:p>
        </w:tc>
        <w:tc>
          <w:tcPr>
            <w:tcW w:w="4899" w:type="dxa"/>
          </w:tcPr>
          <w:p>
            <w:pPr>
              <w:pStyle w:val="388"/>
              <w:spacing w:before="80"/>
              <w:ind w:left="10"/>
              <w:jc w:val="center"/>
              <w:rPr>
                <w:sz w:val="24"/>
              </w:rPr>
            </w:pPr>
            <w:r>
              <w:rPr>
                <w:sz w:val="24"/>
              </w:rPr>
              <w:t>基础支撑</w:t>
            </w:r>
          </w:p>
        </w:tc>
        <w:tc>
          <w:tcPr>
            <w:tcW w:w="1148" w:type="dxa"/>
          </w:tcPr>
          <w:p>
            <w:pPr>
              <w:pStyle w:val="388"/>
              <w:spacing w:before="148" w:line="290" w:lineRule="exact"/>
              <w:ind w:right="501"/>
              <w:jc w:val="center"/>
              <w:rPr>
                <w:sz w:val="24"/>
              </w:rPr>
            </w:pPr>
            <w:r>
              <w:rPr>
                <w:sz w:val="24"/>
              </w:rPr>
              <w:t>1</w:t>
            </w:r>
          </w:p>
        </w:tc>
        <w:tc>
          <w:tcPr>
            <w:tcW w:w="1237" w:type="dxa"/>
          </w:tcPr>
          <w:p>
            <w:pPr>
              <w:pStyle w:val="388"/>
              <w:spacing w:before="148"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3</w:t>
            </w:r>
          </w:p>
        </w:tc>
        <w:tc>
          <w:tcPr>
            <w:tcW w:w="4899" w:type="dxa"/>
          </w:tcPr>
          <w:p>
            <w:pPr>
              <w:pStyle w:val="388"/>
              <w:spacing w:before="104"/>
              <w:ind w:left="10"/>
              <w:jc w:val="center"/>
              <w:rPr>
                <w:sz w:val="24"/>
              </w:rPr>
            </w:pPr>
            <w:r>
              <w:rPr>
                <w:sz w:val="24"/>
              </w:rPr>
              <w:t>监控安防系统及配套</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5" w:type="dxa"/>
          </w:tcPr>
          <w:p>
            <w:pPr>
              <w:pStyle w:val="388"/>
              <w:spacing w:before="105"/>
              <w:ind w:left="10"/>
              <w:jc w:val="center"/>
              <w:rPr>
                <w:sz w:val="24"/>
              </w:rPr>
            </w:pPr>
            <w:r>
              <w:rPr>
                <w:sz w:val="24"/>
              </w:rPr>
              <w:t>4</w:t>
            </w:r>
          </w:p>
        </w:tc>
        <w:tc>
          <w:tcPr>
            <w:tcW w:w="4899" w:type="dxa"/>
          </w:tcPr>
          <w:p>
            <w:pPr>
              <w:pStyle w:val="388"/>
              <w:spacing w:before="105"/>
              <w:ind w:left="10"/>
              <w:jc w:val="center"/>
              <w:rPr>
                <w:sz w:val="24"/>
              </w:rPr>
            </w:pPr>
            <w:r>
              <w:rPr>
                <w:sz w:val="24"/>
              </w:rPr>
              <w:t>无人机系统</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5</w:t>
            </w:r>
          </w:p>
        </w:tc>
        <w:tc>
          <w:tcPr>
            <w:tcW w:w="4899" w:type="dxa"/>
          </w:tcPr>
          <w:p>
            <w:pPr>
              <w:pStyle w:val="388"/>
              <w:spacing w:before="104"/>
              <w:ind w:left="10"/>
              <w:jc w:val="center"/>
              <w:rPr>
                <w:sz w:val="24"/>
              </w:rPr>
            </w:pPr>
            <w:r>
              <w:rPr>
                <w:sz w:val="24"/>
              </w:rPr>
              <w:t>应急防控平台系统</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6</w:t>
            </w:r>
          </w:p>
        </w:tc>
        <w:tc>
          <w:tcPr>
            <w:tcW w:w="4899" w:type="dxa"/>
          </w:tcPr>
          <w:p>
            <w:pPr>
              <w:pStyle w:val="388"/>
              <w:spacing w:before="104"/>
              <w:ind w:left="10"/>
              <w:jc w:val="center"/>
              <w:rPr>
                <w:rFonts w:hint="eastAsia" w:eastAsia="宋体"/>
                <w:sz w:val="24"/>
                <w:lang w:eastAsia="zh-CN"/>
              </w:rPr>
            </w:pPr>
            <w:r>
              <w:rPr>
                <w:sz w:val="24"/>
              </w:rPr>
              <w:t>危化品车</w:t>
            </w:r>
            <w:r>
              <w:rPr>
                <w:color w:val="auto"/>
                <w:sz w:val="24"/>
              </w:rPr>
              <w:t>专用停车场</w:t>
            </w:r>
            <w:r>
              <w:rPr>
                <w:rFonts w:hint="eastAsia"/>
                <w:color w:val="auto"/>
                <w:sz w:val="24"/>
                <w:lang w:eastAsia="zh-CN"/>
              </w:rPr>
              <w:t>物联网设备</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5"/>
              <w:ind w:left="10"/>
              <w:jc w:val="center"/>
              <w:rPr>
                <w:sz w:val="24"/>
              </w:rPr>
            </w:pPr>
            <w:r>
              <w:rPr>
                <w:sz w:val="24"/>
              </w:rPr>
              <w:t>7</w:t>
            </w:r>
          </w:p>
        </w:tc>
        <w:tc>
          <w:tcPr>
            <w:tcW w:w="4899" w:type="dxa"/>
          </w:tcPr>
          <w:p>
            <w:pPr>
              <w:pStyle w:val="388"/>
              <w:spacing w:before="105"/>
              <w:ind w:left="10"/>
              <w:jc w:val="center"/>
              <w:rPr>
                <w:sz w:val="24"/>
              </w:rPr>
            </w:pPr>
            <w:r>
              <w:rPr>
                <w:sz w:val="24"/>
              </w:rPr>
              <w:t>安环应急一体化平台物联网设备</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8</w:t>
            </w:r>
          </w:p>
        </w:tc>
        <w:tc>
          <w:tcPr>
            <w:tcW w:w="4899" w:type="dxa"/>
          </w:tcPr>
          <w:p>
            <w:pPr>
              <w:pStyle w:val="388"/>
              <w:spacing w:before="104"/>
              <w:ind w:left="10"/>
              <w:jc w:val="center"/>
              <w:rPr>
                <w:sz w:val="24"/>
              </w:rPr>
            </w:pPr>
            <w:r>
              <w:rPr>
                <w:sz w:val="24"/>
              </w:rPr>
              <w:t>应急指挥中心</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795" w:type="dxa"/>
          </w:tcPr>
          <w:p>
            <w:pPr>
              <w:pStyle w:val="388"/>
              <w:spacing w:before="104"/>
              <w:ind w:left="10"/>
              <w:jc w:val="center"/>
              <w:rPr>
                <w:sz w:val="24"/>
              </w:rPr>
            </w:pPr>
            <w:r>
              <w:rPr>
                <w:sz w:val="24"/>
              </w:rPr>
              <w:t>9</w:t>
            </w:r>
          </w:p>
        </w:tc>
        <w:tc>
          <w:tcPr>
            <w:tcW w:w="4899" w:type="dxa"/>
          </w:tcPr>
          <w:p>
            <w:pPr>
              <w:pStyle w:val="388"/>
              <w:spacing w:before="104"/>
              <w:ind w:left="10"/>
              <w:jc w:val="center"/>
              <w:rPr>
                <w:sz w:val="24"/>
              </w:rPr>
            </w:pPr>
            <w:r>
              <w:rPr>
                <w:sz w:val="24"/>
              </w:rPr>
              <w:t>系统运维(服务周期三年)</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51" w:right="41"/>
              <w:jc w:val="center"/>
              <w:rPr>
                <w:sz w:val="24"/>
              </w:rPr>
            </w:pPr>
            <w:r>
              <w:rPr>
                <w:sz w:val="24"/>
              </w:rPr>
              <w:t>10</w:t>
            </w:r>
          </w:p>
        </w:tc>
        <w:tc>
          <w:tcPr>
            <w:tcW w:w="4899" w:type="dxa"/>
          </w:tcPr>
          <w:p>
            <w:pPr>
              <w:pStyle w:val="388"/>
              <w:spacing w:before="104"/>
              <w:ind w:left="10"/>
              <w:jc w:val="center"/>
              <w:rPr>
                <w:sz w:val="24"/>
              </w:rPr>
            </w:pPr>
            <w:r>
              <w:rPr>
                <w:sz w:val="24"/>
              </w:rPr>
              <w:t>系统集成</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bl>
    <w:p>
      <w:pPr>
        <w:rPr>
          <w:sz w:val="20"/>
        </w:rPr>
      </w:pPr>
    </w:p>
    <w:p>
      <w:pPr>
        <w:pStyle w:val="2"/>
        <w:rPr>
          <w:sz w:val="20"/>
        </w:rPr>
      </w:pPr>
    </w:p>
    <w:p>
      <w:pPr>
        <w:jc w:val="both"/>
        <w:rPr>
          <w:rFonts w:ascii="宋体" w:hAnsi="宋体"/>
        </w:rPr>
      </w:pPr>
    </w:p>
    <w:p>
      <w:pPr>
        <w:rPr>
          <w:rFonts w:ascii="宋体" w:hAnsi="宋体" w:eastAsia="宋体" w:cs="宋体"/>
          <w:sz w:val="24"/>
          <w:szCs w:val="28"/>
        </w:rPr>
      </w:pPr>
      <w:r>
        <w:rPr>
          <w:rFonts w:ascii="宋体" w:hAnsi="宋体" w:cs="宋体"/>
          <w:b/>
          <w:kern w:val="0"/>
          <w:sz w:val="24"/>
        </w:rPr>
        <w:br w:type="page"/>
      </w:r>
      <w:r>
        <w:rPr>
          <w:rFonts w:hint="eastAsia" w:ascii="宋体" w:hAnsi="宋体" w:eastAsia="宋体" w:cs="宋体"/>
          <w:sz w:val="24"/>
          <w:szCs w:val="28"/>
        </w:rPr>
        <w:t>2.建设详细清单及技术要求</w:t>
      </w:r>
    </w:p>
    <w:tbl>
      <w:tblPr>
        <w:tblStyle w:val="60"/>
        <w:tblW w:w="15351" w:type="dxa"/>
        <w:tblInd w:w="0" w:type="dxa"/>
        <w:shd w:val="clear" w:color="auto" w:fill="auto"/>
        <w:tblLayout w:type="fixed"/>
        <w:tblCellMar>
          <w:top w:w="0" w:type="dxa"/>
          <w:left w:w="0" w:type="dxa"/>
          <w:bottom w:w="0" w:type="dxa"/>
          <w:right w:w="0" w:type="dxa"/>
        </w:tblCellMar>
      </w:tblPr>
      <w:tblGrid>
        <w:gridCol w:w="479"/>
        <w:gridCol w:w="757"/>
        <w:gridCol w:w="805"/>
        <w:gridCol w:w="1626"/>
        <w:gridCol w:w="6553"/>
        <w:gridCol w:w="552"/>
        <w:gridCol w:w="506"/>
        <w:gridCol w:w="1579"/>
        <w:gridCol w:w="1681"/>
        <w:gridCol w:w="813"/>
      </w:tblGrid>
      <w:tr>
        <w:tblPrEx>
          <w:shd w:val="clear" w:color="auto" w:fill="auto"/>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江山经济开发区数字化园区（江东化工园区）建设预算清单</w:t>
            </w:r>
          </w:p>
        </w:tc>
      </w:tr>
      <w:tr>
        <w:tblPrEx>
          <w:tblCellMar>
            <w:top w:w="0" w:type="dxa"/>
            <w:left w:w="0" w:type="dxa"/>
            <w:bottom w:w="0" w:type="dxa"/>
            <w:right w:w="0" w:type="dxa"/>
          </w:tblCellMar>
        </w:tblPrEx>
        <w:trPr>
          <w:trHeight w:val="420" w:hRule="atLeast"/>
        </w:trPr>
        <w:tc>
          <w:tcPr>
            <w:tcW w:w="14538" w:type="dxa"/>
            <w:gridSpan w:val="9"/>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一、数字化园区综合管理平台</w:t>
            </w:r>
          </w:p>
        </w:tc>
        <w:tc>
          <w:tcPr>
            <w:tcW w:w="81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数字化园区综合管理平台</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安全生产综合监管系统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一企一档</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园区内的企业安全生产状况进行摸底，按照危化企业、运输、工贸企业等行业类别对企业基础信息、危险特性、安全生产标准化建设、安全生产许可资质、安全生产责任人等信息进行登记管理、分类分级、统计分析、动态更新等功能。</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重大危险源数据监测</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时趋势：系统提供所有接入点位列表，包含点位的状态（离线、故障等）、实时值，同时提供实时趋势显示模板，以实时显示数据趋势图；历史趋势：系统提供历史趋势显示模板以显示数据记录趋势图，用户能够按照天、时、分自由切换。</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园区智能视频监控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为监控进入园区道路危化品车辆，将新安装智能卡口监控接入。同时为辅助监控园区关键区域安全。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重大危险源管理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园区重大危险源企业备案信息汇总表（企业名称、重大危险源单元名称、分级、评价日期、备案编号、备案日期、监测日期）；落实重大危险源辨识、评价、登记、申报以及备案等规定</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重大危险源视频监控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企业在重大危险源视频监控现场视频数据，通过录像机或集中监控平台标准接口进行数据接入。可随时调取一个月以上的历史录像。</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风险分级管控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在企业安全风险辨识的基础上，根据不同的风险类型，依据风险矩阵分析法、风险程度分析法、作业条件危险性分析法等风险分析评价方法，对辨识出的风险进行评价分级。</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隐患排查治理系统（企业端）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管委会端实现企业隐患排查、登记、整改、复查、销号的闭环管理，促进企业隐患排查的规范化和常态化，落实企业隐患排查的主体责任。企业端主要功能包括业务提醒、日常检查记录管理、企业自查隐患管理、隐患排查治理清单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隐患排查治理系统（管委会端）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府端实时掌握企业隐患自查自报情况，监督企业隐患整改，为园区内隐患排查治理工作成效考核提供依据。政府端包括业务提醒、企业自查隐患管理、监督检查隐患管理、企业隐患绩效考核、隐患排查治理清单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隐患排查治理系统（移动端）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移动端利用移动终端在企业进行现场检查，上报隐患数据，与PC端的安全生产隐患排查治理系统实现信息交互，提高工作效率。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高空瞭望</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在园区中部署2个360度高空瞭望摄像头，并预设巡检点，进行实时预览和历史存储存，日常监管和应急时在指挥中心大屏上显示，并可通过操作台快速锁定目标。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决策分析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基于各类业务信息数据汇总统计并以图形化界面进行展示，主要包含企业分级监管、隐患网格巡查、行政执法报表、安全指标、标准化达标情况等。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安全监管</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为管理部门提供信息化监管手段，包含从制定监管计划到现场检查到立案到销案的全生命周期管理。</w:t>
            </w:r>
          </w:p>
        </w:tc>
        <w:tc>
          <w:tcPr>
            <w:tcW w:w="552"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事故信息网上报送</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登记填报一般和较大事故，并上报形成相关统计报表，并对上报事故登记的基础上，对事故处理、事故调查、事故处理结果等实行链条化管理。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教育培训管理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对园区企业、监管部门相关人员的培训情况进行综合管理，包括培训课时、内容、成绩等信息进行管理。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绩效考核</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量化的安全生产工作考核机制，提高安全生产工作考核的约束力和公信力，有效促进安全生产职责的落实，核内容包括四个方面：安全生产业务工作、安全生产基础工作、安全生产监管突出贡献工作、生产安全指相当规模控制工作。</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环境监控综合管理系统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环保基本信息管理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包括环境影响评价资料、项目三同时制度、环保设施设计和建设资料、企业规范化排污口及标志牌照片、固体废物记录等。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综合研判子系统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全局总览呈现用户所在园区当前最新小时空气质量及天气情况；同时显示当日累计AQI；同时展示辖区空气质量可按日、月、年以综合指数、变化程度进行城市等排名等。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大气监测子系统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大气环境质量监测是衡量的化工生产对空气污染的直接方式，系统对园区的空气质量进行监控管理。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危废固废管理子系统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危废固废管理子系统建设包含申报信息管理、危险废物交换转移审批结果信息管理等建设内容，系统设计重点关注系统的统计、查询功能方面。</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监测预警预报管理与发布</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预警指标设置：对在线监测和手工录入的监测数据，在平台中设置对应的指标，如定义为预警值、报警值、超标值三级；预警展现与消除：在监测平台和“一张图”上按不同颜色直观展示，并且指标恢复正常后保持报警颜色，待录入处理确认后消除；预警发布管理：根据预警指标及接入人员组设定，与短信平台和邮件平台对接，系统自动发布给预定人员；预警自动报告：系统对报警数据和处理信息，按周、月等周期形成报表，自动生成电子文档，通过邮件形式发给园区职能和管委会领导；基本的在线监测数据查询与多种数据统计。</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运维管理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针对数据表单、业务模块上的运维管理。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企业在线监测接入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对装有排水流量传感器、应急池液位计、噪声传感器、烟气在线分析仪的企业，免费提供接入控制系统接口。</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园区新上的特征废气污染物监测设备，监测数据进入配套的监测系统运行软件后，通过标准接口经数据转换处理后进入平台。</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小型空气质量站监测接入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小型空气质量站在线监测数据接入在线监测系统。</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水质监测接入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水质监测站在线监测数据接入在线监测系统。</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应急指挥救援系统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应急值守子系统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承担突发安全生产事件的接报及其它日常值班管理的任务，由事故接报模块、事故信息管理模块、信息发布模块、值班管理模块4个模块组成。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应急预案管理子系统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实现对园区、企业和重点防护单位应急预案的登记、存储、查询查询管理功能，通过对应急预案的数字化处理，在指挥调度过程中启动应急预案时可以做到快速响应，提高预案实施的效率。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应急资源管理子系统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通信、信息、指挥和调度于一体的应急资源和物资数据库的基础上，可调用涉及园区的场所行业信息、车辆信息、应急响应中心关于园区的各种应急预案、专家库等，实施对专业队伍、救援专家、储备物资、救援装备、通信保障和医疗救护等应急资源的动态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应急演练子系统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应急模拟演练子系统包括应急演练准备管理、应急演练过程管理及应急演练评估管理功能。</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辅助决策子系统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助决策者通过安全生产数据、地理信息（GIS）、事故后果模拟分析模型和知识库及现场监测反馈信息，以人机交互方式进行半结构化或非结构化决策的计算机应用系统，为决策者提供分析问题、建立模型、模拟决策过程和方案的环境，调用各种应急保障资源和分析工具，帮助决策者提高决策水平和质量。</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预警预测子系统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构建各类模型库及应急处置模式方案库，实现对突发事件的理论和经验相结合的科学化研判分析。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指挥调度子系统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指挥调度系统辅助应急指挥人员了解突发安全生产事故发生、发展状况，通盘掌握应急处置情况，创建并向各单位分发任务，协调任务执行的过程中出现的问题，并进一步采取相应的措施。最终 实现协同指挥、有序调度和有效监督，提高应急效率。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事故管理子系统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事故管理子系统完成事故报告（包括快报、续报）、调查报告、事故统计、事故台帐功能，通过采集各类途径上报的事故信息，形成标准格式事故快报及续报文件，以 Word文档或网络电子表格等形式输出，并以电话、传真的方式上报政府办（市应急办），通报政府联动部门。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信息发布子系统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信息发布系统，通过电话、传真、短信群发、邮件、公共广播、户外公告等手段发布事故信息、指挥调度信息、疏散信息及各种日常管理的通知公告信息，达到信息的及时传达，同时提供系统 API以供其他各系统共享信息发布资源。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综合监管一张图</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安监一张图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1、企业分类分级一张图：所有工商注册的重点单位将通过注册模块与地图数据进行匹配定位，结合地图进行综合分布展示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2、安全风险分布一张图：结合企业地理定位信息，展示企业的风险等级信息，并可穿透查看企业内风险点信息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3、隐患排查一张图：通过地图平台随时了解排查责任单位和企业隐患信息，用不同颜色警示灯标识隐患跟踪处理进度。提供穿透式查询功能。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重大危险源一张图：结合地图精确定位，通过快捷搜索方式，查看企业基本信息、平面图、排查记录信息、执法记录信息、重大危险源信息等安全生产所有信息。重大危险源企业确在认报警后，可联动视频查看现场，相关视频图像可在平台上展示查看，政府可以根据实际报警情况作出相应的反映。</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环保一张图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合地图精确定位，或者通过快捷搜索方式，查看小型空气站、特征污染物以及水质监测设备的基本信息、地图分布等。并能通过在地图点击站点图标进入站点内进行查看相关环保监测数据，并可通过设置阈值，当监测数值超过阈值时，可在地图界面进行声光报警提示，相关监测数值可在监控平台上展示查看，政府可以根据实际报警情况作出相应的反映</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应急资源一张图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应急资源包括：应急队伍和应急物资等，并可穿透查看应急资源的详情信息。</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移动应用平台</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企业信息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1、用户登录系统会自动下载本用户管辖范围内的企业信息，可查阅企业在WEB版系统填写的详细信息。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用户在离线状态下进行系统操作时，若长时间未与服务器端数据进行同步，在巡查、执法过程中发现企业数据与实际不符时，当网络在线时无需退出系统，执行更新数据功能可以从服务器端将最新信息下载更新至本地数据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3、政府用户到企业巡查或执法时，可将企业名称生成二维码，可打印张贴在固定位置，便于精确查找。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4、政府对企业巡查或执法时，可输入单位名称从列表库中查找，也可扫描二维码精确查找该单位。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5、查找该企业后可查询其详细信息，可根据权限关联巡查版和执法版系统功能，执行隐患巡查、执法检查、生成二维码、更新数据、上传数据、删除数据等操作。</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隐患巡查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巡查企业时，录入巡查缘由、巡查人员、巡查负责人、巡查对象等信息。以《国民经济行业明细表》为基础，依据企业所属行业类型和安全生产的危险特性，系统自动生成适用于每家企业的检查表，对应检查表进行现场检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2、在检查过程中如果发现有隐患则进行隐患登记，并拍照取证，也可打印出隐患二维码贴在隐患处，下次复查时直接扫描复查。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3、对责令限期整改的隐患，到期后复查时找到该隐患或直接扫描隐患二维码记录复查情况。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4、对已整改完毕的隐患，找到该隐患记录或扫描隐患二维码进行销案处理。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绩效考核</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通过终端系统现场实时查阅本（前）季度各区域、各部门安全隐患排查治理工作绩效考核情况（各项考核指标完成情况、考核得分、排名）。</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决策分析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通过终端系统现场实时查看本区域、本行业、本领域内企业基础信息采集、企业自查自报、政府网格巡查、隐患整治各项数据，并结合图形一目了然展现目前隐患排查整治情况。</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后台管理系统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通过服务器后台管理系统将服务器模块与终端模块相应的数据库从服务器移植到终端机，同时保证终端机本地产生的数据与服务器数据库实时和定时对接，服务器数据库产生的更新数据与终端机本地数据库实时和定时对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系统根据授权用户身份进行数据同步，完成企业基本信息的对接、隐患巡查信息的对接、隐患治理信息的对接、系统安全知识库（包括排查指引、巡查标准、法律法规、危化品名录等）的同步对接，系统的地图定位和二维码识别的同步对接。同时还包括数据结构、行政区域、人员信息的同步，从服务器端下载上述数据，此功能需网络在线情况下完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系统登录</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1、终端设备能与系统用户帐号绑定，注册成功并审核通过后登录使用，每台终端设备对应一个用户。输入用户名（设备编号）和密码登录系统，系统通过设备编码到后台验证是否授权用户。不限安装用户数量。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2、系统支持用户离线登录功能，在无3G/4G/WIFI网络支持的情况，可离线登录系统，通过本地保留的数据库校验用户身份，但不与Web版系统进行数据同步。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3、用户在登录系统且网络在线情况下，自动检测服务器端程序版本，如有新版程序，会提醒用户下载程序安装更新，确保终端设备使用的是最新程序。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4、系统根据授权用户身份进行数据同步，从服务器端下载同步数据结构、行政区域、人员信息、企业信息、工具助手、安全知识库涵盖的基础数据信息等，与WEB版系统数据保持一致。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授权用户登录系统后会对该用户所管辖企业的许可证照到期情况和隐患整改到期情况预警提醒，当用户关掉提醒消息后，可通过界面顶部的消息提醒功能再次打开查看。系统会列出许可资质证照已过期和1个月内即将过期的企业名单，也可看到详细许可资质证照信息，供巡查人员和执法人员现场巡查和执法时参考。</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现场监管</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1、监管人员到企业现场检查时，关联已制定的监管计划，登记检查信息，开具文书，可以拍照、录音、录像取证，自动记录监管人员的工作轨迹，加强管理。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2、系统可通过蓝牙与便携式打印机连接，现场打印文书。文书包括：现场检查记录、责令限期改正指令书、整改复查意见书、强制措施决定书、文书送达回执、询问通知书、询问笔录等。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3、监管人员可对企业自查自报信息及事故隐患情况进行核查，及时指出企业上报信息中的问题，并督促企业改正，以确保企业认真执行隐患排查工作。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4、通过地图查询显示监管人员工作轨迹，了解其工作进度。</w:t>
            </w:r>
          </w:p>
        </w:tc>
        <w:tc>
          <w:tcPr>
            <w:tcW w:w="552"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辅助功能</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用户在终端设备离线状态下更新修改本地数据时，如果要将数据上传到WEB安全管理综合信息系统，需确认本地数据录入完整无误后，再执行数据上传功能，数据上传内容包括：企业信息、隐患巡查信息、监管检查信息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2、管理端用户在现场巡查或执法时可快速查询人员详细信息，包括安全生产责任人、安全生产管理人员、特种作业人员、特种设备作业人员等。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3、系统内置知识库，包括执法依据、危险化学品、法律、行政法规、地方法规、地方政府规章、部门规章、国家标准、行业标准等供查询使用。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应用支撑系统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应用支撑系统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后台管理系统，针对数据报表录入、分配管理员权限、实现分级分层分部门管理。主要包括视频流媒体服务平台、物联网统一采集平台、基础数据库管理、安全 管理、日志管理、安全审计等。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￥750,000.00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7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数据交换与共享系统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数据交换与共享系统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通过横向与相关业务部门系统的对接实现统一的基础数据共享，纵向与企业相关工业系统对接实现对企业信息的采集。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地理信息与集成系统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地理信息与集成系统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 GIS 空间分析与数据综合分析,为领导决策提供安监、应急、环保辅助支持服务。</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数字地图系统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影像图和矢量图制作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江东园区全区使用倾斜摄影技术实现园区、企业边界管理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三维地图制作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1、三家(浙江国盛源实业有限公司/江山市双氧水有限公司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/江山富达化工股份有限公司)涉及到重大危险源企业利用BIM技术实现三维建模。                                                                                2、系统一级界面为化工产业园区的真实三维GIS地理地形总览，包含各化工园区的地理空间分布；                                                                  3、系统二级界面为具体真实企业（江东化工园区三家重大危险源企业）的BIM三维场景，做到可360°全视角转动，同时接入化工厂的实时物联网数据、统计分析数据，以动态图表方式呈现；                                                                                                                      4、系统三级界面可点击具体园区设施并聚焦，查看该设施的运行状态数据；                                                                                     5、化工园区运行时产生的异常报警信息，可在真实三维BIM空间中定位显示，同时分析出该报警发生所在的具体生产环节。</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GIS服务软件接口</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提供GIS地图接口服务，进行应用对接开发</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危化品运输车辆登记子系统</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危化品运输车辆登记子系统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对于入园区的危化品运输车辆进行管理，包括包括车牌号、车型、运输的物品及物品属性、驾驶员信息、运输申报、驾驶员从业证书等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危化品车辆定位管理子系统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接口及协议的方式，打通与浙江省运管所的危化品运输管理平台，获取到相应的车辆地位信息。通过接口协议的方式，打通物流企业的接口，获取到危化品车辆实时的经度、维度、速度、方向等定位状态信息。通过电子围栏的方式实现、越区报警、电子栅栏、禁止驶入报警、禁止驶出报警、偏航报警、异常停车报警、禁止停车区报警、停车超时报警、限速预报警值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危化品车辆监控子系统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基于地图实现，行政区域的标注，行车路线的指定标绘。在地图上可以实时调取危化品车辆行驶路线上的监控数据，查看车辆位置，能够对车辆的行驶轨迹进行追踪，实现基于地图上的车辆调度及统计分析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￥2,760,000.00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￥2,760,000.00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二、基础支撑</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基础支撑</w:t>
            </w:r>
          </w:p>
        </w:tc>
        <w:tc>
          <w:tcPr>
            <w:tcW w:w="80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云资源</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应用管理云主机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9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环保管理云主机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9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GIS地图云主机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中央处理器16核心/内存64G/硬盘1TB/使用周期36个月(配置及数量为预估，以实际实施情况为准)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数据库云主机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中央处理器16核心/内存32G/硬盘1TB/使用周期36个月(配置及数量为预估，以实际实施情况为准)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￥107,028.00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￥107,028.00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三维模型云主机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中央处理器16核心/内存64G/硬盘1TB/使用周期36个月(配置及数量为预估，以实际实施情况为准)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危化品车辆管理云主机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中央处理器8核心/内存32G/硬盘500G/使用周期36个月(配置及数量为预估，以实际实施情况为准)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￥64,548.00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￥64,548.00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山体边坡安全监测云主机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中央处理器8核心/内存16G/硬盘500G/使用周期36个月(配置及数量为预估，以实际实施情况为准)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￥42,732.00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￥42,732.00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应急广播云主机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中央处理器4核心/内存32G/硬盘500G/使用周期36个月(配置及数量为预估，以实际实施情况为准)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￥59,328.00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￥59,328.00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4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数据备份（软件）</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数据备份</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1、支持Windows、Linux、UNIX、AIX、Solaris、 HP-UX等主流操作系统，以及龙芯、飞腾架构下中标麒麟、银河麒麟等自主可控操作系统；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2、支持Oracle、SQL Server、MySQL等主流数据库备份；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3、基于linux的备份存储专用系统，支持https方式登录，确保登录安全；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4、支持在同一文件备份作业中采用多通道并发备份，提高备份和恢复的速度；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5、文件执行完全备份后的备份集，无需还原数据，直接通过挂载方式实现即时恢复；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6、支持文件合成备份，合成数据通过挂载方式实现即时恢复；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7、支持Linux、Unix中文件的备份集恢复到Hadoop 分布式文件系统（HDFS）、对象存储中，实现POSIX文件数据在不同文件系统中转换恢复；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8、支持Hadoop分布式文件系统（HDFS）的文件备份（完全备份、增量备份、合成备份）；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9、支持Hadoop分布式文件系统（HDFS）的备份集恢复到Linux、Unix、对象存储中，实现HDFS文件数据在不同文件系统中转换恢复；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10、支持Hadoop分布式文件系统（HDFS）的备份数据，无需还原数据，直接通过挂载方式，实现数据的即时恢复；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11、支持对象存储中存储桶和对象的备份（完全备份、增量备份、合成备份）与恢复。且支持单文件细粒度的备份和恢复；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12、支持对象存储中备份数据，恢复到 Linux、Unix、Hadoop 分布式文件系统（HDFS）中，实现对象存储数据在不同文件系统中转换恢复；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13、支持对象存储的备份数据，无需还原数据，直接通过挂载方式，实现数据的即时恢复；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14、支持linux 和windows操作系统的备份及异机恢复，支持操作系统备份与恢复的UEFI引导方式。</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IDC机柜租用</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IDC机柜租用</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租用IDC机房（为便于后期升级、维护，机房需设置在江山市内）机柜存放监控存储、交换机及配套服务器等设备，实际设备托管数量20U(尺寸要求：标准机柜2000*1350*600)托管周期36个月（机房需满足双路市电及满足整体设备保障的UPS设施）</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￥630,000.00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￥630,000.00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(机架数量为预估，实际结算数量以最终实施情况为准)</w:t>
            </w:r>
          </w:p>
        </w:tc>
      </w:tr>
      <w:tr>
        <w:tblPrEx>
          <w:tblCellMar>
            <w:top w:w="0" w:type="dxa"/>
            <w:left w:w="0" w:type="dxa"/>
            <w:bottom w:w="0" w:type="dxa"/>
            <w:right w:w="0" w:type="dxa"/>
          </w:tblCellMar>
        </w:tblPrEx>
        <w:trPr>
          <w:trHeight w:val="288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信息安全</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信息安全</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针对所有云资源及IDC机房存放设备、系统提供满足GB-T 22239-2019 《信息安全技术 网络安全等级保护基本要求》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GB T 28448-2019 《信息安全技术 网络安全等级保护测评要求》中三级标准的网络安全防护服务，同时提供不少于三次第三方（等保测评资质）等保测评服务，出具正式书面报告，服务周期36个月</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lang w:val="en-US" w:eastAsia="zh-CN"/>
              </w:rPr>
              <w:t>本项信息安全分为衢州政务云信息安全与租用第三方IDC机房设备信息安全两部分，两部分整体以技术要求中等保三级标准进行建设，包含后续安全测评服务。</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￥2,117,412.00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￥2,117,412.00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三、监控安防系统及配套</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多功能人脸车辆一体化抓拍球机（用于园区主要路口）</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多功能人脸车辆一体化抓拍球机（用于园区主要路口）</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多功能人脸车辆一体化抓拍球机（用于园区主要路口）</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1、枪球一体化设计，包含全景与细节两台摄像机；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2、支持双云台，设备具备全景、细节两个通道且都支持远程转动调节位置，灵活布控；全景摄像机和细节摄像机都为 1/1.8英寸CMOS；同时全景摄像机和细节摄像机都支持400万像素；</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3、设备具备全景、细节两个通道且都支持云台转动位置，全景水平旋转范围：水平角度0～360°，细节水平旋转范围：水平角度0～250°</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4、内置GPU芯片；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5、可对多通道多场景的机动车、非机动车、行人进行巡航检测。能同时支持100个目标进行检测；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6、内置神经网络处理器，支持AI智能化功能，有效提升检测准确率；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7、支持人脸检测、人脸属性提取和人脸识别，支持多种人脸抠图方案设置，包括人脸/单寸照/半身/全身；</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8、在通道1监视画面中检测出多个移动目标(人或车)后，样机可自动跟踪其中一个目标并调节变倍，使该目标处于通道2监视画面中央，可自动切换跟踪目标；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9、可对监控画面中的机动车、非机动车、行人同时进行检测及抓图。能同时支持对照片中的100个目标进行检测</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视频结构化功能：支持机动车抓拍、机动车属性提取，支持非机动车抓拍、非机动车属性提取，支持人体抓拍、人体属性提取，支持人脸抓拍、人脸属性提取，支持机非人数量统计，输出报表，支持人脸识别；</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11、支持绊线入侵、区域入侵、穿越围栏、徘徊检测、物品遗留、物品搬移、快速移动、停车检测、人员聚集多种行为检测；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12、支持软件集成的开放式API，支持标准协议(Onvif、CGI、GB/T28181)、支持国密35114A级加密、支持SDK 和第三方管理平台接入、支持PSIA</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细节相机支持5倍光学变倍，16倍数字变倍；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13、支持超星光级超低照度。全景：彩色：0.001Lux@F1.0，黑白：0.0001Lux@F1.0，0Lux（白光灯开启）细节：彩色：0.001Lux@F1.35，黑白：0.0001Lux@F1.35，0Lux（红外灯开启）；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14、为保证夜晚的监控及抓拍目标的效果，全景摄像机光圈需要≥F1.0，细节摄像机需要≥F1.35</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15、支持H.265编码，实现超低码流传输；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16、全景相机内置30米白光灯补光，采用暖色调和柔化处理，有效降低炫目程度；细节相机内置100米红外灯补光，采用倍率与红外灯功率匹配算法；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17、可看清150米处人体轮廓，并进行抓拍生成人体小图</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18、支持IP67防护等级，8000V防雷、防浪涌和防突波保护；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19、电源适应性检验 电源电压在AC24V±55%范围内变化时，设备可正常工作</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20、多功能人脸车辆一体化抓拍球机、球机、400万像素全彩枪机、智能视频监控一体机、监控平台管理设备及前端视频资源管理设备采用同一品牌；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￥165,000.00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400万像素全彩枪机（用于园区公共区域）</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400万像素全彩枪机（用于园区公共区域）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400万像素全彩枪机（用于园区公共区域）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1、400万全彩摄像机；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2、采用1/3英寸CMOS图像传感器；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3、1路100/1000M以太网接口（RJ45接口），2路报警输入接口、2路报警输出接口，1路音频输入接口、1路音频输出接口，1路电源返送接口，1个SD卡插槽，1个硬件恢复默认按钮，1个 RS-232接口；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4、在IE浏览器下，具有H.265、H.264、MJPEG设置选项；可将H.264格式设置为Baseline/Main；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5、同一静止场景相同图像质量下，开启智能编码功能和不开启智能编码功能相比，码流节约1/2左右；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6、图像延时≤ 210ms （ 主码流输出分辨率为2560×1440，码率为1Mbps，帧率为30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7、水平分辨力不小于1400TVL（2560×1440，码率为1Mbps，帧率为30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8、灰度等级≥11级；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9、信噪比≥52dB；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10、最低照度，彩色0.001 lx能基本分辨被摄目标的轮廓特征和色彩，黑白0.001lx，能够看清目标轮廓；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11、宽动态能力综合评价得分应≥100；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12、在IE 浏览器下，具有亮度、对比度、饱和度、锐度、gamma 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13、在IE浏览器下，具有强光抑制设置选项；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14、具有自动白平衡功能，当使用环境实际色温变化时，摄像机应能自动调整白平衡，使输出图像准确重现出观察场景的实际色彩；</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15、具有自动增益功能，使视频信号随目标亮度的变化自动调整视频输出；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16、在IE浏览器下，具有G.711A、G.711Mu、G.726、AAC设置选项；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17、在音频编码格式设置为AAC时，采样频率可设置为8 KHz /16KHz；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18、主码流分辨率和帧率最大为：2560×1440（25fps），子码流分辨率和帧率最大为：704×576（25fps）；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19、可通过2个IE浏览器同时浏览主码流2560×1440（25fps）、子码流704×576（25fps）的视频图像；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20、可通过IE浏览器手动开启/关闭白光灯，或在低照度下自动开启白光灯；白光灯开启后，可以手动控制白光灯亮度；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21、白光灯开启后，可识别距离样机60米处所摄目标的轮廓；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22、白天和夜晚均可输出彩色视频录像；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23、在设定的侦测区域内有目标移动时，可在客户端给出报警提示信息并上传FTP、发送邮件及联动录像；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24、当监控场景被遮挡时，可通过客户端软件或IE浏览器给出报警提示并上传FTP、发送邮件及联动录像；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25、当监控场景变更时，可通过IE浏览器给出相应提示信息；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26、可根据监控场景自动调节曝光模式；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27、在非法访问、网络断开、IP冲突时，可给出报警提示；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28、外壳防护等级IP67。                                                                                                                       29、多功能人脸车辆一体化抓拍球机、球机、400万像素全彩枪机、智能视频监控一体机、监控平台管理设备及前端视频资源管理设备采用同一品牌；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1、支持嵌入式Linux系统，工业级嵌入式微控制器；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2、支持8盘位128路智能录像机；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3、控制单元配置多核处理器,具有8GB内存,并可扩展到32GB；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4、最大支持管理128路前端。最大接入码流为680Mbps，最大存储码流为680Mbps，最大转发码流为680Mbps，最大回放码流为680Mbps</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5、可接人ONVIF.SONY、RTSP标准的网络摄像机,并支持以私有协议方式接入第三方摄像机,支持接入ONVIP协议、RTSP协议、GB28181协议的设备；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6、添加前端设备时,可通过客户端软件查询剩余可接入带宽；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7、可接入8块SATA3.0，支持接入容量为16TB的硬盘，可通过eSATA接口接人外置硬盘；</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5屏同时显示输出:HDMI1、HDMI2、HDMI3、VGA(HDMI1与VGAl同源,HDMI2与VGA2同源)，支持HDMI1,HDMI2.HDMI3同时输出3路不同的4K分辨率的码流；支持创建视图组进行视图的管理，支持创建2级视图组，每级最大支持创建100个视图组，每个视图组最大支持创建100个视图</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9、支持16路视频流或44张/秒图片流人脸比对、可联动录像、抓图、蜂鸣报警、预置点.邮件、本地报警输出、IPC报警输出、门禁、音频以及日志记录；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10、支持识别人脸是否戴眼镜,人脸戴眼镜检出率不低于99% ,戴眼镜识别准确率不低于99%；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11、最大支持创建64个人脸库,总共支持导入100万张人脸图片;支持将人脸库的部分或者全部内容复制到另一个人脸库；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12、支持1路分辨率为8640×3840@25fps或8路分辨率为3840×2160@25fps、12Mbps或32路分辨率为1920x 1080@25fps、8Mbps的视频解码显示；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13、支持单场景同时最大检出32个人脸:大数据写人情况下,人脸图片建椟速度最大支持54张/秒；可对左右侧脸,上下低头不超过45度人脸进行检测,并通过不同颇色的提示条，对人脸比对相似度进行显示</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最大支持8路人体检测，可识别监视画面中人员的上衣特征（长袖、短袖）、上衣颜色（白色、粉色、黑色、红色、黄色、灰色、蓝色、绿色、紫色、棕色）、下衣特征（长裤、短裤、裙子）、下衣颜色（白色、黑色、红色、黄色、灰色、蓝色、绿色、紫色、棕色）、人员是否戴帽子、人员是否带包、是否带伞，并在监视画面显示识别结果，支持通过客户端软件倒序显示24小时内统计的人员特征识别结果</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 xml:space="preserve">封面具有CNAS认可的公安部检测报告）。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15</w:t>
            </w:r>
            <w:r>
              <w:rPr>
                <w:rFonts w:hint="eastAsia" w:ascii="宋体" w:hAnsi="宋体" w:eastAsia="宋体" w:cs="宋体"/>
                <w:i w:val="0"/>
                <w:color w:val="auto"/>
                <w:kern w:val="0"/>
                <w:sz w:val="20"/>
                <w:szCs w:val="20"/>
                <w:u w:val="none"/>
                <w:lang w:val="en-US" w:eastAsia="zh-CN" w:bidi="ar"/>
              </w:rPr>
              <w:t>,000.00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补光灯</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补光灯</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补光灯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1、20颗进口晶元白光LED芯片，金属外壳；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2、光束角度：10、15、20、30、60度可选；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3、色温：6000-6700K；</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4、电源适应性： 电源电压在AC80V~AC275V范围内变化时，补光装置能正常工作；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5、温度适应性：-40±3°C～+85±2°C；</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6、工作功率：10~60W可调；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7、发光方式：支持频闪自动倍频、持续发光、爆闪三种发光方式，三种发光方式可组合使用；</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8、频闪功能：具有自动倍频、自闪、跟随、自动频闪（外部摄像机触发）功能，支持对频闪亮度进行调节，支持对频闪时长进行调节，支持对倍频数进行调节，可关闭倍频以及50Hz锁频；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9、爆闪功能支持对爆闪亮度进行调节，支持对爆闪触发时长进行调节；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10、常亮功能：支持对亮度进行调节；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11、级联功能：可多个补光装置级联使用；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12、光敏控制自发光功能：具有光敏控制补光装置自发光功能，可在低照度下自动开启补光，低照度阀值可调。支持对自发光频闪频率进行调节，支持通过调整占空比来进行自发光亮度调节；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13、保护功能：当补光装置功率高于设定值时进行自我保护，补光装置自动灭灯;</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管理平台功能：支持补光设备后端集中管理，具备补光设备GIS地图功能，设备运行状态、设备参数可在GIS地图上查询、更改，通过后端平台设置可实时更改设备工作模式，前端设备故障自动远程实时报警至后端平台;</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15、接口：1个RJ45，1路频闪触发，1路频闪输入/输出，1路爆闪输入/输出，1路电源输入，1路接地；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16、防护等级：IP67。</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￥3,850.00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￥30,800.00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1、立杆高度≥6米,挑臂长度2米，摄像机离地面≥5.5米；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2、立杆管径下端≥165mm，上端≥120mm，挑杆平均管径≥89mm；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3、管壁厚度≥6mm；支架表面处理工艺采用二次电镀（热镀锌）、静电喷塑加表面色漆。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￥95,200.00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1、立杆高度≥6米,挑臂长度5米，摄像机离地面≥5.5米；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2、立杆管径下端≥165mm，上端≥120mm，挑杆平均管径≥89mm；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3、管壁厚度≥6mm；支架表面处理工艺采用二次电镀（热镀锌）、静电喷塑加表面色漆。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6米立杆基础套件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6米立杆基础套件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6米立杆基础套件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1、立杆基础钢筋件：直径≥280mm，六角均匀分布；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2、六根≥M25丝杆，垫片6个，螺母12个，弹垫6个；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3、基础：≥1.2米*1.2米*1.2米，含立杆基础的开挖、做模、C25混凝土浇筑、路面平整、修补、回填、废土清运等工作及材料。</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￥225,600.00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监控箱</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监控箱</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监控箱</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1、箱体材料：采用不锈钢材料；                                                                                                            2、终端盒安装方式：挂装或立装；                                                                                                                    3、箱内设备：插座、10A1P+N空开、40KA单相等电位防雷器及配套单相智能Nb-IoT电表（含10年流量费用）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监控辅材</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监控辅材</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监控辅材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支架、电源、电源线、光缆、PVC、地埋套管、万向节等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￥126,500.00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￥126,500.00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危化车辆路牌</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危化车辆路牌</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危化车辆路牌</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1、尺寸3*1500*3000mm；                                                2、材质：铝，表面贴四级反光膜；                                           3、安装方式：立杆安装。</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监控平台管理设备</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监控平台管理设备</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监控平台管理设备</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 500路并发许可；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2、实时监控 "支持1/4/6/8/9/13/16/20/25/36/64多分屏画面显示，并支持自定义画面分割，根据用户需要自由选择，支持画面比例调整：满屏，1:1,16:9,4:3,5:4,4:5,3:4,9:16及64:9"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3、支持鱼眼校正，支持壁装、顶装、地装多种模式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4、业务组织 支持自定义业务树，可生成多种组织结构业务树，可任意调整通道等节点的排列顺序。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5、支持鼠标模拟，根据鼠标位置与窗口中心的距离自动调整转动速率和方向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6、支持全帧倒放功能；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 具有视频质量诊断功能，能够分析图像的亮度、偏色、对比度、清晰度、视频丢失等属性，并图形化展示统计结果。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8、支持接受并统计行为分析、人数统计、人脸检测、全景拼接服务器数据对接进行实际应用。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9、支持接入管理云存储设备。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10、数据概览功能，支持系统评分、评级，对设备在线率、服务器在线率、中心服务器资源使用情况、存储异常、设备报警及服务器报警等状态综合评分。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11、支持最近登录用户展示，显示当前在线人数及在线率。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12、支持当前新闻公告展示。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13、支持当前报警日志展示。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14、支持设备在线率的统计，统计IPC、存储设备、解码资源及报警主机的在线率并以图表形式展示。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15、支持手持单兵MPT设备接入，在离线状态显示；支持单兵视频预览、语音对讲和录像回放；</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16、支持访客数统计，能展示当月每天的访客数。</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17、支持当前配置的广播任务展示。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18、支持当前配置信息发布任务展示。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 支持根据用户自定义配置业务数据的展示，并能调整模块位置。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20、动力环境监测 支持动力环境监测主机接入,可接收到温湿度探测器、漏水探测器、电量仪、电池组、UPS、空调、配电开关等设备的数据信息。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21、公共广播&amp;背景音乐 支持广播终端接入，可对广播终端进行分区管理。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22、多址模式：码流接入800Mbps，码流转发800Mbps；绑定模式： 码流接入1500Mbps码流转发1500Mbps；多址模式：码流存储800Mbps；绑定模式： 码流存储1500Mbps。</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23、具有4个网口，有网卡绑定、多址、容错及负载均衡四种配置模式</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 xml:space="preserve">封面具有CNAS认可的公安部检测报告）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24、多功能人脸车辆一体化抓拍球机、球机、400万像素全彩枪机、智能视频监控一体机、监控平台管理设备及前端视频资源管理设备采用同一品牌；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1、采用linux操作系统，64位四核处理器, 4G内存，可扩展128G高速缓存；支持插入不少于36块硬盘；</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2、具有5个100M/1000M自适应RJ45网络接口，支持扩展4个1000M网络接口，或支持扩展2个10000M光口；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3、设备具有3个电源模块、3个风扇模块，1个控制器模块，所有模块均支持热插拔，可不打开样机的外壳进行控制单元的插拔或更换；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4、支持同时进行1600Mbps视（音）频码流存储，1600Mbps视（音）频码流转发、384Mbps视（音）频码流回放；在转发模式下，可支持4096Mbps视（音）频码流转发；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5、支持不低于250MBps的图片并发输入，同时不低于250MBps图片并发输出；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6、支持Raid5、Raid5EE、Raid6，支持全局热备和局部热备；支持Raid即建即用；支持逻辑卷的动态在线扩展；支持监控级和企业级硬盘创建RAID；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7、支持单个SAMBA共享文件夹，可对128个用户同时进行管理；支持单个ftp共享文件夹，可对128个用户同时进行管理</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8、支持多画面同时段录像同时回放，不同时段录像同时回放；支持网络下载录像速度不低于90MBps；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9、可支持对多个磁盘分时上电；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10、支持录像切片，对一段录像分为多个时间片段，并将多个片段在同一个画面的多窗口同时进行回放；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11、支持母盘子盘数据复制功能，可将母盘中的数据完整复制到选定的子盘中，在复制过程中，对母盘的操作不受影响；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12、支持通过浏览器对设备中的硬盘进行固件升级；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同时接入512路具有人脸检测功能的摄像机，当侦测到人脸时，可进行人脸大图、小图抓拍、视频录像，并触发报警联动录像、抓拍图片、弹出报警画面、发送语音提示、上传中心、蜂鸣报警以及日志记录；人脸检测属性查询包括：性能（男女），年龄，是否带眼镜，是否带帽子，是否带口罩；支持按时间、通道、人体检测各属性进行查询检索；支持按人脸检测同步关联回放细节通道人脸抓拍图信息和录像；支持人脸检测小图、所在人脸大图、对应录像前后10s录像的下载</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14、设备均应具有权限管理、运行日志功能设备应设置操作口令，有图像加密、防篡改、防非法复制等措施，以保证原始数据的完整性。重要的图像应加保护，不被删除和覆盖；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15、可通过IE浏览器，火狐浏览器，谷歌浏览器对单个或多个设备或设备内的磁盘进行定位，并可设置时间；支持存储硬盘出现故障，对应硬盘槽位有报警灯光提示</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16、支持预录功能，能够预录报警触发前1-40分钟的视频录像。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17、多功能人脸车辆一体化抓拍球机、球机、400万像素全彩枪机、智能视频监控一体机、监控平台管理设备及前端视频资源管理设备采用同一品牌；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监控级硬盘1</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6000G；5400RPM；256M；SATA</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监控级硬盘2</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6000G；7200RPM；256M；SATA</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￥958,500.00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￥958,500.00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四、无人机系统</w:t>
            </w:r>
          </w:p>
        </w:tc>
      </w:tr>
      <w:tr>
        <w:tblPrEx>
          <w:tblCellMar>
            <w:top w:w="0" w:type="dxa"/>
            <w:left w:w="0" w:type="dxa"/>
            <w:bottom w:w="0" w:type="dxa"/>
            <w:right w:w="0" w:type="dxa"/>
          </w:tblCellMar>
        </w:tblPrEx>
        <w:trPr>
          <w:trHeight w:val="114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四旋翼无人机</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四旋翼无人机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四旋翼无人机</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1、旋翼数量：4；</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2、轴距≥900mm；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3、安装有指示灯，可区别机头机尾方向，控制站可控制指示灯开关；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4、防雨性能：在降雨强度为4mm/min的雨中起飞、悬停飞行30min后，设备功能正常；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5、最大水平飞行速度≥80km/h；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6、最大续航时间≥54min（标准飞行工况）；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7、最大续航里程≥30km（标准飞行工况）；</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8、无人机有效测控距离≥10km；</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9、飞行环境抗风能力7级； </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10、最大爬升速度14m/s；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无人机具备飞行参数记录单元，包括：身份识别编码、坐标、速度、高度、航迹、飞行姿态、航向、地面站操纵记录、传感器记录、系统故障记录、卫星数量记录、电量和电压记录；飞行参数可存储、导出并回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控制权切换：无人机在待机、悬停和飞行状态下可在不同控制站之间切换控制权且工作正常；具备系统自检功能：当发生飞行控制、电池电压、电机转速、遥控遥测等信号模块或部件故障时，控制站会产生声光报警，并执行返航或降落等动作；</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13、具备安全策略选择：遇到突发情况时，无人机能够选择自主原路返航、自主直线返航、自主爬升返航、迫降等安全策略，优先级可编辑；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14、现场展开时间≤0.5min，更换桨叶安装时间≤0.4min，更换电池时间≤0.5min；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15、支持避障功能；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16、起落架可通过手持控制站控制无人机起落架收起和放下；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17、无人机系统具有低电压保护功能，根据电压可以给出三级低电压保护提示或操作：报警提示、执行返航、执行原地降落；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18、飞行器具备：飞行范围设置、航向锁定、HOME点锁定、热点环绕等功能；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19、无人机实时图像可通过移动、联通、电信4G网络进行无线传输；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、包含AOPA视距内驾驶员认证培训2人次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24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一体式遥控器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一体式遥控器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1、遥控器内置显示屏；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2、遥控器具备存储无人机回传视频功能，支持存储卡最大容量为128G；</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3、遥控器待机时间≥8h；</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4、具有无线WiFi功能、MicroSD Card扩展存储功能、飞行轨迹记录回放功能；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5、遥控器可显示高度、速度、航向、飞行轨迹坐标、飞行姿态、剩余电量、飞行时间等参数信息；</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浆叶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浆叶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1、碳纤维浆叶，快拆结构；                                                                                                                         2、与无人机采用同一品牌。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副</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无人机电池</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无人机电池</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29000mAh，高压智能电池</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充电器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充电器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1、可同时给两块电池充电；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2、支持LIHV高压电池充电；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3、输入电压：100~240V AC 50/60HZ；输出电流：30A；输出功率800W；                                                                                 4、与无人机采用同一品牌。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12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可视喊话抛投云台</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可视喊话抛投云台</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1、喊话器音量75分贝，有效喊话距离≥100m；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2、两个抛投挂钩，可独立控制，有效载重≥5kg/个；搭载200万像素高清相机，12倍光学变倍，3轴云台，相机角度实时可控；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3、支持内置MicroSD卡，最大容量128GB；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4、与无人机采用同一品牌。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50万三责险</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50万三责险</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50万三责险</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保额50万/年/架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项（年））</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机损险</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机损险</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机损险</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意外损失或毁坏，包括被保险飞机失踪</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￥261,000.00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￥261,000.00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五、应急广播平台系统</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IP应急防控平台</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IP应急防控平台</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IP应急防控平台</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1、IP视播结合应急防控平台，包含广播、监控模块：</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2、平台联网能力试验：系统支持7级上下级域模式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3、本域摄像机/广播前端设备接入容量：≥3000台</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4、监视器容量：≥1000台；</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5、外域管理：最大可以添加不小于1024个外域；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6、外域摄像机管理能力：最大支持不小于5000路</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7、并发在线用户数；≥1000；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8、系统可配置最大用户数：≥3000</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9、双直存实验：支持前端设备同时与上下级域的存储设备进行直接存储，且不生成文件（即不使用文件系统）；支持云存储双直存</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10、N+M备份试验：当存储设备宕机后，该存储设备对应的摄像机能自动切换到备用存储设备进行存储。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11、包括节目转播、文字转语音功能、MP3播放功能、麦克风喊话功能。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12、至少支持按四级区域划分片区进行语音广播。</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13、可与DB33-2011标准监控平台对接；监控画面最少支持25分屏。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14、支持按职能不同将操作员（或管理员）进行分组；支持按不同的组别分配不同的权限。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15、至少支持32级用户权限。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16、可支持各级权限的查询功能，支持详细用户操作步骤查询，支持操作类型和操作结果筛选。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17、可以和主流厂家视频监控系统联调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18、系统接口：标准化的接口，可以和主流厂家平顺对接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19、可管理平台的各个模块的资源。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20、支持离线地图，二维，卫星地图可选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21、支持所有设备能在地图上呈现</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22、支持监控与广播能在地图上统一调度及使用。</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室外IP音箱</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室外IP音箱</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室外IP音箱</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1、具有IP数字解码终端与扩音一体功能的IP收扩机；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2、采用固定静态的IP地址，网络发生改变时地址不会丢失，工作稳定、音质达到CD级；可网络接收音频节目内容； 硬件音频解码；通过软件操作可对所有终端监听播出内容，音量可调；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3、网络接口：标准RJ45；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4、电源：AC220V/50Hz；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5、音频位率：8Kbps～320Kbps自适应；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6、功率输出：25W；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7、频率响应：50Hz～15KHz；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8、待机功率：1W；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9、信噪比：≥70dB；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10、支持协议：ARP、UDP、TCP/IP、ICMP、IGMP(组播)；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11、采样率：8K～48KHz；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12、音频格式：MP3；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13、工作湿度：10%～90%；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14、总谐波失真：≤1%；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15、尺寸：215×185×103mm；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16、传输速率：10Mbps；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17、网络延时：≤50ms。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安装辅材</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安装辅材</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安装辅材</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辅材</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￥14,300.00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￥14,300.00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六、危化品车专用停车场物联网设备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车牌抓拍一体机</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车牌抓拍一体机</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车牌抓拍一体机</w:t>
            </w:r>
          </w:p>
        </w:tc>
        <w:tc>
          <w:tcPr>
            <w:tcW w:w="65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1、出入口抓怕一体机，集相机、补光、出入口显示屏于一体。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2、图像分辨率为1920×1080（不包括OSD黑边），1600×1200，1280×720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3、1路100M网络接口，2路RS485接口，1路RS485/232接口，1路TF卡接口，1路报警输入，3路报警输出，2路IO输入，1路AC110V-220V，硬件回放按钮，1路调试串口。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4、内置LED灯，对图片及视频补光，同时支持根据环境光亮度，自动控制LED灯亮灭及亮度调节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5、提供图像网络传输功能，支持IE浏览器、客户端软件等远程监看方式，可实时监控图像的同时输出抓拍到的车辆信息。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6、支持视频触发抓拍（包括无牌车），支持行驶方向判定。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7、支持10000条黑白名单，抓拍时报警，可联动道闸。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8、支持智能识别功能，可识别车辆特征包括：车牌、车身颜色、车标、车牌颜色、车牌像素大小，车头方向，车牌车辆置信度等信息；支持倾斜车牌识别，水平60度，倾斜30度；支持污损车牌、遮挡车牌识别。</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9、支持TF卡，可实现本地图片存储和查询，支持对存储设备的管理功能，格式化，读写盘等设置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10、支持图像、视频防篡改功能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11、白天环境光照度应不低于200lx，晚上测试时的辅助设备照明度应不高于100lx。车标识别率：≥99%；白天环境光照度应不低于200lx，晚上测试时的辅助设备照明度应不高于100lx。车型识别率：≥99%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12、亮度（灰度）等级≥12级（输入为13级）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13、支持新能源车牌类型和颜色识别。小车识别：渐变绿；大车识别：黄绿双拼</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具有CNAS认可的检测报告）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14、LED显示区域、形状web可配置。显示内容支持滚动、截至两种状态，滚动速度界面可设置（当显示字数超过屏幕限制时自动滚动）</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具有CNAS认可的检测报告）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15、支持重复车牌检测时间设置0~65535（毫秒）可设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16、在最低AC90V，最高AC300V电压供电条件下正常工作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1、采用1/3英寸CMOS图像传感器；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2、镜头焦距根据现场情况可选；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3、1路100/1000M以太网接口（RJ45接口），2路报警输入接口、2路报警输出接口，1路音频输入接口、1路音频输出接口，1路电源返送接口，1个SD卡插槽，1个硬件恢复默认按钮，1个 RS-232接口；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4、在IE浏览器下，具有H.265、H.264、MJPEG设置选项；可将H.264格式设置为Baseline/Main；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5、同一静止场景相同图像质量下，开启智能编码功能和不开启智能编码功能相比，码流节约1/2左右；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6、图像延时≤ 210ms （ 主码流输出分辨率为2560×1440，码率为1Mbps，帧率为30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7、水平分辨力不小于1400TVL（2560×1440，码率为1Mbps，帧率为30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8、灰度等级≥11级；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9、信噪比≥52dB；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10、最低照度，彩色0.001 lx能基本分辨被摄目标的轮廓特征和色彩，黑白0.001lx，能够看清目标轮廓；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11、在IE 浏览器下，具有亮度、对比度、饱和度、锐度、gamma 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12、在IE浏览器下，具有强光抑制设置选项；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13、摄像机应具有自动白平衡功能，当使用环境实际色温变化时，摄像机应能自动调整白平衡，使输出图像准确重现出观察场景的实际色彩；</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14、摄像机应具有自动增益功能，使视频信号随目标亮度的变化自动调整视频输出；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15、在IE浏览器下，具有G.711A、G.711Mu、G.726、AAC设置选项；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16、在音频编码格式设置为AAC时，采样频率可设置为8 KHz /16KHz；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17、主码流分辨率和帧率最大为：2560×1440（25fps），子码流分辨率和帧率最大为：704×576（25fps）；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18、可通过2个IE浏览器同时浏览主码流2560×1440（25fps）、子码流704×576（25fps）的视频图像；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19、可通过IE浏览器手动开启/关闭白光灯，或在低照度下自动开启白光灯；白光灯开启后，可以手动控制白光灯亮度；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20、白光灯开启后，可识别距离样机60米处所摄目标的轮廓；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21、白天和夜晚均可输出彩色视频录像；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22、在设定的侦测区域内有目标移动时，可在客户端给出报警提示信息并上传FTP、发送邮件及联动录像；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23、当监控场景被遮挡时，可通过客户端软件或IE浏览器给出报警提示并上传FTP、发送邮件及联动录像；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24、当监控场景变更时，可通过IE浏览器给出相应提示信息；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25、可根据监控场景自动调节曝光模式；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26、外壳防护等级IP67；                                                                                                                        27、与车牌抓拍一体机为同一品牌。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变频右向直臂道闸</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变频右向直臂道闸</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变频右向直臂道闸</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1、杆件类型八角直杆；起杆速度2S；转速1400RPM；                                                                                                   2、RS-485接口1个；I/O接口6个；状态输出2路（开到位1路，关到位1路）；                                                                                             3、防砸功能支持，线圈防砸，红外防砸，雷达防砸；                                                                                                        4、远程遥控支持遥控器远程开关，最大距离30m；                                                                                                        5、供电方式AC220V±20%；功耗≤120W；弹簧寿命100万次；工作温度-35℃～+65℃。                                                                      6、与车牌抓拍一体机为同一品牌。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￥4,290.00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￥8,580.00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变频道闸配杆（直臂）</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变频道闸配杆（直臂）</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变频道闸配杆（直臂）</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5米直杆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￥435.00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￥870.00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大车车检器</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大车车检器</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大车车检器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单路大车车检器</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防砸线圈</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防砸线圈</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防砸线圈</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停车场车检器配套线圈线缆（长度100米/卷）-RF0.75（长度100米/卷）-非ROHS</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防砸雷达</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防砸雷达</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防砸雷达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1、发射频率: 77GHz ~80GHz；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2、发射功率: ≤10mW；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3、响应时间: 50ms；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4、检测区域: 0.3~6m（可调）；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5、防砸区域: 0~2m（可调）；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6、检测目标: 人、车；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7、在线调试:支持（串口、APP通过wifi进行调试）；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8、升级功能:支持（串口、APP通过wifi在线升级）；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9、RS-485接口:1个；</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10、I/O接口:个（1个升级按钮输入，1个继电器输出）；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11、工作电压:DC9V~12V；</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12、工作电流:＜0.25A；</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13、功耗:＜3W；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14、工作温度:-40℃～+85℃；</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出入口控制终端</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出入口控制终端</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出入口控制终端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1、出入口控制终端采用无风扇散热鳍片宽温设计，稳定性、兼容性强，使用寿命长，用于出入口控制系统；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2、标配1T 3.5寸 监控硬盘，支持VGA和HDMI显示输出；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3、内外网隔离，外网采用一个千兆网口，内网采用8口工业级以太网交换机；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4、支持上电自动开机、断电保护、系统一键复位功能；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5、内置出入口管理软件支持2进2出车道管理，支持3台设备级联；</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6、工作温度: -20℃~+70℃。</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￥6,600.00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￥6,600.00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岗亭</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岗亭</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岗亭</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柱采用80*80*2.0mm304不锈钢方管，墙体中间骨架采用40*20*2.0mm镀锌方管，外墙采用1.0mm304不锈钢平板+镁菱板，内墙采用白色竹木纤维板，窗户采用788仿钢铝合金窗+6mm钢化玻璃白玻，顶部采用1.2mm304不锈钢板，防水板采用1.0mm镀锌板防水，底部采用40*80*2.0mm镀锌方管和40*20.*2.0mm镀锌方管骨架，底盘面部采用工程木板+花纹防滑铝板，工作台龙骨采用40*20*2.0mm镀锌方管，面板采用4毫米厚白色铝塑板+不锈钢板包边，里面电路电线用2.5平方电缆，额定电压220v。（含温度调节器、操作设备）。</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￥74,990.00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￥74,990.00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七、安环应急一体化平台物联网设备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特征污染物监测设备</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特征污染物监测设备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1、监测参数：PM2.5、PM10、VOC、CO、NO2、O3、SO2、H2S、NH3、CL2、NO、HCL、温度、湿度、风力、风向；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2、时间分辨率：大于1分钟；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3、电源：交流220V或太阳能供电系统（可内置大容量锂电池作后备电源）；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4、工作环境：温度(-30-70)℃、湿度＜95%、无结露；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5、通讯方式：无线；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6、工作时间 无外接电源连续工作 8 H（20℃）；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7、数据传输：采用实时传输方式，具备断网补传功能，本机可记录数据不小于最近十天数据；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8、传感器寿命：不小于2年；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9、可监测参数关键指标：PM2.5、PM10、SO2、NO2、O3量程满足0～1000 ug/m3；H2S量程满足0-15mg/m3、NH3量程满足0-67mg/m3、HCL、CL2量程满足0-16 mg/m3、VOC量程满足0-230mg/m3；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10、数据接口：支持并提供RS485接口，RS232接口通过MODBUS RTU协议进行参数及数据设置及查询；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11、物理特性：不锈钢箱体材质，支持抱杆安装；</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12、为保证测量的精确，测控单元采用恒温环境，具备内置箱体温度控制开关，调节温度。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13、满足国家相关质量检测要求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符合CMA认证要求的第三方检测报告）</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大气环境监测设备</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大气环境监测设备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大气环境监测设备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1、大气环境监测设备是由激光传感器、电化学传感器、数字化处理控制单元、网络通讯技术、安装壳体和供电系统组成而成。                                           2、基础参数：能监测大气环境中PM2.5、PM10、 CO、 NO2、 SO2、 O3、温度、湿度、风速、风向等数据；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3、关键技术指标：PM2.5、PM10、NO2、SO2、SO2、O3量程满足0-1000μg/m3，CO量程满足0～5000 ug/m3；气体监测精度满足±10%FS。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4、检出限要求：1μg/m3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5、传感器输出频率：1 次/秒</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6、上传频率：3分钟/次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7、供电方式：内置后备电源的太阳能供电系统。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8、工作环境：温度(-30-70)℃、湿度＜95%、无结露。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9、工作时间：无外接电源可连续工作 300H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10、数据传输：采用实时传输方式，具备断网补传功能，本机可记录数据不小于最近十天数据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11、传感器寿命：不小于2年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12、物理特性：不锈钢箱体材质，支持抱杆安装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13、满足国家相关质量检测要求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符合CMA认证要求的第三方检测报告）</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￥104,000.00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山体边坡安全监测</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应用系统基本功能软件</w:t>
            </w:r>
          </w:p>
        </w:tc>
        <w:tc>
          <w:tcPr>
            <w:tcW w:w="162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山体边坡安全监测</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1、能够对硬件系统进行远程控制。综合管理系统结合智能仪器，可远程调整测试参数，避免传统仪器以及系统因为进行参数改变而必须进入现场的问题。</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2、对数据采集方式进行控制，可以根据不同需求及状况进行实时监控、定时间采集、特殊状况采集等自动测试方式，也可进行人工干预控制采集。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3、能够对测试数据进行预处理。主要功能有数据的过滤、数据压缩、数据分类等功能，为后续的自动分析和人工分析提供良好的信息源。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4、数据的显示。可以显示实时监控的数据，也可将历史数据调出进行显示，或对几种参数同时进行显示分析。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数据分析功能。主要对数据进行各类分析处理，主要有：数据的统计分析（极值、平均值、有效值、均方值、方差、标准差等）、结构参数识别（索力识别、结构固有特性识别等）、结构的安全评估（趋势分析、养护管理评定等）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6、自动报表功能。可根据系统自动或者人工分析的结果，自由选择自动生成各类型报表。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7、可进行设备的自诊断。对故障设备元件以报表形式提出，提示进行检查或维修。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8、可进行结构安全状况的预报警。当判断出结构存在安全隐患时，系统进行预报警，报警可通过实时界面提示、报表、电子邮件和短信形式进行。</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9、系统管理的安全保障。为保障边坡健康与安全监测系统的安全运行，对不同管理者提供不同的权限，对用户身份进行验证，所提供的功能有查看、检索、修改、增加和删除等不同操作。</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坡体表面位移监测仪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坡体表面位移监测仪</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坡体表面位移监测仪</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378"/>
                <w:color w:val="auto"/>
                <w:lang w:val="en-US" w:eastAsia="zh-CN" w:bidi="ar"/>
              </w:rPr>
              <w:t>1、</w:t>
            </w:r>
            <w:r>
              <w:rPr>
                <w:rStyle w:val="391"/>
                <w:color w:val="auto"/>
                <w:lang w:val="en-US" w:eastAsia="zh-CN" w:bidi="ar"/>
              </w:rPr>
              <w:t>北斗GNSS主机及配套（GNSS立柱、GNSS支架），技术要求如下</w:t>
            </w:r>
            <w:r>
              <w:rPr>
                <w:rStyle w:val="391"/>
                <w:color w:val="auto"/>
                <w:lang w:val="en-US" w:eastAsia="zh-CN" w:bidi="ar"/>
              </w:rPr>
              <w:br w:type="textWrapping"/>
            </w:r>
            <w:r>
              <w:rPr>
                <w:rStyle w:val="391"/>
                <w:color w:val="auto"/>
                <w:lang w:val="en-US" w:eastAsia="zh-CN" w:bidi="ar"/>
              </w:rPr>
              <w:t>单历元解算精度：平面：±(2.5mm+1x10-6D)；高程：±(5.0mm+1x10-6D)</w:t>
            </w:r>
            <w:r>
              <w:rPr>
                <w:rStyle w:val="391"/>
                <w:color w:val="auto"/>
                <w:lang w:val="en-US" w:eastAsia="zh-CN" w:bidi="ar"/>
              </w:rPr>
              <w:br w:type="textWrapping"/>
            </w:r>
            <w:r>
              <w:rPr>
                <w:rStyle w:val="391"/>
                <w:color w:val="auto"/>
                <w:lang w:val="en-US" w:eastAsia="zh-CN" w:bidi="ar"/>
              </w:rPr>
              <w:t>通讯方式：RS232、RJ45/WIFI、蓝牙、GPRS/CDMA等通讯方式                                           工作温度： -40℃～+70℃；湿度：100％全密封，防冷凝，可漂浮；                                   防尘防水：IP67 级；标准 功耗：小于 2.5W                                                                     支持多种信号：GPSL1C/A码 L1/L2P 码 北斗 B1/B2I 支路 C 码</w:t>
            </w:r>
            <w:r>
              <w:rPr>
                <w:rStyle w:val="391"/>
                <w:color w:val="auto"/>
                <w:lang w:val="en-US" w:eastAsia="zh-CN" w:bidi="ar"/>
              </w:rPr>
              <w:br w:type="textWrapping"/>
            </w:r>
            <w:r>
              <w:rPr>
                <w:rStyle w:val="391"/>
                <w:color w:val="auto"/>
                <w:lang w:val="en-US" w:eastAsia="zh-CN" w:bidi="ar"/>
              </w:rPr>
              <w:t>初始化可靠性：大于 99.9%</w:t>
            </w:r>
            <w:r>
              <w:rPr>
                <w:rStyle w:val="391"/>
                <w:color w:val="auto"/>
                <w:lang w:val="en-US" w:eastAsia="zh-CN" w:bidi="ar"/>
              </w:rPr>
              <w:br w:type="textWrapping"/>
            </w:r>
            <w:r>
              <w:rPr>
                <w:rStyle w:val="391"/>
                <w:color w:val="auto"/>
                <w:lang w:val="en-US" w:eastAsia="zh-CN" w:bidi="ar"/>
              </w:rPr>
              <w:t>2、机箱，内含断路器、机箱防雷、防雷器、开关电源、机箱内置插座</w:t>
            </w:r>
            <w:r>
              <w:rPr>
                <w:rStyle w:val="391"/>
                <w:color w:val="auto"/>
                <w:lang w:val="en-US" w:eastAsia="zh-CN" w:bidi="ar"/>
              </w:rPr>
              <w:br w:type="textWrapping"/>
            </w:r>
            <w:r>
              <w:rPr>
                <w:rStyle w:val="391"/>
                <w:color w:val="auto"/>
                <w:lang w:val="en-US" w:eastAsia="zh-CN" w:bidi="ar"/>
              </w:rPr>
              <w:t>3、太阳能供电，含太阳能板、配套电源控制器、支架配套、供电电池组、蓄电池地埋箱</w:t>
            </w:r>
            <w:r>
              <w:rPr>
                <w:rStyle w:val="391"/>
                <w:color w:val="auto"/>
                <w:lang w:val="en-US" w:eastAsia="zh-CN" w:bidi="ar"/>
              </w:rPr>
              <w:br w:type="textWrapping"/>
            </w:r>
            <w:r>
              <w:rPr>
                <w:rStyle w:val="391"/>
                <w:color w:val="auto"/>
                <w:lang w:val="en-US" w:eastAsia="zh-CN" w:bidi="ar"/>
              </w:rPr>
              <w:t>4、DTU配套</w:t>
            </w:r>
            <w:r>
              <w:rPr>
                <w:rStyle w:val="391"/>
                <w:color w:val="auto"/>
                <w:lang w:val="en-US" w:eastAsia="zh-CN" w:bidi="ar"/>
              </w:rPr>
              <w:br w:type="textWrapping"/>
            </w:r>
            <w:r>
              <w:rPr>
                <w:rStyle w:val="391"/>
                <w:color w:val="auto"/>
                <w:lang w:val="en-US" w:eastAsia="zh-CN" w:bidi="ar"/>
              </w:rPr>
              <w:t>5、配套线缆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采用N个测点+1个基点方式；规范3个点位，每套4个设备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滑坡内部位移监测（导轮式固定测斜仪）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滑坡内部位移监测（导轮式固定测斜仪）</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滑坡内部位移监测（导轮式固定测斜仪）</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378"/>
                <w:color w:val="auto"/>
                <w:lang w:val="en-US" w:eastAsia="zh-CN" w:bidi="ar"/>
              </w:rPr>
              <w:t>1、</w:t>
            </w:r>
            <w:r>
              <w:rPr>
                <w:rStyle w:val="391"/>
                <w:color w:val="auto"/>
                <w:lang w:val="en-US" w:eastAsia="zh-CN" w:bidi="ar"/>
              </w:rPr>
              <w:t>导轮式固定测斜仪技术要求如下：探头尺寸：长187mm；直径：φ36mm；连杆间距：1m；测量精度：±0.01度；测量深度：0-100米；</w:t>
            </w:r>
            <w:r>
              <w:rPr>
                <w:rStyle w:val="391"/>
                <w:color w:val="auto"/>
                <w:lang w:val="en-US" w:eastAsia="zh-CN" w:bidi="ar"/>
              </w:rPr>
              <w:br w:type="textWrapping"/>
            </w:r>
            <w:r>
              <w:rPr>
                <w:rStyle w:val="391"/>
                <w:color w:val="auto"/>
                <w:lang w:val="en-US" w:eastAsia="zh-CN" w:bidi="ar"/>
              </w:rPr>
              <w:t>2、测斜监测点保护墩</w:t>
            </w:r>
            <w:r>
              <w:rPr>
                <w:rStyle w:val="391"/>
                <w:color w:val="auto"/>
                <w:lang w:val="en-US" w:eastAsia="zh-CN" w:bidi="ar"/>
              </w:rPr>
              <w:br w:type="textWrapping"/>
            </w:r>
            <w:r>
              <w:rPr>
                <w:rStyle w:val="391"/>
                <w:color w:val="auto"/>
                <w:lang w:val="en-US" w:eastAsia="zh-CN" w:bidi="ar"/>
              </w:rPr>
              <w:t>3、太阳能供电，含太阳能板、配套电源控制器、支架配套、供电电池组、蓄电池地埋箱等</w:t>
            </w:r>
            <w:r>
              <w:rPr>
                <w:rStyle w:val="391"/>
                <w:color w:val="auto"/>
                <w:lang w:val="en-US" w:eastAsia="zh-CN" w:bidi="ar"/>
              </w:rPr>
              <w:br w:type="textWrapping"/>
            </w:r>
            <w:r>
              <w:rPr>
                <w:rStyle w:val="391"/>
                <w:color w:val="auto"/>
                <w:lang w:val="en-US" w:eastAsia="zh-CN" w:bidi="ar"/>
              </w:rPr>
              <w:t>4、DTU配套</w:t>
            </w:r>
            <w:r>
              <w:rPr>
                <w:rStyle w:val="391"/>
                <w:color w:val="auto"/>
                <w:lang w:val="en-US" w:eastAsia="zh-CN" w:bidi="ar"/>
              </w:rPr>
              <w:br w:type="textWrapping"/>
            </w:r>
            <w:r>
              <w:rPr>
                <w:rStyle w:val="391"/>
                <w:color w:val="auto"/>
                <w:lang w:val="en-US" w:eastAsia="zh-CN" w:bidi="ar"/>
              </w:rPr>
              <w:t>5、配套，含测斜管，连接管，顶盖、底盖等</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规范3点位，每套4个设备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地下水位监测仪（孔隙水压计）</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地下水位监测仪（孔隙水压计）</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地下水位监测仪（孔隙水压计）</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378"/>
                <w:color w:val="auto"/>
                <w:lang w:val="en-US" w:eastAsia="zh-CN" w:bidi="ar"/>
              </w:rPr>
              <w:t>1、孔隙水压计，技术要求如下：</w:t>
            </w:r>
            <w:r>
              <w:rPr>
                <w:rStyle w:val="378"/>
                <w:color w:val="auto"/>
                <w:lang w:val="en-US" w:eastAsia="zh-CN" w:bidi="ar"/>
              </w:rPr>
              <w:br w:type="textWrapping"/>
            </w:r>
            <w:r>
              <w:rPr>
                <w:rStyle w:val="391"/>
                <w:color w:val="auto"/>
                <w:lang w:val="en-US" w:eastAsia="zh-CN" w:bidi="ar"/>
              </w:rPr>
              <w:t>测量范围：0~0.2Mpa；</w:t>
            </w:r>
            <w:r>
              <w:rPr>
                <w:rStyle w:val="391"/>
                <w:color w:val="auto"/>
                <w:lang w:val="en-US" w:eastAsia="zh-CN" w:bidi="ar"/>
              </w:rPr>
              <w:br w:type="textWrapping"/>
            </w:r>
            <w:r>
              <w:rPr>
                <w:rStyle w:val="391"/>
                <w:color w:val="auto"/>
                <w:lang w:val="en-US" w:eastAsia="zh-CN" w:bidi="ar"/>
              </w:rPr>
              <w:t>精度：≤0.2﹪F·S；</w:t>
            </w:r>
            <w:r>
              <w:rPr>
                <w:rStyle w:val="391"/>
                <w:color w:val="auto"/>
                <w:lang w:val="en-US" w:eastAsia="zh-CN" w:bidi="ar"/>
              </w:rPr>
              <w:br w:type="textWrapping"/>
            </w:r>
            <w:r>
              <w:rPr>
                <w:rStyle w:val="391"/>
                <w:color w:val="auto"/>
                <w:lang w:val="en-US" w:eastAsia="zh-CN" w:bidi="ar"/>
              </w:rPr>
              <w:t>测温范围： -20～70℃；</w:t>
            </w:r>
            <w:r>
              <w:rPr>
                <w:rStyle w:val="391"/>
                <w:color w:val="auto"/>
                <w:lang w:val="en-US" w:eastAsia="zh-CN" w:bidi="ar"/>
              </w:rPr>
              <w:br w:type="textWrapping"/>
            </w:r>
            <w:r>
              <w:rPr>
                <w:rStyle w:val="391"/>
                <w:color w:val="auto"/>
                <w:lang w:val="en-US" w:eastAsia="zh-CN" w:bidi="ar"/>
              </w:rPr>
              <w:t>测温精度：±0.5℃；</w:t>
            </w:r>
            <w:r>
              <w:rPr>
                <w:rStyle w:val="391"/>
                <w:color w:val="auto"/>
                <w:lang w:val="en-US" w:eastAsia="zh-CN" w:bidi="ar"/>
              </w:rPr>
              <w:br w:type="textWrapping"/>
            </w:r>
            <w:r>
              <w:rPr>
                <w:rStyle w:val="391"/>
                <w:color w:val="auto"/>
                <w:lang w:val="en-US" w:eastAsia="zh-CN" w:bidi="ar"/>
              </w:rPr>
              <w:t>2、太阳能供电，含太阳能板、配套电源控制器、支架配套、供电电池组、蓄电池地埋箱等</w:t>
            </w:r>
            <w:r>
              <w:rPr>
                <w:rStyle w:val="391"/>
                <w:color w:val="auto"/>
                <w:lang w:val="en-US" w:eastAsia="zh-CN" w:bidi="ar"/>
              </w:rPr>
              <w:br w:type="textWrapping"/>
            </w:r>
            <w:r>
              <w:rPr>
                <w:rStyle w:val="391"/>
                <w:color w:val="auto"/>
                <w:lang w:val="en-US" w:eastAsia="zh-CN" w:bidi="ar"/>
              </w:rPr>
              <w:t>3、DTU配套</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￥2,450.00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￥7,350.00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规范3个孔，每个孔1个传感器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山体环境监测仪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山体环境监测仪</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山体环境监测仪</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1、空气温湿度传感器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1）量程范围：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温度：-40~125℃；湿度：0~100%RH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2）分辨率：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温度：0.04℃；湿度：0.1%RH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3）测量精度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温度：max±1℃@（TA = -10~85℃）；</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max±2℃@（TA = -40~125℃）；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湿度：max±5%RH@（TA = 30℃; RH = 0 to 80%RH）；max±7%RH@（TA = 30℃; RH = 80 to 100%RH）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2、雨量计：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降雨量强度测量范围 （0.01~4）mm/min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分辨力 0.5mm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计量误差 ≤±4%</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工作温度 0~50℃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3、土壤温湿度传感器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1）量程范围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温度：-30~70℃，湿度：0~100%RH，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2）分辨率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温度：0.1℃；湿度：0.1%；</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3）测量精度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温度：±0.2℃（-30~70℃）；湿度：±2%（0~50%m3/m3范围内），±3%（0~100%m3/m3范围内）</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4、数据传输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5、太阳能供电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6、配套，包含传感器支架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￥18,400.00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￥18,400.00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1个边坡1个点位</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￥729,750.00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￥729,750.00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八、应急指挥中心</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综合展示大屏系统</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小间距屏</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小间距屏</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1.点间距≤1.84mm；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2.屏体尺寸：宽度≥8.974米，高度≥1.60米（圆弧半径15米），整屏分辨率：宽≥4872点，高≥870点；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3.像素密度：≥295664点/平方,采用知名封装厂家SMD表贴三合一封装；</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4.水平/垂直相对偏差：≤1%；</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5.峰值功耗≤700W/㎡；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6.白平衡亮度：600/800cd/㎡；</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7.视角：≥160°；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8.单元箱体平整度：≤0.1mm；支持6轴向精密微调；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9.亮度均匀性：≥99%；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10.像素失控率：≤1*10-6，无连续失控点；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11.色温：2000K－10000K可调；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12.换帧频率：50Hz＆60Hz；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13.灰度等级：≥14bit；</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14.最高对比度：10000：1</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15.色域≥120%NTSC；</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16.IP防护等级：≥IP5X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17.支持单点(逐点)亮度/色度校正,支持出厂校正及现场校正；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18.平均失效间隔工作时间：组成LED显示屏的显示模组的平均失效间隔工作时间MTBF（ml）不低于100000H</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19.亮度色度调整：具有随环境照度的变化而自动亮度色度调整的功能，支持手动、自动、程控调节（0-100%可调）；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20.数据存储：支持模块级亮度色度校正数据的存储及回读功能；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21.数据传输：支持模块级无线连接、支持模组无线连接；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22.维护方式：模块及电源支持前、后维护；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23.防护功能：具有防盐雾、防静电、防阻燃防火、防电磁干扰、抗雷击、防虫、抗风保护等功能；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24.安全特性：符合GB4943.1、IEC60950-1、EN60950-1要求；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25.LED显示屏光生物安全及蓝光危害通过IEC/TR 62778-2014标准</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26.显示屏支持支持安全性加密、LED显示屏故障自诊断及排查功能以确保快速及时处理故障；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27.LED显示屏依据GB16796-2009《安全防范报警设备 安全要求和试验方法》标准，LED显示屏的防雷击检测结果符合标准要求，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14.36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￥287,200.00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实际以装修图纸为准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1.普通视频源带载能力：1920×1200，2048×1152</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2.18bit 灰阶处理与显示。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3.一路光探头接口。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4.可级联多台进行统一控制。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5.支持视频格式：RGB，YCrCb4:2:2，YCrCb4:4:4。</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6.显示屏具有综合（电源及多点温度、显示坏点）检测控制系统</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7.支持环路双线双主控备份，防止突然黑屏，为保证环路冗余备份的专业性，满足供双线、双主控冗余热备份功能；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8.提供LED显示屏控制软件和播放软件。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9.与LED显示屏同品牌；</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视频拼接器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视频拼接器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1.采用纯硬件架构，系统的核心为大规模的FPGA阵列，其内部无任何CPU和操作系统，安全稳定；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采用模块化结构设计，一台拼接处理器由多个模块结构组成，包括输入模块、输出模块、控制模块、数据模块、电源模块等，支持各种模块的任意插板处理，输入板卡热插拔恢复时间＜2s，输出板卡热插拔恢复时间＜8s，具有系统故障的快速检测和及时恢复。需提供第三方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3.信号处理带宽：最大单机背板信号处理带宽≧900Gbps；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带电热插拔功能：所有输入、输出板卡支持带电热插拔功能，可在系统正常供电的情况下对输出输入板卡进行带电插拔更换，且系统能快速恢复，针对某些特殊环境可在系统不断电的状态下迅速恢复，恢复时间&lt;3S</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第三方证明文件原件佐证）；</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5.输入信号源：支持DVI、HDMI、VGA、RGB、3G/HD/SD-SDI、Dual-Link、IP解码、YPbPr、S-Video、CVBS、HDBaseT、Optical Fiber、4K等信号，同时具有音频同步切换功能；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6.任意输出自定义：根据显示屏幕相应的点数及显示面积任意制定输出分辨率，通过软件内部界面设置及相应的点数划分制定功能，并将自定义的分辨率添加到系统默认列表中。</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7.支持多用户分级管理及操控：允许多台工作站同时对大屏幕进行操作，互不影响。每个用户单独设置不同管理权限，不同的用户需要登录认证，具有不同的设备管理功能、不同的业务访问分配功能；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8.工作持续性：可7x24持续工作，需提供第三方检测报告；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9.控制方式：支持RS232串口、网络、遥控器、中控、面板按键等多种方式对设备进行控制，需提供第三方检测报告；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图像快速切换：采用图像处理芯片，配合先进的技术，通过对软件界面及面板按键的操作，可快速切换调用当前场景及信号窗口。输入信号切换实时、无缝，确保单个或多个信号进行切换时无花屏、无蓝屏、无黑场现象，任意信号切换时间≦20m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窗口任意组合缩放显示：支持输出通道图像窗口任意摆放显示，接入处理器的多种视频信号可根据需求在显示端进行任意位置开窗、叠加、拉伸、漫游、跨屏、缩放或画中画显示功能，也可将接入系统的信号源在单屏及组合屏幕上显示，将前端多个输入信号源以窗口的形式在1、2、4、6、8、9、12、16多画面进行任意组合摆放显示</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第三方证明文件原件佐证）；</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12.支持预存场景，支持场景一键切换，支持场景轮巡；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13.故障检测及在线升级功能：支持输入信号丢失检测，支持在线升级维护；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为保证兼容性，视频拼接器与LED显示屏同品牌；</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结构框架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结构框架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 安装结构能满足LED高清显示屏的整体均匀平滑要求，采用环保型材，结构应便于安装和调试。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 采用国标材料制作，定制装置，拆装方便；具备间距调节装置，可实现精确调节，显示模组之间的缝隙均匀，显示效果清晰；钢结构框架，所有材料采用国家标准材料施工制作，防锈防氧化处理。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  宽9.14米*1.70米</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15.54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￥15,540.00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配电柜</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配电柜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1.配电功率20KW，含各种电器元件、自动空气开关、熔断器、接触器、电流表、电压表、铜排、防电磁浪涌等；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2.额定输入电压AC380V；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3.外壳防护等级IP50；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4.额定分散系数0.7；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5.环境温度+10~+40℃；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6.具备过流、短路、断路保护与报警功能；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7.具备分步延时起动和分步延时断电的功能，以减小显示屏停、送电时对电网的冲击；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8.内置PLC具备远程开关大屏的功能；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9.具有智能配电管理系统及PLC自动控制系统功能</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控制软件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控制软件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1.软件支持集成中控功能，实现对大屏幕的开关控制；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2.软件支持故障检测功能，支持输入信号丢失检测，使用灰色标示；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3.可在控制软件观看大屏回显，直接对UI中的可视化窗口进行操作；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4.支持移动终端软件控制，不用外加中控直接实现场景调取等功能；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5.软件支持Windows操作系统和麒麟操作系统，提供LED显示屏综合播控系统（麒麟版）</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第三方证明文件原件佐证）；</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6.登录功能：具有单一客户端、多个客户端登录功能，支持默认布局登录；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7.显示屏设置功能：支持添加、修改、删除LED显示屏；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8.场景轮循功能：支持添加、修改、删除场景轮循功，支持场景循环分组功能；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9.视频流媒体平台数据管理功能：支持视频流媒体平台数据对接。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10.所投软件与LED显示屏制造厂商为同一厂家；</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实际以装修图纸为准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大屏系统辅材</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大屏系统辅材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电力电缆及其他辅材符合国标要求</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7工位指挥桌</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7工位指挥桌</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7工位指挥桌</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1、主框架：主框架整体采用钢铝混合结构，主承重钢板采用 Q235碳素结构钢,厚度不小于3.0mm，表面静电喷涂。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2、台板材料：台板整体厚度不低于15mm的威盛亚抗倍特板（非贴面），具备坚固抗压抗刮、耐冲击、防水、耐潮湿、防火、耐磨、易清洗维护等特性，且无异味，保证操作人员的人身健康和安全。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3、配套椅子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扩音系统</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全频主音箱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全频主音箱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1、频率响应：55Hz-20KHz；水平覆盖角：100°；垂直覆盖角：50°；分频点：1500Hz ；低频单元：10" , 75mm v.c.；                                         2、高频单元：44mm v.c.；灵敏度：95dB；阻抗：8Ω；                                                                                                    3、额定功率：400W（RMS)/1200W(PEAK)；                                                                                                              4、最大声压级：127dB；尺寸：H510 x W300 x D294 (mm)。</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实际布局以装修图纸为准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主音箱功放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主音箱功放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1、低失真、无染色的准确音质；采用短路、开路、直流电冲击、误区匹配、温度过热等保护电路；                                                                   2、立体声输出功率8Ω:1000Wx2,输出功率4Ω:1500W*2, 输出功率2Ω:2000W*2,</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3、BTL桥接单声道输出8Ω:3000W,BTL桥接单声道输出4Ω:4000W,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4、频率响应:20Hz-20Hz±0.3dB；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5、总谐波失真:&lt;0.03%@8Ω 1KHz；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6、信噪比:&gt;95dB；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7、瞬态响应:40V/μS；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8、阻尼系数&gt;500;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9、输出电路：Class D</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10、输入灵敏度:1.4V;</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2进2出音频处理器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2进2出音频处理器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1、2路平衡输入，2路平衡输出。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2、32位DSP芯片处理，96kHz采样率，24  bit  AD/DA转换。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3、输入处理部分包含高切，低切，参量均衡，噪声门，增益，静音，相位，连动调节，音量编组调节等处理功能。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4、输出处理部分包含分频，参量均衡，增益，静音，压缩/限幅器，相位，延时，连动调节，音量编组调节等处理单元。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5、所有通道的PEQ增益、带宽、频率连续可调，类型可选择: 参量均衡、低架滤波、高架滤波、低切滤波、高架滤波、移相1阶、移相2阶。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6、所有输入输出之间可以自由进行矩阵式分配，且每个输入输出通道名称可以更改。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7、所有输入输出通道带独立的相位曲线调整功能，在PEQ类型选择移相1阶是180度曲线调整，移相2阶是360度曲线调整。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8、所有高切、低切滤波器，分频器的类型可选择：巴特沃斯、林奎瑞利、贝塞尔，斜率可选。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9、输入通道噪声门的门限值、启动时间、恢复时间连续可调。输出通道的压缩/限幅器的阀值，比率，启动时间，恢复时间连续可调。</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12路调音台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12路调音台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1、输入：12路Mic 输入 ，2路立体声输入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2、增益 ：MIN - MAX。</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3、麦克风 ：+6dB - +50dB。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4、线路 ：+10dB - -34dB。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5、等效输入噪声 ：-100dB。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6、麦克风通道 ：10Hz - 20kHz +1/-3。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7、MIC通道总谐波失真 ≤0.03%。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8、信噪比 ：80dB。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9、输出电平：MAX +27(BAL)，MAX +22(UNBAL)。</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10、包括3段EQ、内置通道压缩、DSP效果和多用途的MP3/USB/SD卡播放和录音系统，USB接口还可以连接电脑放音/录音。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11、USB/SD卡用于立体声录音/播放。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12、16种效果的DSP。</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铝方通吊顶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铝方通吊顶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铝方通吊顶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40*80黑色铝方通</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450000（暂估、按浙江省定额计价，主材签证）</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墙面铝制吸音板制作</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墙面铝制吸音板制作</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墙面铝制吸音板制作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铝制穿孔吸音板干挂</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152</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顶面喷黑色乳胶漆</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顶面喷黑色乳胶漆</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顶面喷黑色乳胶漆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原顶面</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地胶板铺设</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地胶板铺设</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地胶板铺设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自流平+2.6厚卷材地胶板</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砖块隔墙</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砖块隔墙</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砖块隔墙</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240轻质砖块隔墙</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墙顶面基层处理</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墙顶面基层处理</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墙顶面基层处理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1、板缝贴胶带、点锈；</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2、乳胶漆三遍；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3、部位：石膏板吊顶；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墙顶面喷乳胶漆</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墙顶面喷乳胶漆</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墙顶面喷乳胶漆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1、板缝贴胶带、点锈；</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2、乳胶漆三遍；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3、部位：石膏板吊顶。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静电地板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静电地板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静电地板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600*600*150，HPV材质，承重≥450KG；</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大屏包边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大屏包边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大屏包边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九厘板打底+1.2mm拉丝不锈钢饰面踢脚；</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踢脚线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踢脚线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踢脚线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九厘板打底+1.2mm拉丝不锈钢饰面踢脚；</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套装门定制(900*2200)；参照管委会现有装饰风格</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1.5平方电线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1.5平方电线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1.5平方电线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2、规格：1.5mm²，绝缘厚度≥0.8mm；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2.5平方电线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2.5平方电线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2.5平方电线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2、规格：2.5mm²，绝缘厚度≥0.8mm；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4平方电线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4平方电线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4平方电线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2、规格：4mm²，绝缘厚度≥0.8mm；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5*10平方电缆线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5*10平方电缆线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5*10平方电缆线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2、单线规格：10mm²，绝缘厚度≥0.8mm；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25PVC线管</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25PVC线管</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25PVC线管</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符合国家相关标准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网线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网线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网线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非屏蔽六类双绞线；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开关</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开关</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开关</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外形尺寸：86*86mm，三控;</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五孔插座</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五孔插座</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五孔插座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国标五孔220v 10A;外形尺寸：86*86mm；</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筒灯</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筒灯</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筒灯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功率≥3.5W，三色可调</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拆除工程　</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拆除工程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拆除工程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二次搬运费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二次搬运费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二次搬运费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措施费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措施费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措施费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安全文明施工费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安全文明施工费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安全文明施工费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￥983,740.00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￥983,740.00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九、系统运维</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系统运维</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系统运维</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系统运维</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▲质保及售后运维服务要求：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1、承诺提供三年软硬件系统运维服务，服务范围包括系统安装、升级、调试、性能调优、故障修复、知识转移培训等，需落实专人负责维护，支持24小时故障修复。                                                                                                                                            2、现场驻点维护人数：不少于3人（硬件、软件、综合管理各一人，派驻人员需具备计算机技术、软件专业技术相关专业知识；                                                                                                  3、驻点地点：江山经济开发区山海协作区山海路15号（江山经济开发区管理委员会办公大楼内）；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4、驻点周期:三个自然年。（自验收合格次日起）</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￥1,200,000.00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￥1,200,000.00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十、系统集成</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系统集成</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系统集成</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数字化园区综合管理平台</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整体系统安装、调试及上线稳定运行所必需的技术服务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￥900,000.00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基础支撑</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相关云资源、网络、安全系统的安装配置、调试及上线稳定运行所必需的技术服务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监控安防系统及配套</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前端监控安装、线路敷设；后端监控平台安装、调试；整体监控系统部署安装上线稳定运行所必需的技术服务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无人机安装、配套系统调试及上线稳定运行所必需的技术服务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应急广播平台系统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应急广播前端点位安装、线路敷设及后端管理设备及系统部署安装，以及其他上线稳定运行所必需的技术服务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危化品车专用停车场物联网设备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前端停车场管理设备安装、线路敷设及相关配套后端设备及软件安装部署，以及上线稳定运行所必需的技术服务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安环应急一体化平台物联网设备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前端环保、山体监测设备安装、线路敷设及相关配套后端设备及软件安装部署，以及上线稳定运行所必需的技术服务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应急指挥中心</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指挥中心整体装修、设备安装等工程施工及配套技术服务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FF0000"/>
                <w:kern w:val="2"/>
                <w:sz w:val="22"/>
                <w:szCs w:val="22"/>
                <w:u w:val="none"/>
                <w:lang w:val="en-US" w:eastAsia="zh-CN" w:bidi="ar-SA"/>
              </w:rPr>
            </w:pPr>
            <w:r>
              <w:rPr>
                <w:rFonts w:hint="eastAsia" w:ascii="宋体" w:hAnsi="宋体" w:cs="宋体"/>
                <w:b/>
                <w:i w:val="0"/>
                <w:color w:val="auto"/>
                <w:kern w:val="0"/>
                <w:sz w:val="20"/>
                <w:szCs w:val="20"/>
                <w:u w:val="none"/>
                <w:lang w:val="en-US" w:eastAsia="zh-CN" w:bidi="ar"/>
              </w:rPr>
              <w:t>￥</w:t>
            </w:r>
            <w:r>
              <w:rPr>
                <w:rFonts w:hint="default" w:ascii="宋体" w:hAnsi="宋体" w:eastAsia="宋体" w:cs="宋体"/>
                <w:b/>
                <w:i w:val="0"/>
                <w:color w:val="auto"/>
                <w:kern w:val="0"/>
                <w:sz w:val="20"/>
                <w:szCs w:val="20"/>
                <w:u w:val="none"/>
                <w:lang w:val="en-US" w:eastAsia="zh-CN" w:bidi="ar"/>
              </w:rPr>
              <w:t>10,063,892.00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p>
        </w:tc>
      </w:tr>
    </w:tbl>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sectPr>
          <w:headerReference r:id="rId5" w:type="first"/>
          <w:footerReference r:id="rId8" w:type="first"/>
          <w:footerReference r:id="rId6" w:type="default"/>
          <w:headerReference r:id="rId4" w:type="even"/>
          <w:footerReference r:id="rId7" w:type="even"/>
          <w:pgSz w:w="16838" w:h="11906" w:orient="landscape"/>
          <w:pgMar w:top="851" w:right="851" w:bottom="851" w:left="851" w:header="851" w:footer="992" w:gutter="567"/>
          <w:pgNumType w:fmt="decimal"/>
          <w:cols w:space="720" w:num="1"/>
          <w:docGrid w:linePitch="312" w:charSpace="0"/>
        </w:sectPr>
      </w:pPr>
    </w:p>
    <w:p>
      <w:pPr>
        <w:pStyle w:val="2"/>
        <w:ind w:left="0" w:leftChars="0" w:firstLine="0" w:firstLineChars="0"/>
        <w:rPr>
          <w:rFonts w:hint="eastAsia"/>
        </w:rPr>
      </w:pPr>
    </w:p>
    <w:p>
      <w:pPr>
        <w:pStyle w:val="5"/>
        <w:numPr>
          <w:ilvl w:val="0"/>
          <w:numId w:val="0"/>
        </w:numPr>
        <w:spacing w:before="260" w:after="260" w:line="412" w:lineRule="auto"/>
        <w:ind w:leftChars="0"/>
        <w:rPr>
          <w:rFonts w:hint="eastAsia" w:ascii="宋体" w:hAnsi="宋体" w:eastAsia="宋体" w:cs="宋体"/>
          <w:sz w:val="24"/>
          <w:szCs w:val="28"/>
        </w:rPr>
      </w:pPr>
      <w:r>
        <w:rPr>
          <w:rFonts w:hint="eastAsia" w:ascii="黑体" w:hAnsi="黑体"/>
          <w:sz w:val="24"/>
          <w:szCs w:val="24"/>
          <w:lang w:eastAsia="zh-CN"/>
        </w:rPr>
        <w:t>三、</w:t>
      </w:r>
      <w:r>
        <w:rPr>
          <w:rFonts w:hint="eastAsia" w:ascii="黑体" w:hAnsi="黑体"/>
          <w:sz w:val="24"/>
          <w:szCs w:val="24"/>
        </w:rPr>
        <w:t>其他说明</w:t>
      </w:r>
    </w:p>
    <w:p>
      <w:pPr>
        <w:spacing w:line="360" w:lineRule="auto"/>
        <w:jc w:val="left"/>
        <w:rPr>
          <w:rFonts w:ascii="宋体" w:hAnsi="宋体" w:eastAsia="宋体" w:cs="宋体"/>
          <w:sz w:val="24"/>
          <w:szCs w:val="28"/>
        </w:rPr>
      </w:pPr>
      <w:r>
        <w:rPr>
          <w:rFonts w:hint="eastAsia" w:ascii="宋体" w:hAnsi="宋体" w:eastAsia="宋体" w:cs="宋体"/>
          <w:sz w:val="24"/>
          <w:szCs w:val="28"/>
        </w:rPr>
        <w:t>1、</w:t>
      </w:r>
      <w:r>
        <w:rPr>
          <w:rFonts w:hint="eastAsia" w:ascii="宋体" w:hAnsi="宋体" w:eastAsia="宋体" w:cs="宋体"/>
          <w:sz w:val="24"/>
          <w:szCs w:val="28"/>
          <w:lang w:bidi="ar"/>
        </w:rPr>
        <w:t>▲</w:t>
      </w:r>
      <w:r>
        <w:rPr>
          <w:rFonts w:hint="eastAsia" w:ascii="宋体" w:hAnsi="宋体" w:eastAsia="宋体" w:cs="宋体"/>
          <w:sz w:val="24"/>
          <w:szCs w:val="28"/>
        </w:rPr>
        <w:t>本项目为“交钥匙”工程，中标方需承诺招标清单中未列明但实际为项目实施所必需的软件、硬件、辅材及相关配套施工、服务。均由中标方统一提供，费用不再另行支付。</w:t>
      </w:r>
    </w:p>
    <w:p>
      <w:pPr>
        <w:spacing w:line="360" w:lineRule="auto"/>
        <w:jc w:val="left"/>
        <w:rPr>
          <w:rFonts w:hint="eastAsia" w:ascii="宋体" w:hAnsi="宋体" w:eastAsia="宋体" w:cs="宋体"/>
          <w:sz w:val="24"/>
          <w:szCs w:val="28"/>
        </w:rPr>
      </w:pPr>
      <w:r>
        <w:rPr>
          <w:rFonts w:hint="eastAsia" w:ascii="宋体" w:hAnsi="宋体" w:eastAsia="宋体" w:cs="宋体"/>
          <w:sz w:val="24"/>
          <w:szCs w:val="28"/>
        </w:rPr>
        <w:t>2、</w:t>
      </w:r>
      <w:r>
        <w:rPr>
          <w:rFonts w:hint="eastAsia" w:ascii="宋体" w:hAnsi="宋体" w:eastAsia="宋体" w:cs="宋体"/>
          <w:sz w:val="24"/>
          <w:szCs w:val="28"/>
          <w:lang w:bidi="ar"/>
        </w:rPr>
        <w:t>▲</w:t>
      </w:r>
      <w:r>
        <w:rPr>
          <w:rFonts w:hint="eastAsia" w:ascii="宋体" w:hAnsi="宋体" w:eastAsia="宋体" w:cs="宋体"/>
          <w:sz w:val="24"/>
          <w:szCs w:val="28"/>
        </w:rPr>
        <w:t>中标方需承诺提供本项目中关于数字化园区综合管理平台与第三方系统、平台的系统接口对接、数据推送及数据共享等相关开发服务，费用不再另行支付。服务周期三年（自项目整体验收之日起）</w:t>
      </w:r>
    </w:p>
    <w:p>
      <w:pPr>
        <w:spacing w:line="360" w:lineRule="auto"/>
        <w:jc w:val="left"/>
        <w:rPr>
          <w:rFonts w:hint="eastAsia" w:ascii="宋体" w:hAnsi="宋体" w:cs="宋体"/>
          <w:sz w:val="24"/>
          <w:szCs w:val="28"/>
        </w:rPr>
      </w:pPr>
      <w:r>
        <w:rPr>
          <w:rFonts w:hint="eastAsia" w:ascii="宋体" w:hAnsi="宋体" w:cs="宋体"/>
          <w:spacing w:val="0"/>
          <w:sz w:val="24"/>
          <w:szCs w:val="28"/>
          <w:lang w:val="en-US" w:eastAsia="zh-CN" w:bidi="ar"/>
        </w:rPr>
        <w:t>3、</w:t>
      </w:r>
      <w:r>
        <w:rPr>
          <w:rFonts w:hint="eastAsia" w:ascii="宋体" w:hAnsi="宋体" w:eastAsia="宋体" w:cs="宋体"/>
          <w:sz w:val="24"/>
          <w:szCs w:val="28"/>
          <w:lang w:bidi="ar"/>
        </w:rPr>
        <w:t>▲</w:t>
      </w:r>
      <w:r>
        <w:rPr>
          <w:rFonts w:hint="eastAsia" w:ascii="宋体" w:hAnsi="宋体" w:cs="宋体"/>
          <w:spacing w:val="0"/>
          <w:sz w:val="24"/>
          <w:szCs w:val="28"/>
          <w:lang w:bidi="ar"/>
        </w:rPr>
        <w:t>江山经济开发区数字化园区综合管理平台实现园区内企业生产、环保、应急等业务数据的统一数据汇聚节点，并提供统一的对外接口，向应急、环保等监管部门信息系统进行数据的统一向上报送。</w:t>
      </w:r>
    </w:p>
    <w:p>
      <w:pPr>
        <w:spacing w:line="360" w:lineRule="auto"/>
        <w:jc w:val="left"/>
        <w:rPr>
          <w:rFonts w:ascii="宋体" w:hAnsi="宋体" w:eastAsia="宋体" w:cs="宋体"/>
          <w:color w:val="auto"/>
          <w:sz w:val="24"/>
          <w:szCs w:val="28"/>
        </w:rPr>
      </w:pPr>
      <w:r>
        <w:rPr>
          <w:rFonts w:hint="eastAsia" w:ascii="宋体" w:hAnsi="宋体" w:cs="宋体"/>
          <w:sz w:val="24"/>
          <w:szCs w:val="28"/>
          <w:lang w:val="en-US" w:eastAsia="zh-CN" w:bidi="ar"/>
        </w:rPr>
        <w:t>4</w:t>
      </w:r>
      <w:r>
        <w:rPr>
          <w:rFonts w:hint="eastAsia" w:ascii="宋体" w:hAnsi="宋体" w:eastAsia="宋体" w:cs="宋体"/>
          <w:sz w:val="24"/>
          <w:szCs w:val="28"/>
          <w:lang w:bidi="ar"/>
        </w:rPr>
        <w:t>.</w:t>
      </w:r>
      <w:r>
        <w:rPr>
          <w:rFonts w:hint="eastAsia" w:ascii="宋体" w:hAnsi="宋体" w:eastAsia="宋体" w:cs="宋体"/>
          <w:color w:val="auto"/>
          <w:sz w:val="24"/>
          <w:szCs w:val="28"/>
          <w:lang w:bidi="ar"/>
        </w:rPr>
        <w:t>▲本项目为紧急建设工程，要求中标方签订合同后30日内完成江东工业园区数字化园区综合管理平台上线，投标人投标时需做出书面承诺，若未按承诺时间实施而影响整个项目进度的，业主方将追究虚假应标的责任。</w:t>
      </w:r>
    </w:p>
    <w:p>
      <w:pPr>
        <w:spacing w:line="360" w:lineRule="auto"/>
        <w:jc w:val="left"/>
        <w:rPr>
          <w:rFonts w:hint="eastAsia" w:ascii="宋体" w:hAnsi="宋体" w:eastAsia="宋体" w:cs="宋体"/>
          <w:color w:val="auto"/>
          <w:sz w:val="24"/>
          <w:szCs w:val="28"/>
          <w:lang w:bidi="ar"/>
        </w:rPr>
      </w:pPr>
      <w:r>
        <w:rPr>
          <w:rFonts w:hint="eastAsia" w:ascii="宋体" w:hAnsi="宋体" w:cs="宋体"/>
          <w:color w:val="auto"/>
          <w:sz w:val="24"/>
          <w:szCs w:val="28"/>
          <w:lang w:val="en-US" w:eastAsia="zh-CN" w:bidi="ar"/>
        </w:rPr>
        <w:t>5</w:t>
      </w:r>
      <w:r>
        <w:rPr>
          <w:rFonts w:hint="eastAsia" w:ascii="宋体" w:hAnsi="宋体" w:eastAsia="宋体" w:cs="宋体"/>
          <w:color w:val="auto"/>
          <w:sz w:val="24"/>
          <w:szCs w:val="28"/>
          <w:lang w:bidi="ar"/>
        </w:rPr>
        <w:t>.▲平台云资源要求部署在衢州市云计算中心电子政务云平台，三年上云费用</w:t>
      </w:r>
      <w:r>
        <w:rPr>
          <w:rFonts w:hint="eastAsia" w:ascii="宋体" w:hAnsi="宋体" w:eastAsia="宋体" w:cs="宋体"/>
          <w:color w:val="auto"/>
          <w:sz w:val="24"/>
          <w:szCs w:val="28"/>
          <w:lang w:eastAsia="zh-CN"/>
        </w:rPr>
        <w:t>及</w:t>
      </w:r>
      <w:r>
        <w:rPr>
          <w:rFonts w:hint="eastAsia" w:ascii="宋体" w:hAnsi="宋体" w:eastAsia="宋体" w:cs="宋体"/>
          <w:color w:val="auto"/>
          <w:sz w:val="24"/>
          <w:szCs w:val="28"/>
          <w:lang w:val="en-US" w:eastAsia="zh-CN"/>
        </w:rPr>
        <w:t>IDC机柜租用</w:t>
      </w:r>
      <w:r>
        <w:rPr>
          <w:rFonts w:hint="eastAsia" w:ascii="宋体" w:hAnsi="宋体" w:cs="宋体"/>
          <w:color w:val="auto"/>
          <w:sz w:val="24"/>
          <w:szCs w:val="28"/>
          <w:lang w:val="en-US" w:eastAsia="zh-CN"/>
        </w:rPr>
        <w:t>费用</w:t>
      </w:r>
      <w:r>
        <w:rPr>
          <w:rFonts w:hint="eastAsia" w:ascii="宋体" w:hAnsi="宋体" w:eastAsia="宋体" w:cs="宋体"/>
          <w:color w:val="auto"/>
          <w:sz w:val="24"/>
          <w:szCs w:val="28"/>
          <w:lang w:val="en-US" w:eastAsia="zh-CN"/>
        </w:rPr>
        <w:t>和信息安全</w:t>
      </w:r>
      <w:r>
        <w:rPr>
          <w:rFonts w:hint="eastAsia" w:ascii="宋体" w:hAnsi="宋体" w:cs="宋体"/>
          <w:color w:val="auto"/>
          <w:sz w:val="24"/>
          <w:szCs w:val="28"/>
          <w:lang w:val="en-US" w:eastAsia="zh-CN"/>
        </w:rPr>
        <w:t>费用</w:t>
      </w:r>
      <w:r>
        <w:rPr>
          <w:rFonts w:hint="eastAsia" w:ascii="宋体" w:hAnsi="宋体" w:eastAsia="宋体" w:cs="宋体"/>
          <w:color w:val="auto"/>
          <w:sz w:val="24"/>
          <w:szCs w:val="28"/>
        </w:rPr>
        <w:t>由中标方提供</w:t>
      </w:r>
      <w:r>
        <w:rPr>
          <w:rFonts w:hint="eastAsia" w:ascii="宋体" w:hAnsi="宋体" w:cs="宋体"/>
          <w:color w:val="auto"/>
          <w:sz w:val="24"/>
          <w:szCs w:val="28"/>
          <w:lang w:eastAsia="zh-CN"/>
        </w:rPr>
        <w:t>。</w:t>
      </w:r>
      <w:r>
        <w:rPr>
          <w:rFonts w:hint="eastAsia" w:ascii="宋体" w:hAnsi="宋体" w:cs="宋体"/>
          <w:color w:val="auto"/>
          <w:sz w:val="24"/>
          <w:szCs w:val="28"/>
          <w:lang w:eastAsia="zh-CN" w:bidi="ar"/>
        </w:rPr>
        <w:t>（实际费用按实结算）</w:t>
      </w:r>
      <w:r>
        <w:rPr>
          <w:rFonts w:hint="eastAsia" w:ascii="宋体" w:hAnsi="宋体" w:eastAsia="宋体" w:cs="宋体"/>
          <w:color w:val="auto"/>
          <w:sz w:val="24"/>
          <w:szCs w:val="28"/>
          <w:lang w:bidi="ar"/>
        </w:rPr>
        <w:t>。</w:t>
      </w:r>
    </w:p>
    <w:p>
      <w:pPr>
        <w:spacing w:line="360" w:lineRule="auto"/>
        <w:jc w:val="left"/>
        <w:rPr>
          <w:rFonts w:ascii="宋体" w:hAnsi="宋体" w:eastAsia="宋体" w:cs="宋体"/>
          <w:color w:val="auto"/>
          <w:sz w:val="24"/>
          <w:szCs w:val="28"/>
        </w:rPr>
      </w:pPr>
      <w:r>
        <w:rPr>
          <w:rFonts w:hint="eastAsia" w:ascii="宋体" w:hAnsi="宋体" w:cs="宋体"/>
          <w:color w:val="auto"/>
          <w:sz w:val="24"/>
          <w:szCs w:val="28"/>
          <w:lang w:val="en-US" w:eastAsia="zh-CN" w:bidi="ar"/>
        </w:rPr>
        <w:t>6</w:t>
      </w:r>
      <w:r>
        <w:rPr>
          <w:rFonts w:hint="eastAsia" w:ascii="宋体" w:hAnsi="宋体" w:eastAsia="宋体" w:cs="宋体"/>
          <w:color w:val="auto"/>
          <w:sz w:val="24"/>
          <w:szCs w:val="28"/>
          <w:lang w:bidi="ar"/>
        </w:rPr>
        <w:t>.▲核心产品（数字化园区综合管理平台）中标供应商在</w:t>
      </w:r>
      <w:r>
        <w:rPr>
          <w:rFonts w:hint="eastAsia" w:ascii="宋体" w:hAnsi="宋体" w:cs="宋体"/>
          <w:color w:val="auto"/>
          <w:sz w:val="24"/>
          <w:szCs w:val="28"/>
          <w:lang w:eastAsia="zh-CN" w:bidi="ar"/>
        </w:rPr>
        <w:t>开标后七日</w:t>
      </w:r>
      <w:r>
        <w:rPr>
          <w:rFonts w:hint="eastAsia" w:ascii="宋体" w:hAnsi="宋体" w:eastAsia="宋体" w:cs="宋体"/>
          <w:color w:val="auto"/>
          <w:sz w:val="24"/>
          <w:szCs w:val="28"/>
          <w:lang w:bidi="ar"/>
        </w:rPr>
        <w:t>内需提供加盖原厂公章的三年质保函及原厂服务原件，否则业主有权利拒绝与该中标供应商签订合同。</w:t>
      </w:r>
    </w:p>
    <w:p>
      <w:pPr>
        <w:spacing w:line="360" w:lineRule="auto"/>
        <w:jc w:val="left"/>
        <w:rPr>
          <w:rFonts w:hint="eastAsia" w:ascii="宋体" w:hAnsi="宋体" w:eastAsia="宋体" w:cs="宋体"/>
          <w:sz w:val="24"/>
          <w:szCs w:val="28"/>
          <w:lang w:bidi="ar"/>
        </w:rPr>
      </w:pPr>
      <w:r>
        <w:rPr>
          <w:rFonts w:hint="eastAsia" w:ascii="宋体" w:hAnsi="宋体" w:cs="宋体"/>
          <w:color w:val="auto"/>
          <w:sz w:val="24"/>
          <w:szCs w:val="28"/>
          <w:lang w:val="en-US" w:eastAsia="zh-CN" w:bidi="ar"/>
        </w:rPr>
        <w:t>7</w:t>
      </w:r>
      <w:r>
        <w:rPr>
          <w:rFonts w:hint="eastAsia" w:ascii="宋体" w:hAnsi="宋体" w:eastAsia="宋体" w:cs="宋体"/>
          <w:color w:val="auto"/>
          <w:sz w:val="24"/>
          <w:szCs w:val="28"/>
          <w:lang w:bidi="ar"/>
        </w:rPr>
        <w:t>.▲所有设备技术参数不允许负偏离，中标供应商在开标后</w:t>
      </w:r>
      <w:r>
        <w:rPr>
          <w:rFonts w:hint="eastAsia" w:ascii="宋体" w:hAnsi="宋体" w:cs="宋体"/>
          <w:color w:val="auto"/>
          <w:sz w:val="24"/>
          <w:szCs w:val="28"/>
          <w:lang w:eastAsia="zh-CN" w:bidi="ar"/>
        </w:rPr>
        <w:t>七日</w:t>
      </w:r>
      <w:r>
        <w:rPr>
          <w:rFonts w:hint="eastAsia" w:ascii="宋体" w:hAnsi="宋体" w:eastAsia="宋体" w:cs="宋体"/>
          <w:sz w:val="24"/>
          <w:szCs w:val="28"/>
          <w:lang w:bidi="ar"/>
        </w:rPr>
        <w:t>内需提供所有满足招标文件技术参数中明确要求的证明文件的原件，提交</w:t>
      </w:r>
      <w:r>
        <w:rPr>
          <w:rFonts w:hint="eastAsia" w:ascii="宋体" w:hAnsi="宋体" w:eastAsia="宋体" w:cs="宋体"/>
          <w:sz w:val="24"/>
          <w:szCs w:val="28"/>
          <w:lang w:eastAsia="zh-CN" w:bidi="ar"/>
        </w:rPr>
        <w:t>业主</w:t>
      </w:r>
      <w:r>
        <w:rPr>
          <w:rFonts w:hint="eastAsia" w:ascii="宋体" w:hAnsi="宋体" w:eastAsia="宋体" w:cs="宋体"/>
          <w:sz w:val="24"/>
          <w:szCs w:val="28"/>
          <w:lang w:bidi="ar"/>
        </w:rPr>
        <w:t>审核；不按时提供原件或证实参数要求不符的，作废标处理，由第二中标候选人通过原件审核后替补中标；同时向财政采购监管部门上报，若因此列入失信黑名单，一切后果由投标人自行承担。</w:t>
      </w:r>
    </w:p>
    <w:p>
      <w:pPr>
        <w:spacing w:line="360" w:lineRule="auto"/>
        <w:jc w:val="left"/>
        <w:rPr>
          <w:rFonts w:hint="eastAsia" w:ascii="宋体" w:hAnsi="宋体" w:eastAsia="宋体" w:cs="宋体"/>
          <w:sz w:val="24"/>
          <w:szCs w:val="28"/>
        </w:rPr>
      </w:pPr>
      <w:r>
        <w:rPr>
          <w:rFonts w:hint="eastAsia" w:ascii="宋体" w:hAnsi="宋体" w:cs="宋体"/>
          <w:sz w:val="24"/>
          <w:szCs w:val="28"/>
          <w:lang w:val="en-US" w:eastAsia="zh-CN"/>
        </w:rPr>
        <w:t>8</w:t>
      </w:r>
      <w:r>
        <w:rPr>
          <w:rFonts w:hint="eastAsia" w:ascii="宋体" w:hAnsi="宋体" w:eastAsia="宋体" w:cs="宋体"/>
          <w:sz w:val="24"/>
          <w:szCs w:val="28"/>
        </w:rPr>
        <w:t>.</w:t>
      </w:r>
      <w:r>
        <w:rPr>
          <w:rFonts w:hint="eastAsia" w:ascii="宋体" w:hAnsi="宋体" w:eastAsia="宋体" w:cs="宋体"/>
          <w:sz w:val="24"/>
          <w:szCs w:val="28"/>
          <w:lang w:bidi="ar"/>
        </w:rPr>
        <w:t>▲</w:t>
      </w:r>
      <w:r>
        <w:rPr>
          <w:rFonts w:hint="eastAsia" w:ascii="宋体" w:hAnsi="宋体" w:eastAsia="宋体" w:cs="宋体"/>
          <w:sz w:val="24"/>
          <w:szCs w:val="28"/>
        </w:rPr>
        <w:t>为保证系统的稳定性及便于服务和维护，方便后续使用过程中及时处理各种状况，视频监控系统、危化品车专用停车场管理系统主设备使用同一品牌。</w:t>
      </w:r>
    </w:p>
    <w:p>
      <w:pPr>
        <w:pStyle w:val="2"/>
        <w:ind w:left="0" w:leftChars="0" w:firstLine="0" w:firstLineChars="0"/>
        <w:rPr>
          <w:rFonts w:hint="eastAsia" w:ascii="宋体" w:hAnsi="宋体" w:eastAsia="宋体" w:cs="宋体"/>
          <w:kern w:val="2"/>
          <w:sz w:val="24"/>
          <w:szCs w:val="28"/>
          <w:lang w:val="en-US" w:eastAsia="zh-CN" w:bidi="ar"/>
        </w:rPr>
      </w:pPr>
      <w:r>
        <w:rPr>
          <w:rFonts w:hint="eastAsia" w:ascii="宋体" w:hAnsi="宋体" w:eastAsia="宋体" w:cs="宋体"/>
          <w:kern w:val="2"/>
          <w:sz w:val="24"/>
          <w:szCs w:val="28"/>
          <w:lang w:val="en-US" w:eastAsia="zh-CN" w:bidi="ar"/>
        </w:rPr>
        <w:t>9.</w:t>
      </w:r>
      <w:r>
        <w:rPr>
          <w:rFonts w:hint="eastAsia" w:ascii="宋体" w:hAnsi="宋体" w:eastAsia="宋体" w:cs="宋体"/>
          <w:sz w:val="24"/>
          <w:szCs w:val="28"/>
          <w:lang w:bidi="ar"/>
        </w:rPr>
        <w:t>▲</w:t>
      </w:r>
      <w:r>
        <w:rPr>
          <w:rFonts w:hint="eastAsia" w:ascii="宋体" w:hAnsi="宋体" w:eastAsia="宋体" w:cs="宋体"/>
          <w:sz w:val="24"/>
          <w:szCs w:val="28"/>
          <w:lang w:val="en-US" w:eastAsia="zh-CN" w:bidi="ar"/>
        </w:rPr>
        <w:t>中标</w:t>
      </w:r>
      <w:r>
        <w:rPr>
          <w:rFonts w:hint="eastAsia" w:ascii="宋体" w:hAnsi="宋体" w:eastAsia="宋体" w:cs="宋体"/>
          <w:kern w:val="2"/>
          <w:sz w:val="24"/>
          <w:szCs w:val="28"/>
          <w:lang w:val="en-US" w:eastAsia="zh-CN" w:bidi="ar"/>
        </w:rPr>
        <w:t>单位必须执行江山市人民政府办公室文件《江山市人民政府办公室关于加强公建项目协税护税工作的通知》（江政办发【2017】165号）等相关规定。</w:t>
      </w:r>
    </w:p>
    <w:p>
      <w:pPr>
        <w:spacing w:line="360" w:lineRule="auto"/>
        <w:jc w:val="left"/>
        <w:rPr>
          <w:rFonts w:hint="eastAsia" w:ascii="宋体" w:hAnsi="宋体" w:eastAsia="宋体" w:cs="宋体"/>
          <w:sz w:val="24"/>
          <w:szCs w:val="28"/>
          <w:lang w:val="zh-CN" w:bidi="ar"/>
        </w:rPr>
      </w:pPr>
      <w:r>
        <w:rPr>
          <w:rFonts w:hint="eastAsia" w:ascii="宋体" w:hAnsi="宋体" w:cs="宋体"/>
          <w:kern w:val="2"/>
          <w:sz w:val="24"/>
          <w:szCs w:val="28"/>
          <w:lang w:val="en-US" w:eastAsia="zh-CN" w:bidi="ar"/>
        </w:rPr>
        <w:t>10.</w:t>
      </w:r>
      <w:r>
        <w:rPr>
          <w:rFonts w:hint="eastAsia" w:ascii="宋体" w:hAnsi="宋体" w:eastAsia="宋体" w:cs="宋体"/>
          <w:sz w:val="24"/>
          <w:szCs w:val="28"/>
          <w:lang w:bidi="ar"/>
        </w:rPr>
        <w:t>▲</w:t>
      </w:r>
      <w:r>
        <w:rPr>
          <w:rFonts w:hint="eastAsia" w:ascii="宋体" w:hAnsi="宋体" w:cs="宋体"/>
          <w:sz w:val="24"/>
          <w:szCs w:val="28"/>
          <w:lang w:val="zh-CN" w:bidi="ar"/>
        </w:rPr>
        <w:t>货物</w:t>
      </w:r>
      <w:r>
        <w:rPr>
          <w:rFonts w:hint="eastAsia" w:ascii="宋体" w:hAnsi="宋体" w:eastAsia="宋体" w:cs="宋体"/>
          <w:sz w:val="24"/>
          <w:szCs w:val="28"/>
          <w:lang w:val="zh-CN" w:bidi="ar"/>
        </w:rPr>
        <w:t>设备采购应根据本</w:t>
      </w:r>
      <w:r>
        <w:rPr>
          <w:rFonts w:hint="eastAsia" w:ascii="宋体" w:hAnsi="宋体" w:cs="宋体"/>
          <w:sz w:val="24"/>
          <w:szCs w:val="28"/>
          <w:lang w:val="zh-CN" w:bidi="ar"/>
        </w:rPr>
        <w:t>采购</w:t>
      </w:r>
      <w:r>
        <w:rPr>
          <w:rFonts w:hint="eastAsia" w:ascii="宋体" w:hAnsi="宋体" w:eastAsia="宋体" w:cs="宋体"/>
          <w:sz w:val="24"/>
          <w:szCs w:val="28"/>
          <w:lang w:val="zh-CN" w:bidi="ar"/>
        </w:rPr>
        <w:t>文件和国家有关规定的具体要求进行采购，所有</w:t>
      </w:r>
      <w:r>
        <w:rPr>
          <w:rFonts w:hint="eastAsia" w:ascii="宋体" w:hAnsi="宋体" w:cs="宋体"/>
          <w:sz w:val="24"/>
          <w:szCs w:val="28"/>
          <w:lang w:val="zh-CN" w:bidi="ar"/>
        </w:rPr>
        <w:t>货物</w:t>
      </w:r>
      <w:r>
        <w:rPr>
          <w:rFonts w:hint="eastAsia" w:ascii="宋体" w:hAnsi="宋体" w:eastAsia="宋体" w:cs="宋体"/>
          <w:sz w:val="24"/>
          <w:szCs w:val="28"/>
          <w:lang w:val="zh-CN" w:bidi="ar"/>
        </w:rPr>
        <w:t>应选用具有一定生产规模和市场信誉好的生产厂和品牌，所有</w:t>
      </w:r>
      <w:r>
        <w:rPr>
          <w:rFonts w:hint="eastAsia" w:ascii="宋体" w:hAnsi="宋体" w:cs="宋体"/>
          <w:sz w:val="24"/>
          <w:szCs w:val="28"/>
          <w:lang w:val="zh-CN" w:bidi="ar"/>
        </w:rPr>
        <w:t>货物材料</w:t>
      </w:r>
      <w:r>
        <w:rPr>
          <w:rFonts w:hint="eastAsia" w:ascii="宋体" w:hAnsi="宋体" w:eastAsia="宋体" w:cs="宋体"/>
          <w:sz w:val="24"/>
          <w:szCs w:val="28"/>
          <w:lang w:val="zh-CN" w:bidi="ar"/>
        </w:rPr>
        <w:t>均应有合格证和质保书，符合国家规定的技术标准，并且须经</w:t>
      </w:r>
      <w:r>
        <w:rPr>
          <w:rFonts w:hint="eastAsia" w:ascii="宋体" w:hAnsi="宋体" w:cs="宋体"/>
          <w:sz w:val="24"/>
          <w:szCs w:val="28"/>
          <w:lang w:val="zh-CN" w:bidi="ar"/>
        </w:rPr>
        <w:t>业主或业主</w:t>
      </w:r>
      <w:r>
        <w:rPr>
          <w:rFonts w:hint="eastAsia" w:ascii="宋体" w:hAnsi="宋体" w:eastAsia="宋体" w:cs="宋体"/>
          <w:sz w:val="24"/>
          <w:szCs w:val="28"/>
          <w:lang w:val="zh-CN" w:bidi="ar"/>
        </w:rPr>
        <w:t>委托的监理单位批准才能使用。</w:t>
      </w:r>
    </w:p>
    <w:p>
      <w:pPr>
        <w:spacing w:line="360" w:lineRule="auto"/>
        <w:jc w:val="left"/>
        <w:rPr>
          <w:rFonts w:hint="eastAsia" w:ascii="宋体" w:hAnsi="宋体" w:eastAsia="宋体" w:cs="宋体"/>
          <w:sz w:val="24"/>
          <w:szCs w:val="28"/>
          <w:lang w:bidi="ar"/>
        </w:rPr>
      </w:pPr>
      <w:r>
        <w:rPr>
          <w:rFonts w:hint="eastAsia" w:ascii="宋体" w:hAnsi="宋体" w:eastAsia="宋体" w:cs="宋体"/>
          <w:sz w:val="24"/>
          <w:szCs w:val="28"/>
          <w:lang w:val="en-US" w:eastAsia="zh-CN" w:bidi="ar"/>
        </w:rPr>
        <w:t>1</w:t>
      </w:r>
      <w:r>
        <w:rPr>
          <w:rFonts w:hint="eastAsia" w:ascii="宋体" w:hAnsi="宋体" w:cs="宋体"/>
          <w:sz w:val="24"/>
          <w:szCs w:val="28"/>
          <w:lang w:val="en-US" w:eastAsia="zh-CN" w:bidi="ar"/>
        </w:rPr>
        <w:t>1</w:t>
      </w:r>
      <w:r>
        <w:rPr>
          <w:rFonts w:hint="eastAsia" w:ascii="宋体" w:hAnsi="宋体" w:eastAsia="宋体" w:cs="宋体"/>
          <w:sz w:val="24"/>
          <w:szCs w:val="28"/>
          <w:lang w:bidi="ar"/>
        </w:rPr>
        <w:t>.▲投标方需承诺为项目整体提供为期三年质保（自项目整体验收之日起）</w:t>
      </w:r>
    </w:p>
    <w:p>
      <w:pPr>
        <w:spacing w:line="360" w:lineRule="auto"/>
        <w:jc w:val="left"/>
        <w:rPr>
          <w:rFonts w:hint="eastAsia" w:ascii="宋体" w:hAnsi="宋体" w:eastAsia="宋体" w:cs="宋体"/>
          <w:sz w:val="24"/>
          <w:szCs w:val="28"/>
          <w:lang w:bidi="ar"/>
        </w:rPr>
        <w:sectPr>
          <w:headerReference r:id="rId10" w:type="first"/>
          <w:footerReference r:id="rId13" w:type="first"/>
          <w:footerReference r:id="rId11" w:type="default"/>
          <w:headerReference r:id="rId9" w:type="even"/>
          <w:footerReference r:id="rId12" w:type="even"/>
          <w:pgSz w:w="11906" w:h="16838"/>
          <w:pgMar w:top="851" w:right="851" w:bottom="851" w:left="851" w:header="851" w:footer="992" w:gutter="567"/>
          <w:pgNumType w:fmt="decimal"/>
          <w:cols w:space="720" w:num="1"/>
          <w:docGrid w:linePitch="312" w:charSpace="0"/>
        </w:sectPr>
      </w:pPr>
    </w:p>
    <w:p>
      <w:pPr>
        <w:autoSpaceDE w:val="0"/>
        <w:autoSpaceDN w:val="0"/>
        <w:adjustRightInd w:val="0"/>
        <w:spacing w:line="360" w:lineRule="auto"/>
        <w:jc w:val="center"/>
        <w:outlineLvl w:val="0"/>
        <w:rPr>
          <w:rFonts w:ascii="宋体" w:hAnsi="宋体"/>
          <w:b/>
          <w:bCs/>
          <w:sz w:val="32"/>
          <w:szCs w:val="32"/>
        </w:rPr>
      </w:pPr>
      <w:bookmarkStart w:id="174" w:name="_Toc45436689"/>
      <w:r>
        <w:rPr>
          <w:rFonts w:hint="eastAsia" w:ascii="宋体" w:hAnsi="宋体" w:cs="宋体"/>
          <w:b/>
          <w:bCs/>
          <w:sz w:val="32"/>
          <w:szCs w:val="32"/>
          <w:lang w:val="zh-CN"/>
        </w:rPr>
        <w:t>第四章</w:t>
      </w:r>
      <w:r>
        <w:rPr>
          <w:rFonts w:hint="eastAsia" w:ascii="宋体" w:hAnsi="宋体" w:cs="宋体"/>
          <w:b/>
          <w:bCs/>
          <w:sz w:val="32"/>
          <w:szCs w:val="32"/>
        </w:rPr>
        <w:t xml:space="preserve"> </w:t>
      </w:r>
      <w:r>
        <w:rPr>
          <w:rFonts w:hint="eastAsia" w:ascii="宋体" w:hAnsi="宋体" w:cs="宋体"/>
          <w:b/>
          <w:bCs/>
          <w:sz w:val="32"/>
          <w:szCs w:val="32"/>
          <w:lang w:val="zh-CN"/>
        </w:rPr>
        <w:t>评标办法及开评标程序</w:t>
      </w:r>
      <w:bookmarkEnd w:id="169"/>
      <w:bookmarkEnd w:id="170"/>
      <w:bookmarkEnd w:id="171"/>
      <w:bookmarkEnd w:id="172"/>
      <w:bookmarkEnd w:id="174"/>
    </w:p>
    <w:p>
      <w:pPr>
        <w:numPr>
          <w:ilvl w:val="0"/>
          <w:numId w:val="9"/>
        </w:numPr>
        <w:autoSpaceDE w:val="0"/>
        <w:autoSpaceDN w:val="0"/>
        <w:adjustRightInd w:val="0"/>
        <w:snapToGrid w:val="0"/>
        <w:outlineLvl w:val="1"/>
        <w:rPr>
          <w:rFonts w:ascii="宋体" w:hAnsi="宋体" w:cs="宋体"/>
          <w:b/>
          <w:bCs/>
          <w:sz w:val="24"/>
          <w:szCs w:val="24"/>
          <w:lang w:val="zh-CN"/>
        </w:rPr>
      </w:pPr>
      <w:bookmarkStart w:id="175" w:name="_Toc45436690"/>
      <w:r>
        <w:rPr>
          <w:rFonts w:hint="eastAsia" w:ascii="宋体" w:hAnsi="宋体" w:cs="宋体"/>
          <w:b/>
          <w:bCs/>
          <w:sz w:val="24"/>
          <w:szCs w:val="24"/>
          <w:lang w:val="zh-CN"/>
        </w:rPr>
        <w:t>评标委员会的组成</w:t>
      </w:r>
      <w:bookmarkEnd w:id="175"/>
    </w:p>
    <w:p>
      <w:pPr>
        <w:numPr>
          <w:ilvl w:val="1"/>
          <w:numId w:val="10"/>
        </w:numPr>
        <w:autoSpaceDE w:val="0"/>
        <w:autoSpaceDN w:val="0"/>
        <w:adjustRightInd w:val="0"/>
        <w:snapToGrid w:val="0"/>
        <w:rPr>
          <w:rFonts w:ascii="宋体" w:hAnsi="宋体"/>
          <w:sz w:val="24"/>
          <w:szCs w:val="24"/>
        </w:rPr>
      </w:pPr>
      <w:r>
        <w:rPr>
          <w:rFonts w:hint="eastAsia" w:ascii="宋体" w:hAnsi="宋体"/>
          <w:sz w:val="24"/>
        </w:rPr>
        <w:t>评标委员会从“政采云专家库系统”随机抽取的</w:t>
      </w:r>
      <w:r>
        <w:rPr>
          <w:rFonts w:hint="eastAsia" w:ascii="宋体" w:hAnsi="宋体"/>
          <w:sz w:val="24"/>
          <w:u w:val="single"/>
          <w:lang w:val="en-US" w:eastAsia="zh-CN"/>
        </w:rPr>
        <w:t>7</w:t>
      </w:r>
      <w:r>
        <w:rPr>
          <w:rFonts w:hint="eastAsia" w:ascii="宋体" w:hAnsi="宋体"/>
          <w:sz w:val="24"/>
        </w:rPr>
        <w:t>名专家组成，评标委员会对投标文件进行审查、询问、评估和比较。</w:t>
      </w:r>
    </w:p>
    <w:p>
      <w:pPr>
        <w:numPr>
          <w:ilvl w:val="1"/>
          <w:numId w:val="10"/>
        </w:numPr>
        <w:autoSpaceDE w:val="0"/>
        <w:autoSpaceDN w:val="0"/>
        <w:adjustRightInd w:val="0"/>
        <w:snapToGrid w:val="0"/>
        <w:rPr>
          <w:rFonts w:ascii="宋体" w:hAnsi="宋体"/>
          <w:sz w:val="24"/>
          <w:szCs w:val="24"/>
        </w:rPr>
      </w:pPr>
      <w:r>
        <w:rPr>
          <w:rFonts w:hint="eastAsia" w:ascii="宋体" w:hAnsi="宋体"/>
          <w:sz w:val="24"/>
          <w:szCs w:val="24"/>
        </w:rPr>
        <w:t>询标期间，供应商法人代表或法人委托人必须在场。负责解答有关事宜。如不在场，则视同默认采购结果，事后不得对采购相关人员、采购过程及结果提出异议。</w:t>
      </w:r>
    </w:p>
    <w:p>
      <w:pPr>
        <w:numPr>
          <w:ilvl w:val="0"/>
          <w:numId w:val="9"/>
        </w:numPr>
        <w:autoSpaceDE w:val="0"/>
        <w:autoSpaceDN w:val="0"/>
        <w:adjustRightInd w:val="0"/>
        <w:snapToGrid w:val="0"/>
        <w:outlineLvl w:val="1"/>
        <w:rPr>
          <w:rFonts w:ascii="宋体" w:hAnsi="宋体" w:cs="宋体"/>
          <w:b/>
          <w:bCs/>
          <w:sz w:val="24"/>
          <w:szCs w:val="24"/>
          <w:lang w:val="zh-CN"/>
        </w:rPr>
      </w:pPr>
      <w:bookmarkStart w:id="176" w:name="_Toc359924117"/>
      <w:bookmarkStart w:id="177" w:name="_Toc45436691"/>
      <w:r>
        <w:rPr>
          <w:rFonts w:hint="eastAsia" w:ascii="宋体" w:hAnsi="宋体" w:cs="宋体"/>
          <w:b/>
          <w:bCs/>
          <w:sz w:val="24"/>
          <w:szCs w:val="24"/>
          <w:lang w:val="zh-CN"/>
        </w:rPr>
        <w:t>评标原则</w:t>
      </w:r>
      <w:bookmarkEnd w:id="176"/>
      <w:bookmarkEnd w:id="177"/>
    </w:p>
    <w:p>
      <w:pPr>
        <w:numPr>
          <w:ilvl w:val="1"/>
          <w:numId w:val="11"/>
        </w:numPr>
        <w:snapToGrid w:val="0"/>
        <w:rPr>
          <w:rFonts w:ascii="宋体" w:hAnsi="宋体"/>
          <w:sz w:val="24"/>
          <w:szCs w:val="24"/>
        </w:rPr>
      </w:pPr>
      <w:r>
        <w:rPr>
          <w:rFonts w:hint="eastAsia" w:ascii="宋体" w:hAnsi="宋体"/>
          <w:sz w:val="24"/>
          <w:szCs w:val="24"/>
        </w:rPr>
        <w:t>本评标办法采用综合评分法，投标人得分由商务技术分和报价分合计组成,满分为100分。</w:t>
      </w:r>
    </w:p>
    <w:p>
      <w:pPr>
        <w:numPr>
          <w:ilvl w:val="1"/>
          <w:numId w:val="11"/>
        </w:numPr>
        <w:snapToGrid w:val="0"/>
        <w:rPr>
          <w:rFonts w:ascii="宋体" w:hAnsi="宋体"/>
          <w:sz w:val="24"/>
          <w:szCs w:val="24"/>
        </w:rPr>
      </w:pPr>
      <w:r>
        <w:rPr>
          <w:rFonts w:hint="eastAsia" w:ascii="宋体" w:hAnsi="宋体"/>
          <w:sz w:val="24"/>
          <w:szCs w:val="24"/>
        </w:rPr>
        <w:t>商务技术分与报价分合计得分最高者为第一中标候选人，得分次高者为第二中标候选人，总分相同时，价格低者优先。</w:t>
      </w:r>
    </w:p>
    <w:p>
      <w:pPr>
        <w:numPr>
          <w:ilvl w:val="1"/>
          <w:numId w:val="11"/>
        </w:numPr>
        <w:snapToGrid w:val="0"/>
        <w:rPr>
          <w:rFonts w:ascii="宋体" w:hAnsi="宋体"/>
          <w:sz w:val="24"/>
          <w:szCs w:val="24"/>
        </w:rPr>
      </w:pPr>
      <w:r>
        <w:rPr>
          <w:rFonts w:hint="eastAsia" w:ascii="宋体" w:hAnsi="宋体"/>
          <w:sz w:val="24"/>
          <w:szCs w:val="24"/>
        </w:rPr>
        <w:t>评标委员会根据招标文件和投标文件，结合技术评分细则对各投标人的商务技术部分进行评审。评标委员会各成员所评分值的算术平均值即为各投标人的商务技术分值（计算时四舍五入保留二位小数）。</w:t>
      </w:r>
    </w:p>
    <w:p>
      <w:pPr>
        <w:numPr>
          <w:ilvl w:val="1"/>
          <w:numId w:val="11"/>
        </w:numPr>
        <w:snapToGrid w:val="0"/>
        <w:rPr>
          <w:rFonts w:ascii="宋体" w:hAnsi="宋体" w:cs="宋体"/>
          <w:b/>
          <w:bCs/>
          <w:sz w:val="24"/>
          <w:szCs w:val="24"/>
          <w:lang w:val="zh-CN"/>
        </w:rPr>
      </w:pPr>
      <w:r>
        <w:rPr>
          <w:rFonts w:hint="eastAsia" w:ascii="宋体" w:hAnsi="宋体"/>
          <w:sz w:val="24"/>
          <w:szCs w:val="24"/>
        </w:rPr>
        <w:t>中标结果公告期间，浙江中正工程项目管理有限公司发出《中标通知书》。</w:t>
      </w:r>
      <w:bookmarkStart w:id="178" w:name="_Toc359924118"/>
      <w:bookmarkStart w:id="179" w:name="_Toc45436692"/>
    </w:p>
    <w:p>
      <w:pPr>
        <w:numPr>
          <w:ilvl w:val="0"/>
          <w:numId w:val="9"/>
        </w:numPr>
        <w:autoSpaceDE w:val="0"/>
        <w:autoSpaceDN w:val="0"/>
        <w:adjustRightInd w:val="0"/>
        <w:snapToGrid w:val="0"/>
        <w:outlineLvl w:val="1"/>
        <w:rPr>
          <w:rFonts w:hint="eastAsia" w:ascii="宋体" w:hAnsi="宋体" w:cs="宋体"/>
          <w:b/>
          <w:bCs/>
          <w:sz w:val="24"/>
          <w:szCs w:val="24"/>
          <w:lang w:val="zh-CN"/>
        </w:rPr>
      </w:pPr>
      <w:r>
        <w:rPr>
          <w:rFonts w:hint="eastAsia" w:ascii="宋体" w:hAnsi="宋体" w:cs="宋体"/>
          <w:b/>
          <w:bCs/>
          <w:sz w:val="24"/>
          <w:szCs w:val="24"/>
          <w:lang w:val="zh-CN"/>
        </w:rPr>
        <w:t>注意事项</w:t>
      </w:r>
      <w:bookmarkEnd w:id="178"/>
      <w:bookmarkEnd w:id="179"/>
    </w:p>
    <w:p>
      <w:pPr>
        <w:numPr>
          <w:ilvl w:val="0"/>
          <w:numId w:val="0"/>
        </w:numPr>
        <w:autoSpaceDE w:val="0"/>
        <w:autoSpaceDN w:val="0"/>
        <w:adjustRightInd w:val="0"/>
        <w:snapToGrid w:val="0"/>
        <w:outlineLvl w:val="1"/>
        <w:rPr>
          <w:rFonts w:hint="eastAsia" w:ascii="宋体" w:hAnsi="宋体" w:eastAsia="宋体" w:cs="宋体"/>
          <w:b/>
          <w:bCs/>
          <w:sz w:val="24"/>
          <w:szCs w:val="24"/>
          <w:lang w:val="zh-CN"/>
        </w:rPr>
      </w:pPr>
      <w:r>
        <w:rPr>
          <w:rFonts w:hint="eastAsia" w:ascii="宋体" w:hAnsi="宋体"/>
          <w:sz w:val="24"/>
          <w:szCs w:val="24"/>
        </w:rPr>
        <w:t>评审时如发现供应商的报价明显高于其市场报价或低于成本价的，评标委员会可要求该供应商书面说明并提供相关证明材料。该供应商不能合理说明原因并提供证明材料的，评审小组应将该供应商的采购响应文件作无效处理，同时采购组织机构应将该情况报同级财政部门，并视情将其列入不良供应商名单。</w:t>
      </w:r>
    </w:p>
    <w:p>
      <w:pPr>
        <w:numPr>
          <w:ilvl w:val="0"/>
          <w:numId w:val="9"/>
        </w:numPr>
        <w:autoSpaceDE w:val="0"/>
        <w:autoSpaceDN w:val="0"/>
        <w:adjustRightInd w:val="0"/>
        <w:snapToGrid w:val="0"/>
        <w:outlineLvl w:val="1"/>
        <w:rPr>
          <w:rFonts w:hint="eastAsia" w:ascii="宋体" w:hAnsi="宋体" w:cs="宋体"/>
          <w:b/>
          <w:bCs/>
          <w:sz w:val="24"/>
          <w:szCs w:val="24"/>
          <w:lang w:val="zh-CN"/>
        </w:rPr>
      </w:pPr>
      <w:r>
        <w:rPr>
          <w:rFonts w:hint="eastAsia" w:ascii="宋体" w:hAnsi="宋体" w:cs="宋体"/>
          <w:b/>
          <w:bCs/>
          <w:sz w:val="24"/>
          <w:szCs w:val="24"/>
          <w:lang w:val="zh-CN"/>
        </w:rPr>
        <w:t>评分标准</w:t>
      </w:r>
    </w:p>
    <w:tbl>
      <w:tblPr>
        <w:tblStyle w:val="60"/>
        <w:tblpPr w:leftFromText="180" w:rightFromText="180" w:vertAnchor="text" w:horzAnchor="page" w:tblpX="767" w:tblpY="270"/>
        <w:tblOverlap w:val="never"/>
        <w:tblW w:w="10845" w:type="dxa"/>
        <w:tblInd w:w="0" w:type="dxa"/>
        <w:shd w:val="clear" w:color="auto" w:fill="auto"/>
        <w:tblLayout w:type="fixed"/>
        <w:tblCellMar>
          <w:top w:w="0" w:type="dxa"/>
          <w:left w:w="0" w:type="dxa"/>
          <w:bottom w:w="0" w:type="dxa"/>
          <w:right w:w="0" w:type="dxa"/>
        </w:tblCellMar>
      </w:tblPr>
      <w:tblGrid>
        <w:gridCol w:w="555"/>
        <w:gridCol w:w="1471"/>
        <w:gridCol w:w="7049"/>
        <w:gridCol w:w="1770"/>
      </w:tblGrid>
      <w:tr>
        <w:tblPrEx>
          <w:shd w:val="clear" w:color="auto" w:fill="auto"/>
          <w:tblCellMar>
            <w:top w:w="0" w:type="dxa"/>
            <w:left w:w="0" w:type="dxa"/>
            <w:bottom w:w="0" w:type="dxa"/>
            <w:right w:w="0" w:type="dxa"/>
          </w:tblCellMar>
        </w:tblPrEx>
        <w:trPr>
          <w:trHeight w:val="62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评分类别</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评分内容</w:t>
            </w:r>
          </w:p>
        </w:tc>
        <w:tc>
          <w:tcPr>
            <w:tcW w:w="70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评分细则内容</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367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商务文件</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30</w:t>
            </w:r>
            <w:r>
              <w:rPr>
                <w:rFonts w:hint="eastAsia" w:ascii="宋体" w:hAnsi="宋体" w:eastAsia="宋体" w:cs="宋体"/>
                <w:i w:val="0"/>
                <w:color w:val="000000"/>
                <w:kern w:val="0"/>
                <w:sz w:val="22"/>
                <w:szCs w:val="22"/>
                <w:u w:val="none"/>
                <w:lang w:val="en-US" w:eastAsia="zh-CN" w:bidi="ar"/>
              </w:rPr>
              <w:t>分）</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w:t>
            </w:r>
          </w:p>
        </w:tc>
        <w:tc>
          <w:tcPr>
            <w:tcW w:w="7049"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numPr>
                <w:ilvl w:val="0"/>
                <w:numId w:val="0"/>
              </w:numPr>
              <w:ind w:firstLine="440" w:firstLineChars="200"/>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1、基准价为满足评标要求且投标价格最低的报价，</w:t>
            </w:r>
          </w:p>
          <w:p>
            <w:pPr>
              <w:widowControl/>
              <w:numPr>
                <w:ilvl w:val="0"/>
                <w:numId w:val="0"/>
              </w:numP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投标报价得分=(基准价／投标报价)×30，四舍五入，保留两位小数。</w:t>
            </w:r>
          </w:p>
          <w:p>
            <w:pPr>
              <w:widowControl/>
              <w:numPr>
                <w:ilvl w:val="0"/>
                <w:numId w:val="0"/>
              </w:numPr>
              <w:ind w:firstLine="440" w:firstLineChars="200"/>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2、供应商的报价超过采购人预算价的，对供应商作无效响应处理。根据《政府采购促进中小企业发展暂行办法》（财库[2011]181号文件）的规定，现对小型和微型企业制造的产品（或提供的服务）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widowControl/>
              <w:numPr>
                <w:ilvl w:val="0"/>
                <w:numId w:val="0"/>
              </w:numPr>
              <w:ind w:firstLine="440" w:firstLineChars="200"/>
              <w:textAlignment w:val="center"/>
              <w:rPr>
                <w:rFonts w:hint="eastAsia" w:ascii="宋体" w:hAnsi="宋体" w:eastAsia="宋体" w:cs="宋体"/>
                <w:i w:val="0"/>
                <w:color w:val="000000"/>
                <w:sz w:val="22"/>
                <w:szCs w:val="22"/>
                <w:u w:val="none"/>
              </w:rPr>
            </w:pPr>
            <w:r>
              <w:rPr>
                <w:rFonts w:hint="eastAsia" w:ascii="宋体" w:hAnsi="宋体"/>
                <w:color w:val="000000"/>
                <w:kern w:val="0"/>
                <w:sz w:val="22"/>
                <w:szCs w:val="22"/>
                <w:lang w:val="en-US" w:eastAsia="zh-CN"/>
              </w:rPr>
              <w:t>属于小型、微型企业的残疾人福利性单位、监狱企业，不重复享受政策。供应商提供的《残疾人福利性单位声明函》、《监狱企业声明函》与事实不符的，依照《政府采购法》第七十七条第一款的规定追究法律责任。</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55" w:type="dxa"/>
            <w:vMerge w:val="restart"/>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pStyle w:val="2"/>
              <w:ind w:left="0" w:leftChars="0" w:firstLine="0" w:firstLineChars="0"/>
              <w:rPr>
                <w:rFonts w:hint="eastAsia"/>
                <w:sz w:val="32"/>
                <w:szCs w:val="22"/>
                <w:lang w:eastAsia="zh-CN"/>
              </w:rPr>
            </w:pP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技</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术</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得</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分</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w:t>
            </w:r>
          </w:p>
          <w:p>
            <w:pPr>
              <w:spacing w:line="480" w:lineRule="auto"/>
              <w:ind w:firstLine="280" w:firstLineChars="100"/>
              <w:jc w:val="both"/>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3</w:t>
            </w:r>
          </w:p>
          <w:p>
            <w:pPr>
              <w:spacing w:line="480" w:lineRule="auto"/>
              <w:ind w:firstLine="280" w:firstLineChars="100"/>
              <w:jc w:val="both"/>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8</w:t>
            </w:r>
          </w:p>
          <w:p>
            <w:pPr>
              <w:spacing w:line="480" w:lineRule="auto"/>
              <w:jc w:val="center"/>
              <w:rPr>
                <w:rFonts w:hint="eastAsia"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分</w:t>
            </w:r>
          </w:p>
          <w:p>
            <w:pPr>
              <w:spacing w:line="480" w:lineRule="auto"/>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8"/>
                <w:szCs w:val="28"/>
                <w:u w:val="none"/>
                <w:lang w:eastAsia="zh-CN"/>
              </w:rPr>
              <w:t>）</w:t>
            </w: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387"/>
              <w:spacing w:line="32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现状分析与理解（</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numPr>
                <w:ilvl w:val="0"/>
                <w:numId w:val="0"/>
              </w:numP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olor w:val="000000"/>
                <w:kern w:val="0"/>
                <w:sz w:val="22"/>
                <w:szCs w:val="22"/>
              </w:rPr>
              <w:t>投标人对本项目</w:t>
            </w:r>
            <w:r>
              <w:rPr>
                <w:rFonts w:hint="eastAsia" w:ascii="宋体" w:hAnsi="宋体"/>
                <w:color w:val="000000"/>
                <w:kern w:val="0"/>
                <w:sz w:val="22"/>
                <w:szCs w:val="22"/>
                <w:lang w:eastAsia="zh-CN"/>
              </w:rPr>
              <w:t>现状、</w:t>
            </w:r>
            <w:r>
              <w:rPr>
                <w:rFonts w:hint="eastAsia" w:ascii="宋体" w:hAnsi="宋体"/>
                <w:color w:val="000000"/>
                <w:kern w:val="0"/>
                <w:sz w:val="22"/>
                <w:szCs w:val="22"/>
              </w:rPr>
              <w:t>建设目标、业务及功能需求的理解及分析、认识是否到位、建设思路是否清晰</w:t>
            </w:r>
            <w:r>
              <w:rPr>
                <w:rFonts w:hint="eastAsia" w:ascii="宋体" w:hAnsi="宋体"/>
                <w:color w:val="000000"/>
                <w:kern w:val="0"/>
                <w:sz w:val="22"/>
                <w:szCs w:val="22"/>
                <w:lang w:eastAsia="zh-CN"/>
              </w:rPr>
              <w:t>、</w:t>
            </w:r>
            <w:r>
              <w:rPr>
                <w:rFonts w:hint="eastAsia" w:ascii="宋体" w:hAnsi="宋体"/>
                <w:color w:val="000000"/>
                <w:kern w:val="0"/>
                <w:sz w:val="22"/>
                <w:szCs w:val="22"/>
              </w:rPr>
              <w:t>进行综合分析比较评分</w:t>
            </w:r>
            <w:r>
              <w:rPr>
                <w:rFonts w:hint="eastAsia" w:ascii="宋体" w:hAnsi="宋体"/>
                <w:color w:val="000000"/>
                <w:kern w:val="0"/>
                <w:sz w:val="22"/>
                <w:szCs w:val="22"/>
                <w:lang w:eastAsia="zh-CN"/>
              </w:rPr>
              <w:t>。</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s="宋体"/>
                <w:color w:val="auto"/>
                <w:szCs w:val="21"/>
                <w:highlight w:val="none"/>
              </w:rPr>
            </w:pPr>
          </w:p>
          <w:p>
            <w:pPr>
              <w:keepNext w:val="0"/>
              <w:keepLines w:val="0"/>
              <w:widowControl/>
              <w:suppressLineNumbers w:val="0"/>
              <w:jc w:val="both"/>
              <w:textAlignment w:val="center"/>
              <w:rPr>
                <w:rFonts w:hint="eastAsia" w:ascii="宋体" w:hAnsi="宋体" w:cs="宋体"/>
                <w:color w:val="auto"/>
                <w:szCs w:val="21"/>
                <w:highlight w:val="none"/>
              </w:rPr>
            </w:pPr>
          </w:p>
          <w:p>
            <w:pPr>
              <w:keepNext w:val="0"/>
              <w:keepLines w:val="0"/>
              <w:widowControl/>
              <w:suppressLineNumbers w:val="0"/>
              <w:jc w:val="both"/>
              <w:textAlignment w:val="center"/>
              <w:rPr>
                <w:rFonts w:hint="default" w:ascii="宋体" w:hAnsi="宋体" w:eastAsia="宋体" w:cs="宋体"/>
                <w:i w:val="0"/>
                <w:color w:val="000000"/>
                <w:sz w:val="22"/>
                <w:szCs w:val="22"/>
                <w:u w:val="none"/>
                <w:lang w:val="en-US" w:eastAsia="zh-CN"/>
              </w:rPr>
            </w:pPr>
            <w:r>
              <w:rPr>
                <w:rFonts w:hint="eastAsia" w:ascii="宋体" w:hAnsi="宋体" w:cs="宋体"/>
                <w:color w:val="auto"/>
                <w:szCs w:val="21"/>
                <w:highlight w:val="none"/>
              </w:rPr>
              <w:t>项目实施方案各分项评分标准</w:t>
            </w:r>
            <w:r>
              <w:rPr>
                <w:rFonts w:hint="eastAsia" w:ascii="宋体" w:hAnsi="宋体" w:cs="宋体"/>
                <w:color w:val="auto"/>
                <w:szCs w:val="21"/>
                <w:highlight w:val="none"/>
                <w:lang w:eastAsia="zh-CN"/>
              </w:rPr>
              <w:t>：</w:t>
            </w:r>
            <w:r>
              <w:rPr>
                <w:rFonts w:hint="eastAsia" w:ascii="宋体" w:hAnsi="宋体" w:cs="宋体"/>
                <w:color w:val="auto"/>
                <w:szCs w:val="21"/>
                <w:highlight w:val="none"/>
              </w:rPr>
              <w:t>内容齐全得该项分值60%</w:t>
            </w:r>
            <w:r>
              <w:rPr>
                <w:rFonts w:hint="eastAsia" w:ascii="宋体" w:hAnsi="宋体" w:cs="宋体"/>
                <w:color w:val="auto"/>
                <w:szCs w:val="21"/>
                <w:highlight w:val="none"/>
                <w:lang w:eastAsia="zh-CN"/>
              </w:rPr>
              <w:t>，</w:t>
            </w:r>
            <w:r>
              <w:rPr>
                <w:rFonts w:hint="eastAsia" w:ascii="宋体" w:hAnsi="宋体" w:cs="宋体"/>
                <w:color w:val="auto"/>
                <w:szCs w:val="21"/>
                <w:highlight w:val="none"/>
              </w:rPr>
              <w:t>在此基础上视内容酌情给分</w:t>
            </w:r>
          </w:p>
        </w:tc>
      </w:tr>
      <w:tr>
        <w:tblPrEx>
          <w:shd w:val="clear" w:color="auto" w:fill="auto"/>
          <w:tblCellMar>
            <w:top w:w="0" w:type="dxa"/>
            <w:left w:w="0" w:type="dxa"/>
            <w:bottom w:w="0" w:type="dxa"/>
            <w:right w:w="0" w:type="dxa"/>
          </w:tblCellMar>
        </w:tblPrEx>
        <w:trPr>
          <w:trHeight w:val="686" w:hRule="atLeast"/>
        </w:trPr>
        <w:tc>
          <w:tcPr>
            <w:tcW w:w="55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387"/>
              <w:spacing w:line="32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项目技术方案</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numPr>
                <w:ilvl w:val="0"/>
                <w:numId w:val="0"/>
              </w:numP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olor w:val="000000"/>
                <w:kern w:val="0"/>
                <w:sz w:val="22"/>
                <w:szCs w:val="22"/>
              </w:rPr>
              <w:t>整体方案</w:t>
            </w:r>
            <w:bookmarkStart w:id="214" w:name="_GoBack"/>
            <w:bookmarkEnd w:id="214"/>
            <w:r>
              <w:rPr>
                <w:rFonts w:hint="eastAsia" w:ascii="宋体" w:hAnsi="宋体"/>
                <w:color w:val="000000"/>
                <w:kern w:val="0"/>
                <w:sz w:val="22"/>
                <w:szCs w:val="22"/>
                <w:lang w:eastAsia="zh-CN"/>
              </w:rPr>
              <w:t>理解</w:t>
            </w:r>
            <w:r>
              <w:rPr>
                <w:rFonts w:hint="eastAsia" w:ascii="宋体" w:hAnsi="宋体"/>
                <w:color w:val="000000"/>
                <w:kern w:val="0"/>
                <w:sz w:val="22"/>
                <w:szCs w:val="22"/>
              </w:rPr>
              <w:t>思路清晰，目标明确，</w:t>
            </w:r>
            <w:r>
              <w:rPr>
                <w:rFonts w:hint="eastAsia" w:ascii="宋体" w:hAnsi="宋体"/>
                <w:color w:val="000000"/>
                <w:kern w:val="0"/>
                <w:sz w:val="22"/>
                <w:szCs w:val="22"/>
                <w:lang w:eastAsia="zh-CN"/>
              </w:rPr>
              <w:t>解决方案</w:t>
            </w:r>
            <w:r>
              <w:rPr>
                <w:rFonts w:hint="eastAsia" w:ascii="宋体" w:hAnsi="宋体"/>
                <w:color w:val="000000"/>
                <w:kern w:val="0"/>
                <w:sz w:val="22"/>
                <w:szCs w:val="22"/>
              </w:rPr>
              <w:t>科学合理，所采用技术均满足</w:t>
            </w:r>
            <w:r>
              <w:rPr>
                <w:rFonts w:hint="eastAsia" w:ascii="宋体" w:hAnsi="宋体"/>
                <w:color w:val="000000"/>
                <w:kern w:val="0"/>
                <w:sz w:val="22"/>
                <w:szCs w:val="22"/>
                <w:lang w:eastAsia="zh-CN"/>
              </w:rPr>
              <w:t>项目</w:t>
            </w:r>
            <w:r>
              <w:rPr>
                <w:rFonts w:hint="eastAsia" w:ascii="宋体" w:hAnsi="宋体"/>
                <w:color w:val="000000"/>
                <w:kern w:val="0"/>
                <w:sz w:val="22"/>
                <w:szCs w:val="22"/>
              </w:rPr>
              <w:t>技术要求；系统设计满足安全性，严密性，先进性，易用性，可靠性，开放性，扩展性等方面要求，进行综合分析比较评分</w:t>
            </w:r>
            <w:r>
              <w:rPr>
                <w:rFonts w:hint="eastAsia" w:ascii="宋体" w:hAnsi="宋体"/>
                <w:color w:val="000000"/>
                <w:kern w:val="0"/>
                <w:sz w:val="22"/>
                <w:szCs w:val="22"/>
                <w:lang w:eastAsia="zh-CN"/>
              </w:rPr>
              <w:t>。</w:t>
            </w: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5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387"/>
              <w:spacing w:line="32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项目实施方案（</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numPr>
                <w:ilvl w:val="0"/>
                <w:numId w:val="0"/>
              </w:numP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olor w:val="000000"/>
                <w:kern w:val="0"/>
                <w:sz w:val="22"/>
                <w:szCs w:val="22"/>
              </w:rPr>
              <w:t>根据投标人对本项目建设目标、业务功能需求</w:t>
            </w:r>
            <w:r>
              <w:rPr>
                <w:rFonts w:hint="eastAsia" w:ascii="宋体" w:hAnsi="宋体"/>
                <w:color w:val="000000"/>
                <w:kern w:val="0"/>
                <w:sz w:val="22"/>
                <w:szCs w:val="22"/>
                <w:lang w:eastAsia="zh-CN"/>
              </w:rPr>
              <w:t>及设计方案</w:t>
            </w:r>
            <w:r>
              <w:rPr>
                <w:rFonts w:hint="eastAsia" w:ascii="宋体" w:hAnsi="宋体"/>
                <w:color w:val="000000"/>
                <w:kern w:val="0"/>
                <w:sz w:val="22"/>
                <w:szCs w:val="22"/>
              </w:rPr>
              <w:t>的理解分析，提供详细的、合理的、实施性强的项目实施组织、实施进度计划、项目实施管理方案、进度保障措施及质量保证措施</w:t>
            </w:r>
            <w:r>
              <w:rPr>
                <w:rFonts w:hint="eastAsia" w:ascii="宋体" w:hAnsi="宋体"/>
                <w:color w:val="000000"/>
                <w:kern w:val="0"/>
                <w:sz w:val="22"/>
                <w:szCs w:val="22"/>
                <w:lang w:eastAsia="zh-CN"/>
              </w:rPr>
              <w:t>。</w:t>
            </w: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766" w:hRule="atLeast"/>
        </w:trPr>
        <w:tc>
          <w:tcPr>
            <w:tcW w:w="555" w:type="dxa"/>
            <w:vMerge w:val="continue"/>
            <w:tcBorders>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系统演示</w:t>
            </w:r>
          </w:p>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（25分）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重点演示系统场景如下：</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1.</w:t>
            </w:r>
            <w:r>
              <w:rPr>
                <w:rFonts w:hint="eastAsia" w:ascii="宋体" w:hAnsi="宋体" w:cs="宋体"/>
                <w:b/>
                <w:bCs/>
                <w:i w:val="0"/>
                <w:color w:val="auto"/>
                <w:kern w:val="0"/>
                <w:sz w:val="22"/>
                <w:szCs w:val="22"/>
                <w:u w:val="none"/>
                <w:lang w:val="en-US" w:eastAsia="zh-CN" w:bidi="ar"/>
              </w:rPr>
              <w:t>数字化园区指挥中心</w:t>
            </w:r>
            <w:r>
              <w:rPr>
                <w:rFonts w:hint="eastAsia" w:ascii="宋体" w:hAnsi="宋体" w:eastAsia="宋体" w:cs="宋体"/>
                <w:b/>
                <w:bCs/>
                <w:i w:val="0"/>
                <w:color w:val="auto"/>
                <w:kern w:val="0"/>
                <w:sz w:val="22"/>
                <w:szCs w:val="22"/>
                <w:u w:val="none"/>
                <w:lang w:val="en-US" w:eastAsia="zh-CN" w:bidi="ar"/>
              </w:rPr>
              <w:t>（</w:t>
            </w:r>
            <w:r>
              <w:rPr>
                <w:rFonts w:hint="eastAsia" w:ascii="宋体" w:hAnsi="宋体" w:cs="宋体"/>
                <w:b/>
                <w:bCs/>
                <w:i w:val="0"/>
                <w:color w:val="auto"/>
                <w:kern w:val="0"/>
                <w:sz w:val="22"/>
                <w:szCs w:val="22"/>
                <w:u w:val="none"/>
                <w:lang w:val="en-US" w:eastAsia="zh-CN" w:bidi="ar"/>
              </w:rPr>
              <w:t>5</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结合GIS二三维一体化地图汇聚并展示：园区运营管理数据（包括年产值、入驻企业、科技创新、重大项目等运营数据分析）、园区安全风险分析（包括园区涉及“两重点一重大”企业、风险数量，监测预警趋势分析及隐患整改数据汇总）、园区环保监管（包括园区大气环境、水环境、污染源和固废处置数据监测和管控）、园区封闭监管（包括专用停车场、危化品运输车辆以及封闭管控设备分析等）和应急救援（包括应急预案、应急物资和应急值守人员）等维度的综合数据分析和专题数据分析，并支持实时推送最新的风险动态信息，以帮助园区领导快速掌控园区的实时动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2.企业基础信息管理（</w:t>
            </w:r>
            <w:r>
              <w:rPr>
                <w:rFonts w:hint="eastAsia" w:ascii="宋体" w:hAnsi="宋体" w:cs="宋体"/>
                <w:b/>
                <w:bCs/>
                <w:i w:val="0"/>
                <w:color w:val="auto"/>
                <w:kern w:val="0"/>
                <w:sz w:val="22"/>
                <w:szCs w:val="22"/>
                <w:u w:val="none"/>
                <w:lang w:val="en-US" w:eastAsia="zh-CN" w:bidi="ar"/>
              </w:rPr>
              <w:t>5</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录入并监管园区企业的基础信息，尤其是“两重点一重大”企业，包括企业的基本信息、企业平面图、消防应急疏散图、危险特性、资格证照、特种设备、规章制度、隐患信息、行政处罚和环保排污许可信息等，以便于园区管委会实时全面实时掌握辖区企业详细信息。</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3.物联网感知数据监测预警动态联动演示（</w:t>
            </w:r>
            <w:r>
              <w:rPr>
                <w:rFonts w:hint="eastAsia" w:ascii="宋体" w:hAnsi="宋体" w:cs="宋体"/>
                <w:b/>
                <w:bCs/>
                <w:i w:val="0"/>
                <w:color w:val="auto"/>
                <w:kern w:val="0"/>
                <w:sz w:val="22"/>
                <w:szCs w:val="22"/>
                <w:u w:val="none"/>
                <w:lang w:val="en-US" w:eastAsia="zh-CN" w:bidi="ar"/>
              </w:rPr>
              <w:t>5</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需采用系统平台+实际设备联动演示，否则不得分。能够演示从传感器感知设备—系统平台的联动演示，实时展示传感器感知设备实时监测数据和报警信号经物联网采集主机上传后在系统平台上实时展示。帮助园区管理者实现自动实时监测，及时预警，预防事故的发生。</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4.风险分级管控与隐患排查治理（</w:t>
            </w:r>
            <w:r>
              <w:rPr>
                <w:rFonts w:hint="eastAsia" w:ascii="宋体" w:hAnsi="宋体" w:cs="宋体"/>
                <w:b/>
                <w:bCs/>
                <w:i w:val="0"/>
                <w:color w:val="auto"/>
                <w:kern w:val="0"/>
                <w:sz w:val="22"/>
                <w:szCs w:val="22"/>
                <w:u w:val="none"/>
                <w:lang w:val="en-US" w:eastAsia="zh-CN" w:bidi="ar"/>
              </w:rPr>
              <w:t>5</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展示园区安全风险承诺公告（企业每日线上风险承诺公告及公告统计）、风险分级管控（以“红橙黄蓝”四色图形式展示不同区域风险级别并实现风险动态变化查看）、隐患排查治理（包括统计汇总、企业自查自报、园区网格巡查、隐患台账）。</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即传感器--物联网主机--系统平台；重大危险源安全状况进行实时监测和自动告警，做到及时发现，预防事故的发生，实现重大危险源的动态监测和全面管理，落实企业主体责任、加强监管能力，重大危险源组成数据、视频联动监测与报警推送、处理闭环管控。</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5.应急指挥救援系统（</w:t>
            </w:r>
            <w:r>
              <w:rPr>
                <w:rFonts w:hint="eastAsia" w:ascii="宋体" w:hAnsi="宋体" w:cs="宋体"/>
                <w:b/>
                <w:bCs/>
                <w:i w:val="0"/>
                <w:color w:val="auto"/>
                <w:kern w:val="0"/>
                <w:sz w:val="22"/>
                <w:szCs w:val="22"/>
                <w:u w:val="none"/>
                <w:lang w:val="en-US" w:eastAsia="zh-CN" w:bidi="ar"/>
              </w:rPr>
              <w:t>5</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展示从应急值守（包括值守接警、排班管理、警情统计等）、应急资源（8大应急资源管理：避难场所、救援队伍、医疗资源、物资装备、应急机构、应急专家、运输保障、通信保障）、应急预案（政府与企业的预案管理及汇总）、应急演练（应急演练计划、记录管理）、指挥救援（基于GIS可模拟从事件接报、应急资源综合查询分析、事故后果趋势分析研判、智能匹配救援方案整个救援环节）到事后评估（救援过程重现、救援评估）的全过程应急救援处置闭环管控。</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ind w:firstLine="420" w:firstLineChars="20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针对本项目的主要建设内容，投标供应商应结合本项目典型业务场景进行系统演示。</w:t>
            </w:r>
          </w:p>
          <w:p>
            <w:pPr>
              <w:keepNext w:val="0"/>
              <w:keepLines w:val="0"/>
              <w:widowControl/>
              <w:suppressLineNumbers w:val="0"/>
              <w:ind w:firstLine="420" w:firstLineChars="20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演示时间控制在25分钟之内。评标委员会专家对投标人的现场演示部分进行比较后在0-</w:t>
            </w:r>
            <w:r>
              <w:rPr>
                <w:rFonts w:hint="eastAsia" w:ascii="宋体" w:hAnsi="宋体" w:cs="宋体"/>
                <w:i w:val="0"/>
                <w:color w:val="auto"/>
                <w:kern w:val="0"/>
                <w:sz w:val="21"/>
                <w:szCs w:val="21"/>
                <w:u w:val="none"/>
                <w:lang w:val="en-US" w:eastAsia="zh-CN" w:bidi="ar"/>
              </w:rPr>
              <w:t>30</w:t>
            </w:r>
            <w:r>
              <w:rPr>
                <w:rFonts w:hint="eastAsia" w:ascii="宋体" w:hAnsi="宋体" w:eastAsia="宋体" w:cs="宋体"/>
                <w:i w:val="0"/>
                <w:color w:val="auto"/>
                <w:kern w:val="0"/>
                <w:sz w:val="21"/>
                <w:szCs w:val="21"/>
                <w:u w:val="none"/>
                <w:lang w:val="en-US" w:eastAsia="zh-CN" w:bidi="ar"/>
              </w:rPr>
              <w:t>分内打分。</w:t>
            </w:r>
          </w:p>
          <w:p>
            <w:pPr>
              <w:keepNext w:val="0"/>
              <w:keepLines w:val="0"/>
              <w:widowControl/>
              <w:suppressLineNumbers w:val="0"/>
              <w:ind w:firstLine="210" w:firstLineChars="100"/>
              <w:jc w:val="both"/>
              <w:textAlignment w:val="center"/>
              <w:rPr>
                <w:rFonts w:hint="eastAsia" w:ascii="宋体" w:hAnsi="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cs="宋体"/>
                <w:i w:val="0"/>
                <w:color w:val="auto"/>
                <w:kern w:val="0"/>
                <w:sz w:val="21"/>
                <w:szCs w:val="21"/>
                <w:u w:val="none"/>
                <w:lang w:val="en-US" w:eastAsia="zh-CN" w:bidi="ar"/>
              </w:rPr>
              <w:t>①</w:t>
            </w:r>
            <w:r>
              <w:rPr>
                <w:rFonts w:hint="eastAsia" w:ascii="宋体" w:hAnsi="宋体" w:eastAsia="宋体" w:cs="宋体"/>
                <w:i w:val="0"/>
                <w:color w:val="auto"/>
                <w:kern w:val="0"/>
                <w:sz w:val="21"/>
                <w:szCs w:val="21"/>
                <w:u w:val="none"/>
                <w:lang w:val="en-US" w:eastAsia="zh-CN" w:bidi="ar"/>
              </w:rPr>
              <w:t>其中采用</w:t>
            </w:r>
            <w:r>
              <w:rPr>
                <w:rFonts w:hint="eastAsia" w:ascii="宋体" w:hAnsi="宋体" w:cs="宋体"/>
                <w:i w:val="0"/>
                <w:color w:val="auto"/>
                <w:kern w:val="0"/>
                <w:sz w:val="21"/>
                <w:szCs w:val="21"/>
                <w:u w:val="none"/>
                <w:lang w:val="en-US" w:eastAsia="zh-CN" w:bidi="ar"/>
              </w:rPr>
              <w:t>真实</w:t>
            </w:r>
            <w:r>
              <w:rPr>
                <w:rFonts w:hint="eastAsia" w:ascii="宋体" w:hAnsi="宋体" w:eastAsia="宋体" w:cs="宋体"/>
                <w:i w:val="0"/>
                <w:color w:val="auto"/>
                <w:kern w:val="0"/>
                <w:sz w:val="21"/>
                <w:szCs w:val="21"/>
                <w:u w:val="none"/>
                <w:lang w:val="en-US" w:eastAsia="zh-CN" w:bidi="ar"/>
              </w:rPr>
              <w:t>系统演示</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5大场景模块每一项功能完整且演示流畅得满分，各场景模块中功能内容每缺失一个扣1分，扣完为止</w:t>
            </w:r>
            <w:r>
              <w:rPr>
                <w:rFonts w:hint="eastAsia" w:ascii="宋体" w:hAnsi="宋体" w:cs="宋体"/>
                <w:i w:val="0"/>
                <w:color w:val="auto"/>
                <w:kern w:val="0"/>
                <w:sz w:val="21"/>
                <w:szCs w:val="21"/>
                <w:u w:val="none"/>
                <w:lang w:val="en-US" w:eastAsia="zh-CN" w:bidi="ar"/>
              </w:rPr>
              <w:t>，满分</w:t>
            </w:r>
            <w:r>
              <w:rPr>
                <w:rFonts w:hint="eastAsia" w:ascii="宋体" w:hAnsi="宋体" w:eastAsia="宋体" w:cs="宋体"/>
                <w:i w:val="0"/>
                <w:color w:val="auto"/>
                <w:kern w:val="0"/>
                <w:sz w:val="21"/>
                <w:szCs w:val="21"/>
                <w:u w:val="none"/>
                <w:lang w:val="en-US" w:eastAsia="zh-CN" w:bidi="ar"/>
              </w:rPr>
              <w:t>得</w:t>
            </w:r>
            <w:r>
              <w:rPr>
                <w:rFonts w:hint="eastAsia" w:ascii="宋体" w:hAnsi="宋体" w:cs="宋体"/>
                <w:i w:val="0"/>
                <w:color w:val="auto"/>
                <w:kern w:val="0"/>
                <w:sz w:val="21"/>
                <w:szCs w:val="21"/>
                <w:u w:val="none"/>
                <w:lang w:val="en-US" w:eastAsia="zh-CN" w:bidi="ar"/>
              </w:rPr>
              <w:t>30</w:t>
            </w:r>
            <w:r>
              <w:rPr>
                <w:rFonts w:hint="eastAsia" w:ascii="宋体" w:hAnsi="宋体" w:eastAsia="宋体" w:cs="宋体"/>
                <w:i w:val="0"/>
                <w:color w:val="auto"/>
                <w:kern w:val="0"/>
                <w:sz w:val="21"/>
                <w:szCs w:val="21"/>
                <w:u w:val="none"/>
                <w:lang w:val="en-US" w:eastAsia="zh-CN" w:bidi="ar"/>
              </w:rPr>
              <w:t>分</w:t>
            </w:r>
            <w:r>
              <w:rPr>
                <w:rFonts w:hint="eastAsia" w:ascii="宋体" w:hAnsi="宋体" w:cs="宋体"/>
                <w:i w:val="0"/>
                <w:color w:val="auto"/>
                <w:kern w:val="0"/>
                <w:sz w:val="21"/>
                <w:szCs w:val="21"/>
                <w:u w:val="none"/>
                <w:lang w:val="en-US" w:eastAsia="zh-CN" w:bidi="ar"/>
              </w:rPr>
              <w:t xml:space="preserve">；    </w:t>
            </w:r>
          </w:p>
          <w:p>
            <w:pPr>
              <w:keepNext w:val="0"/>
              <w:keepLines w:val="0"/>
              <w:widowControl/>
              <w:suppressLineNumbers w:val="0"/>
              <w:ind w:firstLine="210" w:firstLineChars="100"/>
              <w:jc w:val="both"/>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②</w:t>
            </w:r>
            <w:r>
              <w:rPr>
                <w:rFonts w:hint="eastAsia" w:ascii="宋体" w:hAnsi="宋体" w:eastAsia="宋体" w:cs="宋体"/>
                <w:i w:val="0"/>
                <w:color w:val="auto"/>
                <w:kern w:val="0"/>
                <w:sz w:val="21"/>
                <w:szCs w:val="21"/>
                <w:u w:val="none"/>
                <w:lang w:val="en-US" w:eastAsia="zh-CN" w:bidi="ar"/>
              </w:rPr>
              <w:t>采用原型（DEMO）或静态页面演示</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5大场景模块每一项功能完整且演示流畅，各场景模块中功能内容每缺失一个扣1分，扣完为止</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得分最高不超过</w:t>
            </w:r>
            <w:r>
              <w:rPr>
                <w:rFonts w:hint="eastAsia" w:ascii="宋体" w:hAnsi="宋体" w:cs="宋体"/>
                <w:i w:val="0"/>
                <w:color w:val="auto"/>
                <w:kern w:val="0"/>
                <w:sz w:val="21"/>
                <w:szCs w:val="21"/>
                <w:u w:val="none"/>
                <w:lang w:val="en-US" w:eastAsia="zh-CN" w:bidi="ar"/>
              </w:rPr>
              <w:t>20</w:t>
            </w:r>
            <w:r>
              <w:rPr>
                <w:rFonts w:hint="eastAsia" w:ascii="宋体" w:hAnsi="宋体" w:eastAsia="宋体" w:cs="宋体"/>
                <w:i w:val="0"/>
                <w:color w:val="auto"/>
                <w:kern w:val="0"/>
                <w:sz w:val="21"/>
                <w:szCs w:val="21"/>
                <w:u w:val="none"/>
                <w:lang w:val="en-US" w:eastAsia="zh-CN" w:bidi="ar"/>
              </w:rPr>
              <w:t>分</w:t>
            </w:r>
            <w:r>
              <w:rPr>
                <w:rFonts w:hint="eastAsia" w:ascii="宋体" w:hAnsi="宋体" w:cs="宋体"/>
                <w:i w:val="0"/>
                <w:color w:val="auto"/>
                <w:kern w:val="0"/>
                <w:sz w:val="21"/>
                <w:szCs w:val="21"/>
                <w:u w:val="none"/>
                <w:lang w:val="en-US" w:eastAsia="zh-CN" w:bidi="ar"/>
              </w:rPr>
              <w:t>；</w:t>
            </w:r>
          </w:p>
          <w:p>
            <w:pPr>
              <w:keepNext w:val="0"/>
              <w:keepLines w:val="0"/>
              <w:widowControl/>
              <w:suppressLineNumbers w:val="0"/>
              <w:ind w:firstLine="210" w:firstLineChars="10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③</w:t>
            </w:r>
            <w:r>
              <w:rPr>
                <w:rFonts w:hint="eastAsia" w:ascii="宋体" w:hAnsi="宋体" w:eastAsia="宋体" w:cs="宋体"/>
                <w:i w:val="0"/>
                <w:color w:val="auto"/>
                <w:kern w:val="0"/>
                <w:sz w:val="21"/>
                <w:szCs w:val="21"/>
                <w:u w:val="none"/>
                <w:lang w:val="en-US" w:eastAsia="zh-CN" w:bidi="ar"/>
              </w:rPr>
              <w:t>无法提供系统演示或采用录屏及PPT等其他方式演示的不得分。</w:t>
            </w:r>
          </w:p>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注：演示所需软硬件设备投标人自行准备。</w:t>
            </w:r>
          </w:p>
        </w:tc>
      </w:tr>
      <w:tr>
        <w:tblPrEx>
          <w:shd w:val="clear" w:color="auto" w:fill="auto"/>
          <w:tblCellMar>
            <w:top w:w="0" w:type="dxa"/>
            <w:left w:w="0" w:type="dxa"/>
            <w:bottom w:w="0" w:type="dxa"/>
            <w:right w:w="0" w:type="dxa"/>
          </w:tblCellMar>
        </w:tblPrEx>
        <w:trPr>
          <w:trHeight w:val="237" w:hRule="atLeast"/>
        </w:trPr>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资</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信</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得</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分</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w:t>
            </w:r>
          </w:p>
          <w:p>
            <w:pPr>
              <w:spacing w:line="480" w:lineRule="auto"/>
              <w:jc w:val="center"/>
              <w:rPr>
                <w:rFonts w:hint="eastAsia" w:ascii="宋体" w:hAnsi="宋体" w:cs="宋体"/>
                <w:i w:val="0"/>
                <w:color w:val="auto"/>
                <w:sz w:val="28"/>
                <w:szCs w:val="28"/>
                <w:u w:val="none"/>
                <w:lang w:val="en-US" w:eastAsia="zh-CN"/>
              </w:rPr>
            </w:pPr>
            <w:r>
              <w:rPr>
                <w:rFonts w:hint="eastAsia" w:ascii="宋体" w:hAnsi="宋体" w:cs="宋体"/>
                <w:i w:val="0"/>
                <w:color w:val="auto"/>
                <w:sz w:val="28"/>
                <w:szCs w:val="28"/>
                <w:u w:val="none"/>
                <w:lang w:val="en-US" w:eastAsia="zh-CN"/>
              </w:rPr>
              <w:t xml:space="preserve">3 </w:t>
            </w:r>
          </w:p>
          <w:p>
            <w:pPr>
              <w:spacing w:line="480" w:lineRule="auto"/>
              <w:jc w:val="center"/>
              <w:rPr>
                <w:rFonts w:hint="default" w:ascii="宋体" w:hAnsi="宋体" w:cs="宋体"/>
                <w:i w:val="0"/>
                <w:color w:val="auto"/>
                <w:sz w:val="28"/>
                <w:szCs w:val="28"/>
                <w:u w:val="none"/>
                <w:lang w:val="en-US" w:eastAsia="zh-CN"/>
              </w:rPr>
            </w:pPr>
            <w:r>
              <w:rPr>
                <w:rFonts w:hint="eastAsia" w:ascii="宋体" w:hAnsi="宋体" w:cs="宋体"/>
                <w:i w:val="0"/>
                <w:color w:val="auto"/>
                <w:sz w:val="28"/>
                <w:szCs w:val="28"/>
                <w:u w:val="none"/>
                <w:lang w:val="en-US" w:eastAsia="zh-CN"/>
              </w:rPr>
              <w:t>2</w:t>
            </w:r>
          </w:p>
          <w:p>
            <w:pPr>
              <w:spacing w:line="480" w:lineRule="auto"/>
              <w:jc w:val="center"/>
              <w:rPr>
                <w:rFonts w:hint="eastAsia" w:ascii="宋体" w:hAnsi="宋体" w:cs="宋体"/>
                <w:i w:val="0"/>
                <w:color w:val="auto"/>
                <w:sz w:val="28"/>
                <w:szCs w:val="28"/>
                <w:u w:val="none"/>
                <w:lang w:val="en-US" w:eastAsia="zh-CN"/>
              </w:rPr>
            </w:pPr>
            <w:r>
              <w:rPr>
                <w:rFonts w:hint="eastAsia" w:ascii="宋体" w:hAnsi="宋体" w:cs="宋体"/>
                <w:i w:val="0"/>
                <w:color w:val="auto"/>
                <w:sz w:val="28"/>
                <w:szCs w:val="28"/>
                <w:u w:val="none"/>
                <w:lang w:val="en-US" w:eastAsia="zh-CN"/>
              </w:rPr>
              <w:t>分</w:t>
            </w:r>
          </w:p>
          <w:p>
            <w:pPr>
              <w:jc w:val="center"/>
              <w:rPr>
                <w:rFonts w:hint="eastAsia" w:ascii="宋体" w:hAnsi="宋体" w:eastAsia="宋体" w:cs="宋体"/>
                <w:i w:val="0"/>
                <w:color w:val="auto"/>
                <w:sz w:val="22"/>
                <w:szCs w:val="22"/>
                <w:u w:val="none"/>
                <w:lang w:eastAsia="zh-CN"/>
              </w:rPr>
            </w:pPr>
            <w:r>
              <w:rPr>
                <w:rFonts w:hint="eastAsia" w:ascii="宋体" w:hAnsi="宋体" w:cs="宋体"/>
                <w:i w:val="0"/>
                <w:color w:val="auto"/>
                <w:sz w:val="24"/>
                <w:szCs w:val="24"/>
                <w:u w:val="none"/>
                <w:lang w:eastAsia="zh-CN"/>
              </w:rPr>
              <w:t>）</w:t>
            </w: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numPr>
                <w:ilvl w:val="0"/>
                <w:numId w:val="0"/>
              </w:numPr>
              <w:suppressLineNumbers w:val="0"/>
              <w:ind w:firstLine="420" w:firstLineChars="200"/>
              <w:jc w:val="both"/>
              <w:textAlignment w:val="center"/>
              <w:rPr>
                <w:rFonts w:hint="eastAsia"/>
                <w:szCs w:val="22"/>
                <w:lang w:val="en-US" w:eastAsia="zh-CN"/>
              </w:rPr>
            </w:pPr>
            <w:r>
              <w:rPr>
                <w:rFonts w:hint="eastAsia"/>
                <w:szCs w:val="22"/>
                <w:lang w:val="en-US" w:eastAsia="zh-CN"/>
              </w:rPr>
              <w:t>软件产品成熟度</w:t>
            </w:r>
          </w:p>
          <w:p>
            <w:pPr>
              <w:keepNext w:val="0"/>
              <w:keepLines w:val="0"/>
              <w:widowControl/>
              <w:numPr>
                <w:ilvl w:val="0"/>
                <w:numId w:val="0"/>
              </w:numPr>
              <w:suppressLineNumbers w:val="0"/>
              <w:ind w:firstLine="420" w:firstLineChars="200"/>
              <w:jc w:val="both"/>
              <w:textAlignment w:val="center"/>
              <w:rPr>
                <w:rFonts w:hint="eastAsia"/>
                <w:szCs w:val="22"/>
                <w:lang w:val="en-US" w:eastAsia="zh-CN"/>
              </w:rPr>
            </w:pPr>
            <w:r>
              <w:rPr>
                <w:rFonts w:hint="eastAsia"/>
                <w:szCs w:val="22"/>
                <w:lang w:val="en-US" w:eastAsia="zh-CN"/>
              </w:rPr>
              <w:t>（7分）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ind w:firstLine="440" w:firstLineChars="200"/>
              <w:jc w:val="left"/>
              <w:textAlignment w:val="center"/>
              <w:rPr>
                <w:rFonts w:hint="eastAsia" w:ascii="宋体" w:hAnsi="宋体"/>
                <w:color w:val="auto"/>
                <w:kern w:val="0"/>
                <w:sz w:val="22"/>
                <w:szCs w:val="22"/>
                <w:lang w:eastAsia="zh-CN"/>
              </w:rPr>
            </w:pPr>
            <w:r>
              <w:rPr>
                <w:rFonts w:hint="eastAsia" w:ascii="宋体" w:hAnsi="宋体"/>
                <w:color w:val="auto"/>
                <w:kern w:val="0"/>
                <w:sz w:val="22"/>
                <w:szCs w:val="22"/>
                <w:lang w:eastAsia="zh-CN"/>
              </w:rPr>
              <w:t xml:space="preserve">因本项目为紧急建设项目，为确保系统能快速、高质、高效地投入应用，所投软件平台必须成熟可靠，且不侵犯第三方知识产权。  </w:t>
            </w:r>
          </w:p>
          <w:p>
            <w:pPr>
              <w:keepNext w:val="0"/>
              <w:keepLines w:val="0"/>
              <w:widowControl/>
              <w:suppressLineNumbers w:val="0"/>
              <w:ind w:firstLine="440" w:firstLineChars="200"/>
              <w:jc w:val="left"/>
              <w:textAlignment w:val="center"/>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1、</w:t>
            </w:r>
            <w:r>
              <w:rPr>
                <w:rFonts w:hint="eastAsia" w:ascii="宋体" w:hAnsi="宋体"/>
                <w:color w:val="auto"/>
                <w:kern w:val="0"/>
                <w:sz w:val="22"/>
                <w:szCs w:val="22"/>
                <w:lang w:eastAsia="zh-CN"/>
              </w:rPr>
              <w:t>需提供安全隐患巡查类、安全运行预警系统类、物联网感知设备接入类、应急案件受理平台类、应急综合指挥体系平台类系统软件功能模块。能够提供1项的得</w:t>
            </w:r>
            <w:r>
              <w:rPr>
                <w:rFonts w:hint="eastAsia" w:ascii="宋体" w:hAnsi="宋体"/>
                <w:color w:val="auto"/>
                <w:kern w:val="0"/>
                <w:sz w:val="22"/>
                <w:szCs w:val="22"/>
                <w:lang w:val="en-US" w:eastAsia="zh-CN"/>
              </w:rPr>
              <w:t>1</w:t>
            </w:r>
            <w:r>
              <w:rPr>
                <w:rFonts w:hint="eastAsia" w:ascii="宋体" w:hAnsi="宋体"/>
                <w:color w:val="auto"/>
                <w:kern w:val="0"/>
                <w:sz w:val="22"/>
                <w:szCs w:val="22"/>
                <w:lang w:eastAsia="zh-CN"/>
              </w:rPr>
              <w:t>分。（需提供相关证明证书原件扫描件）本项最高得</w:t>
            </w:r>
            <w:r>
              <w:rPr>
                <w:rFonts w:hint="eastAsia" w:ascii="宋体" w:hAnsi="宋体"/>
                <w:color w:val="auto"/>
                <w:kern w:val="0"/>
                <w:sz w:val="22"/>
                <w:szCs w:val="22"/>
                <w:lang w:val="en-US" w:eastAsia="zh-CN"/>
              </w:rPr>
              <w:t>5</w:t>
            </w:r>
            <w:r>
              <w:rPr>
                <w:rFonts w:hint="eastAsia" w:ascii="宋体" w:hAnsi="宋体"/>
                <w:color w:val="auto"/>
                <w:kern w:val="0"/>
                <w:sz w:val="22"/>
                <w:szCs w:val="22"/>
                <w:lang w:eastAsia="zh-CN"/>
              </w:rPr>
              <w:t>分。</w:t>
            </w:r>
          </w:p>
          <w:p>
            <w:pPr>
              <w:keepNext w:val="0"/>
              <w:keepLines w:val="0"/>
              <w:widowControl/>
              <w:suppressLineNumbers w:val="0"/>
              <w:ind w:firstLine="440" w:firstLineChars="200"/>
              <w:jc w:val="left"/>
              <w:textAlignment w:val="center"/>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lang w:eastAsia="zh-CN"/>
              </w:rPr>
              <w:t>软件产品成熟度：</w:t>
            </w:r>
          </w:p>
          <w:p>
            <w:pPr>
              <w:keepNext w:val="0"/>
              <w:keepLines w:val="0"/>
              <w:widowControl/>
              <w:suppressLineNumbers w:val="0"/>
              <w:ind w:firstLine="440" w:firstLineChars="200"/>
              <w:jc w:val="left"/>
              <w:textAlignment w:val="center"/>
              <w:rPr>
                <w:rFonts w:hint="eastAsia"/>
                <w:szCs w:val="22"/>
                <w:lang w:val="en-US" w:eastAsia="zh-CN"/>
              </w:rPr>
            </w:pPr>
            <w:r>
              <w:rPr>
                <w:rFonts w:hint="eastAsia" w:ascii="宋体" w:hAnsi="宋体"/>
                <w:color w:val="auto"/>
                <w:kern w:val="0"/>
                <w:sz w:val="22"/>
                <w:szCs w:val="22"/>
                <w:lang w:val="en-US" w:eastAsia="zh-CN"/>
              </w:rPr>
              <w:t>投标人具有CMMI（软件能力成熟度集成模型）三级及以上得2分。需提供相关证明证书原件扫描件并经CA签章。本项最高得2分。</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提供相关证明</w:t>
            </w:r>
            <w:r>
              <w:rPr>
                <w:rFonts w:hint="eastAsia" w:ascii="宋体" w:hAnsi="宋体" w:cs="宋体"/>
                <w:i w:val="0"/>
                <w:color w:val="auto"/>
                <w:kern w:val="0"/>
                <w:sz w:val="22"/>
                <w:szCs w:val="22"/>
                <w:u w:val="none"/>
                <w:lang w:val="en-US" w:eastAsia="zh-CN" w:bidi="ar"/>
              </w:rPr>
              <w:t>证书原件扫描件</w:t>
            </w:r>
            <w:r>
              <w:rPr>
                <w:rFonts w:hint="eastAsia" w:ascii="宋体" w:hAnsi="宋体" w:eastAsia="宋体" w:cs="宋体"/>
                <w:i w:val="0"/>
                <w:color w:val="auto"/>
                <w:kern w:val="0"/>
                <w:sz w:val="22"/>
                <w:szCs w:val="22"/>
                <w:u w:val="none"/>
                <w:lang w:val="en-US" w:eastAsia="zh-CN" w:bidi="ar"/>
              </w:rPr>
              <w:t>并经CA签章。</w:t>
            </w:r>
          </w:p>
        </w:tc>
      </w:tr>
      <w:tr>
        <w:tblPrEx>
          <w:shd w:val="clear" w:color="auto" w:fill="auto"/>
          <w:tblCellMar>
            <w:top w:w="0" w:type="dxa"/>
            <w:left w:w="0" w:type="dxa"/>
            <w:bottom w:w="0" w:type="dxa"/>
            <w:right w:w="0" w:type="dxa"/>
          </w:tblCellMar>
        </w:tblPrEx>
        <w:trPr>
          <w:trHeight w:val="2605"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cs="宋体"/>
                <w:i w:val="0"/>
                <w:color w:val="auto"/>
                <w:sz w:val="24"/>
                <w:szCs w:val="24"/>
                <w:u w:val="none"/>
                <w:lang w:eastAsia="zh-CN"/>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业绩案例</w:t>
            </w:r>
          </w:p>
          <w:p>
            <w:pPr>
              <w:pStyle w:val="2"/>
              <w:ind w:left="0" w:leftChars="0" w:firstLine="0" w:firstLineChars="0"/>
              <w:jc w:val="center"/>
              <w:rPr>
                <w:rFonts w:hint="eastAsia"/>
                <w:color w:val="auto"/>
                <w:lang w:val="en-US" w:eastAsia="zh-CN"/>
              </w:rPr>
            </w:pPr>
            <w:r>
              <w:rPr>
                <w:rFonts w:hint="eastAsia" w:ascii="宋体" w:hAnsi="宋体" w:eastAsia="宋体" w:cs="宋体"/>
                <w:i w:val="0"/>
                <w:color w:val="auto"/>
                <w:kern w:val="0"/>
                <w:sz w:val="22"/>
                <w:szCs w:val="22"/>
                <w:u w:val="none"/>
                <w:lang w:val="en-US" w:eastAsia="zh-CN" w:bidi="ar"/>
              </w:rPr>
              <w:t>（14分）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r>
              <w:rPr>
                <w:rFonts w:hint="eastAsia" w:ascii="宋体" w:hAnsi="宋体"/>
                <w:color w:val="auto"/>
                <w:kern w:val="0"/>
                <w:sz w:val="22"/>
                <w:szCs w:val="22"/>
              </w:rPr>
              <w:t>201</w:t>
            </w:r>
            <w:r>
              <w:rPr>
                <w:rFonts w:hint="eastAsia" w:ascii="宋体" w:hAnsi="宋体"/>
                <w:color w:val="auto"/>
                <w:kern w:val="0"/>
                <w:sz w:val="22"/>
                <w:szCs w:val="22"/>
                <w:lang w:val="en-US" w:eastAsia="zh-CN"/>
              </w:rPr>
              <w:t>5</w:t>
            </w:r>
            <w:r>
              <w:rPr>
                <w:rFonts w:hint="eastAsia" w:ascii="宋体" w:hAnsi="宋体"/>
                <w:color w:val="auto"/>
                <w:kern w:val="0"/>
                <w:sz w:val="22"/>
                <w:szCs w:val="22"/>
              </w:rPr>
              <w:t>年1月以来投标人实施的软硬件平台相结合的智慧化工园区相类似政府采购项目案例（软硬件平台相结合）</w:t>
            </w:r>
            <w:r>
              <w:rPr>
                <w:rFonts w:hint="eastAsia" w:ascii="宋体" w:hAnsi="宋体" w:eastAsia="宋体" w:cs="宋体"/>
                <w:i w:val="0"/>
                <w:color w:val="auto"/>
                <w:kern w:val="0"/>
                <w:sz w:val="22"/>
                <w:szCs w:val="22"/>
                <w:u w:val="none"/>
                <w:lang w:val="en-US" w:eastAsia="zh-CN" w:bidi="ar"/>
              </w:rPr>
              <w:t>，每提供1个得</w:t>
            </w:r>
            <w:r>
              <w:rPr>
                <w:rFonts w:hint="eastAsia" w:ascii="宋体" w:hAnsi="宋体" w:cs="宋体"/>
                <w:i w:val="0"/>
                <w:color w:val="auto"/>
                <w:kern w:val="0"/>
                <w:sz w:val="22"/>
                <w:szCs w:val="22"/>
                <w:u w:val="none"/>
                <w:lang w:val="en-US" w:eastAsia="zh-CN" w:bidi="ar"/>
              </w:rPr>
              <w:t>2</w:t>
            </w:r>
            <w:r>
              <w:rPr>
                <w:rFonts w:hint="eastAsia" w:ascii="宋体" w:hAnsi="宋体" w:eastAsia="宋体" w:cs="宋体"/>
                <w:i w:val="0"/>
                <w:color w:val="auto"/>
                <w:kern w:val="0"/>
                <w:sz w:val="22"/>
                <w:szCs w:val="22"/>
                <w:u w:val="none"/>
                <w:lang w:val="en-US" w:eastAsia="zh-CN" w:bidi="ar"/>
              </w:rPr>
              <w:t>分。本项最高得分</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cs="宋体"/>
                <w:i w:val="0"/>
                <w:color w:val="auto"/>
                <w:kern w:val="0"/>
                <w:sz w:val="22"/>
                <w:szCs w:val="22"/>
                <w:u w:val="none"/>
                <w:lang w:val="en-US" w:eastAsia="zh-CN" w:bidi="ar"/>
              </w:rPr>
              <w:t xml:space="preserve">    </w:t>
            </w:r>
            <w:r>
              <w:rPr>
                <w:rFonts w:hint="eastAsia" w:ascii="宋体" w:hAnsi="宋体" w:eastAsia="宋体" w:cs="宋体"/>
                <w:i w:val="0"/>
                <w:color w:val="auto"/>
                <w:kern w:val="0"/>
                <w:sz w:val="22"/>
                <w:szCs w:val="22"/>
                <w:u w:val="none"/>
                <w:lang w:val="en-US" w:eastAsia="zh-CN" w:bidi="ar"/>
              </w:rPr>
              <w:t>2、</w:t>
            </w:r>
            <w:r>
              <w:rPr>
                <w:rFonts w:ascii="宋体" w:hAnsi="宋体"/>
                <w:color w:val="auto"/>
                <w:kern w:val="0"/>
                <w:sz w:val="22"/>
                <w:szCs w:val="22"/>
              </w:rPr>
              <w:t>2015年</w:t>
            </w:r>
            <w:r>
              <w:rPr>
                <w:rFonts w:hint="eastAsia" w:ascii="宋体" w:hAnsi="宋体"/>
                <w:color w:val="auto"/>
                <w:kern w:val="0"/>
                <w:sz w:val="22"/>
                <w:szCs w:val="22"/>
              </w:rPr>
              <w:t>1</w:t>
            </w:r>
            <w:r>
              <w:rPr>
                <w:rFonts w:ascii="宋体" w:hAnsi="宋体"/>
                <w:color w:val="auto"/>
                <w:kern w:val="0"/>
                <w:sz w:val="22"/>
                <w:szCs w:val="22"/>
              </w:rPr>
              <w:t>月以来</w:t>
            </w:r>
            <w:r>
              <w:rPr>
                <w:rFonts w:hint="eastAsia" w:ascii="宋体" w:hAnsi="宋体"/>
                <w:color w:val="auto"/>
                <w:kern w:val="0"/>
                <w:sz w:val="22"/>
                <w:szCs w:val="22"/>
              </w:rPr>
              <w:t>投标人具有实施的软硬件平台相结合的</w:t>
            </w:r>
            <w:r>
              <w:rPr>
                <w:rFonts w:ascii="宋体" w:hAnsi="宋体"/>
                <w:color w:val="auto"/>
                <w:kern w:val="0"/>
                <w:sz w:val="22"/>
                <w:szCs w:val="22"/>
              </w:rPr>
              <w:t>智慧城市类智能化</w:t>
            </w:r>
            <w:r>
              <w:rPr>
                <w:rFonts w:hint="eastAsia" w:ascii="宋体" w:hAnsi="宋体"/>
                <w:color w:val="auto"/>
                <w:kern w:val="0"/>
                <w:sz w:val="22"/>
                <w:szCs w:val="22"/>
              </w:rPr>
              <w:t>或城市管理系统集成</w:t>
            </w:r>
            <w:r>
              <w:rPr>
                <w:rFonts w:ascii="宋体" w:hAnsi="宋体"/>
                <w:color w:val="auto"/>
                <w:kern w:val="0"/>
                <w:sz w:val="22"/>
                <w:szCs w:val="22"/>
              </w:rPr>
              <w:t>项目</w:t>
            </w:r>
            <w:r>
              <w:rPr>
                <w:rFonts w:hint="eastAsia" w:ascii="宋体" w:hAnsi="宋体"/>
                <w:color w:val="auto"/>
                <w:kern w:val="0"/>
                <w:sz w:val="22"/>
                <w:szCs w:val="22"/>
              </w:rPr>
              <w:t>案例，</w:t>
            </w:r>
            <w:r>
              <w:rPr>
                <w:rFonts w:hint="eastAsia" w:ascii="宋体" w:hAnsi="宋体" w:eastAsia="宋体" w:cs="宋体"/>
                <w:i w:val="0"/>
                <w:color w:val="auto"/>
                <w:kern w:val="0"/>
                <w:sz w:val="22"/>
                <w:szCs w:val="22"/>
                <w:u w:val="none"/>
                <w:lang w:val="en-US" w:eastAsia="zh-CN" w:bidi="ar"/>
              </w:rPr>
              <w:t>每提供1个得</w:t>
            </w:r>
            <w:r>
              <w:rPr>
                <w:rFonts w:hint="eastAsia" w:ascii="宋体" w:hAnsi="宋体" w:cs="宋体"/>
                <w:i w:val="0"/>
                <w:color w:val="auto"/>
                <w:kern w:val="0"/>
                <w:sz w:val="22"/>
                <w:szCs w:val="22"/>
                <w:u w:val="none"/>
                <w:lang w:val="en-US" w:eastAsia="zh-CN" w:bidi="ar"/>
              </w:rPr>
              <w:t>1.5</w:t>
            </w:r>
            <w:r>
              <w:rPr>
                <w:rFonts w:hint="eastAsia" w:ascii="宋体" w:hAnsi="宋体" w:eastAsia="宋体" w:cs="宋体"/>
                <w:i w:val="0"/>
                <w:color w:val="auto"/>
                <w:kern w:val="0"/>
                <w:sz w:val="22"/>
                <w:szCs w:val="22"/>
                <w:u w:val="none"/>
                <w:lang w:val="en-US" w:eastAsia="zh-CN" w:bidi="ar"/>
              </w:rPr>
              <w:t>分。本项最高得分</w:t>
            </w:r>
            <w:r>
              <w:rPr>
                <w:rFonts w:hint="eastAsia" w:ascii="宋体" w:hAnsi="宋体" w:cs="宋体"/>
                <w:i w:val="0"/>
                <w:color w:val="auto"/>
                <w:kern w:val="0"/>
                <w:sz w:val="22"/>
                <w:szCs w:val="22"/>
                <w:u w:val="none"/>
                <w:lang w:val="en-US" w:eastAsia="zh-CN" w:bidi="ar"/>
              </w:rPr>
              <w:t>6</w:t>
            </w:r>
            <w:r>
              <w:rPr>
                <w:rFonts w:hint="eastAsia" w:ascii="宋体" w:hAnsi="宋体" w:eastAsia="宋体" w:cs="宋体"/>
                <w:i w:val="0"/>
                <w:color w:val="auto"/>
                <w:kern w:val="0"/>
                <w:sz w:val="22"/>
                <w:szCs w:val="22"/>
                <w:u w:val="none"/>
                <w:lang w:val="en-US" w:eastAsia="zh-CN" w:bidi="ar"/>
              </w:rPr>
              <w:t>分</w:t>
            </w:r>
            <w:r>
              <w:rPr>
                <w:rFonts w:hint="eastAsia" w:ascii="宋体" w:hAnsi="宋体" w:cs="宋体"/>
                <w:i w:val="0"/>
                <w:color w:val="auto"/>
                <w:kern w:val="0"/>
                <w:sz w:val="22"/>
                <w:szCs w:val="22"/>
                <w:u w:val="none"/>
                <w:lang w:val="en-US" w:eastAsia="zh-CN" w:bidi="ar"/>
              </w:rPr>
              <w:t>。</w:t>
            </w:r>
          </w:p>
        </w:tc>
        <w:tc>
          <w:tcPr>
            <w:tcW w:w="1770" w:type="dxa"/>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需提供合同</w:t>
            </w:r>
            <w:r>
              <w:rPr>
                <w:rFonts w:hint="eastAsia" w:ascii="宋体" w:hAnsi="宋体" w:cs="宋体"/>
                <w:i w:val="0"/>
                <w:color w:val="auto"/>
                <w:kern w:val="0"/>
                <w:sz w:val="22"/>
                <w:szCs w:val="22"/>
                <w:u w:val="none"/>
                <w:lang w:val="en-US" w:eastAsia="zh-CN" w:bidi="ar"/>
              </w:rPr>
              <w:t>原件扫描件</w:t>
            </w:r>
            <w:r>
              <w:rPr>
                <w:rFonts w:hint="eastAsia" w:ascii="宋体" w:hAnsi="宋体" w:eastAsia="宋体" w:cs="宋体"/>
                <w:i w:val="0"/>
                <w:color w:val="auto"/>
                <w:kern w:val="0"/>
                <w:sz w:val="22"/>
                <w:szCs w:val="22"/>
                <w:u w:val="none"/>
                <w:lang w:val="en-US" w:eastAsia="zh-CN" w:bidi="ar"/>
              </w:rPr>
              <w:t>并经CA签章，否则不得分；</w:t>
            </w:r>
            <w:r>
              <w:rPr>
                <w:rFonts w:hint="eastAsia" w:ascii="宋体" w:hAnsi="宋体" w:cs="宋体"/>
                <w:i w:val="0"/>
                <w:color w:val="auto"/>
                <w:kern w:val="0"/>
                <w:sz w:val="22"/>
                <w:szCs w:val="22"/>
                <w:u w:val="none"/>
                <w:lang w:val="en-US" w:eastAsia="zh-CN" w:bidi="ar"/>
              </w:rPr>
              <w:t>同一个业绩按最高得分只计一次分。</w:t>
            </w:r>
          </w:p>
        </w:tc>
      </w:tr>
      <w:tr>
        <w:tblPrEx>
          <w:shd w:val="clear" w:color="auto" w:fill="auto"/>
          <w:tblCellMar>
            <w:top w:w="0" w:type="dxa"/>
            <w:left w:w="0" w:type="dxa"/>
            <w:bottom w:w="0" w:type="dxa"/>
            <w:right w:w="0" w:type="dxa"/>
          </w:tblCellMar>
        </w:tblPrEx>
        <w:trPr>
          <w:trHeight w:val="812"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lang w:eastAsia="zh-CN"/>
              </w:rPr>
            </w:pPr>
          </w:p>
        </w:tc>
        <w:tc>
          <w:tcPr>
            <w:tcW w:w="1471"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投入人员情况</w:t>
            </w:r>
          </w:p>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（7分）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color w:val="auto"/>
                <w:kern w:val="0"/>
                <w:sz w:val="22"/>
                <w:szCs w:val="22"/>
              </w:rPr>
              <w:t>企业实力</w:t>
            </w:r>
            <w:r>
              <w:rPr>
                <w:rFonts w:hint="eastAsia" w:ascii="宋体" w:hAnsi="宋体"/>
                <w:color w:val="auto"/>
                <w:kern w:val="0"/>
                <w:sz w:val="22"/>
                <w:szCs w:val="22"/>
                <w:lang w:eastAsia="zh-CN"/>
              </w:rPr>
              <w:t>：</w:t>
            </w:r>
            <w:r>
              <w:rPr>
                <w:rFonts w:hint="eastAsia" w:ascii="宋体" w:hAnsi="宋体"/>
                <w:color w:val="auto"/>
                <w:kern w:val="0"/>
                <w:sz w:val="22"/>
                <w:szCs w:val="22"/>
              </w:rPr>
              <w:t>投标人具有高新技术企业证书得1分</w:t>
            </w:r>
          </w:p>
        </w:tc>
        <w:tc>
          <w:tcPr>
            <w:tcW w:w="1770"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（需提供相关证书及到投标截止日前连续六个月的社保证明的原件扫描件或网上电子件，并经CA签章）</w:t>
            </w:r>
          </w:p>
        </w:tc>
      </w:tr>
      <w:tr>
        <w:tblPrEx>
          <w:shd w:val="clear" w:color="auto" w:fill="auto"/>
          <w:tblCellMar>
            <w:top w:w="0" w:type="dxa"/>
            <w:left w:w="0" w:type="dxa"/>
            <w:bottom w:w="0" w:type="dxa"/>
            <w:right w:w="0" w:type="dxa"/>
          </w:tblCellMar>
        </w:tblPrEx>
        <w:trPr>
          <w:trHeight w:val="973"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471"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olor w:val="auto"/>
                <w:kern w:val="0"/>
                <w:sz w:val="22"/>
                <w:szCs w:val="22"/>
                <w:lang w:val="en-US" w:eastAsia="zh-CN"/>
              </w:rPr>
            </w:pPr>
            <w:r>
              <w:rPr>
                <w:rFonts w:hint="eastAsia" w:ascii="宋体" w:hAnsi="宋体"/>
                <w:color w:val="auto"/>
                <w:kern w:val="0"/>
                <w:sz w:val="22"/>
                <w:szCs w:val="22"/>
              </w:rPr>
              <w:t>项目经理：具备人社部、工信部颁发的高级信息系统项目管理师或系统集成项目管理师得2分</w:t>
            </w:r>
            <w:r>
              <w:rPr>
                <w:rFonts w:hint="eastAsia" w:ascii="宋体" w:hAnsi="宋体"/>
                <w:color w:val="auto"/>
                <w:kern w:val="0"/>
                <w:sz w:val="22"/>
                <w:szCs w:val="22"/>
                <w:lang w:eastAsia="zh-CN"/>
              </w:rPr>
              <w:t>，</w:t>
            </w:r>
            <w:r>
              <w:rPr>
                <w:rFonts w:hint="eastAsia" w:ascii="宋体" w:hAnsi="宋体"/>
                <w:color w:val="auto"/>
                <w:kern w:val="0"/>
                <w:sz w:val="22"/>
                <w:szCs w:val="22"/>
              </w:rPr>
              <w:t>本项最高得分</w:t>
            </w:r>
            <w:r>
              <w:rPr>
                <w:rFonts w:hint="eastAsia" w:ascii="宋体" w:hAnsi="宋体"/>
                <w:color w:val="auto"/>
                <w:kern w:val="0"/>
                <w:sz w:val="22"/>
                <w:szCs w:val="22"/>
                <w:lang w:val="en-US" w:eastAsia="zh-CN"/>
              </w:rPr>
              <w:t>2</w:t>
            </w:r>
            <w:r>
              <w:rPr>
                <w:rFonts w:hint="eastAsia" w:ascii="宋体" w:hAnsi="宋体"/>
                <w:color w:val="auto"/>
                <w:kern w:val="0"/>
                <w:sz w:val="22"/>
                <w:szCs w:val="22"/>
              </w:rPr>
              <w:t>分</w:t>
            </w:r>
            <w:r>
              <w:rPr>
                <w:rFonts w:hint="eastAsia" w:ascii="宋体" w:hAnsi="宋体"/>
                <w:color w:val="auto"/>
                <w:kern w:val="0"/>
                <w:sz w:val="22"/>
                <w:szCs w:val="22"/>
                <w:lang w:eastAsia="zh-CN"/>
              </w:rPr>
              <w:t>。</w:t>
            </w:r>
          </w:p>
        </w:tc>
        <w:tc>
          <w:tcPr>
            <w:tcW w:w="177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936"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471"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olor w:val="auto"/>
                <w:kern w:val="0"/>
                <w:sz w:val="22"/>
                <w:szCs w:val="22"/>
              </w:rPr>
            </w:pPr>
            <w:r>
              <w:rPr>
                <w:rFonts w:hint="eastAsia" w:ascii="宋体" w:hAnsi="宋体"/>
                <w:color w:val="auto"/>
                <w:kern w:val="0"/>
                <w:sz w:val="22"/>
                <w:szCs w:val="22"/>
              </w:rPr>
              <w:t>项目组成员（不含项目经理）具备人社部、工信部颁发的通信（网络、数据库、软件、信息系统分析师</w:t>
            </w:r>
            <w:r>
              <w:rPr>
                <w:rFonts w:hint="eastAsia" w:ascii="宋体" w:hAnsi="宋体"/>
                <w:color w:val="auto"/>
                <w:kern w:val="0"/>
                <w:sz w:val="22"/>
                <w:szCs w:val="22"/>
                <w:lang w:eastAsia="zh-CN"/>
              </w:rPr>
              <w:t>、</w:t>
            </w:r>
            <w:r>
              <w:rPr>
                <w:rFonts w:hint="eastAsia" w:ascii="宋体" w:hAnsi="宋体"/>
                <w:color w:val="auto"/>
                <w:kern w:val="0"/>
                <w:sz w:val="22"/>
                <w:szCs w:val="22"/>
              </w:rPr>
              <w:t>信息安全工程师）工程师，其中高级每提供一个得2分，中级每提供一个得1分</w:t>
            </w:r>
            <w:r>
              <w:rPr>
                <w:rFonts w:hint="eastAsia" w:ascii="宋体" w:hAnsi="宋体"/>
                <w:color w:val="auto"/>
                <w:kern w:val="0"/>
                <w:sz w:val="22"/>
                <w:szCs w:val="22"/>
                <w:lang w:eastAsia="zh-CN"/>
              </w:rPr>
              <w:t>。本项最高得</w:t>
            </w:r>
            <w:r>
              <w:rPr>
                <w:rFonts w:hint="eastAsia" w:ascii="宋体" w:hAnsi="宋体"/>
                <w:color w:val="auto"/>
                <w:kern w:val="0"/>
                <w:sz w:val="22"/>
                <w:szCs w:val="22"/>
                <w:lang w:val="en-US" w:eastAsia="zh-CN"/>
              </w:rPr>
              <w:t>4分</w:t>
            </w:r>
            <w:r>
              <w:rPr>
                <w:rFonts w:hint="eastAsia" w:ascii="宋体" w:hAnsi="宋体"/>
                <w:color w:val="auto"/>
                <w:kern w:val="0"/>
                <w:sz w:val="22"/>
                <w:szCs w:val="22"/>
              </w:rPr>
              <w:t>。</w:t>
            </w:r>
          </w:p>
        </w:tc>
        <w:tc>
          <w:tcPr>
            <w:tcW w:w="1770"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438"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售后服务</w:t>
            </w:r>
          </w:p>
          <w:p>
            <w:pPr>
              <w:pStyle w:val="2"/>
              <w:ind w:left="0" w:leftChars="0" w:firstLine="0" w:firstLineChars="0"/>
              <w:jc w:val="center"/>
              <w:rPr>
                <w:rFonts w:hint="eastAsia"/>
                <w:color w:val="auto"/>
              </w:rPr>
            </w:pPr>
            <w:r>
              <w:rPr>
                <w:rFonts w:hint="eastAsia" w:ascii="宋体" w:hAnsi="宋体" w:eastAsia="宋体" w:cs="宋体"/>
                <w:i w:val="0"/>
                <w:color w:val="auto"/>
                <w:kern w:val="0"/>
                <w:sz w:val="22"/>
                <w:szCs w:val="22"/>
                <w:u w:val="none"/>
                <w:lang w:val="en-US" w:eastAsia="zh-CN" w:bidi="ar"/>
              </w:rPr>
              <w:t>（4分）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1、售后安装维护服务要求：需落实专人负责维护，支持24小时故障修复，要求投标人具有良好的运维服务信誉，</w:t>
            </w:r>
            <w:r>
              <w:rPr>
                <w:rFonts w:hint="eastAsia" w:ascii="宋体" w:hAnsi="宋体"/>
                <w:color w:val="000000"/>
                <w:kern w:val="0"/>
                <w:sz w:val="22"/>
                <w:szCs w:val="22"/>
              </w:rPr>
              <w:t>投标人需提供有效期内信息技术服务运行维护符合性证书</w:t>
            </w:r>
            <w:r>
              <w:rPr>
                <w:rFonts w:hint="eastAsia" w:ascii="宋体" w:hAnsi="宋体"/>
                <w:color w:val="000000"/>
                <w:kern w:val="0"/>
                <w:sz w:val="22"/>
                <w:szCs w:val="22"/>
                <w:lang w:eastAsia="zh-CN"/>
              </w:rPr>
              <w:t>三级及以上（</w:t>
            </w:r>
            <w:r>
              <w:rPr>
                <w:rFonts w:hint="eastAsia" w:ascii="宋体" w:hAnsi="宋体"/>
                <w:color w:val="000000"/>
                <w:kern w:val="0"/>
                <w:sz w:val="22"/>
                <w:szCs w:val="22"/>
                <w:lang w:val="en-US" w:eastAsia="zh-CN"/>
              </w:rPr>
              <w:t>ITSS）</w:t>
            </w:r>
            <w:r>
              <w:rPr>
                <w:rFonts w:hint="eastAsia" w:ascii="宋体" w:hAnsi="宋体" w:eastAsia="宋体" w:cs="宋体"/>
                <w:i w:val="0"/>
                <w:color w:val="auto"/>
                <w:kern w:val="0"/>
                <w:sz w:val="22"/>
                <w:szCs w:val="22"/>
                <w:u w:val="none"/>
                <w:lang w:val="en-US" w:eastAsia="zh-CN" w:bidi="ar"/>
              </w:rPr>
              <w:t>原件扫描件，并经CA签章），本项得3分。</w:t>
            </w:r>
          </w:p>
          <w:p>
            <w:pPr>
              <w:keepNext w:val="0"/>
              <w:keepLines w:val="0"/>
              <w:widowControl/>
              <w:suppressLineNumbers w:val="0"/>
              <w:ind w:firstLine="440" w:firstLineChars="200"/>
              <w:jc w:val="both"/>
              <w:textAlignment w:val="center"/>
              <w:rPr>
                <w:rFonts w:hint="eastAsia" w:ascii="宋体" w:hAnsi="宋体" w:eastAsia="宋体" w:cs="宋体"/>
                <w:b/>
                <w:i w:val="0"/>
                <w:color w:val="auto"/>
                <w:sz w:val="22"/>
                <w:szCs w:val="22"/>
                <w:u w:val="none"/>
              </w:rPr>
            </w:pPr>
            <w:r>
              <w:rPr>
                <w:rFonts w:hint="eastAsia" w:ascii="宋体" w:hAnsi="宋体" w:eastAsia="宋体" w:cs="宋体"/>
                <w:i w:val="0"/>
                <w:color w:val="auto"/>
                <w:kern w:val="0"/>
                <w:sz w:val="22"/>
                <w:szCs w:val="22"/>
                <w:u w:val="none"/>
                <w:lang w:val="en-US" w:eastAsia="zh-CN" w:bidi="ar"/>
              </w:rPr>
              <w:t>2、投标人在江山市内设有售后服务网点（需要提供门头照片和场地证明材料）的或承诺中标后在江山市内设售后服务网点的得1分，在衢州市内设有售后服务网点的或承诺中标后在衢州市内设售后服务网点的得0.5分；本项最高得1分，其他不得分。中标公示后将对售后服务网点进行核查，若存在弄虚作假，或者与投标提供的证明材料不一致，否则业主有权取消其中标资格；承诺售后服务网点需在公示结束后合同签订前提供售后服务网点的相关材料，否则业主有权取消其中标资格，并承担相关法律责任。未提供相关材料或材料不齐全不得分。</w:t>
            </w:r>
          </w:p>
        </w:tc>
        <w:tc>
          <w:tcPr>
            <w:tcW w:w="177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p>
        </w:tc>
      </w:tr>
    </w:tbl>
    <w:p>
      <w:pPr>
        <w:pStyle w:val="2"/>
        <w:ind w:left="0" w:leftChars="0" w:firstLine="0" w:firstLineChars="0"/>
      </w:pPr>
    </w:p>
    <w:p>
      <w:pPr>
        <w:numPr>
          <w:ilvl w:val="0"/>
          <w:numId w:val="9"/>
        </w:numPr>
        <w:autoSpaceDE w:val="0"/>
        <w:autoSpaceDN w:val="0"/>
        <w:adjustRightInd w:val="0"/>
        <w:snapToGrid w:val="0"/>
        <w:ind w:left="0" w:firstLine="567"/>
        <w:outlineLvl w:val="1"/>
        <w:rPr>
          <w:rFonts w:ascii="宋体" w:hAnsi="宋体" w:cs="宋体"/>
          <w:b/>
          <w:bCs/>
          <w:sz w:val="24"/>
          <w:szCs w:val="24"/>
          <w:lang w:val="zh-CN"/>
        </w:rPr>
      </w:pPr>
      <w:bookmarkStart w:id="180" w:name="_Toc45436694"/>
      <w:r>
        <w:rPr>
          <w:rFonts w:hint="eastAsia" w:ascii="宋体" w:hAnsi="宋体" w:cs="宋体"/>
          <w:b/>
          <w:bCs/>
          <w:sz w:val="24"/>
          <w:szCs w:val="24"/>
          <w:lang w:val="zh-CN"/>
        </w:rPr>
        <w:t>电子投标开标及评审程序</w:t>
      </w:r>
      <w:bookmarkEnd w:id="180"/>
    </w:p>
    <w:p>
      <w:pPr>
        <w:spacing w:line="440" w:lineRule="exact"/>
        <w:ind w:firstLine="480" w:firstLineChars="200"/>
        <w:rPr>
          <w:rFonts w:ascii="宋体" w:hAnsi="宋体" w:cs="Arial"/>
          <w:b w:val="0"/>
          <w:bCs/>
          <w:color w:val="auto"/>
          <w:sz w:val="24"/>
          <w:szCs w:val="24"/>
        </w:rPr>
      </w:pPr>
      <w:r>
        <w:rPr>
          <w:rFonts w:hint="eastAsia" w:ascii="宋体" w:hAnsi="宋体"/>
          <w:b w:val="0"/>
          <w:bCs/>
          <w:color w:val="auto"/>
          <w:sz w:val="24"/>
        </w:rPr>
        <w:t>（1）投标截止时间后，投标人登录政采云平台，用“项目采购-开标评标”功能对电子投标文件进行在线解密。在线解密电子投标文件时间为开标时间起一个小时内。政采云上电子投标文件出现解密失败,采购代理机构将对提供的备份投标文件进行解密。</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（2）由采购人代表对资格审查文件进行评审，评标委员会对商务技术文件进行评审；</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（3）在系统上公开资格审查和商务技术评审结果；</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（4）在系统上公开报价开标情况；</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（5）评标委员会对报价情况进行评审；</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（6）在系统上公布评审结果。</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特别说明：政采云公司如对电子化开标及评审程序有调整的，按调整后的程序操作。</w:t>
      </w:r>
    </w:p>
    <w:p>
      <w:pPr>
        <w:rPr>
          <w:rFonts w:ascii="宋体" w:hAnsi="宋体"/>
        </w:rPr>
      </w:pPr>
      <w:r>
        <w:rPr>
          <w:rFonts w:ascii="宋体" w:hAnsi="宋体"/>
        </w:rPr>
        <w:t xml:space="preserve"> </w:t>
      </w:r>
    </w:p>
    <w:p>
      <w:pPr>
        <w:spacing w:line="360" w:lineRule="auto"/>
        <w:jc w:val="center"/>
        <w:outlineLvl w:val="0"/>
        <w:rPr>
          <w:rFonts w:ascii="宋体" w:hAnsi="宋体"/>
          <w:b/>
          <w:sz w:val="24"/>
          <w:szCs w:val="24"/>
        </w:rPr>
      </w:pPr>
      <w:r>
        <w:rPr>
          <w:rFonts w:ascii="宋体" w:hAnsi="宋体"/>
          <w:b/>
          <w:sz w:val="32"/>
          <w:szCs w:val="32"/>
        </w:rPr>
        <w:br w:type="page"/>
      </w:r>
      <w:bookmarkStart w:id="181" w:name="_Toc45436695"/>
      <w:r>
        <w:rPr>
          <w:rFonts w:hint="eastAsia" w:ascii="宋体" w:hAnsi="宋体"/>
          <w:b/>
          <w:sz w:val="32"/>
          <w:szCs w:val="32"/>
        </w:rPr>
        <w:t>第五章  合同（草案）</w:t>
      </w:r>
      <w:bookmarkEnd w:id="181"/>
      <w:bookmarkStart w:id="182" w:name="_Toc354491899"/>
      <w:bookmarkStart w:id="183" w:name="_Toc356371458"/>
      <w:bookmarkStart w:id="184" w:name="_Toc322352985"/>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项目名称：</w:t>
      </w:r>
    </w:p>
    <w:p>
      <w:pPr>
        <w:pStyle w:val="32"/>
        <w:snapToGrid w:val="0"/>
        <w:spacing w:line="400" w:lineRule="exact"/>
        <w:ind w:firstLine="480" w:firstLineChars="200"/>
        <w:rPr>
          <w:rFonts w:hAnsi="宋体" w:cs="宋体"/>
          <w:color w:val="auto"/>
          <w:sz w:val="24"/>
          <w:szCs w:val="24"/>
          <w:highlight w:val="none"/>
        </w:rPr>
      </w:pPr>
      <w:r>
        <w:rPr>
          <w:rFonts w:hAnsi="宋体" w:cs="宋体"/>
          <w:sz w:val="24"/>
          <w:szCs w:val="24"/>
          <w:highlight w:val="none"/>
        </w:rPr>
        <w:t>项目</w:t>
      </w:r>
      <w:r>
        <w:rPr>
          <w:rFonts w:hAnsi="宋体" w:cs="宋体"/>
          <w:color w:val="auto"/>
          <w:sz w:val="24"/>
          <w:szCs w:val="24"/>
          <w:highlight w:val="none"/>
        </w:rPr>
        <w:t>编号：</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甲方：（</w:t>
      </w:r>
      <w:r>
        <w:rPr>
          <w:rFonts w:hint="eastAsia" w:hAnsi="宋体" w:cs="宋体"/>
          <w:color w:val="auto"/>
          <w:sz w:val="24"/>
          <w:szCs w:val="24"/>
          <w:highlight w:val="none"/>
          <w:lang w:eastAsia="zh-CN"/>
        </w:rPr>
        <w:t>采购</w:t>
      </w:r>
      <w:r>
        <w:rPr>
          <w:rFonts w:hAnsi="宋体" w:cs="宋体"/>
          <w:color w:val="auto"/>
          <w:sz w:val="24"/>
          <w:szCs w:val="24"/>
          <w:highlight w:val="none"/>
        </w:rPr>
        <w:t>方）</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乙方：（</w:t>
      </w:r>
      <w:r>
        <w:rPr>
          <w:rFonts w:hint="eastAsia" w:hAnsi="宋体" w:cs="宋体"/>
          <w:color w:val="auto"/>
          <w:sz w:val="24"/>
          <w:szCs w:val="24"/>
          <w:highlight w:val="none"/>
          <w:lang w:eastAsia="zh-CN"/>
        </w:rPr>
        <w:t>供货</w:t>
      </w:r>
      <w:r>
        <w:rPr>
          <w:rFonts w:hAnsi="宋体" w:cs="宋体"/>
          <w:color w:val="auto"/>
          <w:sz w:val="24"/>
          <w:szCs w:val="24"/>
          <w:highlight w:val="none"/>
        </w:rPr>
        <w:t>方）</w:t>
      </w:r>
    </w:p>
    <w:p>
      <w:pPr>
        <w:widowControl/>
        <w:spacing w:line="31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甲、乙双方根</w:t>
      </w:r>
      <w:r>
        <w:rPr>
          <w:rFonts w:hint="eastAsia" w:ascii="宋体" w:hAnsi="宋体"/>
          <w:color w:val="auto"/>
          <w:sz w:val="24"/>
          <w:highlight w:val="none"/>
        </w:rPr>
        <w:t>据</w:t>
      </w:r>
      <w:r>
        <w:rPr>
          <w:rFonts w:hint="eastAsia" w:ascii="宋体" w:hAnsi="宋体"/>
          <w:color w:val="auto"/>
          <w:sz w:val="24"/>
          <w:highlight w:val="none"/>
          <w:u w:val="single"/>
        </w:rPr>
        <w:t>2020年  月  日  时00分在             进行</w:t>
      </w:r>
      <w:r>
        <w:rPr>
          <w:rFonts w:hint="eastAsia" w:ascii="宋体" w:hAnsi="宋体"/>
          <w:color w:val="auto"/>
          <w:sz w:val="24"/>
          <w:highlight w:val="none"/>
          <w:u w:val="single"/>
          <w:lang w:val="zh-CN"/>
        </w:rPr>
        <w:t>的</w:t>
      </w:r>
      <w:r>
        <w:rPr>
          <w:rFonts w:hint="eastAsia" w:ascii="宋体" w:hAnsi="宋体"/>
          <w:color w:val="auto"/>
          <w:sz w:val="24"/>
          <w:highlight w:val="none"/>
          <w:u w:val="single"/>
        </w:rPr>
        <w:t xml:space="preserve">     采购项目</w:t>
      </w:r>
      <w:r>
        <w:rPr>
          <w:rFonts w:hint="eastAsia" w:ascii="宋体" w:hAnsi="宋体" w:cs="宋体"/>
          <w:color w:val="auto"/>
          <w:kern w:val="0"/>
          <w:sz w:val="24"/>
          <w:szCs w:val="24"/>
          <w:highlight w:val="none"/>
          <w:u w:val="single"/>
        </w:rPr>
        <w:t>的公开招标</w:t>
      </w:r>
      <w:r>
        <w:rPr>
          <w:rFonts w:hint="eastAsia" w:ascii="宋体" w:hAnsi="宋体"/>
          <w:color w:val="auto"/>
          <w:sz w:val="24"/>
          <w:szCs w:val="24"/>
          <w:highlight w:val="none"/>
        </w:rPr>
        <w:t>结果，签署本合同。</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一、货物内容</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1.货物名称：</w:t>
      </w:r>
    </w:p>
    <w:p>
      <w:pPr>
        <w:pStyle w:val="32"/>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w:t>
      </w:r>
      <w:r>
        <w:rPr>
          <w:rFonts w:hAnsi="宋体" w:cs="宋体"/>
          <w:color w:val="auto"/>
          <w:sz w:val="24"/>
          <w:szCs w:val="24"/>
          <w:highlight w:val="none"/>
        </w:rPr>
        <w:t>.技术参数：</w:t>
      </w:r>
    </w:p>
    <w:p>
      <w:pPr>
        <w:pStyle w:val="32"/>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w:t>
      </w:r>
      <w:r>
        <w:rPr>
          <w:rFonts w:hAnsi="宋体" w:cs="宋体"/>
          <w:color w:val="auto"/>
          <w:sz w:val="24"/>
          <w:szCs w:val="24"/>
          <w:highlight w:val="none"/>
        </w:rPr>
        <w:t>.数量：</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二、合同金额</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本合同金额为（大写）：</w:t>
      </w:r>
      <w:r>
        <w:rPr>
          <w:rFonts w:hint="eastAsia" w:hAnsi="宋体" w:cs="宋体"/>
          <w:color w:val="auto"/>
          <w:sz w:val="24"/>
          <w:szCs w:val="24"/>
          <w:highlight w:val="none"/>
          <w:u w:val="single"/>
        </w:rPr>
        <w:t xml:space="preserve">                    </w:t>
      </w:r>
      <w:r>
        <w:rPr>
          <w:rFonts w:hAnsi="宋体" w:cs="宋体"/>
          <w:color w:val="auto"/>
          <w:sz w:val="24"/>
          <w:szCs w:val="24"/>
          <w:highlight w:val="none"/>
        </w:rPr>
        <w:t>元整（￥</w:t>
      </w:r>
      <w:r>
        <w:rPr>
          <w:rFonts w:hint="eastAsia" w:hAnsi="宋体" w:cs="宋体"/>
          <w:color w:val="auto"/>
          <w:sz w:val="24"/>
          <w:szCs w:val="24"/>
          <w:highlight w:val="none"/>
          <w:u w:val="single"/>
        </w:rPr>
        <w:t xml:space="preserve">           </w:t>
      </w:r>
      <w:r>
        <w:rPr>
          <w:rFonts w:hAnsi="宋体" w:cs="宋体"/>
          <w:color w:val="auto"/>
          <w:sz w:val="24"/>
          <w:szCs w:val="24"/>
          <w:highlight w:val="none"/>
        </w:rPr>
        <w:t>元）人民币。</w:t>
      </w:r>
    </w:p>
    <w:p>
      <w:pPr>
        <w:pStyle w:val="32"/>
        <w:snapToGrid w:val="0"/>
        <w:spacing w:line="400" w:lineRule="exact"/>
        <w:ind w:firstLine="480" w:firstLineChars="200"/>
        <w:rPr>
          <w:rFonts w:hAnsi="宋体" w:cs="宋体"/>
          <w:color w:val="auto"/>
          <w:sz w:val="24"/>
          <w:szCs w:val="24"/>
          <w:highlight w:val="none"/>
        </w:rPr>
      </w:pPr>
      <w:r>
        <w:rPr>
          <w:rFonts w:hint="eastAsia" w:hAnsi="宋体"/>
          <w:color w:val="auto"/>
          <w:sz w:val="24"/>
          <w:highlight w:val="none"/>
        </w:rPr>
        <w:t>合同价格包括项目整体采购所需的</w:t>
      </w:r>
      <w:r>
        <w:rPr>
          <w:rFonts w:hint="eastAsia" w:hAnsi="宋体"/>
          <w:color w:val="auto"/>
          <w:sz w:val="24"/>
          <w:highlight w:val="none"/>
          <w:lang w:eastAsia="zh-CN"/>
        </w:rPr>
        <w:t>软件及硬件</w:t>
      </w:r>
      <w:r>
        <w:rPr>
          <w:rFonts w:hint="eastAsia" w:hAnsi="宋体"/>
          <w:color w:val="auto"/>
          <w:sz w:val="24"/>
          <w:highlight w:val="none"/>
        </w:rPr>
        <w:t>运输、装卸、安装、调试、</w:t>
      </w:r>
      <w:r>
        <w:rPr>
          <w:rFonts w:hint="eastAsia" w:hAnsi="宋体"/>
          <w:color w:val="auto"/>
          <w:sz w:val="24"/>
          <w:highlight w:val="none"/>
          <w:lang w:eastAsia="zh-CN"/>
        </w:rPr>
        <w:t>运维、</w:t>
      </w:r>
      <w:r>
        <w:rPr>
          <w:rFonts w:hint="eastAsia" w:hAnsi="宋体"/>
          <w:color w:val="auto"/>
          <w:sz w:val="24"/>
          <w:highlight w:val="none"/>
        </w:rPr>
        <w:t>售后服务等所有费用。</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三、技术资料</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1.乙方应按招标文件规定的时间向甲方提供使用</w:t>
      </w:r>
      <w:r>
        <w:rPr>
          <w:rFonts w:hint="eastAsia" w:hAnsi="宋体" w:cs="宋体"/>
          <w:color w:val="auto"/>
          <w:sz w:val="24"/>
          <w:szCs w:val="24"/>
          <w:highlight w:val="none"/>
          <w:lang w:eastAsia="zh-CN"/>
        </w:rPr>
        <w:t>软硬件</w:t>
      </w:r>
      <w:r>
        <w:rPr>
          <w:rFonts w:hAnsi="宋体" w:cs="宋体"/>
          <w:color w:val="auto"/>
          <w:sz w:val="24"/>
          <w:szCs w:val="24"/>
          <w:highlight w:val="none"/>
        </w:rPr>
        <w:t>的有关技术资料。</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2.</w:t>
      </w:r>
      <w:r>
        <w:rPr>
          <w:rFonts w:hint="eastAsia" w:hAnsi="宋体" w:cs="宋体"/>
          <w:color w:val="auto"/>
          <w:sz w:val="24"/>
          <w:szCs w:val="24"/>
          <w:highlight w:val="none"/>
          <w:lang w:eastAsia="zh-CN"/>
        </w:rPr>
        <w:t>未经</w:t>
      </w:r>
      <w:r>
        <w:rPr>
          <w:rFonts w:hAnsi="宋体" w:cs="宋体"/>
          <w:color w:val="auto"/>
          <w:sz w:val="24"/>
          <w:szCs w:val="24"/>
          <w:highlight w:val="none"/>
        </w:rPr>
        <w:t>甲方事先书面同意，乙方不得将由甲方提供的规格、样品或资料提供给与履行本合同无关的任何其他人。即使向履行本合同有关的人员提供，也应注意保密并限于履行合同的必需范围。</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四、知识产权</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乙方应保证所提供的货物或其任何一部分均不会侵犯任何第三方的知识产权。</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五、产权担保</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乙方保证所交付的货物的所有权完全属于乙方且无任何抵押、查封等产权瑕疵。</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六、履约保证金</w:t>
      </w:r>
    </w:p>
    <w:p>
      <w:pPr>
        <w:pStyle w:val="32"/>
        <w:snapToGrid w:val="0"/>
        <w:spacing w:line="4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w:t>
      </w:r>
      <w:r>
        <w:rPr>
          <w:rFonts w:hAnsi="宋体" w:cs="宋体"/>
          <w:color w:val="auto"/>
          <w:sz w:val="24"/>
          <w:szCs w:val="24"/>
          <w:highlight w:val="none"/>
        </w:rPr>
        <w:t>乙方交纳人民币</w:t>
      </w:r>
      <w:r>
        <w:rPr>
          <w:rFonts w:hint="eastAsia" w:hAnsi="宋体" w:cs="宋体"/>
          <w:color w:val="auto"/>
          <w:sz w:val="24"/>
          <w:szCs w:val="24"/>
          <w:highlight w:val="none"/>
          <w:u w:val="single"/>
        </w:rPr>
        <w:t xml:space="preserve">         </w:t>
      </w:r>
      <w:r>
        <w:rPr>
          <w:rFonts w:hAnsi="宋体" w:cs="宋体"/>
          <w:color w:val="auto"/>
          <w:sz w:val="24"/>
          <w:szCs w:val="24"/>
          <w:highlight w:val="none"/>
        </w:rPr>
        <w:t>元作为本合同的履约保证金（</w:t>
      </w:r>
      <w:r>
        <w:rPr>
          <w:rFonts w:hint="eastAsia" w:hAnsi="宋体" w:cs="宋体"/>
          <w:color w:val="auto"/>
          <w:sz w:val="24"/>
          <w:szCs w:val="24"/>
          <w:highlight w:val="none"/>
        </w:rPr>
        <w:t>中标</w:t>
      </w:r>
      <w:r>
        <w:rPr>
          <w:rFonts w:hAnsi="宋体" w:cs="宋体"/>
          <w:color w:val="auto"/>
          <w:sz w:val="24"/>
          <w:szCs w:val="24"/>
          <w:highlight w:val="none"/>
        </w:rPr>
        <w:t>金额的</w:t>
      </w:r>
      <w:r>
        <w:rPr>
          <w:rFonts w:hint="eastAsia" w:hAnsi="宋体" w:cs="宋体"/>
          <w:color w:val="auto"/>
          <w:sz w:val="24"/>
          <w:szCs w:val="24"/>
          <w:highlight w:val="none"/>
        </w:rPr>
        <w:t>5</w:t>
      </w:r>
      <w:r>
        <w:rPr>
          <w:rFonts w:hAnsi="宋体" w:cs="宋体"/>
          <w:color w:val="auto"/>
          <w:sz w:val="24"/>
          <w:szCs w:val="24"/>
          <w:highlight w:val="none"/>
        </w:rPr>
        <w:t>%），</w:t>
      </w:r>
      <w:r>
        <w:rPr>
          <w:rFonts w:hint="eastAsia" w:hAnsi="宋体"/>
          <w:color w:val="auto"/>
          <w:sz w:val="24"/>
          <w:szCs w:val="24"/>
          <w:highlight w:val="none"/>
          <w:lang w:val="zh-CN"/>
        </w:rPr>
        <w:t>项目验收合格</w:t>
      </w:r>
      <w:r>
        <w:rPr>
          <w:rFonts w:hint="eastAsia" w:hAnsi="宋体"/>
          <w:color w:val="auto"/>
          <w:sz w:val="24"/>
          <w:szCs w:val="24"/>
          <w:highlight w:val="none"/>
        </w:rPr>
        <w:t>后自</w:t>
      </w:r>
      <w:r>
        <w:rPr>
          <w:rFonts w:hint="eastAsia" w:hAnsi="宋体" w:cs="宋体"/>
          <w:color w:val="auto"/>
          <w:sz w:val="24"/>
          <w:szCs w:val="24"/>
          <w:highlight w:val="none"/>
        </w:rPr>
        <w:t>动转为质量保证金。</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七、转包或分包</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1.本合同范围的货物，应由乙方直接供应，不得转让他人供应。</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2.</w:t>
      </w:r>
      <w:r>
        <w:rPr>
          <w:rFonts w:hint="eastAsia" w:hAnsi="宋体" w:cs="宋体"/>
          <w:color w:val="auto"/>
          <w:sz w:val="24"/>
          <w:szCs w:val="24"/>
          <w:highlight w:val="none"/>
          <w:lang w:eastAsia="zh-CN"/>
        </w:rPr>
        <w:t>未经</w:t>
      </w:r>
      <w:r>
        <w:rPr>
          <w:rFonts w:hAnsi="宋体" w:cs="宋体"/>
          <w:color w:val="auto"/>
          <w:sz w:val="24"/>
          <w:szCs w:val="24"/>
          <w:highlight w:val="none"/>
        </w:rPr>
        <w:t>甲方书面同意，乙方不得将本合同范围的货物全部或部分分包给他人供应。</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3.如有转让和未经甲方同意的分包行为，甲方有权解除合同，没收履约保证金并追究乙方的违约责任。</w:t>
      </w:r>
    </w:p>
    <w:p>
      <w:pPr>
        <w:pStyle w:val="32"/>
        <w:snapToGrid w:val="0"/>
        <w:spacing w:before="120" w:after="120" w:line="360" w:lineRule="atLeast"/>
        <w:rPr>
          <w:rFonts w:hAnsi="宋体" w:cs="宋体"/>
          <w:b/>
          <w:bCs/>
          <w:color w:val="auto"/>
          <w:sz w:val="24"/>
          <w:szCs w:val="24"/>
          <w:highlight w:val="none"/>
        </w:rPr>
      </w:pPr>
      <w:r>
        <w:rPr>
          <w:rFonts w:hAnsi="宋体" w:cs="宋体"/>
          <w:b/>
          <w:color w:val="auto"/>
          <w:sz w:val="24"/>
          <w:szCs w:val="24"/>
          <w:highlight w:val="none"/>
        </w:rPr>
        <w:t xml:space="preserve">    </w:t>
      </w:r>
      <w:r>
        <w:rPr>
          <w:rFonts w:hAnsi="宋体" w:cs="宋体"/>
          <w:b/>
          <w:bCs/>
          <w:color w:val="auto"/>
          <w:sz w:val="24"/>
          <w:szCs w:val="24"/>
          <w:highlight w:val="none"/>
        </w:rPr>
        <w:t>八、质保期</w:t>
      </w:r>
      <w:r>
        <w:rPr>
          <w:rFonts w:hint="eastAsia" w:hAnsi="宋体" w:cs="宋体"/>
          <w:b/>
          <w:bCs/>
          <w:color w:val="auto"/>
          <w:sz w:val="24"/>
          <w:szCs w:val="24"/>
          <w:highlight w:val="none"/>
        </w:rPr>
        <w:t>和质量保证金</w:t>
      </w:r>
    </w:p>
    <w:p>
      <w:pPr>
        <w:pStyle w:val="32"/>
        <w:snapToGrid w:val="0"/>
        <w:spacing w:before="120" w:after="120" w:line="360" w:lineRule="atLeast"/>
        <w:ind w:firstLine="480" w:firstLineChars="200"/>
        <w:rPr>
          <w:rFonts w:hAnsi="宋体"/>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自交货验收合格之日起质保期的约定：国家有规定的按其规定，没有规定的为三年，在质保期内，如有质量问题，乙方应负责</w:t>
      </w:r>
      <w:r>
        <w:rPr>
          <w:rFonts w:hint="eastAsia" w:hAnsi="宋体"/>
          <w:color w:val="auto"/>
          <w:sz w:val="24"/>
          <w:szCs w:val="24"/>
          <w:highlight w:val="none"/>
          <w:lang w:eastAsia="zh-CN"/>
        </w:rPr>
        <w:t>及时</w:t>
      </w:r>
      <w:r>
        <w:rPr>
          <w:rFonts w:hint="eastAsia" w:hAnsi="宋体"/>
          <w:color w:val="auto"/>
          <w:sz w:val="24"/>
          <w:szCs w:val="24"/>
          <w:highlight w:val="none"/>
        </w:rPr>
        <w:t>免费更换或维修（因甲方原因、人为原因或不可抗力造成的原因除外）。</w:t>
      </w:r>
    </w:p>
    <w:p>
      <w:pPr>
        <w:pStyle w:val="32"/>
        <w:snapToGrid w:val="0"/>
        <w:spacing w:line="400" w:lineRule="exact"/>
        <w:ind w:firstLine="480" w:firstLineChars="200"/>
        <w:rPr>
          <w:rFonts w:hAnsi="宋体"/>
          <w:color w:val="auto"/>
          <w:sz w:val="24"/>
          <w:szCs w:val="24"/>
          <w:highlight w:val="none"/>
        </w:rPr>
      </w:pPr>
      <w:r>
        <w:rPr>
          <w:rFonts w:hAnsi="宋体" w:cs="宋体"/>
          <w:color w:val="auto"/>
          <w:sz w:val="24"/>
          <w:szCs w:val="24"/>
          <w:highlight w:val="none"/>
        </w:rPr>
        <w:t>2.质</w:t>
      </w:r>
      <w:r>
        <w:rPr>
          <w:rFonts w:hint="eastAsia" w:hAnsi="宋体" w:cs="宋体"/>
          <w:color w:val="auto"/>
          <w:sz w:val="24"/>
          <w:szCs w:val="24"/>
          <w:highlight w:val="none"/>
        </w:rPr>
        <w:t>量</w:t>
      </w:r>
      <w:r>
        <w:rPr>
          <w:rFonts w:hAnsi="宋体" w:cs="宋体"/>
          <w:color w:val="auto"/>
          <w:sz w:val="24"/>
          <w:szCs w:val="24"/>
          <w:highlight w:val="none"/>
        </w:rPr>
        <w:t>保</w:t>
      </w:r>
      <w:r>
        <w:rPr>
          <w:rFonts w:hint="eastAsia" w:hAnsi="宋体" w:cs="宋体"/>
          <w:color w:val="auto"/>
          <w:sz w:val="24"/>
          <w:szCs w:val="24"/>
          <w:highlight w:val="none"/>
        </w:rPr>
        <w:t>证</w:t>
      </w:r>
      <w:r>
        <w:rPr>
          <w:rFonts w:hAnsi="宋体" w:cs="宋体"/>
          <w:color w:val="auto"/>
          <w:sz w:val="24"/>
          <w:szCs w:val="24"/>
          <w:highlight w:val="none"/>
        </w:rPr>
        <w:t xml:space="preserve">金 </w:t>
      </w:r>
      <w:r>
        <w:rPr>
          <w:rFonts w:hint="eastAsia" w:hAnsi="宋体"/>
          <w:color w:val="auto"/>
          <w:sz w:val="24"/>
          <w:szCs w:val="24"/>
          <w:highlight w:val="none"/>
          <w:u w:val="single"/>
        </w:rPr>
        <w:t xml:space="preserve">       </w:t>
      </w:r>
      <w:r>
        <w:rPr>
          <w:rFonts w:hAnsi="宋体" w:cs="宋体"/>
          <w:color w:val="auto"/>
          <w:sz w:val="24"/>
          <w:szCs w:val="24"/>
          <w:highlight w:val="none"/>
        </w:rPr>
        <w:t>元</w:t>
      </w:r>
      <w:r>
        <w:rPr>
          <w:rFonts w:hint="eastAsia" w:hAnsi="宋体"/>
          <w:color w:val="auto"/>
          <w:sz w:val="24"/>
          <w:szCs w:val="24"/>
          <w:highlight w:val="none"/>
        </w:rPr>
        <w:t>，由履约保证金自动转为质量保证金，质保期满后，无任何质量问题，十个工作日内</w:t>
      </w:r>
      <w:r>
        <w:rPr>
          <w:rFonts w:hint="eastAsia" w:hAnsi="宋体"/>
          <w:color w:val="auto"/>
          <w:sz w:val="24"/>
          <w:szCs w:val="24"/>
          <w:highlight w:val="none"/>
          <w:lang w:eastAsia="zh-CN"/>
        </w:rPr>
        <w:t>全额</w:t>
      </w:r>
      <w:r>
        <w:rPr>
          <w:rFonts w:hint="eastAsia" w:hAnsi="宋体"/>
          <w:color w:val="auto"/>
          <w:sz w:val="24"/>
          <w:szCs w:val="24"/>
          <w:highlight w:val="none"/>
        </w:rPr>
        <w:t>无息退回。</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九、交货期、交货方式及交货地点</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1.交货期：</w:t>
      </w:r>
      <w:r>
        <w:rPr>
          <w:rFonts w:hint="eastAsia" w:hAnsi="宋体"/>
          <w:color w:val="auto"/>
          <w:sz w:val="24"/>
          <w:highlight w:val="none"/>
        </w:rPr>
        <w:t xml:space="preserve"> </w:t>
      </w:r>
    </w:p>
    <w:p>
      <w:pPr>
        <w:pStyle w:val="32"/>
        <w:snapToGrid w:val="0"/>
        <w:spacing w:line="400" w:lineRule="exact"/>
        <w:ind w:firstLine="480" w:firstLineChars="200"/>
        <w:rPr>
          <w:rStyle w:val="136"/>
        </w:rPr>
      </w:pPr>
      <w:r>
        <w:rPr>
          <w:rFonts w:hAnsi="宋体" w:cs="宋体"/>
          <w:color w:val="auto"/>
          <w:sz w:val="24"/>
          <w:szCs w:val="24"/>
          <w:highlight w:val="none"/>
        </w:rPr>
        <w:t>2.交货方式：乙方免费送货上门</w:t>
      </w:r>
      <w:r>
        <w:rPr>
          <w:rFonts w:hint="eastAsia" w:hAnsi="宋体" w:cs="宋体"/>
          <w:color w:val="auto"/>
          <w:sz w:val="24"/>
          <w:szCs w:val="24"/>
          <w:highlight w:val="none"/>
        </w:rPr>
        <w:t>。</w:t>
      </w:r>
    </w:p>
    <w:p>
      <w:pPr>
        <w:pStyle w:val="32"/>
        <w:snapToGrid w:val="0"/>
        <w:spacing w:line="400" w:lineRule="exact"/>
        <w:ind w:firstLine="480" w:firstLineChars="200"/>
        <w:rPr>
          <w:rFonts w:hAnsi="宋体" w:cs="宋体"/>
          <w:b/>
          <w:color w:val="auto"/>
          <w:sz w:val="24"/>
          <w:szCs w:val="24"/>
          <w:highlight w:val="none"/>
        </w:rPr>
      </w:pPr>
      <w:r>
        <w:rPr>
          <w:rFonts w:hAnsi="宋体" w:cs="宋体"/>
          <w:color w:val="auto"/>
          <w:sz w:val="24"/>
          <w:szCs w:val="24"/>
          <w:highlight w:val="none"/>
        </w:rPr>
        <w:t>3.交货地点：</w:t>
      </w:r>
      <w:r>
        <w:rPr>
          <w:rFonts w:hint="eastAsia" w:hAnsi="宋体" w:cs="宋体"/>
          <w:color w:val="auto"/>
          <w:sz w:val="24"/>
          <w:szCs w:val="24"/>
          <w:highlight w:val="none"/>
        </w:rPr>
        <w:t>按</w:t>
      </w:r>
      <w:r>
        <w:rPr>
          <w:rFonts w:hint="eastAsia" w:hAnsi="宋体" w:cs="宋体"/>
          <w:color w:val="auto"/>
          <w:sz w:val="24"/>
          <w:szCs w:val="24"/>
          <w:highlight w:val="none"/>
          <w:lang w:eastAsia="zh-CN"/>
        </w:rPr>
        <w:t>甲方</w:t>
      </w:r>
      <w:r>
        <w:rPr>
          <w:rFonts w:hint="eastAsia" w:hAnsi="宋体" w:cs="宋体"/>
          <w:color w:val="auto"/>
          <w:sz w:val="24"/>
          <w:szCs w:val="24"/>
          <w:highlight w:val="none"/>
        </w:rPr>
        <w:t>要求</w:t>
      </w:r>
      <w:r>
        <w:rPr>
          <w:rFonts w:hint="eastAsia" w:hAnsi="宋体"/>
          <w:color w:val="auto"/>
          <w:sz w:val="24"/>
          <w:highlight w:val="none"/>
        </w:rPr>
        <w:t>。</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十、货款支付</w:t>
      </w:r>
    </w:p>
    <w:p>
      <w:pPr>
        <w:pStyle w:val="389"/>
        <w:ind w:firstLine="560"/>
        <w:rPr>
          <w:color w:val="auto"/>
          <w:sz w:val="24"/>
          <w:szCs w:val="24"/>
          <w:lang w:val="zh-CN"/>
        </w:rPr>
      </w:pPr>
      <w:r>
        <w:rPr>
          <w:rFonts w:hint="eastAsia" w:ascii="宋体" w:hAnsi="宋体"/>
          <w:color w:val="auto"/>
          <w:sz w:val="24"/>
          <w:szCs w:val="24"/>
          <w:highlight w:val="none"/>
        </w:rPr>
        <w:t>付款方式：</w:t>
      </w:r>
      <w:r>
        <w:rPr>
          <w:rFonts w:hint="eastAsia" w:ascii="宋体" w:hAnsi="宋体"/>
          <w:color w:val="auto"/>
          <w:sz w:val="24"/>
          <w:szCs w:val="24"/>
          <w:highlight w:val="none"/>
          <w:lang w:eastAsia="zh-CN"/>
        </w:rPr>
        <w:t>甲方</w:t>
      </w:r>
      <w:r>
        <w:rPr>
          <w:color w:val="auto"/>
          <w:sz w:val="24"/>
          <w:szCs w:val="24"/>
          <w:lang w:val="zh-CN"/>
        </w:rPr>
        <w:t>委托</w:t>
      </w:r>
      <w:r>
        <w:rPr>
          <w:rFonts w:hint="eastAsia"/>
          <w:color w:val="auto"/>
          <w:sz w:val="24"/>
          <w:szCs w:val="24"/>
          <w:lang w:val="zh-CN"/>
        </w:rPr>
        <w:t>乙方</w:t>
      </w:r>
      <w:r>
        <w:rPr>
          <w:color w:val="auto"/>
          <w:sz w:val="24"/>
          <w:szCs w:val="24"/>
          <w:lang w:val="zh-CN"/>
        </w:rPr>
        <w:t>全权负责项目建设和运维管理，</w:t>
      </w:r>
      <w:r>
        <w:rPr>
          <w:rFonts w:hint="eastAsia"/>
          <w:color w:val="auto"/>
          <w:sz w:val="24"/>
          <w:szCs w:val="24"/>
          <w:lang w:val="zh-CN"/>
        </w:rPr>
        <w:t>甲方</w:t>
      </w:r>
      <w:r>
        <w:rPr>
          <w:color w:val="auto"/>
          <w:sz w:val="24"/>
          <w:szCs w:val="24"/>
          <w:lang w:val="zh-CN"/>
        </w:rPr>
        <w:t>分期支付费用。</w:t>
      </w:r>
    </w:p>
    <w:p>
      <w:pPr>
        <w:pStyle w:val="389"/>
        <w:ind w:firstLine="560"/>
        <w:rPr>
          <w:color w:val="auto"/>
          <w:sz w:val="24"/>
          <w:szCs w:val="24"/>
          <w:lang w:val="zh-CN"/>
        </w:rPr>
      </w:pPr>
      <w:r>
        <w:rPr>
          <w:color w:val="auto"/>
          <w:sz w:val="24"/>
          <w:szCs w:val="24"/>
        </w:rPr>
        <w:t>1）</w:t>
      </w:r>
      <w:r>
        <w:rPr>
          <w:color w:val="auto"/>
          <w:sz w:val="24"/>
          <w:szCs w:val="24"/>
          <w:lang w:val="zh-CN"/>
        </w:rPr>
        <w:t>自合同生效后</w:t>
      </w:r>
      <w:r>
        <w:rPr>
          <w:color w:val="auto"/>
          <w:sz w:val="24"/>
          <w:szCs w:val="24"/>
        </w:rPr>
        <w:t>3</w:t>
      </w:r>
      <w:r>
        <w:rPr>
          <w:color w:val="auto"/>
          <w:sz w:val="24"/>
          <w:szCs w:val="24"/>
          <w:lang w:val="zh-CN"/>
        </w:rPr>
        <w:t>0日内</w:t>
      </w:r>
      <w:r>
        <w:rPr>
          <w:rFonts w:hint="eastAsia"/>
          <w:color w:val="auto"/>
          <w:sz w:val="24"/>
          <w:szCs w:val="24"/>
          <w:lang w:val="zh-CN"/>
        </w:rPr>
        <w:t>甲方</w:t>
      </w:r>
      <w:r>
        <w:rPr>
          <w:color w:val="auto"/>
          <w:sz w:val="24"/>
          <w:szCs w:val="24"/>
          <w:lang w:val="zh-CN"/>
        </w:rPr>
        <w:t>向</w:t>
      </w:r>
      <w:r>
        <w:rPr>
          <w:rFonts w:hint="eastAsia"/>
          <w:color w:val="auto"/>
          <w:sz w:val="24"/>
          <w:szCs w:val="24"/>
          <w:lang w:val="zh-CN"/>
        </w:rPr>
        <w:t>乙方</w:t>
      </w:r>
      <w:r>
        <w:rPr>
          <w:color w:val="auto"/>
          <w:sz w:val="24"/>
          <w:szCs w:val="24"/>
          <w:lang w:val="zh-CN"/>
        </w:rPr>
        <w:t>支付</w:t>
      </w:r>
      <w:r>
        <w:rPr>
          <w:rFonts w:hint="eastAsia"/>
          <w:color w:val="auto"/>
          <w:sz w:val="24"/>
          <w:szCs w:val="24"/>
          <w:lang w:val="zh-CN"/>
        </w:rPr>
        <w:t>中标建设费用</w:t>
      </w:r>
      <w:r>
        <w:rPr>
          <w:color w:val="auto"/>
          <w:sz w:val="24"/>
          <w:szCs w:val="24"/>
          <w:lang w:val="zh-CN"/>
        </w:rPr>
        <w:t>的5%。</w:t>
      </w:r>
    </w:p>
    <w:p>
      <w:pPr>
        <w:pStyle w:val="389"/>
        <w:ind w:firstLine="560"/>
        <w:rPr>
          <w:color w:val="auto"/>
          <w:sz w:val="24"/>
          <w:szCs w:val="24"/>
          <w:lang w:val="zh-CN"/>
        </w:rPr>
      </w:pPr>
      <w:r>
        <w:rPr>
          <w:color w:val="auto"/>
          <w:sz w:val="24"/>
          <w:szCs w:val="24"/>
        </w:rPr>
        <w:t>2）</w:t>
      </w:r>
      <w:r>
        <w:rPr>
          <w:rFonts w:hint="eastAsia"/>
          <w:color w:val="auto"/>
          <w:sz w:val="24"/>
          <w:szCs w:val="24"/>
          <w:lang w:eastAsia="zh-CN"/>
        </w:rPr>
        <w:t>乙方</w:t>
      </w:r>
      <w:r>
        <w:rPr>
          <w:color w:val="auto"/>
          <w:sz w:val="24"/>
          <w:szCs w:val="24"/>
          <w:lang w:val="zh-CN"/>
        </w:rPr>
        <w:t>按期完成项目</w:t>
      </w:r>
      <w:r>
        <w:rPr>
          <w:rFonts w:hint="eastAsia"/>
          <w:color w:val="auto"/>
          <w:sz w:val="24"/>
          <w:szCs w:val="24"/>
          <w:lang w:val="zh-CN"/>
        </w:rPr>
        <w:t>软件建设</w:t>
      </w:r>
      <w:r>
        <w:rPr>
          <w:rFonts w:hint="eastAsia"/>
          <w:color w:val="auto"/>
          <w:sz w:val="24"/>
          <w:szCs w:val="24"/>
          <w:lang w:val="en-US" w:eastAsia="zh-CN"/>
        </w:rPr>
        <w:t>50%、硬件设备全部进场后</w:t>
      </w:r>
      <w:r>
        <w:rPr>
          <w:color w:val="auto"/>
          <w:sz w:val="24"/>
          <w:szCs w:val="24"/>
          <w:lang w:val="zh-CN"/>
        </w:rPr>
        <w:t>且经</w:t>
      </w:r>
      <w:r>
        <w:rPr>
          <w:rFonts w:hint="eastAsia"/>
          <w:color w:val="auto"/>
          <w:sz w:val="24"/>
          <w:szCs w:val="24"/>
          <w:lang w:val="zh-CN"/>
        </w:rPr>
        <w:t>甲方</w:t>
      </w:r>
      <w:r>
        <w:rPr>
          <w:color w:val="auto"/>
          <w:sz w:val="24"/>
          <w:szCs w:val="24"/>
          <w:lang w:val="zh-CN"/>
        </w:rPr>
        <w:t>确认后</w:t>
      </w:r>
      <w:r>
        <w:rPr>
          <w:rFonts w:hint="eastAsia"/>
          <w:color w:val="auto"/>
          <w:sz w:val="24"/>
          <w:szCs w:val="24"/>
          <w:lang w:val="en-US" w:eastAsia="zh-CN"/>
        </w:rPr>
        <w:t>15</w:t>
      </w:r>
      <w:r>
        <w:rPr>
          <w:color w:val="auto"/>
          <w:sz w:val="24"/>
          <w:szCs w:val="24"/>
        </w:rPr>
        <w:t>日内</w:t>
      </w:r>
      <w:r>
        <w:rPr>
          <w:color w:val="auto"/>
          <w:sz w:val="24"/>
          <w:szCs w:val="24"/>
          <w:lang w:val="zh-CN"/>
        </w:rPr>
        <w:t>支付</w:t>
      </w:r>
      <w:r>
        <w:rPr>
          <w:rFonts w:hint="eastAsia"/>
          <w:color w:val="auto"/>
          <w:sz w:val="24"/>
          <w:szCs w:val="24"/>
          <w:lang w:val="zh-CN"/>
        </w:rPr>
        <w:t>至中标</w:t>
      </w:r>
      <w:r>
        <w:rPr>
          <w:color w:val="auto"/>
          <w:sz w:val="24"/>
          <w:szCs w:val="24"/>
          <w:lang w:val="zh-CN"/>
        </w:rPr>
        <w:t>建设费用的</w:t>
      </w:r>
      <w:r>
        <w:rPr>
          <w:rFonts w:hint="eastAsia"/>
          <w:color w:val="auto"/>
          <w:sz w:val="24"/>
          <w:szCs w:val="24"/>
          <w:lang w:val="en-US" w:eastAsia="zh-CN"/>
        </w:rPr>
        <w:t>35</w:t>
      </w:r>
      <w:r>
        <w:rPr>
          <w:color w:val="auto"/>
          <w:sz w:val="24"/>
          <w:szCs w:val="24"/>
          <w:lang w:val="zh-CN"/>
        </w:rPr>
        <w:t>%。</w:t>
      </w:r>
    </w:p>
    <w:p>
      <w:pPr>
        <w:pStyle w:val="389"/>
        <w:ind w:firstLine="560"/>
        <w:rPr>
          <w:color w:val="auto"/>
          <w:sz w:val="24"/>
          <w:szCs w:val="24"/>
          <w:lang w:val="zh-CN"/>
        </w:rPr>
      </w:pPr>
      <w:r>
        <w:rPr>
          <w:color w:val="auto"/>
          <w:sz w:val="24"/>
          <w:szCs w:val="24"/>
        </w:rPr>
        <w:t>3）</w:t>
      </w:r>
      <w:r>
        <w:rPr>
          <w:rFonts w:hint="eastAsia"/>
          <w:color w:val="auto"/>
          <w:sz w:val="24"/>
          <w:szCs w:val="24"/>
          <w:lang w:eastAsia="zh-CN"/>
        </w:rPr>
        <w:t>乙方</w:t>
      </w:r>
      <w:r>
        <w:rPr>
          <w:color w:val="auto"/>
          <w:sz w:val="24"/>
          <w:szCs w:val="24"/>
          <w:lang w:val="zh-CN"/>
        </w:rPr>
        <w:t>按期完成项目</w:t>
      </w:r>
      <w:r>
        <w:rPr>
          <w:rFonts w:hint="eastAsia"/>
          <w:color w:val="auto"/>
          <w:sz w:val="24"/>
          <w:szCs w:val="24"/>
          <w:lang w:val="zh-CN"/>
        </w:rPr>
        <w:t>全部软件</w:t>
      </w:r>
      <w:r>
        <w:rPr>
          <w:color w:val="auto"/>
          <w:sz w:val="24"/>
          <w:szCs w:val="24"/>
          <w:lang w:val="zh-CN"/>
        </w:rPr>
        <w:t>建设</w:t>
      </w:r>
      <w:r>
        <w:rPr>
          <w:rFonts w:hint="eastAsia"/>
          <w:color w:val="auto"/>
          <w:sz w:val="24"/>
          <w:szCs w:val="24"/>
          <w:lang w:val="zh-CN"/>
        </w:rPr>
        <w:t>、硬件设备安装</w:t>
      </w:r>
      <w:r>
        <w:rPr>
          <w:rFonts w:hint="eastAsia"/>
          <w:color w:val="auto"/>
          <w:sz w:val="24"/>
          <w:szCs w:val="24"/>
          <w:lang w:val="en-US" w:eastAsia="zh-CN"/>
        </w:rPr>
        <w:t>50%后</w:t>
      </w:r>
      <w:r>
        <w:rPr>
          <w:color w:val="auto"/>
          <w:sz w:val="24"/>
          <w:szCs w:val="24"/>
          <w:lang w:val="zh-CN"/>
        </w:rPr>
        <w:t>且经</w:t>
      </w:r>
      <w:r>
        <w:rPr>
          <w:rFonts w:hint="eastAsia"/>
          <w:color w:val="auto"/>
          <w:sz w:val="24"/>
          <w:szCs w:val="24"/>
          <w:lang w:val="zh-CN"/>
        </w:rPr>
        <w:t>甲方</w:t>
      </w:r>
      <w:r>
        <w:rPr>
          <w:color w:val="auto"/>
          <w:sz w:val="24"/>
          <w:szCs w:val="24"/>
          <w:lang w:val="zh-CN"/>
        </w:rPr>
        <w:t>确认后</w:t>
      </w:r>
      <w:r>
        <w:rPr>
          <w:rFonts w:hint="eastAsia"/>
          <w:color w:val="auto"/>
          <w:sz w:val="24"/>
          <w:szCs w:val="24"/>
          <w:lang w:val="en-US" w:eastAsia="zh-CN"/>
        </w:rPr>
        <w:t>15</w:t>
      </w:r>
      <w:r>
        <w:rPr>
          <w:color w:val="auto"/>
          <w:sz w:val="24"/>
          <w:szCs w:val="24"/>
        </w:rPr>
        <w:t>日内</w:t>
      </w:r>
      <w:r>
        <w:rPr>
          <w:color w:val="auto"/>
          <w:sz w:val="24"/>
          <w:szCs w:val="24"/>
          <w:lang w:val="zh-CN"/>
        </w:rPr>
        <w:t>支付</w:t>
      </w:r>
      <w:r>
        <w:rPr>
          <w:rFonts w:hint="eastAsia"/>
          <w:color w:val="auto"/>
          <w:sz w:val="24"/>
          <w:szCs w:val="24"/>
          <w:lang w:val="zh-CN"/>
        </w:rPr>
        <w:t>至中标</w:t>
      </w:r>
      <w:r>
        <w:rPr>
          <w:color w:val="auto"/>
          <w:sz w:val="24"/>
          <w:szCs w:val="24"/>
          <w:lang w:val="zh-CN"/>
        </w:rPr>
        <w:t>建设费用的</w:t>
      </w:r>
      <w:r>
        <w:rPr>
          <w:rFonts w:hint="eastAsia"/>
          <w:color w:val="auto"/>
          <w:sz w:val="24"/>
          <w:szCs w:val="24"/>
          <w:lang w:val="en-US" w:eastAsia="zh-CN"/>
        </w:rPr>
        <w:t>70</w:t>
      </w:r>
      <w:r>
        <w:rPr>
          <w:color w:val="auto"/>
          <w:sz w:val="24"/>
          <w:szCs w:val="24"/>
          <w:lang w:val="zh-CN"/>
        </w:rPr>
        <w:t>%。</w:t>
      </w:r>
    </w:p>
    <w:p>
      <w:pPr>
        <w:pStyle w:val="389"/>
        <w:ind w:firstLine="560"/>
        <w:rPr>
          <w:color w:val="auto"/>
          <w:sz w:val="24"/>
          <w:szCs w:val="24"/>
          <w:lang w:val="zh-CN"/>
        </w:rPr>
      </w:pPr>
      <w:r>
        <w:rPr>
          <w:color w:val="auto"/>
          <w:sz w:val="24"/>
          <w:szCs w:val="24"/>
        </w:rPr>
        <w:t>4）</w:t>
      </w:r>
      <w:r>
        <w:rPr>
          <w:rFonts w:hint="eastAsia"/>
          <w:color w:val="auto"/>
          <w:sz w:val="24"/>
          <w:szCs w:val="24"/>
          <w:lang w:eastAsia="zh-CN"/>
        </w:rPr>
        <w:t>乙方</w:t>
      </w:r>
      <w:r>
        <w:rPr>
          <w:color w:val="auto"/>
          <w:sz w:val="24"/>
          <w:szCs w:val="24"/>
          <w:lang w:val="zh-CN"/>
        </w:rPr>
        <w:t>按期完成</w:t>
      </w:r>
      <w:r>
        <w:rPr>
          <w:rFonts w:hint="eastAsia"/>
          <w:color w:val="auto"/>
          <w:sz w:val="24"/>
          <w:szCs w:val="24"/>
          <w:lang w:val="zh-CN"/>
        </w:rPr>
        <w:t>全部</w:t>
      </w:r>
      <w:r>
        <w:rPr>
          <w:color w:val="auto"/>
          <w:sz w:val="24"/>
          <w:szCs w:val="24"/>
          <w:lang w:val="zh-CN"/>
        </w:rPr>
        <w:t>建设工作任务</w:t>
      </w:r>
      <w:r>
        <w:rPr>
          <w:rFonts w:hint="eastAsia"/>
          <w:color w:val="auto"/>
          <w:sz w:val="24"/>
          <w:szCs w:val="24"/>
          <w:lang w:val="zh-CN"/>
        </w:rPr>
        <w:t>且试运行3个月，申请并通过甲方及其委托的第三方单位的初验，同时通过市级相关主管部门的终验，</w:t>
      </w:r>
      <w:r>
        <w:rPr>
          <w:color w:val="auto"/>
          <w:sz w:val="24"/>
          <w:szCs w:val="24"/>
          <w:lang w:val="zh-CN"/>
        </w:rPr>
        <w:t>且经</w:t>
      </w:r>
      <w:r>
        <w:rPr>
          <w:rFonts w:hint="eastAsia"/>
          <w:color w:val="auto"/>
          <w:sz w:val="24"/>
          <w:szCs w:val="24"/>
          <w:lang w:val="zh-CN"/>
        </w:rPr>
        <w:t>甲方</w:t>
      </w:r>
      <w:r>
        <w:rPr>
          <w:color w:val="auto"/>
          <w:sz w:val="24"/>
          <w:szCs w:val="24"/>
          <w:lang w:val="zh-CN"/>
        </w:rPr>
        <w:t>确认后</w:t>
      </w:r>
      <w:r>
        <w:rPr>
          <w:rFonts w:hint="eastAsia"/>
          <w:color w:val="auto"/>
          <w:sz w:val="24"/>
          <w:szCs w:val="24"/>
          <w:lang w:val="en-US" w:eastAsia="zh-CN"/>
        </w:rPr>
        <w:t>30</w:t>
      </w:r>
      <w:r>
        <w:rPr>
          <w:color w:val="auto"/>
          <w:sz w:val="24"/>
          <w:szCs w:val="24"/>
        </w:rPr>
        <w:t>日内</w:t>
      </w:r>
      <w:r>
        <w:rPr>
          <w:color w:val="auto"/>
          <w:sz w:val="24"/>
          <w:szCs w:val="24"/>
          <w:lang w:val="zh-CN"/>
        </w:rPr>
        <w:t>支付</w:t>
      </w:r>
      <w:r>
        <w:rPr>
          <w:rFonts w:hint="eastAsia"/>
          <w:color w:val="auto"/>
          <w:sz w:val="24"/>
          <w:szCs w:val="24"/>
          <w:lang w:val="zh-CN"/>
        </w:rPr>
        <w:t>乙方中标</w:t>
      </w:r>
      <w:r>
        <w:rPr>
          <w:color w:val="auto"/>
          <w:sz w:val="24"/>
          <w:szCs w:val="24"/>
          <w:lang w:val="zh-CN"/>
        </w:rPr>
        <w:t>建设费用的</w:t>
      </w:r>
      <w:r>
        <w:rPr>
          <w:rFonts w:hint="eastAsia"/>
          <w:color w:val="auto"/>
          <w:sz w:val="24"/>
          <w:szCs w:val="24"/>
          <w:lang w:val="en-US" w:eastAsia="zh-CN"/>
        </w:rPr>
        <w:t>8</w:t>
      </w:r>
      <w:r>
        <w:rPr>
          <w:color w:val="auto"/>
          <w:sz w:val="24"/>
          <w:szCs w:val="24"/>
        </w:rPr>
        <w:t>5</w:t>
      </w:r>
      <w:r>
        <w:rPr>
          <w:color w:val="auto"/>
          <w:sz w:val="24"/>
          <w:szCs w:val="24"/>
          <w:lang w:val="zh-CN"/>
        </w:rPr>
        <w:t>%。</w:t>
      </w:r>
    </w:p>
    <w:p>
      <w:pPr>
        <w:pStyle w:val="389"/>
        <w:ind w:firstLine="560"/>
        <w:rPr>
          <w:b/>
          <w:color w:val="auto"/>
          <w:sz w:val="24"/>
          <w:szCs w:val="24"/>
        </w:rPr>
      </w:pPr>
      <w:r>
        <w:rPr>
          <w:rFonts w:hint="eastAsia"/>
          <w:color w:val="auto"/>
          <w:sz w:val="24"/>
          <w:szCs w:val="24"/>
        </w:rPr>
        <w:t>5</w:t>
      </w:r>
      <w:r>
        <w:rPr>
          <w:color w:val="auto"/>
          <w:sz w:val="24"/>
          <w:szCs w:val="24"/>
        </w:rPr>
        <w:t>）自运维期起算日起，每满12个月后30日内，且经</w:t>
      </w:r>
      <w:r>
        <w:rPr>
          <w:rFonts w:hint="eastAsia"/>
          <w:color w:val="auto"/>
          <w:sz w:val="24"/>
          <w:szCs w:val="24"/>
          <w:lang w:eastAsia="zh-CN"/>
        </w:rPr>
        <w:t>甲方考核运维合格</w:t>
      </w:r>
      <w:r>
        <w:rPr>
          <w:color w:val="auto"/>
          <w:sz w:val="24"/>
          <w:szCs w:val="24"/>
        </w:rPr>
        <w:t>，</w:t>
      </w:r>
      <w:r>
        <w:rPr>
          <w:rFonts w:hint="eastAsia"/>
          <w:color w:val="auto"/>
          <w:sz w:val="24"/>
          <w:szCs w:val="24"/>
          <w:lang w:eastAsia="zh-CN"/>
        </w:rPr>
        <w:t>甲方</w:t>
      </w:r>
      <w:r>
        <w:rPr>
          <w:color w:val="auto"/>
          <w:sz w:val="24"/>
          <w:szCs w:val="24"/>
        </w:rPr>
        <w:t>向</w:t>
      </w:r>
      <w:r>
        <w:rPr>
          <w:rFonts w:hint="eastAsia"/>
          <w:color w:val="auto"/>
          <w:sz w:val="24"/>
          <w:szCs w:val="24"/>
          <w:lang w:eastAsia="zh-CN"/>
        </w:rPr>
        <w:t>乙方</w:t>
      </w:r>
      <w:r>
        <w:rPr>
          <w:color w:val="auto"/>
          <w:sz w:val="24"/>
          <w:szCs w:val="24"/>
        </w:rPr>
        <w:t>支付</w:t>
      </w:r>
      <w:r>
        <w:rPr>
          <w:rFonts w:hint="eastAsia"/>
          <w:color w:val="auto"/>
          <w:sz w:val="24"/>
          <w:szCs w:val="24"/>
          <w:lang w:eastAsia="zh-CN"/>
        </w:rPr>
        <w:t>年度运维</w:t>
      </w:r>
      <w:r>
        <w:rPr>
          <w:color w:val="auto"/>
          <w:sz w:val="24"/>
          <w:szCs w:val="24"/>
        </w:rPr>
        <w:t>费</w:t>
      </w:r>
      <w:r>
        <w:rPr>
          <w:b/>
          <w:color w:val="auto"/>
          <w:sz w:val="24"/>
          <w:szCs w:val="24"/>
        </w:rPr>
        <w:t>。</w:t>
      </w:r>
    </w:p>
    <w:p>
      <w:pPr>
        <w:pStyle w:val="389"/>
        <w:ind w:firstLine="560"/>
        <w:rPr>
          <w:rFonts w:hint="eastAsia"/>
          <w:color w:val="auto"/>
          <w:sz w:val="24"/>
          <w:szCs w:val="24"/>
          <w:lang w:val="zh-CN" w:eastAsia="zh-CN"/>
        </w:rPr>
      </w:pPr>
      <w:r>
        <w:rPr>
          <w:rFonts w:hint="eastAsia"/>
          <w:color w:val="auto"/>
          <w:sz w:val="24"/>
          <w:szCs w:val="24"/>
          <w:lang w:val="en-US" w:eastAsia="zh-CN"/>
        </w:rPr>
        <w:t>6</w:t>
      </w:r>
      <w:r>
        <w:rPr>
          <w:rFonts w:hint="eastAsia"/>
          <w:color w:val="auto"/>
          <w:sz w:val="24"/>
          <w:szCs w:val="24"/>
          <w:lang w:val="zh-CN" w:eastAsia="zh-CN"/>
        </w:rPr>
        <w:t>）三年运维期结束，运维费全部支付后</w:t>
      </w:r>
      <w:r>
        <w:rPr>
          <w:rFonts w:hint="eastAsia"/>
          <w:color w:val="auto"/>
          <w:sz w:val="24"/>
          <w:szCs w:val="24"/>
          <w:lang w:val="en-US" w:eastAsia="zh-CN"/>
        </w:rPr>
        <w:t>30日内，甲方向乙方支付：（中标建设费用的15%-已支付的运维费）。</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十一、税费</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本合同执行中相关的一切税费均由乙方负担。</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十二、质量保证及售后服务</w:t>
      </w:r>
    </w:p>
    <w:p>
      <w:pPr>
        <w:rPr>
          <w:rFonts w:ascii="宋体" w:hAnsi="宋体"/>
          <w:sz w:val="24"/>
          <w:highlight w:val="none"/>
        </w:rPr>
      </w:pPr>
      <w:r>
        <w:rPr>
          <w:rFonts w:hint="eastAsia" w:ascii="宋体" w:hAnsi="宋体"/>
          <w:sz w:val="24"/>
          <w:highlight w:val="none"/>
        </w:rPr>
        <w:t xml:space="preserve">    1.乙方应按招标文件规定的货物性能、技术要求、质量标准向甲方提供未经使用的全新产品。</w:t>
      </w:r>
    </w:p>
    <w:p>
      <w:pPr>
        <w:rPr>
          <w:rFonts w:ascii="宋体" w:hAnsi="宋体"/>
          <w:sz w:val="24"/>
          <w:highlight w:val="none"/>
        </w:rPr>
      </w:pPr>
      <w:r>
        <w:rPr>
          <w:rFonts w:hint="eastAsia" w:ascii="宋体" w:hAnsi="宋体"/>
          <w:sz w:val="24"/>
          <w:highlight w:val="none"/>
        </w:rPr>
        <w:t xml:space="preserve">    2.乙方提供的货物在质保期内因货物本身的质量问题发生故障，乙方应负责免费更换。对达不到技术要求者，根据实际情况，经双方协商，可按以下办法处理：</w:t>
      </w:r>
    </w:p>
    <w:p>
      <w:pPr>
        <w:numPr>
          <w:ilvl w:val="1"/>
          <w:numId w:val="12"/>
        </w:numPr>
        <w:tabs>
          <w:tab w:val="left" w:pos="945"/>
          <w:tab w:val="clear" w:pos="1622"/>
        </w:tabs>
        <w:ind w:hanging="1307"/>
        <w:rPr>
          <w:rFonts w:ascii="宋体" w:hAnsi="宋体"/>
          <w:sz w:val="24"/>
          <w:highlight w:val="none"/>
        </w:rPr>
      </w:pPr>
      <w:r>
        <w:rPr>
          <w:rFonts w:hint="eastAsia" w:ascii="宋体" w:hAnsi="宋体"/>
          <w:sz w:val="24"/>
          <w:highlight w:val="none"/>
        </w:rPr>
        <w:t>更换：由乙方承担所发生的全部费用。</w:t>
      </w:r>
    </w:p>
    <w:p>
      <w:pPr>
        <w:numPr>
          <w:ilvl w:val="1"/>
          <w:numId w:val="12"/>
        </w:numPr>
        <w:tabs>
          <w:tab w:val="left" w:pos="945"/>
          <w:tab w:val="clear" w:pos="1622"/>
        </w:tabs>
        <w:ind w:hanging="1307"/>
        <w:rPr>
          <w:rFonts w:ascii="宋体" w:hAnsi="宋体"/>
          <w:sz w:val="24"/>
          <w:highlight w:val="none"/>
        </w:rPr>
      </w:pPr>
      <w:r>
        <w:rPr>
          <w:rFonts w:hint="eastAsia" w:ascii="宋体" w:hAnsi="宋体"/>
          <w:sz w:val="24"/>
          <w:highlight w:val="none"/>
        </w:rPr>
        <w:t>贬值处理：由甲乙双方合议定价。</w:t>
      </w:r>
    </w:p>
    <w:p>
      <w:pPr>
        <w:numPr>
          <w:ilvl w:val="1"/>
          <w:numId w:val="12"/>
        </w:numPr>
        <w:tabs>
          <w:tab w:val="left" w:pos="945"/>
          <w:tab w:val="clear" w:pos="1622"/>
        </w:tabs>
        <w:ind w:left="0" w:firstLine="315"/>
        <w:rPr>
          <w:rFonts w:ascii="宋体" w:hAnsi="宋体"/>
          <w:sz w:val="24"/>
          <w:highlight w:val="none"/>
        </w:rPr>
      </w:pPr>
      <w:r>
        <w:rPr>
          <w:rFonts w:hint="eastAsia" w:ascii="宋体" w:hAnsi="宋体"/>
          <w:sz w:val="24"/>
          <w:highlight w:val="none"/>
        </w:rPr>
        <w:t>退货处理：乙方应退还甲方支付的合同款，同时应承担该货物的直接费用（运输、保险、检验、货款利息及银行手续费等）。</w:t>
      </w:r>
    </w:p>
    <w:p>
      <w:pPr>
        <w:rPr>
          <w:rFonts w:ascii="宋体" w:hAnsi="宋体"/>
          <w:sz w:val="24"/>
          <w:highlight w:val="none"/>
        </w:rPr>
      </w:pPr>
      <w:r>
        <w:rPr>
          <w:rFonts w:hint="eastAsia" w:ascii="宋体" w:hAnsi="宋体"/>
          <w:sz w:val="24"/>
          <w:highlight w:val="none"/>
        </w:rPr>
        <w:t xml:space="preserve">    3.如在使用过程中发生质量问题，乙方在接到甲方通知后在6小时内到达甲方现场。</w:t>
      </w:r>
    </w:p>
    <w:p>
      <w:pPr>
        <w:ind w:firstLine="465"/>
        <w:rPr>
          <w:rFonts w:ascii="宋体" w:hAnsi="宋体"/>
          <w:sz w:val="24"/>
          <w:highlight w:val="none"/>
        </w:rPr>
      </w:pPr>
      <w:r>
        <w:rPr>
          <w:rFonts w:hint="eastAsia" w:ascii="宋体" w:hAnsi="宋体"/>
          <w:sz w:val="24"/>
          <w:highlight w:val="none"/>
        </w:rPr>
        <w:t>4.在质保期内，乙方应对货物出现的质量及安全问题负责处理解决并承担一切费用。</w:t>
      </w:r>
    </w:p>
    <w:p>
      <w:pPr>
        <w:ind w:firstLine="465"/>
        <w:rPr>
          <w:rFonts w:ascii="宋体" w:hAnsi="宋体"/>
          <w:sz w:val="24"/>
          <w:highlight w:val="none"/>
        </w:rPr>
      </w:pPr>
      <w:r>
        <w:rPr>
          <w:rFonts w:hint="eastAsia" w:ascii="宋体" w:hAnsi="宋体"/>
          <w:sz w:val="24"/>
          <w:highlight w:val="none"/>
        </w:rPr>
        <w:t>5.上述的货物免费保修期的约定：国家有规定的按其规定，没有规定的为三年，因人为因素出现的故障不在免费保修范围内。超过保修期的机器设备，终生维修，维修时只收部件成本费。</w:t>
      </w:r>
    </w:p>
    <w:p>
      <w:pPr>
        <w:rPr>
          <w:rFonts w:ascii="宋体" w:hAnsi="宋体" w:cs="宋体"/>
          <w:b/>
          <w:bCs/>
          <w:sz w:val="24"/>
          <w:szCs w:val="24"/>
          <w:highlight w:val="none"/>
        </w:rPr>
      </w:pPr>
      <w:r>
        <w:rPr>
          <w:rFonts w:hint="eastAsia" w:ascii="宋体" w:hAnsi="宋体"/>
          <w:sz w:val="24"/>
          <w:highlight w:val="none"/>
        </w:rPr>
        <w:t xml:space="preserve">    </w:t>
      </w:r>
      <w:r>
        <w:rPr>
          <w:rFonts w:ascii="宋体" w:hAnsi="宋体" w:cs="宋体"/>
          <w:b/>
          <w:bCs/>
          <w:sz w:val="24"/>
          <w:szCs w:val="24"/>
          <w:highlight w:val="none"/>
        </w:rPr>
        <w:t>十三、验收</w:t>
      </w:r>
    </w:p>
    <w:p>
      <w:pPr>
        <w:numPr>
          <w:ilvl w:val="1"/>
          <w:numId w:val="13"/>
        </w:numPr>
        <w:rPr>
          <w:rFonts w:ascii="宋体" w:hAnsi="宋体"/>
          <w:sz w:val="24"/>
          <w:highlight w:val="none"/>
        </w:rPr>
      </w:pPr>
      <w:r>
        <w:rPr>
          <w:rFonts w:hint="eastAsia" w:ascii="宋体" w:hAnsi="宋体"/>
          <w:sz w:val="24"/>
          <w:highlight w:val="none"/>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numPr>
          <w:ilvl w:val="1"/>
          <w:numId w:val="13"/>
        </w:numPr>
        <w:rPr>
          <w:rFonts w:ascii="宋体" w:hAnsi="宋体"/>
          <w:sz w:val="24"/>
          <w:highlight w:val="none"/>
        </w:rPr>
      </w:pPr>
      <w:r>
        <w:rPr>
          <w:rFonts w:hint="eastAsia" w:ascii="宋体" w:hAnsi="宋体"/>
          <w:sz w:val="24"/>
          <w:highlight w:val="none"/>
        </w:rPr>
        <w:t>乙方交货前应对产品作出全面检查和对验收文件进行整理，并列出清单，作为甲方收货验收和使用的技术条件依据，检验的结果应随货物交甲方。</w:t>
      </w:r>
    </w:p>
    <w:p>
      <w:pPr>
        <w:numPr>
          <w:ilvl w:val="1"/>
          <w:numId w:val="13"/>
        </w:numPr>
        <w:rPr>
          <w:rFonts w:ascii="宋体" w:hAnsi="宋体"/>
          <w:sz w:val="24"/>
          <w:highlight w:val="none"/>
        </w:rPr>
      </w:pPr>
      <w:r>
        <w:rPr>
          <w:rFonts w:hint="eastAsia" w:ascii="宋体" w:hAnsi="宋体"/>
          <w:sz w:val="24"/>
          <w:highlight w:val="none"/>
        </w:rPr>
        <w:t>甲方对乙方提供的货物在使用前进行调试时，乙方需负责安装并免费培训甲方的使用操作人员（免培训费等），并协助甲方一起调试，直到符合技术要求，甲方才做最终验收。</w:t>
      </w:r>
    </w:p>
    <w:p>
      <w:pPr>
        <w:numPr>
          <w:ilvl w:val="1"/>
          <w:numId w:val="13"/>
        </w:numPr>
        <w:rPr>
          <w:rFonts w:ascii="宋体" w:hAnsi="宋体"/>
          <w:color w:val="000000"/>
          <w:sz w:val="24"/>
          <w:highlight w:val="none"/>
        </w:rPr>
      </w:pPr>
      <w:r>
        <w:rPr>
          <w:rFonts w:hint="eastAsia" w:ascii="宋体" w:hAnsi="宋体"/>
          <w:sz w:val="24"/>
          <w:highlight w:val="none"/>
        </w:rPr>
        <w:t>对技术复杂的货物，甲方应请国家认可的专业检测机构参与初步验收及最终验收，并由其出具质量检测报告或</w:t>
      </w:r>
      <w:r>
        <w:rPr>
          <w:rFonts w:hint="eastAsia" w:ascii="宋体" w:hAnsi="宋体"/>
          <w:color w:val="000000"/>
          <w:sz w:val="24"/>
          <w:highlight w:val="none"/>
        </w:rPr>
        <w:t>邀请相关专业人员成立验收小组参与初步验收及最终验收，并出具验收报告。</w:t>
      </w:r>
    </w:p>
    <w:p>
      <w:pPr>
        <w:numPr>
          <w:ilvl w:val="1"/>
          <w:numId w:val="13"/>
        </w:numPr>
        <w:rPr>
          <w:rFonts w:ascii="宋体" w:hAnsi="宋体"/>
          <w:sz w:val="24"/>
          <w:highlight w:val="none"/>
        </w:rPr>
      </w:pPr>
      <w:r>
        <w:rPr>
          <w:rFonts w:hint="eastAsia" w:ascii="宋体" w:hAnsi="宋体"/>
          <w:sz w:val="24"/>
          <w:highlight w:val="none"/>
        </w:rPr>
        <w:t>验收时乙方必须在现场，验收完毕后作出验收结果报告；上述产生的验收费用由乙方负责。</w:t>
      </w:r>
    </w:p>
    <w:p>
      <w:pPr>
        <w:pStyle w:val="32"/>
        <w:snapToGrid w:val="0"/>
        <w:spacing w:line="400" w:lineRule="exact"/>
        <w:ind w:firstLine="482" w:firstLineChars="200"/>
        <w:rPr>
          <w:rFonts w:hAnsi="宋体" w:cs="宋体"/>
          <w:sz w:val="24"/>
          <w:szCs w:val="24"/>
          <w:highlight w:val="none"/>
        </w:rPr>
      </w:pPr>
      <w:r>
        <w:rPr>
          <w:rFonts w:hAnsi="宋体" w:cs="宋体"/>
          <w:b/>
          <w:bCs/>
          <w:sz w:val="24"/>
          <w:szCs w:val="24"/>
          <w:highlight w:val="none"/>
        </w:rPr>
        <w:t>十四、货物包装、发运及运输</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1.乙方应在货物发运前对其进行满足运输距离、防潮、防震、防锈和防破损装卸等要求包装，以保证货物安全运达甲方指定地点。</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2.使用说明书、质量检验证明书、随配附件和工具以及清单一并附于货物内。</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3.乙方在货物发运手续办理完毕后24小时内或货到甲方48小时前通知甲方，以准备接货。</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4.货物在交付甲方前发生的风险均由乙方负责。</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5.货物在规定的交付期限内由乙方送达甲方指定的地点视为交付，乙方同时需通知甲方货物已送达。</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十五、违约责任</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1.甲方无正当理由拒收货物的，甲方向乙方偿付拒收货款总值的百分之五违约金。</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2.甲方无故逾期验收和办理货款支付手续的,甲方应按逾期付款总额每日万分之五向乙方支付违约金。</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tabs>
          <w:tab w:val="right" w:pos="9637"/>
        </w:tabs>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十六、不可抗力事件处理</w:t>
      </w:r>
      <w:r>
        <w:rPr>
          <w:rFonts w:hAnsi="宋体" w:cs="宋体"/>
          <w:b/>
          <w:bCs/>
          <w:sz w:val="24"/>
          <w:szCs w:val="24"/>
          <w:highlight w:val="none"/>
        </w:rPr>
        <w:tab/>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1.在合同有效期内，任何一方因不可抗力事件导致不能履行合同，则合同履行期可延长，其延长期与不可抗力影响期相同。</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2.不可抗力事件发生后，应立即通知对方，并寄送有关权威机构出具的证明。</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3.不可抗力事件延续120天以上，双方应通过友好协商，确定是否继续履行合同。</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十七、诉讼</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双方在执行合同中所发生的一切争议，应通过协商解决。如协商不成，可向甲方所在地法院起诉。</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十八、合同生效及其它</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1. 合同执行中涉及采购资金和采购内容修改或补充的，须经财政部门审批，并签书面补充协议报江山市财政局备案，方可作为主合同不可分割的一部分。</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2. 本合同未尽事宜，遵照《合同法》有关条文执行。</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3. 本合同经甲方、乙方法定代表人或其委托人签字并加盖双方公章，经</w:t>
      </w:r>
      <w:r>
        <w:rPr>
          <w:rFonts w:hint="eastAsia" w:hAnsi="宋体" w:cs="宋体"/>
          <w:sz w:val="24"/>
          <w:szCs w:val="24"/>
          <w:highlight w:val="none"/>
        </w:rPr>
        <w:t>浙江中正工程项目管理有限公司</w:t>
      </w:r>
      <w:r>
        <w:rPr>
          <w:rFonts w:hAnsi="宋体" w:cs="宋体"/>
          <w:sz w:val="24"/>
          <w:szCs w:val="24"/>
          <w:highlight w:val="none"/>
        </w:rPr>
        <w:t>鉴证、进行合同公示后生效。</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4. 合同一式</w:t>
      </w:r>
      <w:r>
        <w:rPr>
          <w:rFonts w:hint="eastAsia" w:hAnsi="宋体" w:cs="宋体"/>
          <w:sz w:val="24"/>
          <w:szCs w:val="24"/>
          <w:highlight w:val="none"/>
          <w:lang w:eastAsia="zh-CN"/>
        </w:rPr>
        <w:t>捌</w:t>
      </w:r>
      <w:r>
        <w:rPr>
          <w:rFonts w:hAnsi="宋体" w:cs="宋体"/>
          <w:sz w:val="24"/>
          <w:szCs w:val="24"/>
          <w:highlight w:val="none"/>
        </w:rPr>
        <w:t>份，甲方执</w:t>
      </w:r>
      <w:r>
        <w:rPr>
          <w:rFonts w:hint="eastAsia" w:hAnsi="宋体" w:cs="宋体"/>
          <w:sz w:val="24"/>
          <w:szCs w:val="24"/>
          <w:highlight w:val="none"/>
          <w:lang w:eastAsia="zh-CN"/>
        </w:rPr>
        <w:t>三</w:t>
      </w:r>
      <w:r>
        <w:rPr>
          <w:rFonts w:hAnsi="宋体" w:cs="宋体"/>
          <w:sz w:val="24"/>
          <w:szCs w:val="24"/>
          <w:highlight w:val="none"/>
        </w:rPr>
        <w:t>份、乙方执</w:t>
      </w:r>
      <w:r>
        <w:rPr>
          <w:rFonts w:hint="eastAsia" w:hAnsi="宋体" w:cs="宋体"/>
          <w:sz w:val="24"/>
          <w:szCs w:val="24"/>
          <w:highlight w:val="none"/>
          <w:lang w:eastAsia="zh-CN"/>
        </w:rPr>
        <w:t>三</w:t>
      </w:r>
      <w:r>
        <w:rPr>
          <w:rFonts w:hAnsi="宋体" w:cs="宋体"/>
          <w:sz w:val="24"/>
          <w:szCs w:val="24"/>
          <w:highlight w:val="none"/>
        </w:rPr>
        <w:t>份、鉴证方执一份</w:t>
      </w:r>
      <w:r>
        <w:rPr>
          <w:rFonts w:hint="eastAsia" w:hAnsi="宋体" w:cs="宋体"/>
          <w:sz w:val="24"/>
          <w:szCs w:val="24"/>
          <w:highlight w:val="none"/>
          <w:lang w:eastAsia="zh-CN"/>
        </w:rPr>
        <w:t>、财政局执一份</w:t>
      </w:r>
      <w:r>
        <w:rPr>
          <w:rFonts w:hAnsi="宋体" w:cs="宋体"/>
          <w:sz w:val="24"/>
          <w:szCs w:val="24"/>
          <w:highlight w:val="none"/>
        </w:rPr>
        <w:t>。</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 xml:space="preserve">甲方：     </w:t>
      </w:r>
      <w:r>
        <w:rPr>
          <w:rFonts w:hint="eastAsia" w:hAnsi="宋体" w:cs="宋体"/>
          <w:sz w:val="24"/>
          <w:szCs w:val="24"/>
          <w:highlight w:val="none"/>
        </w:rPr>
        <w:t xml:space="preserve">                        </w:t>
      </w:r>
      <w:r>
        <w:rPr>
          <w:rFonts w:hAnsi="宋体" w:cs="宋体"/>
          <w:sz w:val="24"/>
          <w:szCs w:val="24"/>
          <w:highlight w:val="none"/>
        </w:rPr>
        <w:t>乙方：</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法定（授权）代表人：               法定（授权）代表人：</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联系电话:                          联系电话:</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签字日期：    年   月   日         签字日期：    年   月   日</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合同鉴证方</w:t>
      </w:r>
      <w:r>
        <w:rPr>
          <w:rFonts w:hint="eastAsia" w:hAnsi="宋体" w:cs="宋体"/>
          <w:sz w:val="24"/>
          <w:szCs w:val="24"/>
          <w:highlight w:val="none"/>
        </w:rPr>
        <w:t>：浙江中正工程项目管理有限公司</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经办人</w:t>
      </w:r>
      <w:r>
        <w:rPr>
          <w:rFonts w:hint="eastAsia" w:hAnsi="宋体" w:cs="宋体"/>
          <w:sz w:val="24"/>
          <w:szCs w:val="24"/>
          <w:highlight w:val="none"/>
        </w:rPr>
        <w:t>：</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鉴证日期</w:t>
      </w:r>
      <w:r>
        <w:rPr>
          <w:rFonts w:hint="eastAsia" w:hAnsi="宋体" w:cs="宋体"/>
          <w:sz w:val="24"/>
          <w:szCs w:val="24"/>
          <w:highlight w:val="none"/>
        </w:rPr>
        <w:t>：</w:t>
      </w:r>
    </w:p>
    <w:p>
      <w:pPr>
        <w:pStyle w:val="32"/>
        <w:snapToGrid w:val="0"/>
        <w:spacing w:line="400" w:lineRule="exact"/>
        <w:ind w:firstLine="480" w:firstLineChars="200"/>
        <w:rPr>
          <w:rFonts w:hAnsi="宋体" w:cs="宋体"/>
          <w:sz w:val="24"/>
          <w:szCs w:val="24"/>
          <w:highlight w:val="none"/>
        </w:rPr>
        <w:sectPr>
          <w:pgSz w:w="11906" w:h="16838"/>
          <w:pgMar w:top="851" w:right="851" w:bottom="851" w:left="851" w:header="851" w:footer="992" w:gutter="567"/>
          <w:pgNumType w:fmt="decimal"/>
          <w:cols w:space="720" w:num="1"/>
          <w:docGrid w:linePitch="312" w:charSpace="0"/>
        </w:sectPr>
      </w:pPr>
    </w:p>
    <w:p>
      <w:pPr>
        <w:snapToGrid w:val="0"/>
        <w:ind w:firstLine="2249" w:firstLineChars="700"/>
        <w:jc w:val="both"/>
        <w:outlineLvl w:val="0"/>
        <w:rPr>
          <w:rFonts w:ascii="宋体" w:hAnsi="宋体" w:cs="宋体"/>
          <w:b/>
          <w:sz w:val="32"/>
          <w:szCs w:val="32"/>
        </w:rPr>
      </w:pPr>
      <w:bookmarkStart w:id="185" w:name="_Toc45436696"/>
      <w:r>
        <w:rPr>
          <w:rFonts w:hint="eastAsia" w:ascii="宋体" w:hAnsi="宋体" w:cs="宋体"/>
          <w:b/>
          <w:sz w:val="32"/>
          <w:szCs w:val="32"/>
        </w:rPr>
        <w:t>第六章  应提交的有关格式范例</w:t>
      </w:r>
      <w:bookmarkEnd w:id="182"/>
      <w:bookmarkEnd w:id="183"/>
      <w:bookmarkEnd w:id="184"/>
      <w:bookmarkEnd w:id="185"/>
    </w:p>
    <w:p>
      <w:pPr>
        <w:rPr>
          <w:rFonts w:ascii="宋体" w:hAnsi="宋体"/>
        </w:rPr>
      </w:pPr>
      <w:bookmarkStart w:id="186" w:name="_Toc359934228"/>
      <w:bookmarkStart w:id="187" w:name="_Toc356371459"/>
    </w:p>
    <w:p>
      <w:pPr>
        <w:numPr>
          <w:ilvl w:val="0"/>
          <w:numId w:val="0"/>
        </w:numPr>
        <w:spacing w:before="240" w:beforeLines="100"/>
        <w:ind w:left="420" w:leftChars="0" w:firstLine="2891" w:firstLineChars="900"/>
        <w:jc w:val="both"/>
        <w:outlineLvl w:val="1"/>
        <w:rPr>
          <w:rStyle w:val="72"/>
          <w:rFonts w:ascii="宋体" w:hAnsi="宋体"/>
          <w:szCs w:val="28"/>
        </w:rPr>
      </w:pPr>
      <w:bookmarkStart w:id="188" w:name="_Toc45436697"/>
      <w:r>
        <w:rPr>
          <w:rStyle w:val="72"/>
          <w:rFonts w:hint="eastAsia" w:ascii="宋体" w:hAnsi="宋体"/>
          <w:szCs w:val="28"/>
          <w:lang w:eastAsia="zh-CN"/>
        </w:rPr>
        <w:t>一、</w:t>
      </w:r>
      <w:r>
        <w:rPr>
          <w:rStyle w:val="72"/>
          <w:rFonts w:hint="eastAsia" w:ascii="宋体" w:hAnsi="宋体"/>
          <w:szCs w:val="28"/>
        </w:rPr>
        <w:t>投标文件封面</w:t>
      </w:r>
      <w:bookmarkEnd w:id="186"/>
      <w:bookmarkEnd w:id="188"/>
    </w:p>
    <w:p>
      <w:pPr>
        <w:ind w:right="240"/>
        <w:jc w:val="center"/>
        <w:rPr>
          <w:rFonts w:ascii="宋体" w:hAnsi="宋体"/>
          <w:sz w:val="24"/>
          <w:szCs w:val="24"/>
        </w:rPr>
      </w:pPr>
    </w:p>
    <w:p>
      <w:pPr>
        <w:ind w:right="720"/>
        <w:jc w:val="center"/>
        <w:rPr>
          <w:rFonts w:ascii="宋体" w:hAnsi="宋体"/>
          <w:sz w:val="24"/>
          <w:szCs w:val="24"/>
        </w:rPr>
      </w:pPr>
      <w:r>
        <w:rPr>
          <w:rFonts w:hint="eastAsia" w:ascii="宋体" w:hAnsi="宋体"/>
          <w:sz w:val="24"/>
          <w:szCs w:val="24"/>
        </w:rPr>
        <w:t xml:space="preserve">                                     </w:t>
      </w:r>
    </w:p>
    <w:p>
      <w:pPr>
        <w:ind w:left="2940" w:leftChars="1400"/>
        <w:jc w:val="center"/>
        <w:rPr>
          <w:rFonts w:ascii="宋体" w:hAnsi="宋体"/>
          <w:sz w:val="24"/>
          <w:szCs w:val="24"/>
        </w:rPr>
      </w:pPr>
    </w:p>
    <w:p>
      <w:pPr>
        <w:snapToGrid w:val="0"/>
        <w:jc w:val="center"/>
        <w:rPr>
          <w:rFonts w:ascii="宋体" w:hAnsi="宋体"/>
          <w:sz w:val="24"/>
          <w:szCs w:val="24"/>
        </w:rPr>
      </w:pPr>
      <w:r>
        <w:rPr>
          <w:rFonts w:hint="eastAsia" w:ascii="宋体" w:hAnsi="宋体"/>
          <w:sz w:val="24"/>
          <w:szCs w:val="24"/>
        </w:rPr>
        <w:t>资格文件</w:t>
      </w:r>
    </w:p>
    <w:p>
      <w:pPr>
        <w:snapToGrid w:val="0"/>
        <w:jc w:val="center"/>
        <w:rPr>
          <w:rFonts w:ascii="宋体" w:hAnsi="宋体"/>
          <w:sz w:val="24"/>
          <w:szCs w:val="24"/>
        </w:rPr>
      </w:pPr>
      <w:bookmarkStart w:id="189" w:name="_Toc357410801"/>
      <w:r>
        <w:rPr>
          <w:rFonts w:hint="eastAsia" w:ascii="宋体" w:hAnsi="宋体"/>
          <w:sz w:val="24"/>
          <w:szCs w:val="24"/>
        </w:rPr>
        <w:t>（商务技术文件、报价文件）</w:t>
      </w:r>
      <w:bookmarkEnd w:id="189"/>
    </w:p>
    <w:p>
      <w:pPr>
        <w:snapToGrid w:val="0"/>
        <w:ind w:left="2940" w:leftChars="1400" w:firstLine="1682" w:firstLineChars="698"/>
        <w:jc w:val="center"/>
        <w:rPr>
          <w:rFonts w:ascii="宋体" w:hAnsi="宋体"/>
          <w:b/>
          <w:sz w:val="24"/>
          <w:szCs w:val="24"/>
        </w:rPr>
      </w:pPr>
    </w:p>
    <w:p>
      <w:pPr>
        <w:snapToGrid w:val="0"/>
        <w:jc w:val="center"/>
        <w:rPr>
          <w:rFonts w:ascii="宋体" w:hAnsi="宋体"/>
          <w:sz w:val="24"/>
          <w:szCs w:val="24"/>
        </w:rPr>
      </w:pPr>
      <w:bookmarkStart w:id="190" w:name="_Toc357410802"/>
      <w:r>
        <w:rPr>
          <w:rFonts w:hint="eastAsia" w:ascii="宋体" w:hAnsi="宋体"/>
          <w:sz w:val="24"/>
          <w:szCs w:val="24"/>
        </w:rPr>
        <w:t>项目名称：</w:t>
      </w:r>
      <w:bookmarkEnd w:id="190"/>
    </w:p>
    <w:p>
      <w:pPr>
        <w:snapToGrid w:val="0"/>
        <w:jc w:val="center"/>
        <w:rPr>
          <w:rFonts w:ascii="宋体" w:hAnsi="宋体"/>
          <w:sz w:val="24"/>
          <w:szCs w:val="24"/>
          <w:u w:val="single"/>
        </w:rPr>
      </w:pPr>
    </w:p>
    <w:p>
      <w:pPr>
        <w:snapToGrid w:val="0"/>
        <w:jc w:val="center"/>
        <w:rPr>
          <w:rFonts w:ascii="宋体" w:hAnsi="宋体"/>
          <w:sz w:val="24"/>
          <w:szCs w:val="24"/>
        </w:rPr>
      </w:pPr>
      <w:bookmarkStart w:id="191" w:name="_Toc357410803"/>
      <w:r>
        <w:rPr>
          <w:rFonts w:hint="eastAsia" w:ascii="宋体" w:hAnsi="宋体"/>
          <w:sz w:val="24"/>
          <w:szCs w:val="24"/>
        </w:rPr>
        <w:t>项目编号：</w:t>
      </w:r>
      <w:bookmarkEnd w:id="191"/>
    </w:p>
    <w:p>
      <w:pPr>
        <w:snapToGrid w:val="0"/>
        <w:jc w:val="center"/>
        <w:rPr>
          <w:rFonts w:ascii="宋体" w:hAnsi="宋体"/>
          <w:sz w:val="24"/>
          <w:szCs w:val="24"/>
          <w:u w:val="single"/>
        </w:rPr>
      </w:pPr>
    </w:p>
    <w:p>
      <w:pPr>
        <w:snapToGrid w:val="0"/>
        <w:jc w:val="center"/>
        <w:rPr>
          <w:rFonts w:ascii="宋体" w:hAnsi="宋体"/>
          <w:sz w:val="24"/>
          <w:szCs w:val="24"/>
          <w:u w:val="single"/>
        </w:rPr>
      </w:pPr>
      <w:bookmarkStart w:id="192" w:name="_Toc357410804"/>
      <w:r>
        <w:rPr>
          <w:rFonts w:hint="eastAsia" w:ascii="宋体" w:hAnsi="宋体"/>
          <w:sz w:val="24"/>
          <w:szCs w:val="24"/>
        </w:rPr>
        <w:t>投标人：</w:t>
      </w:r>
      <w:r>
        <w:rPr>
          <w:rFonts w:hint="eastAsia" w:ascii="宋体" w:hAnsi="宋体"/>
          <w:sz w:val="24"/>
          <w:szCs w:val="24"/>
          <w:u w:val="single"/>
        </w:rPr>
        <w:t xml:space="preserve">                       （盖单位公章）</w:t>
      </w:r>
      <w:bookmarkEnd w:id="192"/>
    </w:p>
    <w:p>
      <w:pPr>
        <w:snapToGrid w:val="0"/>
        <w:jc w:val="center"/>
        <w:rPr>
          <w:rFonts w:ascii="宋体" w:hAnsi="宋体"/>
          <w:sz w:val="24"/>
          <w:szCs w:val="24"/>
        </w:rPr>
      </w:pPr>
    </w:p>
    <w:p>
      <w:pPr>
        <w:snapToGrid w:val="0"/>
        <w:jc w:val="center"/>
        <w:rPr>
          <w:rFonts w:ascii="宋体" w:hAnsi="宋体"/>
          <w:sz w:val="24"/>
          <w:szCs w:val="24"/>
        </w:rPr>
      </w:pPr>
      <w:bookmarkStart w:id="193" w:name="_Toc357410805"/>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193"/>
    </w:p>
    <w:p>
      <w:pPr>
        <w:snapToGrid w:val="0"/>
        <w:ind w:left="2940" w:leftChars="1400"/>
        <w:rPr>
          <w:rFonts w:ascii="宋体" w:hAnsi="宋体"/>
          <w:sz w:val="24"/>
          <w:szCs w:val="24"/>
        </w:rPr>
      </w:pPr>
    </w:p>
    <w:p>
      <w:pPr>
        <w:snapToGrid w:val="0"/>
        <w:ind w:left="2940" w:leftChars="1400"/>
        <w:rPr>
          <w:rFonts w:ascii="宋体" w:hAnsi="宋体"/>
          <w:sz w:val="24"/>
          <w:szCs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rPr>
          <w:rFonts w:ascii="宋体" w:hAnsi="宋体"/>
        </w:rPr>
      </w:pPr>
      <w:bookmarkStart w:id="194" w:name="_Toc359934229"/>
    </w:p>
    <w:p>
      <w:pPr>
        <w:rPr>
          <w:rFonts w:ascii="宋体" w:hAnsi="宋体"/>
        </w:rPr>
      </w:pPr>
    </w:p>
    <w:p>
      <w:pPr>
        <w:rPr>
          <w:rFonts w:ascii="宋体" w:hAnsi="宋体"/>
        </w:rPr>
      </w:pPr>
    </w:p>
    <w:p>
      <w:pPr>
        <w:rPr>
          <w:rFonts w:ascii="宋体" w:hAnsi="宋体"/>
        </w:rPr>
      </w:pPr>
    </w:p>
    <w:p>
      <w:pPr>
        <w:numPr>
          <w:ilvl w:val="1"/>
          <w:numId w:val="14"/>
        </w:numPr>
        <w:spacing w:before="240" w:beforeLines="100"/>
        <w:jc w:val="center"/>
        <w:outlineLvl w:val="1"/>
        <w:rPr>
          <w:rStyle w:val="72"/>
          <w:rFonts w:ascii="宋体" w:hAnsi="宋体"/>
          <w:b w:val="0"/>
          <w:szCs w:val="28"/>
        </w:rPr>
      </w:pPr>
      <w:bookmarkStart w:id="195" w:name="_Toc45436698"/>
      <w:r>
        <w:rPr>
          <w:rStyle w:val="72"/>
          <w:rFonts w:hint="eastAsia" w:ascii="宋体" w:hAnsi="宋体"/>
          <w:szCs w:val="28"/>
        </w:rPr>
        <w:t>资格文件</w:t>
      </w:r>
      <w:bookmarkEnd w:id="194"/>
      <w:bookmarkEnd w:id="195"/>
      <w:r>
        <w:rPr>
          <w:rStyle w:val="72"/>
          <w:rFonts w:hint="eastAsia" w:ascii="宋体" w:hAnsi="宋体"/>
          <w:szCs w:val="28"/>
        </w:rPr>
        <w:t>格式</w:t>
      </w:r>
    </w:p>
    <w:bookmarkEnd w:id="187"/>
    <w:p>
      <w:pPr>
        <w:rPr>
          <w:rFonts w:ascii="宋体" w:hAnsi="宋体"/>
        </w:rPr>
      </w:pPr>
      <w:bookmarkStart w:id="196" w:name="_Toc356371461"/>
    </w:p>
    <w:p>
      <w:pPr>
        <w:numPr>
          <w:ilvl w:val="0"/>
          <w:numId w:val="15"/>
        </w:numPr>
        <w:jc w:val="center"/>
        <w:rPr>
          <w:rStyle w:val="72"/>
          <w:rFonts w:ascii="宋体" w:hAnsi="宋体"/>
          <w:b w:val="0"/>
          <w:sz w:val="24"/>
        </w:rPr>
      </w:pPr>
      <w:bookmarkStart w:id="197" w:name="_Toc45436699"/>
      <w:bookmarkStart w:id="198" w:name="_Toc36110512"/>
      <w:r>
        <w:rPr>
          <w:rStyle w:val="72"/>
          <w:rFonts w:hint="eastAsia" w:ascii="宋体" w:hAnsi="宋体"/>
          <w:sz w:val="24"/>
        </w:rPr>
        <w:t>投标函</w:t>
      </w:r>
      <w:bookmarkEnd w:id="196"/>
      <w:bookmarkEnd w:id="197"/>
      <w:bookmarkEnd w:id="198"/>
    </w:p>
    <w:p>
      <w:pPr>
        <w:ind w:firstLine="3920"/>
        <w:rPr>
          <w:rFonts w:ascii="宋体" w:hAnsi="宋体"/>
          <w:sz w:val="24"/>
          <w:szCs w:val="24"/>
        </w:rPr>
      </w:pPr>
    </w:p>
    <w:p>
      <w:pPr>
        <w:snapToGrid w:val="0"/>
        <w:rPr>
          <w:rFonts w:ascii="宋体" w:hAnsi="宋体"/>
          <w:sz w:val="24"/>
          <w:szCs w:val="24"/>
        </w:rPr>
      </w:pPr>
      <w:r>
        <w:rPr>
          <w:rFonts w:hint="eastAsia" w:ascii="宋体" w:hAnsi="宋体"/>
          <w:sz w:val="24"/>
          <w:szCs w:val="24"/>
        </w:rPr>
        <w:t>致：______________（招标采购单位名称）：</w:t>
      </w:r>
    </w:p>
    <w:p>
      <w:pPr>
        <w:snapToGrid w:val="0"/>
        <w:ind w:firstLine="480"/>
        <w:rPr>
          <w:rFonts w:ascii="宋体" w:hAnsi="宋体"/>
          <w:sz w:val="24"/>
          <w:szCs w:val="24"/>
        </w:rPr>
      </w:pPr>
      <w:r>
        <w:rPr>
          <w:rFonts w:hint="eastAsia" w:ascii="宋体" w:hAnsi="宋体"/>
          <w:sz w:val="24"/>
          <w:szCs w:val="24"/>
        </w:rPr>
        <w:t>根据贵方为_____________________________项目的招标公告（项目编号：______________），签字代表_________（全名）经正式授权并代表投标人_______________________（投标人名称）提交资格文件、商务技术文件、报价文件。</w:t>
      </w:r>
    </w:p>
    <w:p>
      <w:pPr>
        <w:snapToGrid w:val="0"/>
        <w:ind w:firstLine="480" w:firstLineChars="200"/>
        <w:rPr>
          <w:rFonts w:ascii="宋体" w:hAnsi="宋体"/>
          <w:sz w:val="24"/>
          <w:szCs w:val="24"/>
        </w:rPr>
      </w:pPr>
      <w:r>
        <w:rPr>
          <w:rFonts w:hint="eastAsia" w:ascii="宋体" w:hAnsi="宋体"/>
          <w:sz w:val="24"/>
          <w:szCs w:val="24"/>
        </w:rPr>
        <w:t>据此函，签字代表宣布同意如下：</w:t>
      </w:r>
    </w:p>
    <w:p>
      <w:pPr>
        <w:pStyle w:val="32"/>
        <w:ind w:firstLine="480" w:firstLineChars="200"/>
        <w:rPr>
          <w:rFonts w:hAnsi="宋体"/>
          <w:sz w:val="24"/>
          <w:szCs w:val="24"/>
        </w:rPr>
      </w:pPr>
      <w:r>
        <w:rPr>
          <w:rFonts w:hint="eastAsia" w:hAnsi="宋体"/>
          <w:sz w:val="24"/>
          <w:szCs w:val="24"/>
        </w:rPr>
        <w:t>1. 我方向贵方提交的所有投标文件、资料都是准确的和真实的。</w:t>
      </w:r>
    </w:p>
    <w:p>
      <w:pPr>
        <w:snapToGrid w:val="0"/>
        <w:ind w:firstLine="480" w:firstLineChars="200"/>
        <w:rPr>
          <w:rFonts w:ascii="宋体" w:hAnsi="宋体"/>
          <w:sz w:val="24"/>
          <w:szCs w:val="24"/>
        </w:rPr>
      </w:pPr>
      <w:r>
        <w:rPr>
          <w:rFonts w:hint="eastAsia" w:ascii="宋体" w:hAnsi="宋体"/>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ind w:firstLine="480" w:firstLineChars="200"/>
        <w:rPr>
          <w:rFonts w:ascii="宋体" w:hAnsi="宋体"/>
          <w:sz w:val="24"/>
          <w:szCs w:val="24"/>
        </w:rPr>
      </w:pPr>
      <w:r>
        <w:rPr>
          <w:rFonts w:hint="eastAsia" w:ascii="宋体" w:hAnsi="宋体"/>
          <w:sz w:val="24"/>
          <w:szCs w:val="24"/>
        </w:rPr>
        <w:t>3.我方在投标之前已经与贵方进行了充分的沟通，完全理解并接受招标文件的各项规定和要求，对招标文件的合理性、合法性不再有争议。</w:t>
      </w:r>
    </w:p>
    <w:p>
      <w:pPr>
        <w:snapToGrid w:val="0"/>
        <w:ind w:firstLine="480" w:firstLineChars="200"/>
        <w:rPr>
          <w:rFonts w:ascii="宋体" w:hAnsi="宋体"/>
          <w:sz w:val="24"/>
          <w:szCs w:val="24"/>
        </w:rPr>
      </w:pPr>
      <w:r>
        <w:rPr>
          <w:rFonts w:hint="eastAsia" w:ascii="宋体" w:hAnsi="宋体"/>
          <w:sz w:val="24"/>
          <w:szCs w:val="24"/>
        </w:rPr>
        <w:t>4.本投标有效期自开标日起 ______个日。</w:t>
      </w:r>
    </w:p>
    <w:p>
      <w:pPr>
        <w:snapToGrid w:val="0"/>
        <w:ind w:firstLine="480" w:firstLineChars="200"/>
        <w:rPr>
          <w:rFonts w:ascii="宋体" w:hAnsi="宋体"/>
          <w:sz w:val="24"/>
          <w:szCs w:val="24"/>
        </w:rPr>
      </w:pPr>
      <w:r>
        <w:rPr>
          <w:rFonts w:hint="eastAsia" w:ascii="宋体" w:hAnsi="宋体"/>
          <w:sz w:val="24"/>
          <w:szCs w:val="24"/>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sz w:val="24"/>
          <w:szCs w:val="24"/>
        </w:rPr>
      </w:pPr>
      <w:r>
        <w:rPr>
          <w:rFonts w:hint="eastAsia" w:ascii="宋体" w:hAnsi="宋体"/>
          <w:sz w:val="24"/>
          <w:szCs w:val="24"/>
        </w:rPr>
        <w:t>6.我方同意按照贵方要求提供与投标有关的一切数据或资料。</w:t>
      </w:r>
    </w:p>
    <w:p>
      <w:pPr>
        <w:snapToGrid w:val="0"/>
        <w:ind w:firstLine="480" w:firstLineChars="200"/>
        <w:rPr>
          <w:rFonts w:ascii="宋体" w:hAnsi="宋体"/>
          <w:sz w:val="24"/>
          <w:szCs w:val="24"/>
        </w:rPr>
      </w:pPr>
      <w:r>
        <w:rPr>
          <w:rFonts w:hint="eastAsia" w:ascii="宋体" w:hAnsi="宋体"/>
          <w:sz w:val="24"/>
          <w:szCs w:val="24"/>
        </w:rPr>
        <w:t>7.与本投标有关的一切正式往来信函请寄：</w:t>
      </w:r>
    </w:p>
    <w:p>
      <w:pPr>
        <w:snapToGrid w:val="0"/>
        <w:rPr>
          <w:rFonts w:ascii="宋体" w:hAnsi="宋体"/>
          <w:sz w:val="24"/>
          <w:szCs w:val="24"/>
        </w:rPr>
      </w:pPr>
      <w:r>
        <w:rPr>
          <w:rFonts w:hint="eastAsia" w:ascii="宋体" w:hAnsi="宋体"/>
          <w:sz w:val="24"/>
          <w:szCs w:val="24"/>
        </w:rPr>
        <w:t>地址：__________      邮编：__________     电话：______________</w:t>
      </w:r>
    </w:p>
    <w:p>
      <w:pPr>
        <w:snapToGrid w:val="0"/>
        <w:rPr>
          <w:rFonts w:ascii="宋体" w:hAnsi="宋体"/>
          <w:sz w:val="24"/>
          <w:szCs w:val="24"/>
        </w:rPr>
      </w:pPr>
      <w:r>
        <w:rPr>
          <w:rFonts w:hint="eastAsia" w:ascii="宋体" w:hAnsi="宋体"/>
          <w:sz w:val="24"/>
          <w:szCs w:val="24"/>
        </w:rPr>
        <w:t xml:space="preserve">传真：______________投标人代表姓名 _______ 职务：_____________ </w:t>
      </w:r>
    </w:p>
    <w:p>
      <w:pPr>
        <w:snapToGrid w:val="0"/>
        <w:rPr>
          <w:rFonts w:ascii="宋体" w:hAnsi="宋体"/>
          <w:sz w:val="24"/>
          <w:szCs w:val="24"/>
        </w:rPr>
      </w:pPr>
      <w:r>
        <w:rPr>
          <w:rFonts w:hint="eastAsia" w:ascii="宋体" w:hAnsi="宋体"/>
          <w:sz w:val="24"/>
          <w:szCs w:val="24"/>
        </w:rPr>
        <w:t>投标人名称(公章):___________________</w:t>
      </w:r>
    </w:p>
    <w:p>
      <w:pPr>
        <w:snapToGrid w:val="0"/>
        <w:rPr>
          <w:rFonts w:ascii="宋体" w:hAnsi="宋体"/>
          <w:sz w:val="24"/>
          <w:szCs w:val="24"/>
        </w:rPr>
      </w:pPr>
      <w:r>
        <w:rPr>
          <w:rFonts w:hint="eastAsia" w:ascii="宋体" w:hAnsi="宋体"/>
          <w:sz w:val="24"/>
          <w:szCs w:val="24"/>
        </w:rPr>
        <w:t>开户银行：</w:t>
      </w:r>
      <w:r>
        <w:rPr>
          <w:rFonts w:hint="eastAsia" w:ascii="宋体" w:hAnsi="宋体"/>
          <w:sz w:val="24"/>
          <w:szCs w:val="24"/>
          <w:u w:val="single"/>
        </w:rPr>
        <w:t xml:space="preserve">                      </w:t>
      </w:r>
      <w:r>
        <w:rPr>
          <w:rFonts w:hint="eastAsia" w:ascii="宋体" w:hAnsi="宋体"/>
          <w:sz w:val="24"/>
          <w:szCs w:val="24"/>
        </w:rPr>
        <w:t xml:space="preserve">   银行帐号：</w:t>
      </w:r>
      <w:r>
        <w:rPr>
          <w:rFonts w:hint="eastAsia" w:ascii="宋体" w:hAnsi="宋体"/>
          <w:sz w:val="24"/>
          <w:szCs w:val="24"/>
          <w:u w:val="single"/>
        </w:rPr>
        <w:t xml:space="preserve">                     </w:t>
      </w:r>
    </w:p>
    <w:p>
      <w:pPr>
        <w:snapToGrid w:val="0"/>
        <w:rPr>
          <w:rFonts w:ascii="宋体" w:hAnsi="宋体"/>
          <w:sz w:val="24"/>
          <w:szCs w:val="24"/>
        </w:rPr>
      </w:pPr>
      <w:r>
        <w:rPr>
          <w:rFonts w:hint="eastAsia" w:ascii="宋体" w:hAnsi="宋体"/>
          <w:sz w:val="24"/>
          <w:szCs w:val="24"/>
        </w:rPr>
        <w:t xml:space="preserve">授权代表签字:___________                     </w:t>
      </w:r>
    </w:p>
    <w:p>
      <w:pPr>
        <w:snapToGrid w:val="0"/>
        <w:rPr>
          <w:rFonts w:ascii="宋体" w:hAnsi="宋体"/>
          <w:sz w:val="24"/>
          <w:szCs w:val="24"/>
        </w:rPr>
      </w:pPr>
      <w:r>
        <w:rPr>
          <w:rFonts w:hint="eastAsia" w:ascii="宋体" w:hAnsi="宋体"/>
          <w:sz w:val="24"/>
          <w:szCs w:val="24"/>
        </w:rPr>
        <w:t>日期:_____年___月___日</w:t>
      </w:r>
    </w:p>
    <w:p>
      <w:pPr>
        <w:snapToGrid w:val="0"/>
        <w:rPr>
          <w:rFonts w:ascii="宋体" w:hAnsi="宋体"/>
          <w:sz w:val="24"/>
          <w:szCs w:val="24"/>
        </w:rPr>
      </w:pPr>
    </w:p>
    <w:p>
      <w:pPr>
        <w:ind w:firstLine="480" w:firstLineChars="200"/>
        <w:rPr>
          <w:rFonts w:ascii="宋体" w:hAnsi="宋体"/>
          <w:sz w:val="24"/>
          <w:szCs w:val="24"/>
        </w:rPr>
        <w:sectPr>
          <w:pgSz w:w="11906" w:h="16838"/>
          <w:pgMar w:top="851" w:right="851" w:bottom="851" w:left="851" w:header="851" w:footer="992" w:gutter="567"/>
          <w:pgNumType w:fmt="decimal"/>
          <w:cols w:space="720" w:num="1"/>
          <w:docGrid w:linePitch="312" w:charSpace="0"/>
        </w:sectPr>
      </w:pPr>
    </w:p>
    <w:p>
      <w:pPr>
        <w:numPr>
          <w:ilvl w:val="0"/>
          <w:numId w:val="15"/>
        </w:numPr>
        <w:jc w:val="center"/>
        <w:rPr>
          <w:rStyle w:val="72"/>
          <w:rFonts w:ascii="宋体" w:hAnsi="宋体"/>
          <w:sz w:val="24"/>
        </w:rPr>
      </w:pPr>
      <w:bookmarkStart w:id="199" w:name="_Toc36110513"/>
      <w:bookmarkStart w:id="200" w:name="_Toc45436700"/>
      <w:bookmarkStart w:id="201" w:name="_Toc356371463"/>
      <w:r>
        <w:rPr>
          <w:rStyle w:val="72"/>
          <w:rFonts w:hint="eastAsia" w:ascii="宋体" w:hAnsi="宋体"/>
          <w:sz w:val="24"/>
        </w:rPr>
        <w:t>法定代表人授权书</w:t>
      </w:r>
      <w:bookmarkEnd w:id="199"/>
      <w:bookmarkEnd w:id="200"/>
      <w:bookmarkEnd w:id="201"/>
    </w:p>
    <w:p>
      <w:pPr>
        <w:rPr>
          <w:rFonts w:ascii="宋体" w:hAnsi="宋体"/>
          <w:sz w:val="24"/>
          <w:szCs w:val="24"/>
        </w:rPr>
      </w:pPr>
    </w:p>
    <w:p>
      <w:pPr>
        <w:rPr>
          <w:rFonts w:ascii="宋体" w:hAnsi="宋体"/>
          <w:sz w:val="24"/>
          <w:szCs w:val="24"/>
        </w:rPr>
      </w:pPr>
      <w:r>
        <w:rPr>
          <w:rFonts w:hint="eastAsia" w:ascii="宋体" w:hAnsi="宋体"/>
          <w:sz w:val="24"/>
          <w:szCs w:val="24"/>
          <w:lang w:eastAsia="zh-CN"/>
        </w:rPr>
        <w:t>浙江省江山经济开发区管理委员会</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（投标人全称）法定代表人授权</w:t>
      </w:r>
      <w:r>
        <w:rPr>
          <w:rFonts w:hint="eastAsia" w:ascii="宋体" w:hAnsi="宋体"/>
          <w:sz w:val="24"/>
          <w:szCs w:val="24"/>
          <w:u w:val="single"/>
        </w:rPr>
        <w:t xml:space="preserve">     </w:t>
      </w:r>
      <w:r>
        <w:rPr>
          <w:rFonts w:hint="eastAsia" w:ascii="宋体" w:hAnsi="宋体"/>
          <w:sz w:val="24"/>
          <w:szCs w:val="24"/>
        </w:rPr>
        <w:t>（全权代表姓名）为全权代表，参加贵方组织的</w:t>
      </w:r>
      <w:r>
        <w:rPr>
          <w:rFonts w:hint="eastAsia" w:ascii="宋体" w:hAnsi="宋体"/>
          <w:sz w:val="24"/>
          <w:szCs w:val="24"/>
          <w:u w:val="single"/>
        </w:rPr>
        <w:t xml:space="preserve">               </w:t>
      </w:r>
      <w:r>
        <w:rPr>
          <w:rFonts w:hint="eastAsia" w:ascii="宋体" w:hAnsi="宋体"/>
          <w:sz w:val="24"/>
          <w:szCs w:val="24"/>
        </w:rPr>
        <w:t>项目（项目编号：），并全权处理采购活动中的一切事宜。</w:t>
      </w:r>
    </w:p>
    <w:p>
      <w:pPr>
        <w:spacing w:before="120" w:beforeLines="50" w:after="120" w:afterLines="50"/>
        <w:rPr>
          <w:rFonts w:ascii="宋体" w:hAnsi="宋体"/>
          <w:sz w:val="24"/>
          <w:szCs w:val="24"/>
        </w:rPr>
      </w:pPr>
      <w:r>
        <w:rPr>
          <w:rFonts w:hint="eastAsia" w:ascii="宋体" w:hAnsi="宋体"/>
          <w:sz w:val="24"/>
          <w:szCs w:val="24"/>
        </w:rPr>
        <w:t>法定代表人签字或盖章：</w:t>
      </w:r>
    </w:p>
    <w:p>
      <w:pPr>
        <w:spacing w:before="120" w:beforeLines="50" w:after="120" w:afterLines="50"/>
        <w:rPr>
          <w:rFonts w:ascii="宋体" w:hAnsi="宋体"/>
          <w:sz w:val="24"/>
          <w:szCs w:val="24"/>
        </w:rPr>
      </w:pPr>
      <w:r>
        <w:rPr>
          <w:rFonts w:hint="eastAsia" w:ascii="宋体" w:hAnsi="宋体"/>
          <w:sz w:val="24"/>
          <w:szCs w:val="24"/>
        </w:rPr>
        <w:t>投标人全称（C</w:t>
      </w:r>
      <w:r>
        <w:rPr>
          <w:rFonts w:ascii="宋体" w:hAnsi="宋体"/>
          <w:sz w:val="24"/>
          <w:szCs w:val="24"/>
        </w:rPr>
        <w:t>A</w:t>
      </w:r>
      <w:r>
        <w:rPr>
          <w:rFonts w:hint="eastAsia" w:ascii="宋体" w:hAnsi="宋体"/>
          <w:sz w:val="24"/>
          <w:szCs w:val="24"/>
        </w:rPr>
        <w:t>签章）：</w:t>
      </w:r>
    </w:p>
    <w:p>
      <w:pPr>
        <w:spacing w:before="120" w:beforeLines="50" w:after="120" w:afterLines="50"/>
        <w:rPr>
          <w:rFonts w:ascii="宋体" w:hAnsi="宋体"/>
          <w:sz w:val="24"/>
          <w:szCs w:val="24"/>
        </w:rPr>
      </w:pPr>
      <w:r>
        <w:rPr>
          <w:rFonts w:hint="eastAsia" w:ascii="宋体" w:hAnsi="宋体"/>
          <w:sz w:val="24"/>
          <w:szCs w:val="24"/>
        </w:rPr>
        <w:t>日  期：</w:t>
      </w:r>
    </w:p>
    <w:p>
      <w:pPr>
        <w:rPr>
          <w:rFonts w:ascii="宋体" w:hAnsi="宋体"/>
          <w:sz w:val="24"/>
          <w:szCs w:val="24"/>
        </w:rPr>
      </w:pPr>
      <w:r>
        <w:rPr>
          <w:rFonts w:hint="eastAsia" w:ascii="宋体" w:hAnsi="宋体"/>
          <w:sz w:val="24"/>
          <w:szCs w:val="24"/>
        </w:rPr>
        <w:t>附：</w:t>
      </w:r>
    </w:p>
    <w:p>
      <w:pPr>
        <w:rPr>
          <w:rFonts w:ascii="宋体" w:hAnsi="宋体"/>
          <w:sz w:val="24"/>
          <w:szCs w:val="24"/>
        </w:rPr>
      </w:pPr>
      <w:r>
        <w:rPr>
          <w:rFonts w:hint="eastAsia" w:ascii="宋体" w:hAnsi="宋体"/>
          <w:sz w:val="24"/>
          <w:szCs w:val="24"/>
        </w:rPr>
        <w:t>被授权人（授权代表）姓名：           性别：</w:t>
      </w:r>
    </w:p>
    <w:p>
      <w:pPr>
        <w:rPr>
          <w:rFonts w:ascii="宋体" w:hAnsi="宋体"/>
          <w:sz w:val="24"/>
          <w:szCs w:val="24"/>
        </w:rPr>
      </w:pPr>
      <w:r>
        <w:rPr>
          <w:rFonts w:hint="eastAsia" w:ascii="宋体" w:hAnsi="宋体"/>
          <w:sz w:val="24"/>
          <w:szCs w:val="24"/>
        </w:rPr>
        <w:t>职务：                   职称：</w:t>
      </w:r>
    </w:p>
    <w:p>
      <w:pPr>
        <w:rPr>
          <w:rFonts w:ascii="宋体" w:hAnsi="宋体"/>
          <w:sz w:val="24"/>
          <w:szCs w:val="24"/>
        </w:rPr>
      </w:pPr>
      <w:r>
        <w:rPr>
          <w:rFonts w:hint="eastAsia" w:ascii="宋体" w:hAnsi="宋体"/>
          <w:sz w:val="24"/>
          <w:szCs w:val="24"/>
        </w:rPr>
        <w:t>电话：                   传真：</w:t>
      </w:r>
    </w:p>
    <w:p>
      <w:pPr>
        <w:rPr>
          <w:rFonts w:ascii="宋体" w:hAnsi="宋体"/>
          <w:sz w:val="24"/>
          <w:szCs w:val="24"/>
        </w:rPr>
      </w:pPr>
      <w:r>
        <w:rPr>
          <w:rFonts w:hint="eastAsia" w:ascii="宋体" w:hAnsi="宋体"/>
          <w:sz w:val="24"/>
          <w:szCs w:val="24"/>
        </w:rPr>
        <w:t>移动电话：</w:t>
      </w:r>
    </w:p>
    <w:p>
      <w:pPr>
        <w:rPr>
          <w:rFonts w:ascii="宋体" w:hAnsi="宋体"/>
          <w:sz w:val="24"/>
          <w:szCs w:val="24"/>
        </w:rPr>
      </w:pPr>
      <w:r>
        <w:rPr>
          <w:rFonts w:hint="eastAsia" w:ascii="宋体" w:hAnsi="宋体"/>
          <w:sz w:val="24"/>
          <w:szCs w:val="24"/>
        </w:rPr>
        <w:t>邮政编码：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sz w:val="24"/>
          <w:szCs w:val="24"/>
        </w:rPr>
      </w:pPr>
      <w:bookmarkStart w:id="202" w:name="_Toc356371470"/>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numPr>
          <w:ilvl w:val="0"/>
          <w:numId w:val="15"/>
        </w:numPr>
        <w:jc w:val="center"/>
        <w:rPr>
          <w:rStyle w:val="72"/>
          <w:rFonts w:ascii="宋体" w:hAnsi="宋体"/>
          <w:sz w:val="24"/>
        </w:rPr>
      </w:pPr>
      <w:r>
        <w:rPr>
          <w:rStyle w:val="72"/>
          <w:rFonts w:ascii="宋体" w:hAnsi="宋体"/>
          <w:sz w:val="24"/>
        </w:rPr>
        <w:br w:type="page"/>
      </w:r>
      <w:bookmarkStart w:id="203" w:name="_Toc45436701"/>
      <w:bookmarkStart w:id="204" w:name="_Toc36110514"/>
      <w:r>
        <w:rPr>
          <w:rStyle w:val="72"/>
          <w:rFonts w:hint="eastAsia" w:ascii="宋体" w:hAnsi="宋体"/>
          <w:sz w:val="24"/>
        </w:rPr>
        <w:t>供应商资格声明</w:t>
      </w:r>
      <w:bookmarkEnd w:id="202"/>
      <w:bookmarkEnd w:id="203"/>
      <w:bookmarkEnd w:id="204"/>
    </w:p>
    <w:p>
      <w:pPr>
        <w:tabs>
          <w:tab w:val="left" w:pos="1824"/>
        </w:tabs>
        <w:autoSpaceDE w:val="0"/>
        <w:autoSpaceDN w:val="0"/>
        <w:adjustRightInd w:val="0"/>
        <w:ind w:left="1824" w:hanging="1824"/>
        <w:rPr>
          <w:rFonts w:ascii="宋体" w:hAnsi="宋体"/>
          <w:sz w:val="24"/>
          <w:szCs w:val="24"/>
        </w:rPr>
      </w:pPr>
      <w:r>
        <w:rPr>
          <w:rFonts w:hint="eastAsia" w:ascii="宋体" w:hAnsi="宋体"/>
          <w:sz w:val="24"/>
          <w:szCs w:val="24"/>
          <w:lang w:val="zh-CN"/>
        </w:rPr>
        <w:t>1、基本情况</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供应商名称：</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地   址：</w:t>
      </w:r>
      <w:r>
        <w:rPr>
          <w:rFonts w:hint="eastAsia" w:ascii="宋体" w:hAnsi="宋体"/>
          <w:sz w:val="24"/>
          <w:szCs w:val="24"/>
          <w:u w:val="single"/>
          <w:lang w:val="zh-CN"/>
        </w:rPr>
        <w:t xml:space="preserve">             </w:t>
      </w:r>
      <w:r>
        <w:rPr>
          <w:rFonts w:hint="eastAsia" w:ascii="宋体" w:hAnsi="宋体"/>
          <w:sz w:val="24"/>
          <w:szCs w:val="24"/>
          <w:lang w:val="zh-CN"/>
        </w:rPr>
        <w:t>电  话：</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成立和注册日期：</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主管部门：</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公司性质：</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主要负责人：</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lang w:val="zh-CN"/>
        </w:rPr>
      </w:pPr>
      <w:r>
        <w:rPr>
          <w:rFonts w:hint="eastAsia" w:ascii="宋体" w:hAnsi="宋体"/>
          <w:sz w:val="24"/>
          <w:szCs w:val="24"/>
          <w:lang w:val="zh-CN"/>
        </w:rPr>
        <w:t>职工人数：</w:t>
      </w:r>
      <w:r>
        <w:rPr>
          <w:rFonts w:hint="eastAsia" w:ascii="宋体" w:hAnsi="宋体"/>
          <w:sz w:val="24"/>
          <w:szCs w:val="24"/>
          <w:u w:val="single"/>
          <w:lang w:val="zh-CN"/>
        </w:rPr>
        <w:t xml:space="preserve">              </w:t>
      </w:r>
      <w:r>
        <w:rPr>
          <w:rFonts w:hint="eastAsia" w:ascii="宋体" w:hAnsi="宋体"/>
          <w:sz w:val="24"/>
          <w:szCs w:val="24"/>
          <w:lang w:val="zh-CN"/>
        </w:rPr>
        <w:t>(其中:技术人员</w:t>
      </w:r>
      <w:r>
        <w:rPr>
          <w:rFonts w:hint="eastAsia" w:ascii="宋体" w:hAnsi="宋体"/>
          <w:sz w:val="24"/>
          <w:szCs w:val="24"/>
          <w:u w:val="single"/>
          <w:lang w:val="zh-CN"/>
        </w:rPr>
        <w:t xml:space="preserve">          </w:t>
      </w:r>
      <w:r>
        <w:rPr>
          <w:rFonts w:hint="eastAsia" w:ascii="宋体" w:hAnsi="宋体"/>
          <w:sz w:val="24"/>
          <w:szCs w:val="24"/>
          <w:lang w:val="zh-CN"/>
        </w:rPr>
        <w:t>)</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最近公司(企业)的主要财务情况（到</w:t>
      </w:r>
      <w:r>
        <w:rPr>
          <w:rFonts w:hint="eastAsia" w:ascii="宋体" w:hAnsi="宋体"/>
          <w:b/>
          <w:bCs/>
          <w:sz w:val="24"/>
          <w:szCs w:val="24"/>
          <w:lang w:val="zh-CN"/>
        </w:rPr>
        <w:t>201</w:t>
      </w:r>
      <w:r>
        <w:rPr>
          <w:rFonts w:ascii="宋体" w:hAnsi="宋体"/>
          <w:b/>
          <w:bCs/>
          <w:sz w:val="24"/>
          <w:szCs w:val="24"/>
        </w:rPr>
        <w:t>9</w:t>
      </w:r>
      <w:r>
        <w:rPr>
          <w:rFonts w:hint="eastAsia" w:ascii="宋体" w:hAnsi="宋体"/>
          <w:b/>
          <w:bCs/>
          <w:sz w:val="24"/>
          <w:szCs w:val="24"/>
          <w:lang w:val="zh-CN"/>
        </w:rPr>
        <w:t>年12月3</w:t>
      </w:r>
      <w:r>
        <w:rPr>
          <w:rFonts w:hint="eastAsia" w:ascii="宋体" w:hAnsi="宋体"/>
          <w:b/>
          <w:bCs/>
          <w:sz w:val="24"/>
          <w:szCs w:val="24"/>
        </w:rPr>
        <w:t>1</w:t>
      </w:r>
      <w:r>
        <w:rPr>
          <w:rFonts w:hint="eastAsia" w:ascii="宋体" w:hAnsi="宋体"/>
          <w:b/>
          <w:bCs/>
          <w:sz w:val="24"/>
          <w:szCs w:val="24"/>
          <w:lang w:val="zh-CN"/>
        </w:rPr>
        <w:t>日</w:t>
      </w:r>
      <w:r>
        <w:rPr>
          <w:rFonts w:hint="eastAsia" w:ascii="宋体" w:hAnsi="宋体"/>
          <w:sz w:val="24"/>
          <w:szCs w:val="24"/>
          <w:lang w:val="zh-CN"/>
        </w:rPr>
        <w:t>止）</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注册资金：</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lang w:val="zh-CN"/>
        </w:rPr>
      </w:pPr>
      <w:r>
        <w:rPr>
          <w:rFonts w:hint="eastAsia" w:ascii="宋体" w:hAnsi="宋体"/>
          <w:sz w:val="24"/>
          <w:szCs w:val="24"/>
          <w:lang w:val="zh-CN"/>
        </w:rPr>
        <w:t>固定资产：</w:t>
      </w:r>
      <w:r>
        <w:rPr>
          <w:rFonts w:hint="eastAsia" w:ascii="宋体" w:hAnsi="宋体"/>
          <w:sz w:val="24"/>
          <w:szCs w:val="24"/>
          <w:u w:val="single"/>
          <w:lang w:val="zh-CN"/>
        </w:rPr>
        <w:t xml:space="preserve">             </w:t>
      </w:r>
      <w:r>
        <w:rPr>
          <w:rFonts w:hint="eastAsia" w:ascii="宋体" w:hAnsi="宋体"/>
          <w:sz w:val="24"/>
          <w:szCs w:val="24"/>
          <w:lang w:val="zh-CN"/>
        </w:rPr>
        <w:t xml:space="preserve">    </w:t>
      </w:r>
    </w:p>
    <w:p>
      <w:pPr>
        <w:autoSpaceDE w:val="0"/>
        <w:autoSpaceDN w:val="0"/>
        <w:adjustRightInd w:val="0"/>
        <w:ind w:left="480"/>
        <w:rPr>
          <w:rFonts w:ascii="宋体" w:hAnsi="宋体"/>
          <w:sz w:val="24"/>
          <w:szCs w:val="24"/>
          <w:u w:val="single"/>
          <w:lang w:val="zh-CN"/>
        </w:rPr>
      </w:pPr>
      <w:r>
        <w:rPr>
          <w:rFonts w:hint="eastAsia" w:ascii="宋体" w:hAnsi="宋体"/>
          <w:sz w:val="24"/>
          <w:szCs w:val="24"/>
          <w:lang w:val="zh-CN"/>
        </w:rPr>
        <w:t xml:space="preserve">   原值：</w:t>
      </w:r>
      <w:r>
        <w:rPr>
          <w:rFonts w:hint="eastAsia" w:ascii="宋体" w:hAnsi="宋体"/>
          <w:sz w:val="24"/>
          <w:szCs w:val="24"/>
          <w:u w:val="single"/>
          <w:lang w:val="zh-CN"/>
        </w:rPr>
        <w:t xml:space="preserve">                 </w:t>
      </w:r>
    </w:p>
    <w:p>
      <w:pPr>
        <w:autoSpaceDE w:val="0"/>
        <w:autoSpaceDN w:val="0"/>
        <w:adjustRightInd w:val="0"/>
        <w:ind w:left="480"/>
        <w:rPr>
          <w:rFonts w:ascii="宋体" w:hAnsi="宋体"/>
          <w:sz w:val="24"/>
          <w:szCs w:val="24"/>
        </w:rPr>
      </w:pPr>
      <w:r>
        <w:rPr>
          <w:rFonts w:hint="eastAsia" w:ascii="宋体" w:hAnsi="宋体"/>
          <w:sz w:val="24"/>
          <w:szCs w:val="24"/>
          <w:lang w:val="zh-CN"/>
        </w:rPr>
        <w:t xml:space="preserve">   净值：</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流动资产：</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长期负债：</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短期负债：</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营业收入/主营业务收入：</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利润：</w:t>
      </w:r>
      <w:r>
        <w:rPr>
          <w:rFonts w:hint="eastAsia" w:ascii="宋体" w:hAnsi="宋体"/>
          <w:sz w:val="24"/>
          <w:szCs w:val="24"/>
          <w:u w:val="single"/>
          <w:lang w:val="zh-CN"/>
        </w:rPr>
        <w:t xml:space="preserve">                         </w:t>
      </w:r>
    </w:p>
    <w:p>
      <w:pPr>
        <w:autoSpaceDE w:val="0"/>
        <w:autoSpaceDN w:val="0"/>
        <w:adjustRightInd w:val="0"/>
        <w:rPr>
          <w:rFonts w:ascii="宋体" w:hAnsi="宋体"/>
          <w:sz w:val="24"/>
          <w:szCs w:val="24"/>
        </w:rPr>
      </w:pPr>
      <w:r>
        <w:rPr>
          <w:rFonts w:hint="eastAsia" w:ascii="宋体" w:hAnsi="宋体"/>
          <w:sz w:val="24"/>
          <w:szCs w:val="24"/>
          <w:lang w:val="zh-CN"/>
        </w:rPr>
        <w:t xml:space="preserve">  2、最近二年的年度总营业额：</w:t>
      </w:r>
    </w:p>
    <w:p>
      <w:pPr>
        <w:autoSpaceDE w:val="0"/>
        <w:autoSpaceDN w:val="0"/>
        <w:adjustRightInd w:val="0"/>
        <w:rPr>
          <w:rFonts w:ascii="宋体" w:hAnsi="宋体"/>
          <w:sz w:val="24"/>
          <w:szCs w:val="24"/>
          <w:u w:val="single"/>
        </w:rPr>
      </w:pPr>
      <w:r>
        <w:rPr>
          <w:rFonts w:hint="eastAsia" w:ascii="宋体" w:hAnsi="宋体"/>
          <w:sz w:val="24"/>
          <w:szCs w:val="24"/>
          <w:lang w:val="zh-CN"/>
        </w:rPr>
        <w:t xml:space="preserve">    年   份    总  额</w:t>
      </w:r>
    </w:p>
    <w:p>
      <w:pPr>
        <w:autoSpaceDE w:val="0"/>
        <w:autoSpaceDN w:val="0"/>
        <w:adjustRightInd w:val="0"/>
        <w:ind w:firstLine="480"/>
        <w:rPr>
          <w:rFonts w:ascii="宋体" w:hAnsi="宋体"/>
          <w:sz w:val="24"/>
          <w:szCs w:val="24"/>
          <w:u w:val="single"/>
          <w:lang w:val="zh-CN"/>
        </w:rPr>
      </w:pPr>
      <w:r>
        <w:rPr>
          <w:rFonts w:hint="eastAsia" w:ascii="宋体" w:hAnsi="宋体"/>
          <w:sz w:val="24"/>
          <w:szCs w:val="24"/>
          <w:u w:val="single"/>
          <w:lang w:val="zh-CN"/>
        </w:rPr>
        <w:t>201</w:t>
      </w:r>
      <w:r>
        <w:rPr>
          <w:rFonts w:hint="eastAsia" w:ascii="宋体" w:hAnsi="宋体"/>
          <w:sz w:val="24"/>
          <w:szCs w:val="24"/>
          <w:u w:val="single"/>
        </w:rPr>
        <w:t>7</w:t>
      </w:r>
      <w:r>
        <w:rPr>
          <w:rFonts w:hint="eastAsia" w:ascii="宋体" w:hAnsi="宋体"/>
          <w:sz w:val="24"/>
          <w:szCs w:val="24"/>
          <w:u w:val="single"/>
          <w:lang w:val="zh-CN"/>
        </w:rPr>
        <w:t>年</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u w:val="single"/>
          <w:lang w:val="zh-CN"/>
        </w:rPr>
      </w:pPr>
      <w:r>
        <w:rPr>
          <w:rFonts w:hint="eastAsia" w:ascii="宋体" w:hAnsi="宋体"/>
          <w:sz w:val="24"/>
          <w:szCs w:val="24"/>
          <w:u w:val="single"/>
          <w:lang w:val="zh-CN"/>
        </w:rPr>
        <w:t>201</w:t>
      </w:r>
      <w:r>
        <w:rPr>
          <w:rFonts w:hint="eastAsia" w:ascii="宋体" w:hAnsi="宋体"/>
          <w:sz w:val="24"/>
          <w:szCs w:val="24"/>
          <w:u w:val="single"/>
        </w:rPr>
        <w:t>8</w:t>
      </w:r>
      <w:r>
        <w:rPr>
          <w:rFonts w:hint="eastAsia" w:ascii="宋体" w:hAnsi="宋体"/>
          <w:sz w:val="24"/>
          <w:szCs w:val="24"/>
          <w:u w:val="single"/>
          <w:lang w:val="zh-CN"/>
        </w:rPr>
        <w:t>年</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rPr>
      </w:pPr>
      <w:r>
        <w:rPr>
          <w:rFonts w:hint="eastAsia" w:ascii="宋体" w:hAnsi="宋体"/>
          <w:sz w:val="24"/>
          <w:szCs w:val="24"/>
          <w:lang w:val="zh-CN"/>
        </w:rPr>
        <w:t>3、最近二年与其他客户签订的较大项目合同：</w:t>
      </w:r>
    </w:p>
    <w:p>
      <w:pPr>
        <w:autoSpaceDE w:val="0"/>
        <w:autoSpaceDN w:val="0"/>
        <w:adjustRightInd w:val="0"/>
        <w:rPr>
          <w:rFonts w:ascii="宋体" w:hAnsi="宋体"/>
          <w:sz w:val="24"/>
          <w:szCs w:val="24"/>
          <w:u w:val="single"/>
        </w:rPr>
      </w:pPr>
      <w:r>
        <w:rPr>
          <w:rFonts w:hint="eastAsia" w:ascii="宋体" w:hAnsi="宋体"/>
          <w:sz w:val="24"/>
          <w:szCs w:val="24"/>
          <w:lang w:val="zh-CN"/>
        </w:rPr>
        <w:t>项目名称      地   址    　时  间  　金额(人民币元)</w:t>
      </w:r>
      <w:r>
        <w:rPr>
          <w:rFonts w:hint="eastAsia" w:ascii="宋体" w:hAnsi="宋体"/>
          <w:sz w:val="24"/>
          <w:szCs w:val="24"/>
        </w:rPr>
        <w:br w:type="textWrapping"/>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u w:val="single"/>
          <w:lang w:val="zh-CN"/>
        </w:rPr>
      </w:pPr>
      <w:r>
        <w:rPr>
          <w:rFonts w:hint="eastAsia" w:ascii="宋体" w:hAnsi="宋体"/>
          <w:sz w:val="24"/>
          <w:szCs w:val="24"/>
          <w:lang w:val="zh-CN"/>
        </w:rPr>
        <w:t>4、供应商最近二年法律纠纷情况</w:t>
      </w:r>
      <w:r>
        <w:rPr>
          <w:rFonts w:hint="eastAsia" w:ascii="宋体" w:hAnsi="宋体"/>
          <w:sz w:val="24"/>
          <w:szCs w:val="24"/>
        </w:rPr>
        <w:br w:type="textWrapping"/>
      </w:r>
      <w:r>
        <w:rPr>
          <w:rFonts w:hint="eastAsia" w:ascii="宋体" w:hAnsi="宋体"/>
          <w:sz w:val="24"/>
          <w:szCs w:val="24"/>
          <w:lang w:val="zh-CN"/>
        </w:rPr>
        <w:t>时间     案由    涉及金额     目前办理情况</w:t>
      </w:r>
      <w:r>
        <w:rPr>
          <w:rFonts w:hint="eastAsia" w:ascii="宋体" w:hAnsi="宋体"/>
          <w:sz w:val="24"/>
          <w:szCs w:val="24"/>
        </w:rPr>
        <w:br w:type="textWrapping"/>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rPr>
      </w:pPr>
      <w:r>
        <w:rPr>
          <w:rFonts w:hint="eastAsia" w:ascii="宋体" w:hAnsi="宋体"/>
          <w:sz w:val="24"/>
          <w:szCs w:val="24"/>
          <w:lang w:val="zh-CN"/>
        </w:rPr>
        <w:t>5、有关银行的名称和地址：</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rPr>
      </w:pPr>
      <w:r>
        <w:rPr>
          <w:rFonts w:hint="eastAsia" w:ascii="宋体" w:hAnsi="宋体"/>
          <w:sz w:val="24"/>
          <w:szCs w:val="24"/>
          <w:lang w:val="zh-CN"/>
        </w:rPr>
        <w:t>6、其他情况：</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r>
        <w:rPr>
          <w:rFonts w:hint="eastAsia" w:ascii="宋体" w:hAnsi="宋体"/>
          <w:sz w:val="24"/>
          <w:szCs w:val="24"/>
          <w:lang w:val="zh-CN"/>
        </w:rPr>
        <w:t>日</w:t>
      </w:r>
      <w:r>
        <w:rPr>
          <w:rFonts w:hint="eastAsia" w:ascii="宋体" w:hAnsi="宋体"/>
          <w:sz w:val="24"/>
          <w:szCs w:val="24"/>
        </w:rPr>
        <w:t xml:space="preserve">    </w:t>
      </w:r>
      <w:r>
        <w:rPr>
          <w:rFonts w:hint="eastAsia" w:ascii="宋体" w:hAnsi="宋体"/>
          <w:sz w:val="24"/>
          <w:szCs w:val="24"/>
          <w:lang w:val="zh-CN"/>
        </w:rPr>
        <w:t>期</w:t>
      </w:r>
      <w:r>
        <w:rPr>
          <w:rFonts w:hint="eastAsia" w:ascii="宋体" w:hAnsi="宋体"/>
          <w:sz w:val="24"/>
          <w:szCs w:val="24"/>
        </w:rPr>
        <w:t>：</w:t>
      </w:r>
      <w:r>
        <w:rPr>
          <w:rFonts w:hint="eastAsia" w:ascii="宋体" w:hAnsi="宋体"/>
          <w:sz w:val="24"/>
          <w:szCs w:val="24"/>
          <w:u w:val="single"/>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授权代表签字：</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授权代表的印刷字体姓名：</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授权代表的职务：</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电话号和传真号：</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u w:val="single"/>
        </w:rPr>
      </w:pPr>
      <w:r>
        <w:rPr>
          <w:rFonts w:hint="eastAsia" w:ascii="宋体" w:hAnsi="宋体"/>
          <w:sz w:val="24"/>
          <w:szCs w:val="24"/>
          <w:lang w:val="zh-CN"/>
        </w:rPr>
        <w:t>公</w:t>
      </w:r>
      <w:r>
        <w:rPr>
          <w:rFonts w:hint="eastAsia" w:ascii="宋体" w:hAnsi="宋体"/>
          <w:sz w:val="24"/>
          <w:szCs w:val="24"/>
        </w:rPr>
        <w:t xml:space="preserve">     </w:t>
      </w:r>
      <w:r>
        <w:rPr>
          <w:rFonts w:hint="eastAsia" w:ascii="宋体" w:hAnsi="宋体"/>
          <w:sz w:val="24"/>
          <w:szCs w:val="24"/>
          <w:lang w:val="zh-CN"/>
        </w:rPr>
        <w:t>章</w:t>
      </w:r>
      <w:r>
        <w:rPr>
          <w:rFonts w:hint="eastAsia" w:ascii="宋体" w:hAnsi="宋体"/>
          <w:sz w:val="24"/>
          <w:szCs w:val="24"/>
        </w:rPr>
        <w:t>：</w:t>
      </w:r>
      <w:r>
        <w:rPr>
          <w:rFonts w:hint="eastAsia" w:ascii="宋体" w:hAnsi="宋体"/>
          <w:sz w:val="24"/>
          <w:szCs w:val="24"/>
          <w:u w:val="single"/>
        </w:rPr>
        <w:t xml:space="preserve">                   </w:t>
      </w:r>
    </w:p>
    <w:p>
      <w:pPr>
        <w:ind w:left="567"/>
        <w:rPr>
          <w:rFonts w:ascii="宋体" w:hAnsi="宋体"/>
          <w:sz w:val="24"/>
          <w:szCs w:val="24"/>
          <w:u w:val="single"/>
        </w:rPr>
      </w:pPr>
    </w:p>
    <w:p>
      <w:pPr>
        <w:numPr>
          <w:ilvl w:val="1"/>
          <w:numId w:val="14"/>
        </w:numPr>
        <w:spacing w:before="240" w:beforeLines="100"/>
        <w:jc w:val="center"/>
        <w:outlineLvl w:val="1"/>
        <w:rPr>
          <w:rStyle w:val="72"/>
          <w:rFonts w:ascii="宋体" w:hAnsi="宋体"/>
          <w:szCs w:val="28"/>
        </w:rPr>
      </w:pPr>
      <w:r>
        <w:rPr>
          <w:rFonts w:hint="eastAsia" w:ascii="宋体" w:hAnsi="宋体"/>
          <w:b/>
          <w:sz w:val="24"/>
        </w:rPr>
        <w:br w:type="page"/>
      </w:r>
      <w:bookmarkStart w:id="205" w:name="_Toc45436702"/>
      <w:bookmarkStart w:id="206" w:name="_Toc359934230"/>
      <w:bookmarkStart w:id="207" w:name="_Toc356371468"/>
      <w:bookmarkStart w:id="208" w:name="_Toc356371464"/>
      <w:r>
        <w:rPr>
          <w:rStyle w:val="72"/>
          <w:rFonts w:hint="eastAsia" w:ascii="宋体" w:hAnsi="宋体"/>
          <w:szCs w:val="28"/>
        </w:rPr>
        <w:t>商务技术文件格式</w:t>
      </w:r>
      <w:bookmarkEnd w:id="205"/>
      <w:bookmarkEnd w:id="206"/>
    </w:p>
    <w:p>
      <w:pPr>
        <w:snapToGrid w:val="0"/>
        <w:ind w:left="1" w:firstLine="482" w:firstLineChars="200"/>
        <w:rPr>
          <w:rFonts w:ascii="宋体" w:hAnsi="宋体"/>
          <w:b/>
          <w:bCs/>
          <w:sz w:val="24"/>
        </w:rPr>
      </w:pPr>
      <w:r>
        <w:rPr>
          <w:rFonts w:hint="eastAsia" w:ascii="宋体" w:hAnsi="宋体"/>
          <w:b/>
          <w:bCs/>
          <w:sz w:val="24"/>
        </w:rPr>
        <w:t>技术文件包含</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投标人自评分表</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▲详细的产品清单及货物简要说明一览表（注明品牌型号及具体配置、及产地）；</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▲设备详细参数偏离表,投标人应按所投设备的实际参数填写详细参数偏离表</w:t>
      </w:r>
      <w:r>
        <w:rPr>
          <w:rFonts w:hint="eastAsia" w:ascii="宋体" w:hAnsi="宋体" w:eastAsia="宋体"/>
          <w:sz w:val="24"/>
          <w:lang w:eastAsia="zh-CN"/>
        </w:rPr>
        <w:t>；</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产品说明书或产品主要技术资料和性能的详细描述，全部部件明细表（包括品牌、制造厂名和主要技术参数、产地等）；</w:t>
      </w:r>
    </w:p>
    <w:p>
      <w:pPr>
        <w:pStyle w:val="83"/>
        <w:numPr>
          <w:ilvl w:val="0"/>
          <w:numId w:val="16"/>
        </w:numPr>
        <w:snapToGrid w:val="0"/>
        <w:spacing w:line="240" w:lineRule="auto"/>
        <w:ind w:firstLineChars="0"/>
        <w:jc w:val="left"/>
        <w:rPr>
          <w:rFonts w:ascii="宋体" w:hAnsi="宋体" w:eastAsia="宋体"/>
          <w:sz w:val="24"/>
        </w:rPr>
      </w:pPr>
      <w:r>
        <w:rPr>
          <w:rFonts w:hint="eastAsia" w:ascii="宋体" w:hAnsi="宋体" w:eastAsia="宋体" w:cs="Times New Roman"/>
          <w:sz w:val="24"/>
          <w:szCs w:val="22"/>
          <w:lang w:bidi="ar"/>
        </w:rPr>
        <w:t>本项目为紧急建设工程，要求中标方签订合同后30个日内完成江东工业园区数字化园区综合管理平台上线，投标人投标时需做出书面承诺</w:t>
      </w:r>
      <w:r>
        <w:rPr>
          <w:rFonts w:hint="eastAsia" w:ascii="宋体" w:hAnsi="宋体" w:eastAsia="宋体" w:cs="Times New Roman"/>
          <w:sz w:val="24"/>
          <w:szCs w:val="22"/>
          <w:lang w:eastAsia="zh-CN" w:bidi="ar"/>
        </w:rPr>
        <w:t>。（承诺书格式自拟）</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项目理解及</w:t>
      </w:r>
      <w:r>
        <w:rPr>
          <w:rFonts w:hint="eastAsia" w:ascii="宋体" w:hAnsi="宋体" w:eastAsia="宋体"/>
          <w:sz w:val="24"/>
          <w:lang w:eastAsia="zh-CN"/>
        </w:rPr>
        <w:t>技术、实施</w:t>
      </w:r>
      <w:r>
        <w:rPr>
          <w:rFonts w:hint="eastAsia" w:ascii="宋体" w:hAnsi="宋体" w:eastAsia="宋体"/>
          <w:sz w:val="24"/>
        </w:rPr>
        <w:t>方案；</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系统演示；</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软件产品成熟度</w:t>
      </w:r>
      <w:r>
        <w:rPr>
          <w:rFonts w:hint="eastAsia" w:ascii="宋体" w:hAnsi="宋体" w:eastAsia="宋体"/>
          <w:sz w:val="24"/>
          <w:lang w:eastAsia="zh-CN"/>
        </w:rPr>
        <w:t>；</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业绩案例；</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lang w:eastAsia="zh-CN"/>
        </w:rPr>
        <w:t>投入人员情况</w:t>
      </w:r>
      <w:r>
        <w:rPr>
          <w:rFonts w:hint="eastAsia" w:ascii="宋体" w:hAnsi="宋体" w:eastAsia="宋体"/>
          <w:sz w:val="24"/>
        </w:rPr>
        <w:t>；</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售后服务；</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涉及评分的其他材料。</w:t>
      </w:r>
    </w:p>
    <w:p>
      <w:pPr>
        <w:snapToGrid w:val="0"/>
        <w:rPr>
          <w:rFonts w:ascii="宋体" w:hAnsi="宋体"/>
          <w:sz w:val="24"/>
        </w:rPr>
      </w:pPr>
    </w:p>
    <w:p>
      <w:pPr>
        <w:snapToGrid w:val="0"/>
        <w:ind w:left="1" w:firstLine="480" w:firstLineChars="200"/>
        <w:rPr>
          <w:rFonts w:ascii="宋体" w:hAnsi="宋体"/>
          <w:sz w:val="24"/>
          <w:szCs w:val="24"/>
        </w:rPr>
      </w:pPr>
      <w:r>
        <w:rPr>
          <w:rFonts w:hint="eastAsia" w:ascii="宋体" w:hAnsi="宋体"/>
          <w:sz w:val="24"/>
          <w:szCs w:val="24"/>
        </w:rPr>
        <w:t>除以下提供的格式外，其余格式自拟。</w:t>
      </w:r>
    </w:p>
    <w:bookmarkEnd w:id="207"/>
    <w:bookmarkEnd w:id="208"/>
    <w:p>
      <w:pPr>
        <w:pStyle w:val="245"/>
        <w:spacing w:line="540" w:lineRule="exact"/>
        <w:ind w:firstLine="0" w:firstLineChars="0"/>
        <w:jc w:val="center"/>
        <w:rPr>
          <w:rFonts w:ascii="宋体"/>
          <w:szCs w:val="21"/>
        </w:rPr>
      </w:pPr>
      <w:bookmarkStart w:id="209" w:name="_Toc430627497"/>
      <w:bookmarkStart w:id="210" w:name="_Toc359922947"/>
      <w:bookmarkStart w:id="211" w:name="_Toc359934231"/>
      <w:r>
        <w:rPr>
          <w:rFonts w:ascii="宋体" w:eastAsia="宋体" w:cs="宋体"/>
          <w:b/>
          <w:sz w:val="21"/>
          <w:szCs w:val="21"/>
        </w:rPr>
        <w:br w:type="page"/>
      </w:r>
    </w:p>
    <w:p>
      <w:pPr>
        <w:rPr>
          <w:rFonts w:ascii="宋体" w:hAnsi="宋体"/>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jc w:val="center"/>
        <w:rPr>
          <w:rFonts w:ascii="宋体" w:hAnsi="宋体" w:cs="仿宋_GB2312"/>
          <w:color w:val="auto"/>
          <w:sz w:val="24"/>
        </w:rPr>
      </w:pPr>
      <w:r>
        <w:rPr>
          <w:rFonts w:hint="eastAsia" w:ascii="宋体" w:hAnsi="宋体" w:cs="仿宋_GB2312"/>
          <w:color w:val="auto"/>
          <w:sz w:val="24"/>
          <w:szCs w:val="22"/>
          <w:lang w:val="en-US" w:eastAsia="zh-CN"/>
        </w:rPr>
        <w:t>投标人</w:t>
      </w:r>
      <w:r>
        <w:rPr>
          <w:rFonts w:ascii="宋体" w:hAnsi="宋体" w:cs="仿宋_GB2312"/>
          <w:color w:val="auto"/>
          <w:sz w:val="24"/>
          <w:szCs w:val="22"/>
        </w:rPr>
        <w:t>自</w:t>
      </w:r>
      <w:r>
        <w:rPr>
          <w:rFonts w:ascii="宋体" w:hAnsi="宋体" w:cs="仿宋_GB2312"/>
          <w:color w:val="auto"/>
          <w:sz w:val="24"/>
        </w:rPr>
        <w:t>评表</w:t>
      </w:r>
    </w:p>
    <w:tbl>
      <w:tblPr>
        <w:tblStyle w:val="60"/>
        <w:tblW w:w="1024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4905"/>
        <w:gridCol w:w="707"/>
        <w:gridCol w:w="1418"/>
        <w:gridCol w:w="102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438" w:type="dxa"/>
            <w:tcBorders>
              <w:top w:val="single" w:color="auto" w:sz="4" w:space="0"/>
              <w:left w:val="single" w:color="auto" w:sz="4" w:space="0"/>
              <w:bottom w:val="single" w:color="auto" w:sz="4" w:space="0"/>
              <w:right w:val="single" w:color="auto" w:sz="4" w:space="0"/>
            </w:tcBorders>
            <w:noWrap w:val="0"/>
            <w:vAlign w:val="center"/>
          </w:tcPr>
          <w:p>
            <w:pPr>
              <w:ind w:left="-50"/>
              <w:jc w:val="center"/>
              <w:rPr>
                <w:rFonts w:ascii="宋体" w:hAnsi="宋体"/>
                <w:snapToGrid w:val="0"/>
                <w:color w:val="auto"/>
                <w:szCs w:val="21"/>
              </w:rPr>
            </w:pPr>
            <w:r>
              <w:rPr>
                <w:rFonts w:hint="eastAsia" w:ascii="宋体" w:hAnsi="宋体"/>
                <w:snapToGrid w:val="0"/>
                <w:color w:val="auto"/>
                <w:szCs w:val="21"/>
              </w:rPr>
              <w:t>评分项目</w:t>
            </w:r>
          </w:p>
        </w:tc>
        <w:tc>
          <w:tcPr>
            <w:tcW w:w="4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napToGrid w:val="0"/>
                <w:color w:val="auto"/>
                <w:szCs w:val="21"/>
              </w:rPr>
            </w:pPr>
            <w:r>
              <w:rPr>
                <w:rFonts w:hint="eastAsia" w:ascii="Arial" w:hAnsi="Arial" w:cs="Arial"/>
                <w:snapToGrid w:val="0"/>
                <w:color w:val="auto"/>
                <w:szCs w:val="21"/>
              </w:rPr>
              <w:t>评分标准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ind w:left="-50"/>
              <w:jc w:val="center"/>
              <w:rPr>
                <w:rFonts w:ascii="Arial" w:hAnsi="Arial" w:cs="Arial"/>
                <w:snapToGrid w:val="0"/>
                <w:color w:val="auto"/>
                <w:szCs w:val="21"/>
              </w:rPr>
            </w:pPr>
            <w:r>
              <w:rPr>
                <w:rFonts w:hint="eastAsia" w:ascii="Arial" w:hAnsi="Arial" w:cs="Arial"/>
                <w:snapToGrid w:val="0"/>
                <w:color w:val="auto"/>
                <w:szCs w:val="21"/>
              </w:rPr>
              <w:t>分数值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napToGrid w:val="0"/>
                <w:color w:val="auto"/>
                <w:szCs w:val="21"/>
              </w:rPr>
            </w:pPr>
            <w:r>
              <w:rPr>
                <w:rFonts w:hint="eastAsia" w:ascii="Arial" w:hAnsi="Arial" w:cs="Arial"/>
                <w:snapToGrid w:val="0"/>
                <w:color w:val="auto"/>
                <w:szCs w:val="21"/>
              </w:rPr>
              <w:t>自评依据</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pStyle w:val="55"/>
              <w:snapToGrid w:val="0"/>
              <w:jc w:val="center"/>
              <w:rPr>
                <w:b/>
                <w:color w:val="auto"/>
                <w:kern w:val="2"/>
                <w:sz w:val="22"/>
                <w:szCs w:val="21"/>
              </w:rPr>
            </w:pPr>
            <w:r>
              <w:rPr>
                <w:rFonts w:hint="eastAsia"/>
                <w:b/>
                <w:color w:val="auto"/>
                <w:kern w:val="2"/>
                <w:sz w:val="22"/>
                <w:szCs w:val="21"/>
              </w:rPr>
              <w:t>自评分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5"/>
              <w:snapToGrid w:val="0"/>
              <w:jc w:val="center"/>
              <w:rPr>
                <w:b/>
                <w:color w:val="auto"/>
                <w:kern w:val="2"/>
                <w:sz w:val="22"/>
                <w:szCs w:val="21"/>
              </w:rPr>
            </w:pPr>
            <w:r>
              <w:rPr>
                <w:rFonts w:hint="eastAsia"/>
                <w:b/>
                <w:color w:val="auto"/>
                <w:kern w:val="2"/>
                <w:sz w:val="22"/>
                <w:szCs w:val="21"/>
              </w:rPr>
              <w:t>标书页码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43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软件产品成熟度</w:t>
            </w:r>
          </w:p>
          <w:p>
            <w:pPr>
              <w:adjustRightInd w:val="0"/>
              <w:snapToGrid w:val="0"/>
              <w:spacing w:line="310" w:lineRule="exact"/>
              <w:rPr>
                <w:rFonts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ind w:firstLine="440" w:firstLineChars="200"/>
              <w:rPr>
                <w:rFonts w:hint="eastAsia" w:ascii="宋体" w:hAnsi="宋体"/>
                <w:color w:val="000000"/>
                <w:kern w:val="0"/>
                <w:sz w:val="22"/>
                <w:szCs w:val="22"/>
              </w:rPr>
            </w:pPr>
            <w:r>
              <w:rPr>
                <w:rFonts w:hint="eastAsia" w:ascii="宋体" w:hAnsi="宋体"/>
                <w:color w:val="000000"/>
                <w:kern w:val="0"/>
                <w:sz w:val="22"/>
                <w:szCs w:val="22"/>
              </w:rPr>
              <w:t>因本项目为紧急建设项目，为确保系统能快速、高质、高效地投入应用，所投</w:t>
            </w:r>
            <w:r>
              <w:rPr>
                <w:rFonts w:hint="eastAsia" w:ascii="宋体" w:hAnsi="宋体"/>
                <w:color w:val="000000"/>
                <w:kern w:val="0"/>
                <w:sz w:val="22"/>
                <w:szCs w:val="22"/>
                <w:lang w:eastAsia="zh-CN"/>
              </w:rPr>
              <w:t>软件平台必须成熟可靠，且不侵犯第三方知识产权。</w:t>
            </w:r>
            <w:r>
              <w:rPr>
                <w:rFonts w:hint="eastAsia" w:ascii="宋体" w:hAnsi="宋体"/>
                <w:color w:val="000000"/>
                <w:kern w:val="0"/>
                <w:sz w:val="22"/>
                <w:szCs w:val="22"/>
              </w:rPr>
              <w:t xml:space="preserve">  </w:t>
            </w:r>
          </w:p>
          <w:p>
            <w:pPr>
              <w:numPr>
                <w:ilvl w:val="0"/>
                <w:numId w:val="0"/>
              </w:numPr>
              <w:spacing w:line="320" w:lineRule="exact"/>
              <w:ind w:firstLine="440" w:firstLineChars="200"/>
              <w:rPr>
                <w:rFonts w:hint="eastAsia" w:ascii="宋体" w:hAnsi="宋体"/>
                <w:color w:val="000000"/>
                <w:kern w:val="0"/>
                <w:sz w:val="22"/>
                <w:szCs w:val="22"/>
                <w:lang w:eastAsia="zh-CN"/>
              </w:rPr>
            </w:pPr>
            <w:r>
              <w:rPr>
                <w:rFonts w:hint="eastAsia" w:ascii="宋体" w:hAnsi="宋体"/>
                <w:color w:val="000000"/>
                <w:kern w:val="0"/>
                <w:sz w:val="22"/>
                <w:szCs w:val="22"/>
                <w:lang w:val="en-US" w:eastAsia="zh-CN"/>
              </w:rPr>
              <w:t>1、</w:t>
            </w:r>
            <w:r>
              <w:rPr>
                <w:rFonts w:hint="eastAsia" w:ascii="宋体" w:hAnsi="宋体"/>
                <w:color w:val="000000"/>
                <w:kern w:val="0"/>
                <w:sz w:val="22"/>
                <w:szCs w:val="22"/>
              </w:rPr>
              <w:t>需提供</w:t>
            </w:r>
            <w:r>
              <w:rPr>
                <w:rFonts w:hint="eastAsia" w:ascii="宋体" w:hAnsi="宋体"/>
                <w:color w:val="000000"/>
                <w:kern w:val="0"/>
                <w:sz w:val="22"/>
                <w:szCs w:val="22"/>
                <w:lang w:eastAsia="zh-CN"/>
              </w:rPr>
              <w:t>安全隐患巡查类、安全运行预警系统类、物联网感知设备接入类、应急案件受理平台类、应急综合指挥体系平台类系统软件功能模块。</w:t>
            </w:r>
            <w:r>
              <w:rPr>
                <w:rFonts w:hint="eastAsia" w:ascii="宋体" w:hAnsi="宋体"/>
                <w:color w:val="000000"/>
                <w:kern w:val="0"/>
                <w:sz w:val="22"/>
                <w:szCs w:val="22"/>
              </w:rPr>
              <w:t>能够提供1项的得</w:t>
            </w:r>
            <w:r>
              <w:rPr>
                <w:rFonts w:hint="eastAsia" w:ascii="宋体" w:hAnsi="宋体"/>
                <w:color w:val="000000"/>
                <w:kern w:val="0"/>
                <w:sz w:val="22"/>
                <w:szCs w:val="22"/>
                <w:lang w:val="en-US" w:eastAsia="zh-CN"/>
              </w:rPr>
              <w:t>1</w:t>
            </w:r>
            <w:r>
              <w:rPr>
                <w:rFonts w:hint="eastAsia" w:ascii="宋体" w:hAnsi="宋体"/>
                <w:color w:val="000000"/>
                <w:kern w:val="0"/>
                <w:sz w:val="22"/>
                <w:szCs w:val="22"/>
              </w:rPr>
              <w:t>分。</w:t>
            </w:r>
            <w:r>
              <w:rPr>
                <w:rFonts w:hint="eastAsia" w:ascii="宋体" w:hAnsi="宋体"/>
                <w:color w:val="000000"/>
                <w:kern w:val="0"/>
                <w:sz w:val="22"/>
                <w:szCs w:val="22"/>
                <w:lang w:eastAsia="zh-CN"/>
              </w:rPr>
              <w:t>（需提供相关证明证书原件扫描件）</w:t>
            </w:r>
            <w:r>
              <w:rPr>
                <w:rFonts w:hint="eastAsia" w:ascii="宋体" w:hAnsi="宋体"/>
                <w:color w:val="000000"/>
                <w:kern w:val="0"/>
                <w:sz w:val="22"/>
                <w:szCs w:val="22"/>
              </w:rPr>
              <w:t>本项最高得</w:t>
            </w:r>
            <w:r>
              <w:rPr>
                <w:rFonts w:hint="eastAsia" w:ascii="宋体" w:hAnsi="宋体"/>
                <w:color w:val="000000"/>
                <w:kern w:val="0"/>
                <w:sz w:val="22"/>
                <w:szCs w:val="22"/>
                <w:lang w:val="en-US" w:eastAsia="zh-CN"/>
              </w:rPr>
              <w:t>5</w:t>
            </w:r>
            <w:r>
              <w:rPr>
                <w:rFonts w:hint="eastAsia" w:ascii="宋体" w:hAnsi="宋体"/>
                <w:color w:val="000000"/>
                <w:kern w:val="0"/>
                <w:sz w:val="22"/>
                <w:szCs w:val="22"/>
              </w:rPr>
              <w:t>分</w:t>
            </w:r>
            <w:r>
              <w:rPr>
                <w:rFonts w:hint="eastAsia" w:ascii="宋体" w:hAnsi="宋体"/>
                <w:color w:val="000000"/>
                <w:kern w:val="0"/>
                <w:sz w:val="22"/>
                <w:szCs w:val="22"/>
                <w:lang w:eastAsia="zh-CN"/>
              </w:rPr>
              <w:t>。</w:t>
            </w:r>
          </w:p>
          <w:p>
            <w:pPr>
              <w:numPr>
                <w:ilvl w:val="0"/>
                <w:numId w:val="0"/>
              </w:numPr>
              <w:spacing w:line="320" w:lineRule="exact"/>
              <w:ind w:firstLine="440" w:firstLineChars="200"/>
              <w:rPr>
                <w:rFonts w:hint="eastAsia" w:ascii="宋体" w:hAnsi="宋体"/>
                <w:color w:val="000000"/>
                <w:kern w:val="0"/>
                <w:sz w:val="22"/>
                <w:szCs w:val="22"/>
              </w:rPr>
            </w:pPr>
            <w:r>
              <w:rPr>
                <w:rFonts w:hint="eastAsia" w:ascii="宋体" w:hAnsi="宋体"/>
                <w:color w:val="000000"/>
                <w:kern w:val="0"/>
                <w:sz w:val="22"/>
                <w:szCs w:val="22"/>
                <w:lang w:val="en-US" w:eastAsia="zh-CN"/>
              </w:rPr>
              <w:t>2、</w:t>
            </w:r>
            <w:r>
              <w:rPr>
                <w:rFonts w:hint="eastAsia" w:ascii="宋体" w:hAnsi="宋体"/>
                <w:color w:val="000000"/>
                <w:kern w:val="0"/>
                <w:sz w:val="22"/>
                <w:szCs w:val="22"/>
              </w:rPr>
              <w:t>软件产品成熟度：</w:t>
            </w:r>
          </w:p>
          <w:p>
            <w:pPr>
              <w:numPr>
                <w:ilvl w:val="0"/>
                <w:numId w:val="0"/>
              </w:numPr>
              <w:spacing w:line="320" w:lineRule="exact"/>
              <w:rPr>
                <w:rFonts w:ascii="宋体" w:hAnsi="宋体"/>
                <w:bCs/>
                <w:color w:val="auto"/>
                <w:spacing w:val="-6"/>
                <w:szCs w:val="21"/>
              </w:rPr>
            </w:pPr>
            <w:r>
              <w:rPr>
                <w:rFonts w:hint="eastAsia" w:ascii="宋体" w:hAnsi="宋体"/>
                <w:color w:val="000000"/>
                <w:kern w:val="0"/>
                <w:sz w:val="22"/>
                <w:szCs w:val="22"/>
                <w:lang w:val="en-US" w:eastAsia="zh-CN"/>
              </w:rPr>
              <w:t>投标人具有CMMI（软件能力成熟度集成模型）三级及以上得2分。需提供相关证明证书原件扫描件并经CA签章。本项最高得2分。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default" w:eastAsia="宋体"/>
                <w:color w:val="auto"/>
                <w:lang w:val="en-US" w:eastAsia="zh-CN"/>
              </w:rPr>
            </w:pPr>
            <w:r>
              <w:rPr>
                <w:rFonts w:hint="eastAsia"/>
                <w:color w:val="auto"/>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color w:val="auto"/>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43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业绩案例</w:t>
            </w:r>
          </w:p>
          <w:p>
            <w:pPr>
              <w:adjustRightInd w:val="0"/>
              <w:snapToGrid w:val="0"/>
              <w:spacing w:line="310" w:lineRule="exact"/>
              <w:rPr>
                <w:rFonts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rPr>
                <w:rFonts w:ascii="宋体" w:hAnsi="宋体"/>
                <w:bCs/>
                <w:color w:val="auto"/>
                <w:spacing w:val="-6"/>
                <w:szCs w:val="21"/>
              </w:rPr>
            </w:pPr>
            <w:r>
              <w:rPr>
                <w:rFonts w:hint="eastAsia" w:ascii="宋体" w:hAnsi="宋体" w:eastAsia="宋体" w:cs="宋体"/>
                <w:i w:val="0"/>
                <w:color w:val="000000"/>
                <w:kern w:val="0"/>
                <w:sz w:val="22"/>
                <w:szCs w:val="22"/>
                <w:u w:val="none"/>
                <w:lang w:val="en-US" w:eastAsia="zh-CN" w:bidi="ar"/>
              </w:rPr>
              <w:t>1、</w:t>
            </w:r>
            <w:r>
              <w:rPr>
                <w:rFonts w:hint="eastAsia" w:ascii="宋体" w:hAnsi="宋体"/>
                <w:color w:val="000000"/>
                <w:kern w:val="0"/>
                <w:sz w:val="22"/>
                <w:szCs w:val="22"/>
              </w:rPr>
              <w:t>201</w:t>
            </w:r>
            <w:r>
              <w:rPr>
                <w:rFonts w:hint="eastAsia" w:ascii="宋体" w:hAnsi="宋体"/>
                <w:color w:val="000000"/>
                <w:kern w:val="0"/>
                <w:sz w:val="22"/>
                <w:szCs w:val="22"/>
                <w:lang w:val="en-US" w:eastAsia="zh-CN"/>
              </w:rPr>
              <w:t>5</w:t>
            </w:r>
            <w:r>
              <w:rPr>
                <w:rFonts w:hint="eastAsia" w:ascii="宋体" w:hAnsi="宋体"/>
                <w:color w:val="000000"/>
                <w:kern w:val="0"/>
                <w:sz w:val="22"/>
                <w:szCs w:val="22"/>
              </w:rPr>
              <w:t>年1月以来投标人实施的软硬件平台相结合的智慧化工园区相类似政府采购项目案例（软硬件平台相结合）</w:t>
            </w:r>
            <w:r>
              <w:rPr>
                <w:rFonts w:hint="eastAsia" w:ascii="宋体" w:hAnsi="宋体" w:eastAsia="宋体" w:cs="宋体"/>
                <w:i w:val="0"/>
                <w:color w:val="000000"/>
                <w:kern w:val="0"/>
                <w:sz w:val="22"/>
                <w:szCs w:val="22"/>
                <w:u w:val="none"/>
                <w:lang w:val="en-US" w:eastAsia="zh-CN" w:bidi="ar"/>
              </w:rPr>
              <w:t>，每提供1个得</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分。本项最高得分</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w:t>
            </w:r>
            <w:r>
              <w:rPr>
                <w:rFonts w:ascii="宋体" w:hAnsi="宋体"/>
                <w:color w:val="auto"/>
                <w:kern w:val="0"/>
                <w:sz w:val="22"/>
                <w:szCs w:val="22"/>
              </w:rPr>
              <w:t>2015年</w:t>
            </w:r>
            <w:r>
              <w:rPr>
                <w:rFonts w:hint="eastAsia" w:ascii="宋体" w:hAnsi="宋体"/>
                <w:color w:val="auto"/>
                <w:kern w:val="0"/>
                <w:sz w:val="22"/>
                <w:szCs w:val="22"/>
              </w:rPr>
              <w:t>1</w:t>
            </w:r>
            <w:r>
              <w:rPr>
                <w:rFonts w:ascii="宋体" w:hAnsi="宋体"/>
                <w:color w:val="auto"/>
                <w:kern w:val="0"/>
                <w:sz w:val="22"/>
                <w:szCs w:val="22"/>
              </w:rPr>
              <w:t>月以来</w:t>
            </w:r>
            <w:r>
              <w:rPr>
                <w:rFonts w:hint="eastAsia" w:ascii="宋体" w:hAnsi="宋体"/>
                <w:color w:val="auto"/>
                <w:kern w:val="0"/>
                <w:sz w:val="22"/>
                <w:szCs w:val="22"/>
              </w:rPr>
              <w:t>投标人具有实施的软硬件平台相结合的</w:t>
            </w:r>
            <w:r>
              <w:rPr>
                <w:rFonts w:ascii="宋体" w:hAnsi="宋体"/>
                <w:color w:val="auto"/>
                <w:kern w:val="0"/>
                <w:sz w:val="22"/>
                <w:szCs w:val="22"/>
              </w:rPr>
              <w:t>智慧城市类智能化</w:t>
            </w:r>
            <w:r>
              <w:rPr>
                <w:rFonts w:hint="eastAsia" w:ascii="宋体" w:hAnsi="宋体"/>
                <w:color w:val="auto"/>
                <w:kern w:val="0"/>
                <w:sz w:val="22"/>
                <w:szCs w:val="22"/>
              </w:rPr>
              <w:t>或城市管理系统集成</w:t>
            </w:r>
            <w:r>
              <w:rPr>
                <w:rFonts w:ascii="宋体" w:hAnsi="宋体"/>
                <w:color w:val="auto"/>
                <w:kern w:val="0"/>
                <w:sz w:val="22"/>
                <w:szCs w:val="22"/>
              </w:rPr>
              <w:t>项目</w:t>
            </w:r>
            <w:r>
              <w:rPr>
                <w:rFonts w:hint="eastAsia" w:ascii="宋体" w:hAnsi="宋体"/>
                <w:color w:val="auto"/>
                <w:kern w:val="0"/>
                <w:sz w:val="22"/>
                <w:szCs w:val="22"/>
              </w:rPr>
              <w:t>案例，</w:t>
            </w:r>
            <w:r>
              <w:rPr>
                <w:rFonts w:hint="eastAsia" w:ascii="宋体" w:hAnsi="宋体" w:eastAsia="宋体" w:cs="宋体"/>
                <w:i w:val="0"/>
                <w:color w:val="000000"/>
                <w:kern w:val="0"/>
                <w:sz w:val="22"/>
                <w:szCs w:val="22"/>
                <w:u w:val="none"/>
                <w:lang w:val="en-US" w:eastAsia="zh-CN" w:bidi="ar"/>
              </w:rPr>
              <w:t>每提供1个得</w:t>
            </w:r>
            <w:r>
              <w:rPr>
                <w:rFonts w:hint="eastAsia" w:ascii="宋体" w:hAnsi="宋体" w:cs="宋体"/>
                <w:i w:val="0"/>
                <w:color w:val="000000"/>
                <w:kern w:val="0"/>
                <w:sz w:val="22"/>
                <w:szCs w:val="22"/>
                <w:u w:val="none"/>
                <w:lang w:val="en-US" w:eastAsia="zh-CN" w:bidi="ar"/>
              </w:rPr>
              <w:t>1.5</w:t>
            </w:r>
            <w:r>
              <w:rPr>
                <w:rFonts w:hint="eastAsia" w:ascii="宋体" w:hAnsi="宋体" w:eastAsia="宋体" w:cs="宋体"/>
                <w:i w:val="0"/>
                <w:color w:val="000000"/>
                <w:kern w:val="0"/>
                <w:sz w:val="22"/>
                <w:szCs w:val="22"/>
                <w:u w:val="none"/>
                <w:lang w:val="en-US" w:eastAsia="zh-CN" w:bidi="ar"/>
              </w:rPr>
              <w:t>分。本项最高得分</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default" w:ascii="宋体" w:hAnsi="宋体" w:eastAsia="宋体" w:cs="宋体"/>
                <w:color w:val="auto"/>
                <w:spacing w:val="-2"/>
                <w:kern w:val="0"/>
                <w:szCs w:val="21"/>
                <w:lang w:val="en-US" w:eastAsia="zh-CN"/>
              </w:rPr>
            </w:pPr>
            <w:r>
              <w:rPr>
                <w:rFonts w:hint="eastAsia" w:ascii="宋体" w:hAnsi="宋体" w:cs="宋体"/>
                <w:color w:val="auto"/>
                <w:spacing w:val="-2"/>
                <w:kern w:val="0"/>
                <w:szCs w:val="21"/>
                <w:lang w:val="en-US" w:eastAsia="zh-CN"/>
              </w:rPr>
              <w:t>14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38" w:type="dxa"/>
            <w:vMerge w:val="restart"/>
            <w:tcBorders>
              <w:left w:val="single" w:color="auto" w:sz="4" w:space="0"/>
              <w:right w:val="single" w:color="auto" w:sz="4" w:space="0"/>
            </w:tcBorders>
            <w:noWrap w:val="0"/>
            <w:vAlign w:val="center"/>
          </w:tcPr>
          <w:p>
            <w:pPr>
              <w:adjustRightInd w:val="0"/>
              <w:snapToGrid w:val="0"/>
              <w:spacing w:line="310" w:lineRule="exact"/>
              <w:rPr>
                <w:rFonts w:hint="eastAsia" w:ascii="宋体" w:hAnsi="宋体"/>
                <w:bCs/>
                <w:color w:val="auto"/>
                <w:spacing w:val="-6"/>
                <w:szCs w:val="21"/>
              </w:rPr>
            </w:pPr>
            <w:r>
              <w:rPr>
                <w:rFonts w:hint="eastAsia" w:ascii="宋体" w:hAnsi="宋体" w:eastAsia="宋体" w:cs="宋体"/>
                <w:i w:val="0"/>
                <w:color w:val="000000"/>
                <w:kern w:val="0"/>
                <w:sz w:val="22"/>
                <w:szCs w:val="22"/>
                <w:u w:val="none"/>
                <w:lang w:val="en-US" w:eastAsia="zh-CN" w:bidi="ar"/>
              </w:rPr>
              <w:t>投入人员情况</w:t>
            </w: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bCs/>
                <w:color w:val="auto"/>
                <w:spacing w:val="-6"/>
                <w:szCs w:val="21"/>
              </w:rPr>
            </w:pPr>
            <w:r>
              <w:rPr>
                <w:rFonts w:hint="eastAsia" w:ascii="宋体" w:hAnsi="宋体"/>
                <w:color w:val="auto"/>
                <w:kern w:val="0"/>
                <w:sz w:val="22"/>
                <w:szCs w:val="22"/>
              </w:rPr>
              <w:t>企业实力</w:t>
            </w:r>
            <w:r>
              <w:rPr>
                <w:rFonts w:hint="eastAsia" w:ascii="宋体" w:hAnsi="宋体"/>
                <w:color w:val="auto"/>
                <w:kern w:val="0"/>
                <w:sz w:val="22"/>
                <w:szCs w:val="22"/>
                <w:lang w:eastAsia="zh-CN"/>
              </w:rPr>
              <w:t>：</w:t>
            </w:r>
            <w:r>
              <w:rPr>
                <w:rFonts w:hint="eastAsia" w:ascii="宋体" w:hAnsi="宋体"/>
                <w:color w:val="auto"/>
                <w:kern w:val="0"/>
                <w:sz w:val="22"/>
                <w:szCs w:val="22"/>
              </w:rPr>
              <w:t>投标人具有高新技术企业证书得1分</w:t>
            </w:r>
          </w:p>
        </w:tc>
        <w:tc>
          <w:tcPr>
            <w:tcW w:w="707" w:type="dxa"/>
            <w:vMerge w:val="restart"/>
            <w:tcBorders>
              <w:top w:val="single" w:color="auto" w:sz="4" w:space="0"/>
              <w:left w:val="single" w:color="auto" w:sz="4" w:space="0"/>
              <w:right w:val="single" w:color="auto" w:sz="4" w:space="0"/>
            </w:tcBorders>
            <w:noWrap w:val="0"/>
            <w:vAlign w:val="center"/>
          </w:tcPr>
          <w:p>
            <w:pPr>
              <w:adjustRightInd w:val="0"/>
              <w:snapToGrid w:val="0"/>
              <w:spacing w:before="62" w:beforeLines="20" w:after="62" w:afterLines="20"/>
              <w:jc w:val="center"/>
              <w:rPr>
                <w:rFonts w:hint="default" w:ascii="宋体" w:hAnsi="宋体" w:eastAsia="宋体" w:cs="宋体"/>
                <w:color w:val="auto"/>
                <w:spacing w:val="-2"/>
                <w:kern w:val="0"/>
                <w:szCs w:val="21"/>
                <w:lang w:val="en-US" w:eastAsia="zh-CN"/>
              </w:rPr>
            </w:pPr>
            <w:r>
              <w:rPr>
                <w:rFonts w:hint="eastAsia" w:ascii="宋体" w:hAnsi="宋体" w:eastAsia="宋体" w:cs="宋体"/>
                <w:color w:val="auto"/>
                <w:spacing w:val="-2"/>
                <w:kern w:val="0"/>
                <w:szCs w:val="21"/>
                <w:lang w:val="en-US" w:eastAsia="zh-CN"/>
              </w:rPr>
              <w:t>7</w:t>
            </w:r>
          </w:p>
        </w:tc>
        <w:tc>
          <w:tcPr>
            <w:tcW w:w="1418" w:type="dxa"/>
            <w:vMerge w:val="restart"/>
            <w:tcBorders>
              <w:top w:val="single" w:color="auto" w:sz="4" w:space="0"/>
              <w:left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vMerge w:val="restart"/>
            <w:tcBorders>
              <w:top w:val="single" w:color="auto" w:sz="4" w:space="0"/>
              <w:left w:val="single" w:color="auto" w:sz="4" w:space="0"/>
              <w:right w:val="single" w:color="auto" w:sz="4" w:space="0"/>
            </w:tcBorders>
            <w:noWrap w:val="0"/>
            <w:vAlign w:val="top"/>
          </w:tcPr>
          <w:p>
            <w:pPr>
              <w:rPr>
                <w:rFonts w:ascii="宋体" w:hAnsi="宋体" w:cs="宋体"/>
                <w:color w:val="auto"/>
                <w:szCs w:val="21"/>
              </w:rPr>
            </w:pPr>
          </w:p>
        </w:tc>
        <w:tc>
          <w:tcPr>
            <w:tcW w:w="750" w:type="dxa"/>
            <w:vMerge w:val="restart"/>
            <w:tcBorders>
              <w:top w:val="single" w:color="auto" w:sz="4" w:space="0"/>
              <w:left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38" w:type="dxa"/>
            <w:vMerge w:val="continue"/>
            <w:tcBorders>
              <w:left w:val="single" w:color="auto" w:sz="4" w:space="0"/>
              <w:right w:val="single" w:color="auto" w:sz="4" w:space="0"/>
            </w:tcBorders>
            <w:noWrap w:val="0"/>
            <w:vAlign w:val="center"/>
          </w:tcPr>
          <w:p>
            <w:pPr>
              <w:adjustRightInd w:val="0"/>
              <w:snapToGrid w:val="0"/>
              <w:spacing w:line="310" w:lineRule="exact"/>
              <w:ind w:firstLine="396" w:firstLineChars="200"/>
              <w:rPr>
                <w:rFonts w:hint="eastAsia"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bCs/>
                <w:color w:val="auto"/>
                <w:spacing w:val="-6"/>
                <w:szCs w:val="21"/>
              </w:rPr>
            </w:pPr>
            <w:r>
              <w:rPr>
                <w:rFonts w:hint="eastAsia" w:ascii="宋体" w:hAnsi="宋体"/>
                <w:color w:val="auto"/>
                <w:kern w:val="0"/>
                <w:sz w:val="22"/>
                <w:szCs w:val="22"/>
              </w:rPr>
              <w:t>项目经理：具备人社部、工信部颁发的高级信息系统项目管理师或系统集成项目管理师得2分</w:t>
            </w:r>
            <w:r>
              <w:rPr>
                <w:rFonts w:hint="eastAsia" w:ascii="宋体" w:hAnsi="宋体"/>
                <w:color w:val="auto"/>
                <w:kern w:val="0"/>
                <w:sz w:val="22"/>
                <w:szCs w:val="22"/>
                <w:lang w:eastAsia="zh-CN"/>
              </w:rPr>
              <w:t>，</w:t>
            </w:r>
            <w:r>
              <w:rPr>
                <w:rFonts w:hint="eastAsia" w:ascii="宋体" w:hAnsi="宋体"/>
                <w:color w:val="auto"/>
                <w:kern w:val="0"/>
                <w:sz w:val="22"/>
                <w:szCs w:val="22"/>
              </w:rPr>
              <w:t>本项最高得分</w:t>
            </w:r>
            <w:r>
              <w:rPr>
                <w:rFonts w:hint="eastAsia" w:ascii="宋体" w:hAnsi="宋体"/>
                <w:color w:val="auto"/>
                <w:kern w:val="0"/>
                <w:sz w:val="22"/>
                <w:szCs w:val="22"/>
                <w:lang w:val="en-US" w:eastAsia="zh-CN"/>
              </w:rPr>
              <w:t>2</w:t>
            </w:r>
            <w:r>
              <w:rPr>
                <w:rFonts w:hint="eastAsia" w:ascii="宋体" w:hAnsi="宋体"/>
                <w:color w:val="auto"/>
                <w:kern w:val="0"/>
                <w:sz w:val="22"/>
                <w:szCs w:val="22"/>
              </w:rPr>
              <w:t>分</w:t>
            </w:r>
            <w:r>
              <w:rPr>
                <w:rFonts w:hint="eastAsia" w:ascii="宋体" w:hAnsi="宋体"/>
                <w:color w:val="auto"/>
                <w:kern w:val="0"/>
                <w:sz w:val="22"/>
                <w:szCs w:val="22"/>
                <w:lang w:val="en-US" w:eastAsia="zh-CN"/>
              </w:rPr>
              <w:t>.</w:t>
            </w:r>
          </w:p>
        </w:tc>
        <w:tc>
          <w:tcPr>
            <w:tcW w:w="707" w:type="dxa"/>
            <w:vMerge w:val="continue"/>
            <w:tcBorders>
              <w:left w:val="single" w:color="auto" w:sz="4" w:space="0"/>
              <w:right w:val="single" w:color="auto" w:sz="4" w:space="0"/>
            </w:tcBorders>
            <w:noWrap w:val="0"/>
            <w:vAlign w:val="center"/>
          </w:tcPr>
          <w:p>
            <w:pPr>
              <w:adjustRightInd w:val="0"/>
              <w:snapToGrid w:val="0"/>
              <w:spacing w:before="62" w:beforeLines="20" w:after="62" w:afterLines="20"/>
              <w:jc w:val="center"/>
              <w:rPr>
                <w:rFonts w:hint="eastAsia" w:ascii="宋体" w:hAnsi="宋体" w:eastAsia="宋体" w:cs="宋体"/>
                <w:color w:val="auto"/>
                <w:spacing w:val="-2"/>
                <w:kern w:val="0"/>
                <w:szCs w:val="21"/>
                <w:lang w:val="en-US" w:eastAsia="zh-CN"/>
              </w:rPr>
            </w:pPr>
          </w:p>
        </w:tc>
        <w:tc>
          <w:tcPr>
            <w:tcW w:w="1418" w:type="dxa"/>
            <w:vMerge w:val="continue"/>
            <w:tcBorders>
              <w:left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vMerge w:val="continue"/>
            <w:tcBorders>
              <w:left w:val="single" w:color="auto" w:sz="4" w:space="0"/>
              <w:right w:val="single" w:color="auto" w:sz="4" w:space="0"/>
            </w:tcBorders>
            <w:noWrap w:val="0"/>
            <w:vAlign w:val="top"/>
          </w:tcPr>
          <w:p>
            <w:pPr>
              <w:rPr>
                <w:rFonts w:ascii="宋体" w:hAnsi="宋体" w:cs="宋体"/>
                <w:color w:val="auto"/>
                <w:szCs w:val="21"/>
              </w:rPr>
            </w:pPr>
          </w:p>
        </w:tc>
        <w:tc>
          <w:tcPr>
            <w:tcW w:w="750" w:type="dxa"/>
            <w:vMerge w:val="continue"/>
            <w:tcBorders>
              <w:left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38" w:type="dxa"/>
            <w:vMerge w:val="continue"/>
            <w:tcBorders>
              <w:left w:val="single" w:color="auto" w:sz="4" w:space="0"/>
              <w:right w:val="single" w:color="auto" w:sz="4" w:space="0"/>
            </w:tcBorders>
            <w:noWrap w:val="0"/>
            <w:vAlign w:val="center"/>
          </w:tcPr>
          <w:p>
            <w:pPr>
              <w:adjustRightInd w:val="0"/>
              <w:snapToGrid w:val="0"/>
              <w:spacing w:line="310" w:lineRule="exact"/>
              <w:ind w:firstLine="396" w:firstLineChars="200"/>
              <w:rPr>
                <w:rFonts w:hint="eastAsia"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bCs/>
                <w:color w:val="auto"/>
                <w:spacing w:val="-6"/>
                <w:szCs w:val="21"/>
              </w:rPr>
            </w:pPr>
            <w:r>
              <w:rPr>
                <w:rFonts w:hint="eastAsia" w:ascii="宋体" w:hAnsi="宋体"/>
                <w:color w:val="auto"/>
                <w:kern w:val="0"/>
                <w:sz w:val="22"/>
                <w:szCs w:val="22"/>
              </w:rPr>
              <w:t>项目组成员（不含项目经理）具备人社部、工信部颁发的通信（网络、数据库、软件、信息系统分析师</w:t>
            </w:r>
            <w:r>
              <w:rPr>
                <w:rFonts w:hint="eastAsia" w:ascii="宋体" w:hAnsi="宋体"/>
                <w:color w:val="auto"/>
                <w:kern w:val="0"/>
                <w:sz w:val="22"/>
                <w:szCs w:val="22"/>
                <w:lang w:eastAsia="zh-CN"/>
              </w:rPr>
              <w:t>、</w:t>
            </w:r>
            <w:r>
              <w:rPr>
                <w:rFonts w:hint="eastAsia" w:ascii="宋体" w:hAnsi="宋体"/>
                <w:color w:val="auto"/>
                <w:kern w:val="0"/>
                <w:sz w:val="22"/>
                <w:szCs w:val="22"/>
              </w:rPr>
              <w:t>信息安全工程师）工程师，其中高级每提供一个得2分，中级每提供一个得1分</w:t>
            </w:r>
            <w:r>
              <w:rPr>
                <w:rFonts w:hint="eastAsia" w:ascii="宋体" w:hAnsi="宋体"/>
                <w:color w:val="auto"/>
                <w:kern w:val="0"/>
                <w:sz w:val="22"/>
                <w:szCs w:val="22"/>
                <w:lang w:eastAsia="zh-CN"/>
              </w:rPr>
              <w:t>。本项最高得</w:t>
            </w:r>
            <w:r>
              <w:rPr>
                <w:rFonts w:hint="eastAsia" w:ascii="宋体" w:hAnsi="宋体"/>
                <w:color w:val="auto"/>
                <w:kern w:val="0"/>
                <w:sz w:val="22"/>
                <w:szCs w:val="22"/>
                <w:lang w:val="en-US" w:eastAsia="zh-CN"/>
              </w:rPr>
              <w:t>4分</w:t>
            </w:r>
            <w:r>
              <w:rPr>
                <w:rFonts w:hint="eastAsia" w:ascii="宋体" w:hAnsi="宋体"/>
                <w:color w:val="auto"/>
                <w:kern w:val="0"/>
                <w:sz w:val="22"/>
                <w:szCs w:val="22"/>
              </w:rPr>
              <w:t>。</w:t>
            </w:r>
          </w:p>
        </w:tc>
        <w:tc>
          <w:tcPr>
            <w:tcW w:w="707" w:type="dxa"/>
            <w:vMerge w:val="continue"/>
            <w:tcBorders>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eastAsia" w:ascii="宋体" w:hAnsi="宋体" w:eastAsia="宋体" w:cs="宋体"/>
                <w:color w:val="auto"/>
                <w:spacing w:val="-2"/>
                <w:kern w:val="0"/>
                <w:szCs w:val="21"/>
                <w:lang w:val="en-US" w:eastAsia="zh-CN"/>
              </w:rPr>
            </w:pPr>
          </w:p>
        </w:tc>
        <w:tc>
          <w:tcPr>
            <w:tcW w:w="1418" w:type="dxa"/>
            <w:vMerge w:val="continue"/>
            <w:tcBorders>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vMerge w:val="continue"/>
            <w:tcBorders>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vMerge w:val="continue"/>
            <w:tcBorders>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3" w:hRule="atLeast"/>
        </w:trPr>
        <w:tc>
          <w:tcPr>
            <w:tcW w:w="143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售后服务</w:t>
            </w:r>
          </w:p>
          <w:p>
            <w:pPr>
              <w:adjustRightInd w:val="0"/>
              <w:snapToGrid w:val="0"/>
              <w:spacing w:line="310" w:lineRule="exact"/>
              <w:ind w:firstLine="396" w:firstLineChars="200"/>
              <w:rPr>
                <w:rFonts w:hint="eastAsia"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1、售后安装维护服务要求：需落实专人负责维护，支持24小时故障修复，要求投标人具有良好的运维服务信誉，</w:t>
            </w:r>
            <w:r>
              <w:rPr>
                <w:rFonts w:hint="eastAsia" w:ascii="宋体" w:hAnsi="宋体"/>
                <w:color w:val="000000"/>
                <w:kern w:val="0"/>
                <w:sz w:val="22"/>
                <w:szCs w:val="22"/>
              </w:rPr>
              <w:t>投标人需提供有效期内信息技术服务运行维护符合性证书</w:t>
            </w:r>
            <w:r>
              <w:rPr>
                <w:rFonts w:hint="eastAsia" w:ascii="宋体" w:hAnsi="宋体"/>
                <w:color w:val="000000"/>
                <w:kern w:val="0"/>
                <w:sz w:val="22"/>
                <w:szCs w:val="22"/>
                <w:lang w:eastAsia="zh-CN"/>
              </w:rPr>
              <w:t>三级及以上（</w:t>
            </w:r>
            <w:r>
              <w:rPr>
                <w:rFonts w:hint="eastAsia" w:ascii="宋体" w:hAnsi="宋体"/>
                <w:color w:val="000000"/>
                <w:kern w:val="0"/>
                <w:sz w:val="22"/>
                <w:szCs w:val="22"/>
                <w:lang w:val="en-US" w:eastAsia="zh-CN"/>
              </w:rPr>
              <w:t>ITSS）</w:t>
            </w:r>
            <w:r>
              <w:rPr>
                <w:rFonts w:hint="eastAsia" w:ascii="宋体" w:hAnsi="宋体" w:eastAsia="宋体" w:cs="宋体"/>
                <w:i w:val="0"/>
                <w:color w:val="auto"/>
                <w:kern w:val="0"/>
                <w:sz w:val="22"/>
                <w:szCs w:val="22"/>
                <w:u w:val="none"/>
                <w:lang w:val="en-US" w:eastAsia="zh-CN" w:bidi="ar"/>
              </w:rPr>
              <w:t>原件扫描件，并经CA签章），本项得3分。</w:t>
            </w:r>
          </w:p>
          <w:p>
            <w:pPr>
              <w:keepNext w:val="0"/>
              <w:keepLines w:val="0"/>
              <w:widowControl/>
              <w:numPr>
                <w:ilvl w:val="0"/>
                <w:numId w:val="0"/>
              </w:numPr>
              <w:suppressLineNumbers w:val="0"/>
              <w:ind w:firstLine="440" w:firstLineChars="200"/>
              <w:jc w:val="both"/>
              <w:textAlignment w:val="center"/>
              <w:rPr>
                <w:rFonts w:hint="eastAsia" w:ascii="宋体" w:hAnsi="宋体"/>
                <w:bCs/>
                <w:color w:val="auto"/>
                <w:spacing w:val="-6"/>
                <w:szCs w:val="21"/>
              </w:rPr>
            </w:pPr>
            <w:r>
              <w:rPr>
                <w:rFonts w:hint="eastAsia" w:ascii="宋体" w:hAnsi="宋体" w:eastAsia="宋体" w:cs="宋体"/>
                <w:i w:val="0"/>
                <w:color w:val="auto"/>
                <w:kern w:val="0"/>
                <w:sz w:val="22"/>
                <w:szCs w:val="22"/>
                <w:u w:val="none"/>
                <w:lang w:val="en-US" w:eastAsia="zh-CN" w:bidi="ar"/>
              </w:rPr>
              <w:t>2、投标人在江山市内设有售后服务网点（需要提供门头照片和场地证明材料）的或承诺中标后在江山市内设售后服务网点的得1分，在衢州市内设有售后服务网点的或承诺中标后在衢州市内设售后服务网点的得0.5分；本项最高得1分，其他不得分。中标公示后将对售后服务网点进行核查，若存在弄虚作假，或者与投标提供的证明材料不一致，否则业主有权取消其中标资格；承诺售后服务网点需在公示结束后合同签订前提供售后服务网点的相关材料，否则业主有权取消其中标资格，并承担相关法律责任。未提供相关材料或材料不齐全不得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default" w:ascii="宋体" w:hAnsi="宋体" w:eastAsia="宋体" w:cs="宋体"/>
                <w:color w:val="auto"/>
                <w:spacing w:val="-2"/>
                <w:kern w:val="0"/>
                <w:szCs w:val="21"/>
                <w:lang w:val="en-US" w:eastAsia="zh-CN"/>
              </w:rPr>
            </w:pPr>
            <w:r>
              <w:rPr>
                <w:rFonts w:hint="eastAsia" w:ascii="宋体" w:hAnsi="宋体" w:eastAsia="宋体" w:cs="宋体"/>
                <w:color w:val="auto"/>
                <w:spacing w:val="-2"/>
                <w:kern w:val="0"/>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bl>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both"/>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r>
        <w:rPr>
          <w:rFonts w:ascii="宋体" w:eastAsia="宋体" w:cs="宋体"/>
          <w:b/>
          <w:sz w:val="21"/>
          <w:szCs w:val="21"/>
        </w:rPr>
        <w:t>1</w:t>
      </w:r>
      <w:r>
        <w:rPr>
          <w:rFonts w:hint="eastAsia" w:ascii="宋体" w:eastAsia="宋体" w:cs="宋体"/>
          <w:b/>
          <w:sz w:val="21"/>
          <w:szCs w:val="21"/>
        </w:rPr>
        <w:t>.设备详细参数偏离表</w:t>
      </w:r>
    </w:p>
    <w:p>
      <w:pPr>
        <w:rPr>
          <w:rFonts w:ascii="宋体" w:hAnsi="宋体"/>
        </w:rPr>
      </w:pPr>
      <w:bookmarkStart w:id="212" w:name="_Toc2810"/>
      <w:r>
        <w:rPr>
          <w:rFonts w:hint="eastAsia" w:ascii="宋体" w:hAnsi="宋体"/>
        </w:rPr>
        <w:t>采购项目名称：</w:t>
      </w:r>
      <w:bookmarkEnd w:id="212"/>
    </w:p>
    <w:tbl>
      <w:tblPr>
        <w:tblStyle w:val="6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460"/>
        <w:gridCol w:w="2367"/>
        <w:gridCol w:w="2012"/>
        <w:gridCol w:w="829"/>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tcBorders>
              <w:top w:val="thinThickSmallGap" w:color="auto" w:sz="12" w:space="0"/>
              <w:left w:val="thinThickSmallGap" w:color="auto" w:sz="12" w:space="0"/>
            </w:tcBorders>
            <w:vAlign w:val="center"/>
          </w:tcPr>
          <w:p>
            <w:pPr>
              <w:spacing w:line="500" w:lineRule="exact"/>
              <w:jc w:val="center"/>
              <w:rPr>
                <w:rFonts w:ascii="宋体" w:hAnsi="宋体"/>
                <w:szCs w:val="21"/>
              </w:rPr>
            </w:pPr>
            <w:r>
              <w:rPr>
                <w:rFonts w:hint="eastAsia" w:ascii="宋体" w:hAnsi="宋体"/>
                <w:szCs w:val="21"/>
              </w:rPr>
              <w:t>序号</w:t>
            </w:r>
          </w:p>
        </w:tc>
        <w:tc>
          <w:tcPr>
            <w:tcW w:w="2460" w:type="dxa"/>
            <w:tcBorders>
              <w:top w:val="thinThickSmallGap" w:color="auto" w:sz="12" w:space="0"/>
            </w:tcBorders>
            <w:vAlign w:val="center"/>
          </w:tcPr>
          <w:p>
            <w:pPr>
              <w:spacing w:line="500" w:lineRule="exact"/>
              <w:jc w:val="center"/>
              <w:rPr>
                <w:rFonts w:ascii="宋体" w:hAnsi="宋体"/>
                <w:szCs w:val="21"/>
              </w:rPr>
            </w:pPr>
            <w:r>
              <w:rPr>
                <w:rFonts w:hint="eastAsia" w:ascii="宋体" w:hAnsi="宋体"/>
                <w:szCs w:val="21"/>
              </w:rPr>
              <w:t>项  目</w:t>
            </w:r>
          </w:p>
        </w:tc>
        <w:tc>
          <w:tcPr>
            <w:tcW w:w="2367" w:type="dxa"/>
            <w:tcBorders>
              <w:top w:val="thinThickSmallGap" w:color="auto" w:sz="12" w:space="0"/>
            </w:tcBorders>
            <w:vAlign w:val="center"/>
          </w:tcPr>
          <w:p>
            <w:pPr>
              <w:spacing w:line="500" w:lineRule="exact"/>
              <w:jc w:val="center"/>
              <w:rPr>
                <w:rFonts w:ascii="宋体" w:hAnsi="宋体"/>
                <w:szCs w:val="21"/>
              </w:rPr>
            </w:pPr>
            <w:r>
              <w:rPr>
                <w:rFonts w:hint="eastAsia" w:ascii="宋体" w:hAnsi="宋体"/>
                <w:szCs w:val="21"/>
              </w:rPr>
              <w:t>招标文件技术规范要求</w:t>
            </w:r>
          </w:p>
        </w:tc>
        <w:tc>
          <w:tcPr>
            <w:tcW w:w="2012" w:type="dxa"/>
            <w:tcBorders>
              <w:top w:val="thinThickSmallGap" w:color="auto" w:sz="12" w:space="0"/>
            </w:tcBorders>
            <w:vAlign w:val="center"/>
          </w:tcPr>
          <w:p>
            <w:pPr>
              <w:spacing w:line="500" w:lineRule="exact"/>
              <w:jc w:val="center"/>
              <w:rPr>
                <w:rFonts w:ascii="宋体" w:hAnsi="宋体"/>
                <w:szCs w:val="21"/>
              </w:rPr>
            </w:pPr>
            <w:r>
              <w:rPr>
                <w:rFonts w:hint="eastAsia" w:ascii="宋体" w:hAnsi="宋体"/>
                <w:szCs w:val="21"/>
              </w:rPr>
              <w:t>投标文件对应规范</w:t>
            </w:r>
          </w:p>
        </w:tc>
        <w:tc>
          <w:tcPr>
            <w:tcW w:w="829" w:type="dxa"/>
            <w:tcBorders>
              <w:top w:val="thinThickSmallGap" w:color="auto" w:sz="12"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页码</w:t>
            </w:r>
          </w:p>
        </w:tc>
        <w:tc>
          <w:tcPr>
            <w:tcW w:w="1383" w:type="dxa"/>
            <w:tcBorders>
              <w:top w:val="thinThickSmallGap" w:color="auto" w:sz="12" w:space="0"/>
              <w:left w:val="single" w:color="auto" w:sz="4" w:space="0"/>
              <w:right w:val="thickThinSmallGap" w:color="auto" w:sz="12" w:space="0"/>
            </w:tcBorders>
            <w:vAlign w:val="center"/>
          </w:tcPr>
          <w:p>
            <w:pPr>
              <w:spacing w:line="500" w:lineRule="exact"/>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hint="eastAsia" w:ascii="宋体" w:hAnsi="宋体"/>
                <w:szCs w:val="21"/>
              </w:rPr>
              <w:t>1</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hint="eastAsia" w:ascii="宋体" w:hAnsi="宋体"/>
                <w:szCs w:val="21"/>
              </w:rPr>
              <w:t>2</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hint="eastAsia" w:ascii="宋体" w:hAnsi="宋体"/>
                <w:szCs w:val="21"/>
              </w:rPr>
              <w:t>3</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ascii="宋体" w:hAnsi="宋体"/>
                <w:szCs w:val="21"/>
              </w:rPr>
              <w:t>…</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bottom w:val="thickThinSmallGap" w:color="auto" w:sz="12" w:space="0"/>
            </w:tcBorders>
          </w:tcPr>
          <w:p>
            <w:pPr>
              <w:spacing w:line="500" w:lineRule="exact"/>
              <w:jc w:val="center"/>
              <w:rPr>
                <w:rFonts w:ascii="宋体" w:hAnsi="宋体"/>
                <w:szCs w:val="21"/>
              </w:rPr>
            </w:pPr>
          </w:p>
        </w:tc>
        <w:tc>
          <w:tcPr>
            <w:tcW w:w="2460" w:type="dxa"/>
            <w:tcBorders>
              <w:bottom w:val="thickThinSmallGap" w:color="auto" w:sz="12" w:space="0"/>
            </w:tcBorders>
          </w:tcPr>
          <w:p>
            <w:pPr>
              <w:spacing w:line="500" w:lineRule="exact"/>
              <w:jc w:val="left"/>
              <w:rPr>
                <w:rFonts w:ascii="宋体" w:hAnsi="宋体"/>
                <w:szCs w:val="21"/>
              </w:rPr>
            </w:pPr>
          </w:p>
        </w:tc>
        <w:tc>
          <w:tcPr>
            <w:tcW w:w="2367" w:type="dxa"/>
            <w:tcBorders>
              <w:bottom w:val="thickThinSmallGap" w:color="auto" w:sz="12" w:space="0"/>
            </w:tcBorders>
          </w:tcPr>
          <w:p>
            <w:pPr>
              <w:spacing w:line="500" w:lineRule="exact"/>
              <w:jc w:val="left"/>
              <w:rPr>
                <w:rFonts w:ascii="宋体" w:hAnsi="宋体"/>
                <w:szCs w:val="21"/>
              </w:rPr>
            </w:pPr>
          </w:p>
        </w:tc>
        <w:tc>
          <w:tcPr>
            <w:tcW w:w="2012" w:type="dxa"/>
            <w:tcBorders>
              <w:bottom w:val="thickThinSmallGap" w:color="auto" w:sz="12" w:space="0"/>
            </w:tcBorders>
          </w:tcPr>
          <w:p>
            <w:pPr>
              <w:spacing w:line="500" w:lineRule="exact"/>
              <w:jc w:val="left"/>
              <w:rPr>
                <w:rFonts w:ascii="宋体" w:hAnsi="宋体"/>
                <w:szCs w:val="21"/>
              </w:rPr>
            </w:pPr>
          </w:p>
        </w:tc>
        <w:tc>
          <w:tcPr>
            <w:tcW w:w="829" w:type="dxa"/>
            <w:tcBorders>
              <w:bottom w:val="thickThinSmallGap" w:color="auto" w:sz="12" w:space="0"/>
              <w:right w:val="single" w:color="auto" w:sz="4" w:space="0"/>
            </w:tcBorders>
          </w:tcPr>
          <w:p>
            <w:pPr>
              <w:spacing w:line="500" w:lineRule="exact"/>
              <w:jc w:val="left"/>
              <w:rPr>
                <w:rFonts w:ascii="宋体" w:hAnsi="宋体"/>
                <w:szCs w:val="21"/>
              </w:rPr>
            </w:pPr>
          </w:p>
        </w:tc>
        <w:tc>
          <w:tcPr>
            <w:tcW w:w="1383" w:type="dxa"/>
            <w:tcBorders>
              <w:left w:val="single" w:color="auto" w:sz="4" w:space="0"/>
              <w:bottom w:val="thickThinSmallGap" w:color="auto" w:sz="12" w:space="0"/>
              <w:right w:val="thickThinSmallGap" w:color="auto" w:sz="12" w:space="0"/>
            </w:tcBorders>
          </w:tcPr>
          <w:p>
            <w:pPr>
              <w:spacing w:line="500" w:lineRule="exact"/>
              <w:jc w:val="left"/>
              <w:rPr>
                <w:rFonts w:ascii="宋体" w:hAnsi="宋体"/>
                <w:szCs w:val="21"/>
              </w:rPr>
            </w:pPr>
          </w:p>
        </w:tc>
      </w:tr>
    </w:tbl>
    <w:p>
      <w:pPr>
        <w:spacing w:line="500" w:lineRule="exact"/>
        <w:rPr>
          <w:rFonts w:ascii="宋体" w:hAnsi="宋体" w:cs="宋体"/>
          <w:szCs w:val="21"/>
        </w:rPr>
      </w:pPr>
      <w:r>
        <w:rPr>
          <w:rFonts w:hint="eastAsia" w:ascii="宋体" w:hAnsi="宋体" w:cs="宋体"/>
          <w:szCs w:val="21"/>
        </w:rPr>
        <w:t>注：投标人递交的技术规格书中与招标文件的技术规格书中的要求有不同时，应逐条列在设备详细参数偏离表中，否则将认为投标人接受招标文件的要求。</w:t>
      </w:r>
    </w:p>
    <w:p>
      <w:pPr>
        <w:adjustRightInd w:val="0"/>
        <w:snapToGrid w:val="0"/>
        <w:spacing w:line="500" w:lineRule="exact"/>
        <w:jc w:val="left"/>
        <w:rPr>
          <w:rFonts w:ascii="宋体" w:hAnsi="宋体"/>
          <w:szCs w:val="21"/>
        </w:rPr>
      </w:pPr>
    </w:p>
    <w:p>
      <w:pPr>
        <w:adjustRightInd w:val="0"/>
        <w:snapToGrid w:val="0"/>
        <w:spacing w:line="500" w:lineRule="exact"/>
        <w:ind w:left="482" w:hanging="482"/>
        <w:jc w:val="left"/>
        <w:rPr>
          <w:rFonts w:ascii="宋体" w:hAnsi="宋体"/>
          <w:szCs w:val="21"/>
        </w:rPr>
      </w:pPr>
      <w:r>
        <w:rPr>
          <w:rFonts w:hint="eastAsia" w:ascii="宋体" w:hAnsi="宋体"/>
          <w:szCs w:val="21"/>
        </w:rPr>
        <w:t>投标人（C</w:t>
      </w:r>
      <w:r>
        <w:rPr>
          <w:rFonts w:ascii="宋体" w:hAnsi="宋体"/>
          <w:szCs w:val="21"/>
        </w:rPr>
        <w:t>A</w:t>
      </w:r>
      <w:r>
        <w:rPr>
          <w:rFonts w:hint="eastAsia" w:ascii="宋体" w:hAnsi="宋体"/>
          <w:szCs w:val="21"/>
        </w:rPr>
        <w:t>签章）：</w:t>
      </w:r>
    </w:p>
    <w:p>
      <w:pPr>
        <w:adjustRightInd w:val="0"/>
        <w:snapToGrid w:val="0"/>
        <w:spacing w:line="500" w:lineRule="exact"/>
        <w:ind w:left="482" w:hanging="482"/>
        <w:jc w:val="left"/>
        <w:rPr>
          <w:rFonts w:ascii="宋体" w:hAnsi="宋体"/>
          <w:szCs w:val="21"/>
        </w:rPr>
      </w:pPr>
      <w:r>
        <w:rPr>
          <w:rFonts w:hint="eastAsia" w:ascii="宋体" w:hAnsi="宋体"/>
          <w:szCs w:val="21"/>
        </w:rPr>
        <w:t>法定代表人或其授权代表人</w:t>
      </w:r>
      <w:r>
        <w:rPr>
          <w:rFonts w:hint="eastAsia" w:ascii="宋体" w:hAnsi="宋体"/>
          <w:szCs w:val="21"/>
          <w:lang w:eastAsia="zh-CN"/>
        </w:rPr>
        <w:t>或单位负责人</w:t>
      </w:r>
      <w:r>
        <w:rPr>
          <w:rFonts w:hint="eastAsia" w:ascii="宋体" w:hAnsi="宋体"/>
          <w:szCs w:val="21"/>
        </w:rPr>
        <w:t>（签字或盖章）：</w:t>
      </w:r>
    </w:p>
    <w:p>
      <w:pPr>
        <w:adjustRightInd w:val="0"/>
        <w:snapToGrid w:val="0"/>
        <w:spacing w:line="500" w:lineRule="exact"/>
        <w:ind w:left="482" w:hanging="482"/>
        <w:jc w:val="left"/>
        <w:rPr>
          <w:rFonts w:ascii="宋体" w:hAnsi="宋体"/>
          <w:szCs w:val="21"/>
        </w:rPr>
      </w:pPr>
      <w:r>
        <w:rPr>
          <w:rFonts w:hint="eastAsia" w:ascii="宋体" w:hAnsi="宋体"/>
          <w:szCs w:val="21"/>
        </w:rPr>
        <w:t>日  期：</w:t>
      </w:r>
    </w:p>
    <w:p/>
    <w:p>
      <w:pPr>
        <w:rPr>
          <w:rFonts w:ascii="宋体" w:hAnsi="宋体"/>
          <w:sz w:val="32"/>
          <w:szCs w:val="28"/>
        </w:rPr>
      </w:pPr>
    </w:p>
    <w:p>
      <w:pPr>
        <w:rPr>
          <w:rFonts w:ascii="宋体" w:hAnsi="宋体"/>
          <w:sz w:val="32"/>
          <w:szCs w:val="28"/>
        </w:rPr>
      </w:pPr>
    </w:p>
    <w:p>
      <w:pPr>
        <w:pStyle w:val="245"/>
        <w:spacing w:line="540" w:lineRule="exact"/>
        <w:ind w:firstLine="0" w:firstLineChars="0"/>
        <w:jc w:val="center"/>
        <w:rPr>
          <w:rFonts w:ascii="宋体" w:eastAsia="宋体" w:cs="宋体"/>
          <w:b/>
          <w:sz w:val="21"/>
          <w:szCs w:val="21"/>
        </w:rPr>
        <w:sectPr>
          <w:pgSz w:w="11906" w:h="16838"/>
          <w:pgMar w:top="850" w:right="850" w:bottom="850" w:left="850" w:header="851" w:footer="992" w:gutter="567"/>
          <w:pgNumType w:fmt="decimal"/>
          <w:cols w:space="720" w:num="1"/>
          <w:docGrid w:linePitch="312" w:charSpace="0"/>
        </w:sectPr>
      </w:pPr>
    </w:p>
    <w:p/>
    <w:p>
      <w:pPr>
        <w:pStyle w:val="2"/>
      </w:pPr>
    </w:p>
    <w:p>
      <w:pPr>
        <w:numPr>
          <w:ilvl w:val="1"/>
          <w:numId w:val="14"/>
        </w:numPr>
        <w:spacing w:before="240" w:beforeLines="100"/>
        <w:jc w:val="center"/>
        <w:outlineLvl w:val="1"/>
        <w:rPr>
          <w:rStyle w:val="72"/>
          <w:rFonts w:ascii="宋体" w:hAnsi="宋体"/>
          <w:szCs w:val="28"/>
        </w:rPr>
      </w:pPr>
      <w:bookmarkStart w:id="213" w:name="_Toc45436703"/>
      <w:r>
        <w:rPr>
          <w:rStyle w:val="72"/>
          <w:rFonts w:hint="eastAsia" w:ascii="宋体" w:hAnsi="宋体"/>
          <w:szCs w:val="28"/>
        </w:rPr>
        <w:t>报价文件格式</w:t>
      </w:r>
      <w:bookmarkEnd w:id="209"/>
      <w:bookmarkEnd w:id="210"/>
      <w:bookmarkEnd w:id="213"/>
    </w:p>
    <w:p>
      <w:pPr>
        <w:numPr>
          <w:ilvl w:val="1"/>
          <w:numId w:val="17"/>
        </w:numPr>
        <w:tabs>
          <w:tab w:val="left" w:pos="10440"/>
        </w:tabs>
        <w:ind w:right="152"/>
        <w:jc w:val="center"/>
        <w:rPr>
          <w:rFonts w:ascii="宋体" w:hAnsi="宋体"/>
          <w:b/>
          <w:sz w:val="24"/>
          <w:szCs w:val="24"/>
        </w:rPr>
      </w:pPr>
      <w:r>
        <w:rPr>
          <w:rFonts w:hint="eastAsia" w:ascii="宋体" w:hAnsi="宋体"/>
          <w:b/>
          <w:sz w:val="24"/>
          <w:szCs w:val="24"/>
        </w:rPr>
        <w:t>开标一览表</w:t>
      </w:r>
    </w:p>
    <w:p>
      <w:pPr>
        <w:tabs>
          <w:tab w:val="left" w:pos="10440"/>
        </w:tabs>
        <w:snapToGrid w:val="0"/>
        <w:spacing w:line="500" w:lineRule="exact"/>
        <w:ind w:left="-178" w:leftChars="-85" w:right="-153" w:rightChars="-73" w:firstLine="480" w:firstLineChars="200"/>
        <w:rPr>
          <w:rFonts w:ascii="宋体" w:hAnsi="宋体"/>
          <w:sz w:val="24"/>
        </w:rPr>
      </w:pPr>
      <w:r>
        <w:rPr>
          <w:rFonts w:hint="eastAsia" w:ascii="宋体" w:hAnsi="宋体"/>
          <w:sz w:val="24"/>
        </w:rPr>
        <w:t xml:space="preserve">项目名称：                               </w:t>
      </w:r>
    </w:p>
    <w:p>
      <w:pPr>
        <w:tabs>
          <w:tab w:val="left" w:pos="10440"/>
        </w:tabs>
        <w:snapToGrid w:val="0"/>
        <w:spacing w:line="500" w:lineRule="exact"/>
        <w:ind w:left="-178" w:leftChars="-85" w:right="-153" w:rightChars="-73" w:firstLine="480" w:firstLineChars="200"/>
        <w:rPr>
          <w:rFonts w:ascii="宋体" w:hAnsi="宋体"/>
          <w:sz w:val="24"/>
        </w:rPr>
      </w:pPr>
      <w:r>
        <w:rPr>
          <w:rFonts w:hint="eastAsia" w:ascii="宋体" w:hAnsi="宋体"/>
          <w:sz w:val="24"/>
        </w:rPr>
        <w:t xml:space="preserve">项目编号：                                       </w:t>
      </w:r>
    </w:p>
    <w:p>
      <w:pPr>
        <w:tabs>
          <w:tab w:val="left" w:pos="10440"/>
        </w:tabs>
        <w:snapToGrid w:val="0"/>
        <w:spacing w:line="500" w:lineRule="exact"/>
        <w:ind w:right="-153" w:rightChars="-73"/>
        <w:rPr>
          <w:rFonts w:ascii="宋体" w:hAnsi="宋体"/>
          <w:sz w:val="24"/>
        </w:rPr>
      </w:pPr>
      <w:r>
        <w:rPr>
          <w:rFonts w:hint="eastAsia" w:ascii="宋体" w:hAnsi="宋体"/>
          <w:sz w:val="24"/>
        </w:rPr>
        <w:t xml:space="preserve">   金额单位：人民币 元</w:t>
      </w:r>
    </w:p>
    <w:tbl>
      <w:tblPr>
        <w:tblStyle w:val="60"/>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6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858" w:type="dxa"/>
            <w:tcBorders>
              <w:top w:val="thinThickSmallGap" w:color="auto" w:sz="12" w:space="0"/>
              <w:left w:val="thinThickSmallGap" w:color="auto" w:sz="12" w:space="0"/>
            </w:tcBorders>
            <w:vAlign w:val="center"/>
          </w:tcPr>
          <w:p>
            <w:pPr>
              <w:tabs>
                <w:tab w:val="left" w:pos="10440"/>
              </w:tabs>
              <w:snapToGrid w:val="0"/>
              <w:spacing w:line="360" w:lineRule="auto"/>
              <w:ind w:right="152"/>
              <w:jc w:val="center"/>
              <w:rPr>
                <w:rFonts w:ascii="宋体" w:hAnsi="宋体"/>
                <w:sz w:val="24"/>
              </w:rPr>
            </w:pPr>
            <w:r>
              <w:rPr>
                <w:rFonts w:hint="eastAsia" w:ascii="宋体" w:hAnsi="宋体"/>
                <w:sz w:val="24"/>
              </w:rPr>
              <w:t>名称</w:t>
            </w:r>
          </w:p>
        </w:tc>
        <w:tc>
          <w:tcPr>
            <w:tcW w:w="6183" w:type="dxa"/>
            <w:tcBorders>
              <w:top w:val="thinThickSmallGap" w:color="auto" w:sz="12" w:space="0"/>
              <w:right w:val="thickThinSmallGap" w:color="auto" w:sz="12" w:space="0"/>
            </w:tcBorders>
            <w:vAlign w:val="center"/>
          </w:tcPr>
          <w:p>
            <w:pPr>
              <w:tabs>
                <w:tab w:val="left" w:pos="10440"/>
              </w:tabs>
              <w:snapToGrid w:val="0"/>
              <w:spacing w:line="360" w:lineRule="auto"/>
              <w:ind w:right="152"/>
              <w:jc w:val="center"/>
              <w:rPr>
                <w:rFonts w:ascii="宋体" w:hAnsi="宋体"/>
                <w:sz w:val="24"/>
              </w:rPr>
            </w:pPr>
            <w:r>
              <w:rPr>
                <w:rFonts w:hint="eastAsia" w:ascii="宋体" w:hAnsi="宋体"/>
                <w:sz w:val="24"/>
              </w:rPr>
              <w:t>采 购 总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858" w:type="dxa"/>
            <w:tcBorders>
              <w:left w:val="thinThickSmallGap" w:color="auto" w:sz="12" w:space="0"/>
            </w:tcBorders>
            <w:vAlign w:val="center"/>
          </w:tcPr>
          <w:p>
            <w:pPr>
              <w:tabs>
                <w:tab w:val="left" w:pos="10440"/>
              </w:tabs>
              <w:snapToGrid w:val="0"/>
              <w:spacing w:line="360" w:lineRule="auto"/>
              <w:ind w:right="-5"/>
              <w:rPr>
                <w:rFonts w:hint="eastAsia" w:ascii="宋体" w:hAnsi="宋体" w:eastAsia="宋体"/>
                <w:sz w:val="24"/>
                <w:lang w:eastAsia="zh-CN"/>
              </w:rPr>
            </w:pPr>
            <w:r>
              <w:rPr>
                <w:rFonts w:hint="eastAsia" w:ascii="宋体" w:hAnsi="宋体"/>
                <w:sz w:val="22"/>
                <w:lang w:eastAsia="zh-CN"/>
              </w:rPr>
              <w:t>江山经济开发区数字化园区（江东化工园区）建设项目</w:t>
            </w:r>
          </w:p>
        </w:tc>
        <w:tc>
          <w:tcPr>
            <w:tcW w:w="6183" w:type="dxa"/>
            <w:tcBorders>
              <w:right w:val="thickThinSmallGap" w:color="auto" w:sz="12" w:space="0"/>
            </w:tcBorders>
            <w:vAlign w:val="center"/>
          </w:tcPr>
          <w:p>
            <w:pPr>
              <w:tabs>
                <w:tab w:val="left" w:pos="10440"/>
              </w:tabs>
              <w:overflowPunct w:val="0"/>
              <w:autoSpaceDE w:val="0"/>
              <w:autoSpaceDN w:val="0"/>
              <w:snapToGrid w:val="0"/>
              <w:spacing w:line="360" w:lineRule="auto"/>
              <w:ind w:right="152" w:rightChars="0"/>
              <w:rPr>
                <w:rFonts w:ascii="宋体" w:hAnsi="宋体" w:eastAsia="宋体" w:cs="Times New Roman"/>
                <w:kern w:val="2"/>
                <w:sz w:val="24"/>
                <w:lang w:val="en-US" w:eastAsia="zh-CN" w:bidi="ar-SA"/>
              </w:rPr>
            </w:pPr>
            <w:r>
              <w:rPr>
                <w:rFonts w:hint="eastAsia" w:ascii="宋体" w:hAnsi="宋体"/>
                <w:sz w:val="24"/>
              </w:rPr>
              <w:t xml:space="preserve">大写： </w:t>
            </w:r>
            <w:r>
              <w:rPr>
                <w:rFonts w:hint="eastAsia" w:ascii="宋体" w:hAnsi="宋体"/>
                <w:sz w:val="24"/>
                <w:u w:val="single"/>
              </w:rPr>
              <w:t xml:space="preserve">                    </w:t>
            </w:r>
            <w:r>
              <w:rPr>
                <w:rFonts w:hint="eastAsia" w:ascii="宋体" w:hAnsi="宋体"/>
                <w:sz w:val="24"/>
              </w:rPr>
              <w:t xml:space="preserve"> （小写：￥            ）</w:t>
            </w:r>
          </w:p>
        </w:tc>
      </w:tr>
    </w:tbl>
    <w:p>
      <w:pPr>
        <w:tabs>
          <w:tab w:val="left" w:pos="10440"/>
        </w:tabs>
        <w:spacing w:line="360" w:lineRule="auto"/>
        <w:ind w:right="152" w:firstLine="360" w:firstLineChars="150"/>
        <w:rPr>
          <w:rFonts w:ascii="宋体" w:hAnsi="宋体"/>
          <w:sz w:val="24"/>
        </w:rPr>
      </w:pPr>
    </w:p>
    <w:p>
      <w:pPr>
        <w:tabs>
          <w:tab w:val="left" w:pos="10440"/>
        </w:tabs>
        <w:spacing w:line="440" w:lineRule="exact"/>
        <w:ind w:left="359" w:leftChars="171" w:right="152" w:firstLine="480" w:firstLineChars="200"/>
        <w:rPr>
          <w:rFonts w:ascii="宋体" w:hAnsi="宋体" w:cs="宋体"/>
          <w:sz w:val="24"/>
          <w:szCs w:val="24"/>
        </w:rPr>
      </w:pPr>
      <w:r>
        <w:rPr>
          <w:rFonts w:hint="eastAsia" w:ascii="宋体" w:hAnsi="宋体"/>
          <w:sz w:val="24"/>
        </w:rPr>
        <w:t>注：</w:t>
      </w:r>
    </w:p>
    <w:p>
      <w:pPr>
        <w:spacing w:line="480" w:lineRule="exact"/>
        <w:ind w:right="206" w:rightChars="98" w:firstLine="236" w:firstLineChars="98"/>
        <w:rPr>
          <w:rFonts w:ascii="宋体" w:hAnsi="宋体"/>
          <w:b/>
          <w:sz w:val="24"/>
        </w:rPr>
      </w:pPr>
      <w:r>
        <w:rPr>
          <w:rFonts w:hint="eastAsia" w:ascii="宋体" w:hAnsi="宋体"/>
          <w:b/>
          <w:sz w:val="24"/>
        </w:rPr>
        <w:t>注：报价是履行合同的最终报价，报价中必须包含货物的运输及安装、保险、装卸、质保期售后服务、全额含税发票、雇员费用、合同实施过程中的应预见和不可预见费用等。投标方在报价单中的提供的单价在合同执行过程中固定不变，投标方不得以任何理由予以变更。</w:t>
      </w:r>
    </w:p>
    <w:p>
      <w:pPr>
        <w:spacing w:line="480" w:lineRule="exact"/>
        <w:ind w:right="206" w:rightChars="98" w:firstLine="235" w:firstLineChars="98"/>
        <w:rPr>
          <w:rFonts w:ascii="宋体" w:hAnsi="宋体"/>
          <w:sz w:val="24"/>
        </w:rPr>
      </w:pPr>
      <w:r>
        <w:rPr>
          <w:rFonts w:hint="eastAsia" w:ascii="宋体" w:hAnsi="宋体"/>
          <w:sz w:val="24"/>
        </w:rPr>
        <w:t>投标人（C</w:t>
      </w:r>
      <w:r>
        <w:rPr>
          <w:rFonts w:ascii="宋体" w:hAnsi="宋体"/>
          <w:sz w:val="24"/>
        </w:rPr>
        <w:t>A</w:t>
      </w:r>
      <w:r>
        <w:rPr>
          <w:rFonts w:hint="eastAsia" w:ascii="宋体" w:hAnsi="宋体"/>
          <w:sz w:val="24"/>
        </w:rPr>
        <w:t>签章）：</w:t>
      </w:r>
    </w:p>
    <w:p>
      <w:pPr>
        <w:snapToGrid w:val="0"/>
        <w:spacing w:line="480" w:lineRule="exact"/>
        <w:ind w:right="206" w:rightChars="98" w:firstLine="235" w:firstLineChars="98"/>
        <w:rPr>
          <w:rFonts w:ascii="宋体" w:hAnsi="宋体"/>
          <w:sz w:val="24"/>
        </w:rPr>
      </w:pPr>
      <w:r>
        <w:rPr>
          <w:rFonts w:hint="eastAsia" w:ascii="宋体" w:hAnsi="宋体"/>
          <w:sz w:val="24"/>
        </w:rPr>
        <w:t>法定代表人或其授权代表人</w:t>
      </w:r>
      <w:r>
        <w:rPr>
          <w:rFonts w:hint="eastAsia" w:ascii="宋体" w:hAnsi="宋体"/>
          <w:sz w:val="24"/>
          <w:szCs w:val="22"/>
          <w:lang w:eastAsia="zh-CN"/>
        </w:rPr>
        <w:t>或单位负责人</w:t>
      </w:r>
      <w:r>
        <w:rPr>
          <w:rFonts w:hint="eastAsia" w:ascii="宋体" w:hAnsi="宋体"/>
          <w:sz w:val="24"/>
        </w:rPr>
        <w:t xml:space="preserve">（签字或盖章）：                                   </w:t>
      </w:r>
    </w:p>
    <w:p>
      <w:pPr>
        <w:snapToGrid w:val="0"/>
        <w:spacing w:line="480" w:lineRule="exact"/>
        <w:ind w:right="206" w:rightChars="98" w:firstLine="235" w:firstLineChars="98"/>
        <w:rPr>
          <w:rFonts w:ascii="宋体" w:hAnsi="宋体"/>
          <w:sz w:val="24"/>
        </w:rPr>
      </w:pPr>
      <w:r>
        <w:rPr>
          <w:rFonts w:hint="eastAsia" w:ascii="宋体" w:hAnsi="宋体"/>
          <w:sz w:val="24"/>
        </w:rPr>
        <w:t>日期：</w:t>
      </w:r>
    </w:p>
    <w:p/>
    <w:p>
      <w:pPr>
        <w:pStyle w:val="2"/>
      </w:pPr>
    </w:p>
    <w:p/>
    <w:p>
      <w:pPr>
        <w:pStyle w:val="2"/>
      </w:pPr>
    </w:p>
    <w:p/>
    <w:p>
      <w:pPr>
        <w:ind w:left="567"/>
        <w:jc w:val="center"/>
        <w:rPr>
          <w:rFonts w:ascii="宋体"/>
          <w:b/>
          <w:sz w:val="24"/>
        </w:rPr>
      </w:pPr>
      <w:r>
        <w:rPr>
          <w:rFonts w:ascii="宋体" w:hAnsi="宋体"/>
          <w:b/>
          <w:sz w:val="24"/>
        </w:rPr>
        <w:t>2.</w:t>
      </w:r>
      <w:r>
        <w:rPr>
          <w:rFonts w:hint="eastAsia" w:ascii="宋体" w:hAnsi="宋体"/>
          <w:b/>
          <w:sz w:val="24"/>
        </w:rPr>
        <w:t>投标货物报价明细表</w:t>
      </w:r>
    </w:p>
    <w:tbl>
      <w:tblPr>
        <w:tblStyle w:val="60"/>
        <w:tblpPr w:leftFromText="180" w:rightFromText="180" w:vertAnchor="text" w:horzAnchor="margin" w:tblpXSpec="center" w:tblpY="53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9"/>
        <w:gridCol w:w="280"/>
        <w:gridCol w:w="797"/>
        <w:gridCol w:w="1510"/>
        <w:gridCol w:w="863"/>
        <w:gridCol w:w="1078"/>
        <w:gridCol w:w="129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50" w:type="dxa"/>
            <w:vAlign w:val="center"/>
          </w:tcPr>
          <w:p>
            <w:pPr>
              <w:widowControl/>
              <w:jc w:val="center"/>
              <w:rPr>
                <w:rFonts w:ascii="宋体" w:cs="宋体"/>
                <w:kern w:val="0"/>
                <w:sz w:val="24"/>
              </w:rPr>
            </w:pPr>
            <w:r>
              <w:rPr>
                <w:rFonts w:hint="eastAsia" w:ascii="宋体" w:hAnsi="宋体" w:cs="宋体"/>
                <w:color w:val="000000"/>
                <w:kern w:val="0"/>
                <w:sz w:val="24"/>
                <w:szCs w:val="24"/>
              </w:rPr>
              <w:t>序号</w:t>
            </w:r>
          </w:p>
        </w:tc>
        <w:tc>
          <w:tcPr>
            <w:tcW w:w="1789" w:type="dxa"/>
            <w:gridSpan w:val="2"/>
            <w:vAlign w:val="center"/>
          </w:tcPr>
          <w:p>
            <w:pPr>
              <w:widowControl/>
              <w:jc w:val="center"/>
              <w:rPr>
                <w:rFonts w:ascii="宋体" w:cs="宋体"/>
                <w:kern w:val="0"/>
                <w:sz w:val="24"/>
              </w:rPr>
            </w:pPr>
            <w:r>
              <w:rPr>
                <w:rFonts w:hint="eastAsia" w:ascii="宋体" w:hAnsi="宋体" w:cs="宋体"/>
                <w:color w:val="000000"/>
                <w:kern w:val="0"/>
                <w:sz w:val="24"/>
                <w:szCs w:val="24"/>
              </w:rPr>
              <w:t>项目名称</w:t>
            </w:r>
          </w:p>
        </w:tc>
        <w:tc>
          <w:tcPr>
            <w:tcW w:w="797" w:type="dxa"/>
            <w:vAlign w:val="center"/>
          </w:tcPr>
          <w:p>
            <w:pPr>
              <w:widowControl/>
              <w:jc w:val="center"/>
              <w:rPr>
                <w:rFonts w:ascii="宋体" w:cs="宋体"/>
                <w:kern w:val="0"/>
                <w:sz w:val="24"/>
              </w:rPr>
            </w:pPr>
            <w:r>
              <w:rPr>
                <w:rFonts w:hint="eastAsia" w:ascii="宋体" w:hAnsi="宋体" w:cs="宋体"/>
                <w:color w:val="000000"/>
                <w:kern w:val="0"/>
                <w:sz w:val="24"/>
                <w:szCs w:val="24"/>
              </w:rPr>
              <w:t>数量</w:t>
            </w:r>
          </w:p>
        </w:tc>
        <w:tc>
          <w:tcPr>
            <w:tcW w:w="1510" w:type="dxa"/>
            <w:vAlign w:val="center"/>
          </w:tcPr>
          <w:p>
            <w:pPr>
              <w:widowControl/>
              <w:jc w:val="center"/>
              <w:rPr>
                <w:rFonts w:ascii="宋体" w:cs="宋体"/>
                <w:kern w:val="0"/>
                <w:sz w:val="24"/>
              </w:rPr>
            </w:pPr>
            <w:r>
              <w:rPr>
                <w:rFonts w:hint="eastAsia" w:ascii="宋体" w:hAnsi="宋体" w:cs="宋体"/>
                <w:color w:val="000000"/>
                <w:kern w:val="0"/>
                <w:sz w:val="24"/>
                <w:szCs w:val="24"/>
              </w:rPr>
              <w:t>项目特征、技术规格</w:t>
            </w:r>
          </w:p>
        </w:tc>
        <w:tc>
          <w:tcPr>
            <w:tcW w:w="863" w:type="dxa"/>
            <w:vAlign w:val="center"/>
          </w:tcPr>
          <w:p>
            <w:pPr>
              <w:widowControl/>
              <w:jc w:val="center"/>
              <w:rPr>
                <w:rFonts w:ascii="宋体" w:cs="宋体"/>
                <w:kern w:val="0"/>
                <w:sz w:val="24"/>
              </w:rPr>
            </w:pPr>
            <w:r>
              <w:rPr>
                <w:rFonts w:hint="eastAsia" w:ascii="宋体" w:hAnsi="宋体" w:cs="宋体"/>
                <w:color w:val="000000"/>
                <w:kern w:val="0"/>
                <w:sz w:val="24"/>
                <w:szCs w:val="24"/>
              </w:rPr>
              <w:t>单位</w:t>
            </w:r>
          </w:p>
        </w:tc>
        <w:tc>
          <w:tcPr>
            <w:tcW w:w="1078" w:type="dxa"/>
            <w:vAlign w:val="center"/>
          </w:tcPr>
          <w:p>
            <w:pPr>
              <w:widowControl/>
              <w:jc w:val="center"/>
              <w:rPr>
                <w:rFonts w:ascii="宋体" w:cs="宋体"/>
                <w:kern w:val="0"/>
                <w:sz w:val="24"/>
              </w:rPr>
            </w:pPr>
            <w:r>
              <w:rPr>
                <w:rFonts w:hint="eastAsia" w:ascii="宋体" w:hAnsi="宋体" w:cs="宋体"/>
                <w:color w:val="000000"/>
                <w:kern w:val="0"/>
                <w:sz w:val="24"/>
                <w:szCs w:val="24"/>
              </w:rPr>
              <w:t>数量</w:t>
            </w:r>
          </w:p>
        </w:tc>
        <w:tc>
          <w:tcPr>
            <w:tcW w:w="1293"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综合</w:t>
            </w:r>
          </w:p>
          <w:p>
            <w:pPr>
              <w:widowControl/>
              <w:jc w:val="center"/>
              <w:rPr>
                <w:rFonts w:ascii="宋体" w:cs="宋体"/>
                <w:kern w:val="0"/>
                <w:sz w:val="24"/>
              </w:rPr>
            </w:pPr>
            <w:r>
              <w:rPr>
                <w:rFonts w:hint="eastAsia" w:ascii="宋体" w:hAnsi="宋体" w:cs="宋体"/>
                <w:color w:val="000000"/>
                <w:kern w:val="0"/>
                <w:sz w:val="24"/>
                <w:szCs w:val="24"/>
              </w:rPr>
              <w:t>单价</w:t>
            </w:r>
          </w:p>
        </w:tc>
        <w:tc>
          <w:tcPr>
            <w:tcW w:w="1260" w:type="dxa"/>
            <w:vAlign w:val="center"/>
          </w:tcPr>
          <w:p>
            <w:pPr>
              <w:widowControl/>
              <w:jc w:val="center"/>
              <w:rPr>
                <w:rFonts w:ascii="宋体" w:cs="宋体"/>
                <w:kern w:val="0"/>
                <w:sz w:val="24"/>
              </w:rPr>
            </w:pPr>
            <w:r>
              <w:rPr>
                <w:rFonts w:hint="eastAsia" w:ascii="宋体" w:hAnsi="宋体" w:cs="宋体"/>
                <w:color w:val="000000"/>
                <w:kern w:val="0"/>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650" w:type="dxa"/>
            <w:vAlign w:val="center"/>
          </w:tcPr>
          <w:p>
            <w:pPr>
              <w:widowControl/>
              <w:jc w:val="center"/>
              <w:rPr>
                <w:rFonts w:ascii="宋体" w:cs="宋体"/>
                <w:kern w:val="0"/>
                <w:sz w:val="24"/>
              </w:rPr>
            </w:pPr>
            <w:r>
              <w:rPr>
                <w:rFonts w:ascii="宋体" w:hAnsi="宋体" w:cs="宋体"/>
                <w:kern w:val="0"/>
                <w:sz w:val="24"/>
              </w:rPr>
              <w:t>1</w:t>
            </w:r>
          </w:p>
        </w:tc>
        <w:tc>
          <w:tcPr>
            <w:tcW w:w="1789" w:type="dxa"/>
            <w:gridSpan w:val="2"/>
            <w:vAlign w:val="center"/>
          </w:tcPr>
          <w:p>
            <w:pPr>
              <w:jc w:val="center"/>
              <w:rPr>
                <w:rFonts w:ascii="宋体"/>
                <w:sz w:val="24"/>
              </w:rPr>
            </w:pPr>
            <w:r>
              <w:rPr>
                <w:rFonts w:hint="eastAsia" w:ascii="宋体"/>
                <w:sz w:val="24"/>
              </w:rPr>
              <w:t>（根据各标段采购需求填写）</w:t>
            </w: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2</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3</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4</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5</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6</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7</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8</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9</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10</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11</w:t>
            </w:r>
          </w:p>
        </w:tc>
        <w:tc>
          <w:tcPr>
            <w:tcW w:w="6037" w:type="dxa"/>
            <w:gridSpan w:val="6"/>
            <w:vAlign w:val="center"/>
          </w:tcPr>
          <w:p>
            <w:pPr>
              <w:widowControl/>
              <w:jc w:val="center"/>
              <w:rPr>
                <w:rFonts w:ascii="宋体" w:cs="宋体"/>
                <w:kern w:val="0"/>
                <w:sz w:val="24"/>
              </w:rPr>
            </w:pPr>
            <w:r>
              <w:rPr>
                <w:rFonts w:hint="eastAsia" w:ascii="宋体" w:hAnsi="宋体" w:cs="宋体"/>
                <w:kern w:val="0"/>
                <w:sz w:val="24"/>
              </w:rPr>
              <w:t>合计（元）</w:t>
            </w: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50" w:type="dxa"/>
            <w:vAlign w:val="center"/>
          </w:tcPr>
          <w:p>
            <w:pPr>
              <w:widowControl/>
              <w:jc w:val="center"/>
              <w:rPr>
                <w:rFonts w:ascii="宋体" w:hAnsi="宋体" w:cs="宋体"/>
                <w:kern w:val="0"/>
                <w:sz w:val="24"/>
              </w:rPr>
            </w:pPr>
            <w:r>
              <w:rPr>
                <w:rFonts w:ascii="宋体" w:hAnsi="宋体" w:cs="宋体"/>
                <w:kern w:val="0"/>
                <w:sz w:val="24"/>
              </w:rPr>
              <w:t>12</w:t>
            </w:r>
          </w:p>
        </w:tc>
        <w:tc>
          <w:tcPr>
            <w:tcW w:w="1509" w:type="dxa"/>
            <w:vAlign w:val="center"/>
          </w:tcPr>
          <w:p>
            <w:pPr>
              <w:widowControl/>
              <w:jc w:val="center"/>
              <w:rPr>
                <w:rFonts w:ascii="宋体" w:cs="宋体"/>
                <w:kern w:val="0"/>
                <w:sz w:val="24"/>
              </w:rPr>
            </w:pPr>
            <w:r>
              <w:rPr>
                <w:rFonts w:hint="eastAsia" w:ascii="宋体" w:hAnsi="宋体" w:cs="宋体"/>
                <w:kern w:val="0"/>
                <w:sz w:val="24"/>
              </w:rPr>
              <w:t>投标报价</w:t>
            </w:r>
          </w:p>
        </w:tc>
        <w:tc>
          <w:tcPr>
            <w:tcW w:w="7081" w:type="dxa"/>
            <w:gridSpan w:val="7"/>
            <w:vAlign w:val="center"/>
          </w:tcPr>
          <w:p>
            <w:pPr>
              <w:widowControl/>
              <w:rPr>
                <w:rFonts w:ascii="宋体" w:cs="宋体"/>
                <w:kern w:val="0"/>
                <w:sz w:val="24"/>
              </w:rPr>
            </w:pPr>
            <w:r>
              <w:rPr>
                <w:rFonts w:hint="eastAsia" w:ascii="宋体" w:hAnsi="宋体" w:cs="宋体"/>
                <w:kern w:val="0"/>
                <w:sz w:val="24"/>
              </w:rPr>
              <w:t>大写：</w:t>
            </w:r>
            <w:r>
              <w:rPr>
                <w:rFonts w:ascii="宋体" w:hAnsi="宋体" w:cs="宋体"/>
                <w:kern w:val="0"/>
                <w:sz w:val="24"/>
              </w:rPr>
              <w:t xml:space="preserve">                    </w:t>
            </w:r>
            <w:r>
              <w:rPr>
                <w:rFonts w:hint="eastAsia" w:ascii="宋体" w:hAnsi="宋体" w:cs="宋体"/>
                <w:kern w:val="0"/>
                <w:sz w:val="24"/>
              </w:rPr>
              <w:t>元</w:t>
            </w:r>
          </w:p>
        </w:tc>
      </w:tr>
    </w:tbl>
    <w:p>
      <w:pPr>
        <w:rPr>
          <w:rFonts w:ascii="宋体" w:hAnsi="宋体"/>
          <w:sz w:val="24"/>
        </w:rPr>
      </w:pPr>
    </w:p>
    <w:p>
      <w:pPr>
        <w:rPr>
          <w:rFonts w:ascii="宋体" w:hAnsi="宋体"/>
          <w:sz w:val="24"/>
        </w:rPr>
      </w:pPr>
    </w:p>
    <w:p>
      <w:pPr>
        <w:rPr>
          <w:rFonts w:ascii="宋体" w:hAnsi="宋体"/>
          <w:sz w:val="24"/>
        </w:rPr>
      </w:pPr>
    </w:p>
    <w:p>
      <w:pPr>
        <w:spacing w:line="480" w:lineRule="exact"/>
        <w:ind w:right="206" w:rightChars="98" w:firstLine="236" w:firstLineChars="98"/>
        <w:rPr>
          <w:rFonts w:ascii="宋体" w:hAnsi="宋体"/>
          <w:b/>
          <w:sz w:val="24"/>
        </w:rPr>
      </w:pPr>
      <w:r>
        <w:rPr>
          <w:rFonts w:hint="eastAsia" w:ascii="宋体" w:hAnsi="宋体"/>
          <w:b/>
          <w:sz w:val="24"/>
        </w:rPr>
        <w:t>注：报价是履行合同的最终报价，报价中必须包含货物的运输及安装、保险、装卸、质保期售后服务、全额含税发票、雇员费用、合同实施过程中的应预见和不可预见费用等。投标方在报价单中的提供的单价在合同执行过程中固定不变，投标方不得以任何理由予以变更。</w:t>
      </w:r>
    </w:p>
    <w:p>
      <w:pPr>
        <w:spacing w:line="480" w:lineRule="exact"/>
        <w:ind w:right="206" w:rightChars="98" w:firstLine="235" w:firstLineChars="98"/>
        <w:rPr>
          <w:rFonts w:ascii="宋体" w:hAnsi="宋体"/>
          <w:sz w:val="24"/>
        </w:rPr>
      </w:pPr>
      <w:r>
        <w:rPr>
          <w:rFonts w:hint="eastAsia" w:ascii="宋体" w:hAnsi="宋体"/>
          <w:sz w:val="24"/>
        </w:rPr>
        <w:t>投标人（C</w:t>
      </w:r>
      <w:r>
        <w:rPr>
          <w:rFonts w:ascii="宋体" w:hAnsi="宋体"/>
          <w:sz w:val="24"/>
        </w:rPr>
        <w:t>A</w:t>
      </w:r>
      <w:r>
        <w:rPr>
          <w:rFonts w:hint="eastAsia" w:ascii="宋体" w:hAnsi="宋体"/>
          <w:sz w:val="24"/>
        </w:rPr>
        <w:t>签章）：</w:t>
      </w:r>
    </w:p>
    <w:p>
      <w:pPr>
        <w:snapToGrid w:val="0"/>
        <w:spacing w:line="480" w:lineRule="exact"/>
        <w:ind w:right="206" w:rightChars="98" w:firstLine="235" w:firstLineChars="98"/>
        <w:rPr>
          <w:rFonts w:ascii="宋体" w:hAnsi="宋体"/>
          <w:sz w:val="24"/>
        </w:rPr>
      </w:pPr>
      <w:r>
        <w:rPr>
          <w:rFonts w:hint="eastAsia" w:ascii="宋体" w:hAnsi="宋体"/>
          <w:sz w:val="24"/>
        </w:rPr>
        <w:t>法定代表人或其授权代表人</w:t>
      </w:r>
      <w:r>
        <w:rPr>
          <w:rFonts w:hint="eastAsia" w:ascii="宋体" w:hAnsi="宋体"/>
          <w:sz w:val="24"/>
          <w:szCs w:val="22"/>
          <w:u w:val="none"/>
          <w:lang w:eastAsia="zh-CN"/>
        </w:rPr>
        <w:t>或单位负责人</w:t>
      </w:r>
      <w:r>
        <w:rPr>
          <w:rFonts w:hint="eastAsia" w:ascii="宋体" w:hAnsi="宋体"/>
          <w:sz w:val="24"/>
          <w:szCs w:val="22"/>
        </w:rPr>
        <w:t>（</w:t>
      </w:r>
      <w:r>
        <w:rPr>
          <w:rFonts w:hint="eastAsia" w:ascii="宋体" w:hAnsi="宋体"/>
          <w:sz w:val="24"/>
        </w:rPr>
        <w:t xml:space="preserve">签字或盖章）：                                   </w:t>
      </w:r>
    </w:p>
    <w:p>
      <w:pPr>
        <w:snapToGrid w:val="0"/>
        <w:spacing w:line="480" w:lineRule="exact"/>
        <w:ind w:right="206" w:rightChars="98" w:firstLine="235" w:firstLineChars="98"/>
        <w:rPr>
          <w:rFonts w:ascii="宋体" w:hAnsi="宋体"/>
          <w:sz w:val="24"/>
        </w:rPr>
      </w:pPr>
      <w:r>
        <w:rPr>
          <w:rFonts w:hint="eastAsia" w:ascii="宋体" w:hAnsi="宋体"/>
          <w:sz w:val="24"/>
        </w:rPr>
        <w:t>日期：</w:t>
      </w:r>
    </w:p>
    <w:p>
      <w:pPr>
        <w:jc w:val="left"/>
      </w:pPr>
    </w:p>
    <w:p/>
    <w:p>
      <w:pPr>
        <w:rPr>
          <w:rFonts w:ascii="宋体" w:hAnsi="宋体"/>
          <w:sz w:val="32"/>
          <w:szCs w:val="28"/>
        </w:rPr>
      </w:pPr>
    </w:p>
    <w:p>
      <w:pPr>
        <w:rPr>
          <w:rFonts w:ascii="宋体" w:hAnsi="宋体"/>
          <w:sz w:val="32"/>
          <w:szCs w:val="28"/>
        </w:rPr>
      </w:pPr>
    </w:p>
    <w:p/>
    <w:p>
      <w:pPr>
        <w:snapToGrid w:val="0"/>
        <w:spacing w:line="480" w:lineRule="exact"/>
        <w:ind w:left="-718" w:leftChars="-342" w:right="206" w:rightChars="98" w:firstLine="819" w:firstLineChars="256"/>
        <w:rPr>
          <w:rFonts w:ascii="宋体" w:hAnsi="宋体"/>
          <w:sz w:val="24"/>
        </w:rPr>
      </w:pPr>
      <w:r>
        <w:rPr>
          <w:rFonts w:ascii="宋体" w:hAnsi="宋体"/>
          <w:sz w:val="32"/>
          <w:szCs w:val="28"/>
        </w:rPr>
        <w:br w:type="page"/>
      </w:r>
    </w:p>
    <w:bookmarkEnd w:id="211"/>
    <w:p>
      <w:pPr>
        <w:tabs>
          <w:tab w:val="left" w:pos="10440"/>
        </w:tabs>
        <w:ind w:left="567" w:right="152"/>
        <w:jc w:val="center"/>
        <w:rPr>
          <w:rFonts w:ascii="宋体" w:hAnsi="宋体"/>
          <w:b/>
          <w:sz w:val="24"/>
          <w:szCs w:val="24"/>
        </w:rPr>
      </w:pPr>
      <w:r>
        <w:rPr>
          <w:rFonts w:hint="eastAsia" w:ascii="宋体" w:hAnsi="宋体"/>
          <w:b/>
          <w:sz w:val="24"/>
          <w:szCs w:val="24"/>
        </w:rPr>
        <w:t>3.中小企业声明函</w:t>
      </w:r>
    </w:p>
    <w:p>
      <w:pPr>
        <w:tabs>
          <w:tab w:val="left" w:pos="10440"/>
        </w:tabs>
        <w:autoSpaceDE w:val="0"/>
        <w:autoSpaceDN w:val="0"/>
        <w:adjustRightInd w:val="0"/>
        <w:spacing w:line="400" w:lineRule="exact"/>
        <w:ind w:right="32" w:firstLine="540" w:firstLineChars="225"/>
        <w:rPr>
          <w:rFonts w:ascii="宋体" w:hAnsi="宋体"/>
          <w:sz w:val="24"/>
          <w:szCs w:val="24"/>
        </w:rPr>
      </w:pPr>
      <w:r>
        <w:rPr>
          <w:rFonts w:hint="eastAsia" w:ascii="宋体" w:hAnsi="宋体"/>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sz w:val="24"/>
          <w:szCs w:val="24"/>
        </w:rPr>
        <w:br w:type="textWrapping"/>
      </w:r>
      <w:r>
        <w:rPr>
          <w:rFonts w:hint="eastAsia" w:ascii="宋体" w:hAnsi="宋体"/>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sz w:val="24"/>
          <w:szCs w:val="24"/>
        </w:rPr>
        <w:br w:type="textWrapping"/>
      </w:r>
      <w:r>
        <w:rPr>
          <w:rFonts w:hint="eastAsia" w:ascii="宋体" w:hAnsi="宋体"/>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sz w:val="24"/>
          <w:szCs w:val="24"/>
        </w:rPr>
        <w:br w:type="textWrapping"/>
      </w:r>
      <w:r>
        <w:rPr>
          <w:rFonts w:hint="eastAsia" w:ascii="宋体" w:hAnsi="宋体"/>
          <w:sz w:val="24"/>
          <w:szCs w:val="24"/>
        </w:rPr>
        <w:t>本公司对上述声明的真实性负责。如有虚假，将依法承担相应责任。</w:t>
      </w:r>
    </w:p>
    <w:p>
      <w:pPr>
        <w:tabs>
          <w:tab w:val="left" w:pos="10440"/>
        </w:tabs>
        <w:autoSpaceDE w:val="0"/>
        <w:autoSpaceDN w:val="0"/>
        <w:adjustRightInd w:val="0"/>
        <w:ind w:left="540" w:leftChars="257" w:right="152" w:firstLine="480" w:firstLineChars="200"/>
        <w:rPr>
          <w:rFonts w:ascii="宋体" w:hAnsi="宋体"/>
          <w:sz w:val="24"/>
          <w:szCs w:val="24"/>
        </w:rPr>
      </w:pPr>
    </w:p>
    <w:p>
      <w:pPr>
        <w:tabs>
          <w:tab w:val="left" w:pos="10440"/>
        </w:tabs>
        <w:autoSpaceDE w:val="0"/>
        <w:autoSpaceDN w:val="0"/>
        <w:adjustRightInd w:val="0"/>
        <w:ind w:left="540" w:leftChars="257" w:right="152" w:firstLine="480" w:firstLineChars="200"/>
        <w:rPr>
          <w:rFonts w:ascii="宋体" w:hAnsi="宋体"/>
          <w:sz w:val="24"/>
          <w:szCs w:val="24"/>
        </w:rPr>
      </w:pPr>
      <w:r>
        <w:rPr>
          <w:rFonts w:hint="eastAsia" w:ascii="宋体" w:hAnsi="宋体"/>
          <w:sz w:val="24"/>
          <w:szCs w:val="24"/>
        </w:rPr>
        <w:t>企业名称（盖章）：</w:t>
      </w:r>
    </w:p>
    <w:p>
      <w:pPr>
        <w:tabs>
          <w:tab w:val="left" w:pos="10440"/>
        </w:tabs>
        <w:autoSpaceDE w:val="0"/>
        <w:autoSpaceDN w:val="0"/>
        <w:adjustRightInd w:val="0"/>
        <w:ind w:left="540" w:leftChars="257" w:right="152" w:firstLine="480" w:firstLineChars="200"/>
        <w:rPr>
          <w:rFonts w:ascii="宋体" w:hAnsi="宋体"/>
          <w:sz w:val="24"/>
          <w:szCs w:val="24"/>
        </w:rPr>
      </w:pPr>
    </w:p>
    <w:p>
      <w:pPr>
        <w:snapToGrid w:val="0"/>
        <w:spacing w:line="320" w:lineRule="exact"/>
        <w:ind w:firstLine="602" w:firstLineChars="250"/>
        <w:rPr>
          <w:rFonts w:ascii="宋体" w:hAnsi="宋体"/>
          <w:b/>
          <w:sz w:val="24"/>
          <w:szCs w:val="24"/>
        </w:rPr>
      </w:pPr>
      <w:r>
        <w:rPr>
          <w:rFonts w:hint="eastAsia" w:ascii="宋体" w:hAnsi="宋体"/>
          <w:b/>
          <w:sz w:val="24"/>
          <w:szCs w:val="24"/>
        </w:rPr>
        <w:t>备注说明：</w:t>
      </w:r>
    </w:p>
    <w:p>
      <w:pPr>
        <w:snapToGrid w:val="0"/>
        <w:spacing w:line="320" w:lineRule="exact"/>
        <w:ind w:firstLine="600" w:firstLineChars="250"/>
        <w:rPr>
          <w:rFonts w:ascii="宋体" w:hAnsi="宋体"/>
          <w:sz w:val="24"/>
          <w:szCs w:val="24"/>
        </w:rPr>
      </w:pPr>
      <w:r>
        <w:rPr>
          <w:rFonts w:hint="eastAsia" w:ascii="宋体" w:hAnsi="宋体"/>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pPr>
        <w:widowControl/>
        <w:spacing w:before="100" w:beforeAutospacing="1" w:after="100" w:afterAutospacing="1" w:line="588" w:lineRule="atLeast"/>
        <w:jc w:val="center"/>
        <w:rPr>
          <w:rFonts w:ascii="宋体" w:hAnsi="宋体" w:cs="宋体"/>
          <w:kern w:val="0"/>
          <w:sz w:val="24"/>
          <w:szCs w:val="24"/>
        </w:rPr>
      </w:pPr>
      <w:r>
        <w:rPr>
          <w:rFonts w:ascii="宋体" w:hAnsi="宋体" w:cs="宋体"/>
          <w:b/>
          <w:bCs/>
          <w:spacing w:val="6"/>
          <w:kern w:val="0"/>
          <w:sz w:val="24"/>
          <w:szCs w:val="24"/>
        </w:rPr>
        <w:br w:type="page"/>
      </w:r>
      <w:r>
        <w:rPr>
          <w:rFonts w:hint="eastAsia" w:ascii="宋体" w:hAnsi="宋体" w:cs="宋体"/>
          <w:b/>
          <w:bCs/>
          <w:spacing w:val="6"/>
          <w:kern w:val="0"/>
          <w:sz w:val="24"/>
          <w:szCs w:val="24"/>
        </w:rPr>
        <w:t>4.残疾人福利性单位声明函</w:t>
      </w:r>
    </w:p>
    <w:p>
      <w:pPr>
        <w:widowControl/>
        <w:spacing w:line="360" w:lineRule="atLeast"/>
        <w:ind w:firstLine="504" w:firstLineChars="200"/>
        <w:jc w:val="left"/>
        <w:rPr>
          <w:rFonts w:ascii="宋体" w:hAnsi="宋体" w:cs="宋体"/>
          <w:kern w:val="0"/>
          <w:sz w:val="24"/>
          <w:szCs w:val="24"/>
        </w:rPr>
      </w:pPr>
      <w:r>
        <w:rPr>
          <w:rFonts w:hint="eastAsia" w:ascii="宋体" w:hAnsi="宋体" w:cs="宋体"/>
          <w:spacing w:val="6"/>
          <w:kern w:val="0"/>
          <w:sz w:val="24"/>
          <w:szCs w:val="24"/>
        </w:rPr>
        <w:t>本单位郑重声明，根据《财政部 民政部 中国残疾人联合会关于促进残疾人就业政府采购政策的通知》（财库</w:t>
      </w:r>
      <w:r>
        <w:rPr>
          <w:rFonts w:hint="eastAsia" w:ascii="宋体" w:hAnsi="宋体" w:cs="宋体"/>
          <w:kern w:val="0"/>
          <w:sz w:val="24"/>
          <w:szCs w:val="24"/>
        </w:rPr>
        <w:t>〔2017〕 141</w:t>
      </w:r>
      <w:r>
        <w:rPr>
          <w:rFonts w:hint="eastAsia" w:ascii="宋体" w:hAnsi="宋体" w:cs="宋体"/>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588" w:lineRule="atLeast"/>
        <w:ind w:firstLine="624"/>
        <w:jc w:val="left"/>
        <w:rPr>
          <w:rFonts w:ascii="宋体" w:hAnsi="宋体" w:cs="宋体"/>
          <w:kern w:val="0"/>
          <w:sz w:val="24"/>
          <w:szCs w:val="24"/>
        </w:rPr>
      </w:pPr>
      <w:r>
        <w:rPr>
          <w:rFonts w:hint="eastAsia" w:ascii="宋体" w:hAnsi="宋体" w:cs="宋体"/>
          <w:spacing w:val="6"/>
          <w:kern w:val="0"/>
          <w:sz w:val="24"/>
          <w:szCs w:val="24"/>
        </w:rPr>
        <w:t>本单位对上述声明的真实性负责。如有虚假，将依法承担相应责任。</w:t>
      </w:r>
    </w:p>
    <w:p>
      <w:pPr>
        <w:widowControl/>
        <w:spacing w:before="100" w:beforeAutospacing="1" w:after="100" w:afterAutospacing="1" w:line="400" w:lineRule="exact"/>
        <w:ind w:firstLine="504" w:firstLineChars="200"/>
        <w:rPr>
          <w:rFonts w:ascii="宋体" w:hAnsi="宋体" w:cs="宋体"/>
          <w:kern w:val="0"/>
          <w:sz w:val="24"/>
          <w:szCs w:val="24"/>
        </w:rPr>
      </w:pPr>
      <w:r>
        <w:rPr>
          <w:rFonts w:hint="eastAsia" w:ascii="宋体" w:hAnsi="宋体" w:cs="宋体"/>
          <w:spacing w:val="6"/>
          <w:kern w:val="0"/>
          <w:sz w:val="24"/>
          <w:szCs w:val="24"/>
        </w:rPr>
        <w:t>单位名称（盖章）：</w:t>
      </w:r>
    </w:p>
    <w:p>
      <w:pPr>
        <w:widowControl/>
        <w:spacing w:before="100" w:beforeAutospacing="1" w:after="100" w:afterAutospacing="1" w:line="400" w:lineRule="exact"/>
        <w:ind w:firstLine="504" w:firstLineChars="200"/>
        <w:rPr>
          <w:rFonts w:hint="eastAsia" w:ascii="宋体" w:hAnsi="宋体" w:cs="宋体"/>
          <w:spacing w:val="6"/>
          <w:kern w:val="0"/>
          <w:sz w:val="24"/>
          <w:szCs w:val="24"/>
        </w:rPr>
      </w:pPr>
      <w:r>
        <w:rPr>
          <w:rFonts w:hint="eastAsia" w:ascii="宋体" w:hAnsi="宋体" w:cs="宋体"/>
          <w:spacing w:val="6"/>
          <w:kern w:val="0"/>
          <w:sz w:val="24"/>
          <w:szCs w:val="24"/>
        </w:rPr>
        <w:t>日 期：</w:t>
      </w: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392"/>
        <w:snapToGrid w:val="0"/>
        <w:spacing w:line="440" w:lineRule="exact"/>
        <w:ind w:right="-477" w:rightChars="-227"/>
        <w:jc w:val="both"/>
        <w:rPr>
          <w:rFonts w:hint="eastAsia" w:ascii="方正小标宋简体" w:hAnsi="方正小标宋简体" w:eastAsia="方正小标宋简体" w:cs="方正小标宋简体"/>
          <w:sz w:val="32"/>
          <w:szCs w:val="32"/>
        </w:rPr>
      </w:pPr>
    </w:p>
    <w:p>
      <w:pPr>
        <w:pStyle w:val="392"/>
        <w:snapToGrid w:val="0"/>
        <w:spacing w:line="440" w:lineRule="exact"/>
        <w:ind w:right="-477" w:rightChars="-227"/>
        <w:jc w:val="center"/>
        <w:rPr>
          <w:rFonts w:hint="eastAsia" w:hAnsi="宋体"/>
          <w:sz w:val="36"/>
          <w:szCs w:val="36"/>
        </w:rPr>
      </w:pPr>
      <w:r>
        <w:rPr>
          <w:rFonts w:hint="eastAsia" w:ascii="方正小标宋简体" w:hAnsi="方正小标宋简体" w:eastAsia="方正小标宋简体" w:cs="方正小标宋简体"/>
          <w:sz w:val="32"/>
          <w:szCs w:val="32"/>
        </w:rPr>
        <w:t>政府</w:t>
      </w:r>
      <w:r>
        <w:rPr>
          <w:rFonts w:ascii="方正小标宋简体" w:hAnsi="方正小标宋简体" w:eastAsia="方正小标宋简体" w:cs="方正小标宋简体"/>
          <w:sz w:val="32"/>
          <w:szCs w:val="32"/>
        </w:rPr>
        <w:t>采购活动现场确认声明书</w:t>
      </w:r>
    </w:p>
    <w:p>
      <w:pPr>
        <w:pStyle w:val="392"/>
        <w:snapToGrid w:val="0"/>
        <w:ind w:left="-424" w:leftChars="-202" w:right="-336" w:rightChars="-160"/>
        <w:rPr>
          <w:rFonts w:ascii="仿宋" w:hAnsi="仿宋"/>
          <w:b/>
          <w:sz w:val="28"/>
          <w:szCs w:val="21"/>
        </w:rPr>
      </w:pPr>
      <w:r>
        <w:rPr>
          <w:rFonts w:ascii="仿宋" w:hAnsi="仿宋"/>
          <w:sz w:val="28"/>
          <w:u w:val="single"/>
        </w:rPr>
        <w:t>浙江中正工程项目管理有限公司</w:t>
      </w:r>
      <w:r>
        <w:rPr>
          <w:rFonts w:ascii="仿宋" w:hAnsi="仿宋"/>
          <w:sz w:val="28"/>
          <w:szCs w:val="21"/>
        </w:rPr>
        <w:t>：</w:t>
      </w:r>
    </w:p>
    <w:p>
      <w:pPr>
        <w:pStyle w:val="392"/>
        <w:snapToGrid w:val="0"/>
        <w:ind w:left="-424" w:leftChars="-202" w:right="-336" w:rightChars="-160" w:firstLine="584" w:firstLineChars="200"/>
        <w:jc w:val="left"/>
        <w:rPr>
          <w:rFonts w:ascii="仿宋" w:hAnsi="仿宋"/>
          <w:spacing w:val="6"/>
          <w:sz w:val="28"/>
          <w:szCs w:val="21"/>
        </w:rPr>
      </w:pPr>
      <w:r>
        <w:rPr>
          <w:rFonts w:ascii="仿宋" w:hAnsi="仿宋"/>
          <w:spacing w:val="6"/>
          <w:sz w:val="28"/>
          <w:szCs w:val="21"/>
        </w:rPr>
        <w:t>本人</w:t>
      </w:r>
      <w:r>
        <w:rPr>
          <w:rFonts w:hint="eastAsia" w:ascii="仿宋" w:hAnsi="仿宋"/>
          <w:spacing w:val="6"/>
          <w:sz w:val="28"/>
          <w:szCs w:val="21"/>
          <w:u w:val="single"/>
        </w:rPr>
        <w:t xml:space="preserve">         </w:t>
      </w:r>
      <w:r>
        <w:rPr>
          <w:rFonts w:hint="eastAsia" w:ascii="仿宋" w:hAnsi="仿宋"/>
          <w:spacing w:val="6"/>
          <w:sz w:val="28"/>
          <w:szCs w:val="21"/>
        </w:rPr>
        <w:t>（授权代表姓名）</w:t>
      </w:r>
      <w:r>
        <w:rPr>
          <w:rFonts w:ascii="仿宋" w:hAnsi="仿宋"/>
          <w:spacing w:val="6"/>
          <w:sz w:val="28"/>
          <w:szCs w:val="21"/>
        </w:rPr>
        <w:t>经由</w:t>
      </w:r>
      <w:r>
        <w:rPr>
          <w:rFonts w:ascii="仿宋" w:hAnsi="仿宋"/>
          <w:sz w:val="28"/>
          <w:u w:val="single"/>
        </w:rPr>
        <w:t xml:space="preserve">                           </w:t>
      </w:r>
      <w:r>
        <w:rPr>
          <w:rFonts w:ascii="仿宋" w:hAnsi="仿宋"/>
          <w:spacing w:val="6"/>
          <w:sz w:val="28"/>
          <w:szCs w:val="21"/>
        </w:rPr>
        <w:t>（单位）</w:t>
      </w:r>
      <w:r>
        <w:rPr>
          <w:rFonts w:ascii="仿宋" w:hAnsi="仿宋"/>
          <w:spacing w:val="6"/>
          <w:sz w:val="28"/>
          <w:szCs w:val="21"/>
          <w:u w:val="single"/>
        </w:rPr>
        <w:t xml:space="preserve">        </w:t>
      </w:r>
      <w:r>
        <w:rPr>
          <w:rFonts w:ascii="仿宋" w:hAnsi="仿宋"/>
          <w:spacing w:val="6"/>
          <w:sz w:val="28"/>
          <w:szCs w:val="21"/>
        </w:rPr>
        <w:t>（</w:t>
      </w:r>
      <w:r>
        <w:rPr>
          <w:rFonts w:hint="eastAsia" w:ascii="仿宋" w:hAnsi="仿宋"/>
          <w:spacing w:val="6"/>
          <w:sz w:val="28"/>
          <w:szCs w:val="21"/>
        </w:rPr>
        <w:t>法定代表人</w:t>
      </w:r>
      <w:r>
        <w:rPr>
          <w:rFonts w:ascii="仿宋" w:hAnsi="仿宋"/>
          <w:spacing w:val="6"/>
          <w:sz w:val="28"/>
          <w:szCs w:val="21"/>
        </w:rPr>
        <w:t>姓名）合法授权参加</w:t>
      </w:r>
      <w:r>
        <w:rPr>
          <w:rFonts w:hint="eastAsia" w:ascii="仿宋" w:hAnsi="仿宋"/>
          <w:spacing w:val="6"/>
          <w:sz w:val="28"/>
          <w:szCs w:val="21"/>
          <w:u w:val="single"/>
        </w:rPr>
        <w:t>贺村镇集镇区域违停车辆拖车服务项目采购</w:t>
      </w:r>
      <w:r>
        <w:rPr>
          <w:rFonts w:ascii="仿宋" w:hAnsi="仿宋"/>
          <w:spacing w:val="6"/>
          <w:sz w:val="28"/>
          <w:szCs w:val="21"/>
        </w:rPr>
        <w:t>（编号：</w:t>
      </w:r>
      <w:r>
        <w:rPr>
          <w:rFonts w:ascii="仿宋" w:hAnsi="仿宋"/>
          <w:sz w:val="28"/>
          <w:u w:val="single"/>
        </w:rPr>
        <w:t>ZJZZ-ZFCG-2020-</w:t>
      </w:r>
      <w:r>
        <w:rPr>
          <w:rFonts w:hint="eastAsia" w:ascii="仿宋" w:hAnsi="仿宋"/>
          <w:sz w:val="28"/>
          <w:u w:val="single"/>
        </w:rPr>
        <w:t>0185</w:t>
      </w:r>
      <w:r>
        <w:rPr>
          <w:rFonts w:ascii="仿宋" w:hAnsi="仿宋"/>
          <w:spacing w:val="6"/>
          <w:sz w:val="28"/>
          <w:szCs w:val="21"/>
        </w:rPr>
        <w:t>）</w:t>
      </w:r>
      <w:r>
        <w:rPr>
          <w:rFonts w:hint="eastAsia" w:ascii="仿宋" w:hAnsi="仿宋"/>
          <w:spacing w:val="6"/>
          <w:sz w:val="28"/>
          <w:szCs w:val="21"/>
        </w:rPr>
        <w:t>政府</w:t>
      </w:r>
      <w:r>
        <w:rPr>
          <w:rFonts w:ascii="仿宋" w:hAnsi="仿宋"/>
          <w:spacing w:val="6"/>
          <w:sz w:val="28"/>
          <w:szCs w:val="21"/>
        </w:rPr>
        <w:t xml:space="preserve">采购活动，经与本单位法人代表（负责人）联系确认，现就有关公平竞争事项郑重声明如下： </w:t>
      </w:r>
    </w:p>
    <w:p>
      <w:pPr>
        <w:pStyle w:val="387"/>
        <w:widowControl/>
        <w:numPr>
          <w:ilvl w:val="0"/>
          <w:numId w:val="18"/>
        </w:numPr>
        <w:snapToGrid w:val="0"/>
        <w:ind w:left="-424" w:leftChars="-202" w:right="-336" w:rightChars="-160" w:firstLine="551" w:firstLineChars="189"/>
        <w:rPr>
          <w:rFonts w:hint="default" w:ascii="仿宋" w:hAnsi="仿宋"/>
          <w:kern w:val="0"/>
          <w:sz w:val="28"/>
          <w:szCs w:val="21"/>
        </w:rPr>
      </w:pPr>
      <w:r>
        <w:rPr>
          <w:rFonts w:ascii="仿宋" w:hAnsi="仿宋" w:eastAsia="楷体_GB2312"/>
          <w:spacing w:val="6"/>
          <w:kern w:val="0"/>
          <w:sz w:val="28"/>
          <w:szCs w:val="21"/>
        </w:rPr>
        <w:t>本单位与采购人之间 □不存在利害关系 □存在下列利害关系</w:t>
      </w:r>
      <w:r>
        <w:rPr>
          <w:rFonts w:ascii="仿宋" w:hAnsi="仿宋"/>
          <w:kern w:val="0"/>
          <w:sz w:val="28"/>
          <w:szCs w:val="21"/>
          <w:u w:val="single"/>
        </w:rPr>
        <w:t xml:space="preserve">           </w:t>
      </w:r>
      <w:r>
        <w:rPr>
          <w:rFonts w:ascii="仿宋" w:hAnsi="仿宋"/>
          <w:kern w:val="0"/>
          <w:sz w:val="28"/>
          <w:szCs w:val="21"/>
        </w:rPr>
        <w:t>：</w:t>
      </w:r>
    </w:p>
    <w:p>
      <w:pPr>
        <w:pStyle w:val="387"/>
        <w:widowControl/>
        <w:snapToGrid w:val="0"/>
        <w:ind w:left="-424" w:leftChars="-202" w:right="-336" w:rightChars="-160"/>
        <w:rPr>
          <w:rFonts w:ascii="仿宋" w:hAnsi="仿宋" w:eastAsia="楷体_GB2312"/>
          <w:spacing w:val="6"/>
          <w:kern w:val="0"/>
          <w:sz w:val="28"/>
          <w:szCs w:val="21"/>
        </w:rPr>
      </w:pPr>
      <w:r>
        <w:rPr>
          <w:rFonts w:ascii="仿宋" w:hAnsi="仿宋"/>
          <w:kern w:val="0"/>
          <w:sz w:val="28"/>
          <w:szCs w:val="21"/>
        </w:rPr>
        <w:t xml:space="preserve">  </w:t>
      </w:r>
      <w:r>
        <w:rPr>
          <w:rFonts w:ascii="仿宋" w:hAnsi="仿宋" w:eastAsia="楷体_GB2312"/>
          <w:spacing w:val="6"/>
          <w:kern w:val="0"/>
          <w:sz w:val="28"/>
          <w:szCs w:val="21"/>
        </w:rPr>
        <w:t>A.投资关系    B.行政隶属关系    C.业务指导关系</w:t>
      </w:r>
    </w:p>
    <w:p>
      <w:pPr>
        <w:pStyle w:val="387"/>
        <w:widowControl/>
        <w:snapToGrid w:val="0"/>
        <w:ind w:left="-424" w:leftChars="-202" w:right="-336" w:rightChars="-160"/>
        <w:rPr>
          <w:rFonts w:hint="default" w:ascii="仿宋" w:hAnsi="仿宋"/>
          <w:kern w:val="0"/>
          <w:sz w:val="28"/>
          <w:szCs w:val="21"/>
        </w:rPr>
      </w:pPr>
      <w:r>
        <w:rPr>
          <w:rFonts w:ascii="仿宋" w:hAnsi="仿宋" w:eastAsia="楷体_GB2312"/>
          <w:spacing w:val="6"/>
          <w:kern w:val="0"/>
          <w:sz w:val="28"/>
          <w:szCs w:val="21"/>
        </w:rPr>
        <w:t xml:space="preserve">  D.其他可能影响采购公正的利害关系</w:t>
      </w:r>
      <w:r>
        <w:rPr>
          <w:rFonts w:ascii="仿宋" w:hAnsi="仿宋" w:eastAsia="楷体_GB2312"/>
          <w:spacing w:val="6"/>
          <w:kern w:val="0"/>
          <w:sz w:val="28"/>
          <w:szCs w:val="21"/>
          <w:u w:val="single"/>
        </w:rPr>
        <w:t>（如有，请如实说明）</w:t>
      </w:r>
      <w:r>
        <w:rPr>
          <w:rFonts w:ascii="仿宋" w:hAnsi="仿宋" w:eastAsia="楷体_GB2312"/>
          <w:spacing w:val="6"/>
          <w:kern w:val="0"/>
          <w:sz w:val="28"/>
          <w:szCs w:val="21"/>
        </w:rPr>
        <w:t>。</w:t>
      </w:r>
    </w:p>
    <w:p>
      <w:pPr>
        <w:pStyle w:val="387"/>
        <w:widowControl/>
        <w:snapToGrid w:val="0"/>
        <w:ind w:left="-424" w:leftChars="-202" w:right="-336" w:rightChars="-160"/>
        <w:rPr>
          <w:rFonts w:ascii="仿宋" w:hAnsi="仿宋"/>
          <w:kern w:val="0"/>
          <w:sz w:val="28"/>
          <w:szCs w:val="21"/>
        </w:rPr>
      </w:pPr>
      <w:r>
        <w:rPr>
          <w:rFonts w:ascii="仿宋" w:hAnsi="仿宋"/>
          <w:spacing w:val="6"/>
          <w:sz w:val="28"/>
          <w:szCs w:val="21"/>
        </w:rPr>
        <w:t xml:space="preserve">  </w:t>
      </w:r>
      <w:r>
        <w:rPr>
          <w:rFonts w:ascii="仿宋" w:hAnsi="仿宋" w:eastAsia="楷体_GB2312"/>
          <w:spacing w:val="6"/>
          <w:kern w:val="0"/>
          <w:sz w:val="28"/>
          <w:szCs w:val="21"/>
        </w:rPr>
        <w:t xml:space="preserve">  二、现已清楚知道参加本项目采购活动的其他所有供应商名称，本单位 □与其他所有供应商之间均不存在利害关系   </w:t>
      </w:r>
      <w:r>
        <w:rPr>
          <w:rFonts w:ascii="仿宋" w:hAnsi="仿宋"/>
          <w:kern w:val="0"/>
          <w:sz w:val="28"/>
          <w:szCs w:val="21"/>
        </w:rPr>
        <w:t xml:space="preserve">            </w:t>
      </w:r>
      <w:r>
        <w:rPr>
          <w:rFonts w:ascii="仿宋" w:hAnsi="仿宋" w:eastAsia="楷体_GB2312"/>
          <w:spacing w:val="6"/>
          <w:kern w:val="0"/>
          <w:sz w:val="28"/>
          <w:szCs w:val="21"/>
        </w:rPr>
        <w:t>□与</w:t>
      </w:r>
      <w:r>
        <w:rPr>
          <w:rFonts w:ascii="仿宋" w:hAnsi="仿宋" w:eastAsia="楷体_GB2312"/>
          <w:spacing w:val="6"/>
          <w:kern w:val="0"/>
          <w:sz w:val="28"/>
          <w:szCs w:val="21"/>
          <w:u w:val="single"/>
        </w:rPr>
        <w:t xml:space="preserve">               </w:t>
      </w:r>
      <w:r>
        <w:rPr>
          <w:rFonts w:ascii="仿宋" w:hAnsi="仿宋" w:eastAsia="楷体_GB2312"/>
          <w:spacing w:val="6"/>
          <w:kern w:val="0"/>
          <w:sz w:val="28"/>
          <w:szCs w:val="21"/>
        </w:rPr>
        <w:t>（供应商名称）之间存在下列利害关系：</w:t>
      </w:r>
    </w:p>
    <w:p>
      <w:pPr>
        <w:pStyle w:val="392"/>
        <w:snapToGrid w:val="0"/>
        <w:ind w:left="-424" w:leftChars="-202" w:right="-336" w:rightChars="-160"/>
        <w:rPr>
          <w:rFonts w:ascii="仿宋" w:hAnsi="仿宋"/>
          <w:sz w:val="28"/>
          <w:szCs w:val="21"/>
        </w:rPr>
      </w:pPr>
      <w:r>
        <w:rPr>
          <w:rFonts w:ascii="仿宋" w:hAnsi="仿宋"/>
          <w:sz w:val="28"/>
          <w:szCs w:val="21"/>
        </w:rPr>
        <w:t xml:space="preserve">  A.法定代表人或负责人或实际控制人是同一人</w:t>
      </w:r>
    </w:p>
    <w:p>
      <w:pPr>
        <w:pStyle w:val="392"/>
        <w:snapToGrid w:val="0"/>
        <w:ind w:left="-424" w:leftChars="-202" w:right="-336" w:rightChars="-160"/>
        <w:rPr>
          <w:rFonts w:ascii="仿宋" w:hAnsi="仿宋"/>
          <w:spacing w:val="6"/>
          <w:sz w:val="28"/>
          <w:szCs w:val="21"/>
        </w:rPr>
      </w:pPr>
      <w:r>
        <w:rPr>
          <w:rFonts w:ascii="仿宋" w:hAnsi="仿宋"/>
          <w:sz w:val="28"/>
          <w:szCs w:val="21"/>
        </w:rPr>
        <w:t xml:space="preserve">  B.法定代表人或负责人或实际控制人是夫妻关系</w:t>
      </w:r>
    </w:p>
    <w:p>
      <w:pPr>
        <w:pStyle w:val="392"/>
        <w:snapToGrid w:val="0"/>
        <w:ind w:left="-424" w:leftChars="-202" w:right="-336" w:rightChars="-160"/>
        <w:rPr>
          <w:rFonts w:ascii="仿宋" w:hAnsi="仿宋"/>
          <w:spacing w:val="6"/>
          <w:sz w:val="28"/>
          <w:szCs w:val="21"/>
        </w:rPr>
      </w:pPr>
      <w:r>
        <w:rPr>
          <w:rFonts w:ascii="仿宋" w:hAnsi="仿宋"/>
          <w:sz w:val="28"/>
          <w:szCs w:val="21"/>
        </w:rPr>
        <w:t xml:space="preserve">  C.法定代表人或负责人或实际控制人是直系血亲关系</w:t>
      </w:r>
    </w:p>
    <w:p>
      <w:pPr>
        <w:pStyle w:val="392"/>
        <w:snapToGrid w:val="0"/>
        <w:ind w:left="-424" w:leftChars="-202" w:right="-336" w:rightChars="-160"/>
        <w:rPr>
          <w:rFonts w:ascii="仿宋" w:hAnsi="仿宋"/>
          <w:spacing w:val="6"/>
          <w:sz w:val="28"/>
          <w:szCs w:val="21"/>
        </w:rPr>
      </w:pPr>
      <w:r>
        <w:rPr>
          <w:rFonts w:ascii="仿宋" w:hAnsi="仿宋"/>
          <w:sz w:val="28"/>
          <w:szCs w:val="21"/>
        </w:rPr>
        <w:t xml:space="preserve">  D.法定代表人或负责人或实际控制人存在三代以内旁系血亲关系</w:t>
      </w:r>
    </w:p>
    <w:p>
      <w:pPr>
        <w:pStyle w:val="392"/>
        <w:snapToGrid w:val="0"/>
        <w:ind w:left="-424" w:leftChars="-202" w:right="-336" w:rightChars="-160"/>
        <w:rPr>
          <w:rFonts w:ascii="仿宋" w:hAnsi="仿宋"/>
          <w:sz w:val="28"/>
          <w:szCs w:val="21"/>
        </w:rPr>
      </w:pPr>
      <w:r>
        <w:rPr>
          <w:rFonts w:ascii="仿宋" w:hAnsi="仿宋"/>
          <w:sz w:val="28"/>
          <w:szCs w:val="21"/>
        </w:rPr>
        <w:t xml:space="preserve">  E.法定代表人或负责人或实际控制人存在近姻亲关系</w:t>
      </w:r>
    </w:p>
    <w:p>
      <w:pPr>
        <w:pStyle w:val="392"/>
        <w:snapToGrid w:val="0"/>
        <w:ind w:left="-424" w:leftChars="-202" w:right="-336" w:rightChars="-160"/>
        <w:rPr>
          <w:rFonts w:ascii="仿宋" w:hAnsi="仿宋"/>
          <w:sz w:val="28"/>
          <w:szCs w:val="21"/>
        </w:rPr>
      </w:pPr>
      <w:r>
        <w:rPr>
          <w:rFonts w:ascii="仿宋" w:hAnsi="仿宋"/>
          <w:sz w:val="28"/>
          <w:szCs w:val="21"/>
        </w:rPr>
        <w:t xml:space="preserve">  F.法定代表人或负责人或实际控制人存在股份控制或实际控制关系</w:t>
      </w:r>
    </w:p>
    <w:p>
      <w:pPr>
        <w:pStyle w:val="392"/>
        <w:snapToGrid w:val="0"/>
        <w:ind w:left="-424" w:leftChars="-202" w:right="-336" w:rightChars="-160"/>
        <w:outlineLvl w:val="0"/>
        <w:rPr>
          <w:rFonts w:ascii="仿宋" w:hAnsi="仿宋"/>
          <w:sz w:val="28"/>
          <w:szCs w:val="21"/>
        </w:rPr>
      </w:pPr>
      <w:r>
        <w:rPr>
          <w:rFonts w:ascii="仿宋" w:hAnsi="仿宋"/>
          <w:sz w:val="28"/>
          <w:szCs w:val="21"/>
        </w:rPr>
        <w:t xml:space="preserve">  G.存在共同直接或间接投资设立子公司、联营企业和合营企业情况</w:t>
      </w:r>
    </w:p>
    <w:p>
      <w:pPr>
        <w:pStyle w:val="392"/>
        <w:snapToGrid w:val="0"/>
        <w:ind w:left="-424" w:leftChars="-202" w:right="-336" w:rightChars="-160"/>
        <w:rPr>
          <w:rFonts w:ascii="仿宋" w:hAnsi="仿宋"/>
          <w:sz w:val="28"/>
          <w:szCs w:val="21"/>
        </w:rPr>
      </w:pPr>
      <w:r>
        <w:rPr>
          <w:rFonts w:ascii="仿宋" w:hAnsi="仿宋"/>
          <w:sz w:val="28"/>
          <w:szCs w:val="21"/>
        </w:rPr>
        <w:t xml:space="preserve">  H.存在分级代理或代销关系、同一生产制造商关系、管理关系、重要业务（占主营业务收入50%以上）或重要财务往来关系（如融资）等其他实质性控制关系</w:t>
      </w:r>
    </w:p>
    <w:p>
      <w:pPr>
        <w:pStyle w:val="392"/>
        <w:snapToGrid w:val="0"/>
        <w:ind w:left="-424" w:leftChars="-202" w:right="-336" w:rightChars="-160"/>
        <w:rPr>
          <w:rFonts w:ascii="仿宋" w:hAnsi="仿宋"/>
          <w:spacing w:val="6"/>
          <w:sz w:val="28"/>
          <w:szCs w:val="21"/>
        </w:rPr>
      </w:pPr>
      <w:r>
        <w:rPr>
          <w:rFonts w:ascii="仿宋" w:hAnsi="仿宋"/>
          <w:sz w:val="28"/>
          <w:szCs w:val="21"/>
        </w:rPr>
        <w:t xml:space="preserve">    I.其他利害关系情况</w:t>
      </w:r>
      <w:r>
        <w:rPr>
          <w:rFonts w:ascii="仿宋" w:hAnsi="仿宋"/>
          <w:sz w:val="28"/>
          <w:szCs w:val="21"/>
          <w:u w:val="single"/>
        </w:rPr>
        <w:t xml:space="preserve">                              </w:t>
      </w:r>
      <w:r>
        <w:rPr>
          <w:rFonts w:ascii="仿宋" w:hAnsi="仿宋"/>
          <w:sz w:val="28"/>
          <w:szCs w:val="21"/>
        </w:rPr>
        <w:t>。</w:t>
      </w:r>
    </w:p>
    <w:p>
      <w:pPr>
        <w:pStyle w:val="387"/>
        <w:widowControl/>
        <w:numPr>
          <w:ilvl w:val="0"/>
          <w:numId w:val="19"/>
        </w:numPr>
        <w:snapToGrid w:val="0"/>
        <w:ind w:left="-424" w:leftChars="-202" w:right="-336" w:rightChars="-160" w:firstLine="529" w:firstLineChars="189"/>
        <w:rPr>
          <w:rFonts w:ascii="仿宋" w:hAnsi="仿宋" w:eastAsia="楷体_GB2312"/>
          <w:kern w:val="0"/>
          <w:sz w:val="28"/>
          <w:szCs w:val="21"/>
        </w:rPr>
      </w:pPr>
      <w:r>
        <w:rPr>
          <w:rFonts w:ascii="仿宋" w:hAnsi="仿宋" w:eastAsia="楷体_GB2312"/>
          <w:kern w:val="0"/>
          <w:sz w:val="28"/>
          <w:szCs w:val="21"/>
        </w:rPr>
        <w:t>现已清楚知道并严格遵守政府采购法律法规和现场纪律。</w:t>
      </w:r>
    </w:p>
    <w:p>
      <w:pPr>
        <w:pStyle w:val="387"/>
        <w:widowControl/>
        <w:numPr>
          <w:ilvl w:val="0"/>
          <w:numId w:val="19"/>
        </w:numPr>
        <w:snapToGrid w:val="0"/>
        <w:ind w:left="-424" w:leftChars="-202" w:right="-336" w:rightChars="-160" w:firstLine="529" w:firstLineChars="189"/>
        <w:rPr>
          <w:rFonts w:hint="default" w:ascii="仿宋" w:hAnsi="仿宋" w:eastAsia="楷体_GB2312"/>
          <w:kern w:val="0"/>
          <w:sz w:val="28"/>
          <w:szCs w:val="21"/>
        </w:rPr>
      </w:pPr>
      <w:r>
        <w:rPr>
          <w:rFonts w:ascii="仿宋" w:hAnsi="仿宋" w:eastAsia="楷体_GB2312"/>
          <w:kern w:val="0"/>
          <w:sz w:val="28"/>
          <w:szCs w:val="21"/>
        </w:rPr>
        <w:t>我发现</w:t>
      </w:r>
      <w:r>
        <w:rPr>
          <w:rFonts w:ascii="仿宋" w:hAnsi="仿宋" w:eastAsia="楷体_GB2312"/>
          <w:kern w:val="0"/>
          <w:sz w:val="28"/>
          <w:szCs w:val="21"/>
          <w:u w:val="single"/>
        </w:rPr>
        <w:t xml:space="preserve">                    </w:t>
      </w:r>
      <w:r>
        <w:rPr>
          <w:rFonts w:ascii="仿宋" w:hAnsi="仿宋" w:eastAsia="楷体_GB2312"/>
          <w:kern w:val="0"/>
          <w:sz w:val="28"/>
          <w:szCs w:val="21"/>
        </w:rPr>
        <w:t>供应商之间存在或可能存在上述第二条第</w:t>
      </w:r>
      <w:r>
        <w:rPr>
          <w:rFonts w:ascii="仿宋" w:hAnsi="仿宋" w:eastAsia="楷体_GB2312"/>
          <w:kern w:val="0"/>
          <w:sz w:val="28"/>
          <w:szCs w:val="21"/>
          <w:u w:val="single"/>
        </w:rPr>
        <w:t xml:space="preserve">      </w:t>
      </w:r>
      <w:r>
        <w:rPr>
          <w:rFonts w:hint="default" w:ascii="仿宋" w:hAnsi="仿宋" w:eastAsia="楷体_GB2312"/>
          <w:kern w:val="0"/>
          <w:sz w:val="28"/>
          <w:szCs w:val="21"/>
          <w:u w:val="single"/>
        </w:rPr>
        <w:t xml:space="preserve">  </w:t>
      </w:r>
      <w:r>
        <w:rPr>
          <w:rFonts w:ascii="仿宋" w:hAnsi="仿宋" w:eastAsia="楷体_GB2312"/>
          <w:kern w:val="0"/>
          <w:sz w:val="28"/>
          <w:szCs w:val="21"/>
        </w:rPr>
        <w:t>项利害关系。</w:t>
      </w:r>
    </w:p>
    <w:p>
      <w:pPr>
        <w:pStyle w:val="392"/>
        <w:snapToGrid w:val="0"/>
        <w:ind w:left="-424" w:leftChars="-202" w:right="-336" w:rightChars="-160"/>
        <w:rPr>
          <w:rFonts w:hint="eastAsia" w:ascii="仿宋" w:hAnsi="仿宋"/>
          <w:sz w:val="28"/>
          <w:szCs w:val="21"/>
        </w:rPr>
      </w:pPr>
      <w:r>
        <w:rPr>
          <w:rFonts w:hint="eastAsia" w:ascii="仿宋" w:hAnsi="仿宋"/>
          <w:sz w:val="28"/>
          <w:szCs w:val="21"/>
        </w:rPr>
        <w:t xml:space="preserve">                    </w:t>
      </w:r>
    </w:p>
    <w:p>
      <w:pPr>
        <w:pStyle w:val="392"/>
        <w:snapToGrid w:val="0"/>
        <w:ind w:left="-424" w:leftChars="-202" w:right="-336" w:rightChars="-160"/>
        <w:rPr>
          <w:rFonts w:ascii="仿宋" w:hAnsi="仿宋"/>
          <w:sz w:val="28"/>
          <w:szCs w:val="21"/>
        </w:rPr>
      </w:pPr>
      <w:r>
        <w:rPr>
          <w:rFonts w:hint="eastAsia" w:ascii="仿宋" w:hAnsi="仿宋"/>
          <w:sz w:val="28"/>
          <w:szCs w:val="21"/>
        </w:rPr>
        <w:t xml:space="preserve">                    </w:t>
      </w:r>
      <w:r>
        <w:rPr>
          <w:rFonts w:ascii="仿宋" w:hAnsi="仿宋"/>
          <w:sz w:val="28"/>
          <w:szCs w:val="21"/>
        </w:rPr>
        <w:t>（供应商代表签名）</w:t>
      </w:r>
      <w:r>
        <w:rPr>
          <w:rFonts w:hint="eastAsia" w:ascii="仿宋" w:hAnsi="仿宋"/>
          <w:sz w:val="28"/>
          <w:szCs w:val="21"/>
        </w:rPr>
        <w:t>：</w:t>
      </w:r>
    </w:p>
    <w:p>
      <w:pPr>
        <w:pStyle w:val="5"/>
        <w:spacing w:before="0" w:after="0" w:line="240" w:lineRule="auto"/>
        <w:ind w:left="-424" w:leftChars="-202" w:right="-336" w:rightChars="-160"/>
        <w:jc w:val="center"/>
        <w:rPr>
          <w:rFonts w:ascii="仿宋" w:hAnsi="仿宋" w:eastAsia="楷体_GB2312"/>
          <w:b w:val="0"/>
          <w:bCs w:val="0"/>
          <w:sz w:val="28"/>
          <w:szCs w:val="21"/>
          <w:lang w:val="en-US" w:eastAsia="zh-CN"/>
        </w:rPr>
      </w:pPr>
      <w:r>
        <w:rPr>
          <w:rFonts w:ascii="仿宋" w:hAnsi="仿宋"/>
          <w:sz w:val="28"/>
          <w:szCs w:val="21"/>
        </w:rPr>
        <w:t xml:space="preserve">                                 </w:t>
      </w:r>
      <w:r>
        <w:rPr>
          <w:rFonts w:ascii="仿宋" w:hAnsi="仿宋" w:eastAsia="楷体_GB2312"/>
          <w:b w:val="0"/>
          <w:bCs w:val="0"/>
          <w:sz w:val="28"/>
          <w:szCs w:val="21"/>
          <w:lang w:val="en-US" w:eastAsia="zh-CN"/>
        </w:rPr>
        <w:t>2020年  月  日</w:t>
      </w:r>
    </w:p>
    <w:p>
      <w:pPr>
        <w:rPr>
          <w:rFonts w:hint="eastAsia" w:eastAsia="宋体"/>
          <w:lang w:val="en-US" w:eastAsia="zh-CN"/>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rPr>
          <w:rFonts w:hint="eastAsia"/>
        </w:rPr>
      </w:pPr>
    </w:p>
    <w:p>
      <w:pPr>
        <w:rPr>
          <w:rFonts w:hint="eastAsia" w:ascii="宋体" w:hAnsi="宋体" w:cs="宋体"/>
          <w:spacing w:val="6"/>
          <w:kern w:val="0"/>
          <w:sz w:val="24"/>
          <w:szCs w:val="24"/>
          <w:lang w:eastAsia="zh-CN"/>
        </w:rPr>
      </w:pPr>
      <w:r>
        <w:rPr>
          <w:rFonts w:hint="eastAsia" w:ascii="宋体" w:hAnsi="宋体" w:cs="宋体"/>
          <w:spacing w:val="6"/>
          <w:kern w:val="0"/>
          <w:sz w:val="24"/>
          <w:szCs w:val="24"/>
          <w:lang w:eastAsia="zh-CN"/>
        </w:rPr>
        <w:t>附件：</w:t>
      </w:r>
    </w:p>
    <w:p>
      <w:pPr>
        <w:ind w:firstLine="480" w:firstLineChars="200"/>
        <w:rPr>
          <w:rFonts w:hint="eastAsia" w:ascii="宋体" w:hAnsi="宋体" w:cs="宋体"/>
          <w:spacing w:val="6"/>
          <w:kern w:val="0"/>
          <w:sz w:val="24"/>
          <w:szCs w:val="24"/>
          <w:lang w:eastAsia="zh-CN"/>
        </w:rPr>
      </w:pPr>
      <w:r>
        <w:rPr>
          <w:rFonts w:hint="eastAsia" w:ascii="宋体" w:hAnsi="宋体" w:eastAsia="宋体" w:cs="宋体"/>
          <w:kern w:val="0"/>
          <w:sz w:val="24"/>
          <w:szCs w:val="27"/>
          <w:lang w:val="en-US" w:eastAsia="zh-CN" w:bidi="ar-SA"/>
        </w:rPr>
        <w:t>按按照国家发改委规定的服务类标准（详见《招标代理服务收费管理暂行办法》计价格［2002］1980号)收取，由中标人承担。在中标人领取中标通知书时支付给采购代理机构。</w:t>
      </w:r>
    </w:p>
    <w:p>
      <w:pPr>
        <w:rPr>
          <w:rFonts w:hint="eastAsia"/>
          <w:sz w:val="28"/>
        </w:rPr>
      </w:pPr>
    </w:p>
    <w:p>
      <w:pPr>
        <w:jc w:val="center"/>
        <w:rPr>
          <w:rFonts w:hint="eastAsia"/>
          <w:b/>
          <w:sz w:val="32"/>
        </w:rPr>
      </w:pPr>
      <w:r>
        <w:rPr>
          <w:rFonts w:hint="eastAsia"/>
          <w:b/>
          <w:sz w:val="32"/>
        </w:rPr>
        <w:t>招标代理服务收费标准</w:t>
      </w:r>
    </w:p>
    <w:p>
      <w:pPr>
        <w:jc w:val="center"/>
        <w:rPr>
          <w:rFonts w:hint="eastAsia"/>
          <w:b/>
          <w:sz w:val="32"/>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448" w:type="dxa"/>
            <w:noWrap w:val="0"/>
            <w:vAlign w:val="top"/>
          </w:tcPr>
          <w:p>
            <w:pPr>
              <w:ind w:firstLine="1275"/>
              <w:rPr>
                <w:rFonts w:hint="eastAsia"/>
                <w:b/>
              </w:rPr>
            </w:pPr>
            <w:r>
              <w:rPr>
                <w:b/>
                <w:sz w:val="20"/>
              </w:rPr>
              <mc:AlternateContent>
                <mc:Choice Requires="wps">
                  <w:drawing>
                    <wp:anchor distT="0" distB="0" distL="114300" distR="114300" simplePos="0" relativeHeight="251660288" behindDoc="0" locked="0" layoutInCell="0" allowOverlap="1">
                      <wp:simplePos x="0" y="0"/>
                      <wp:positionH relativeFrom="column">
                        <wp:posOffset>342900</wp:posOffset>
                      </wp:positionH>
                      <wp:positionV relativeFrom="paragraph">
                        <wp:posOffset>-6350</wp:posOffset>
                      </wp:positionV>
                      <wp:extent cx="1143000" cy="1188720"/>
                      <wp:effectExtent l="3175" t="3175" r="15875" b="8255"/>
                      <wp:wrapNone/>
                      <wp:docPr id="4" name="直接连接符 4"/>
                      <wp:cNvGraphicFramePr/>
                      <a:graphic xmlns:a="http://schemas.openxmlformats.org/drawingml/2006/main">
                        <a:graphicData uri="http://schemas.microsoft.com/office/word/2010/wordprocessingShape">
                          <wps:wsp>
                            <wps:cNvCnPr/>
                            <wps:spPr>
                              <a:xfrm flipH="1" flipV="1">
                                <a:off x="0" y="0"/>
                                <a:ext cx="1143000" cy="11887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7pt;margin-top:-0.5pt;height:93.6pt;width:90pt;z-index:251660288;mso-width-relative:page;mso-height-relative:page;" filled="f" stroked="t" coordsize="21600,21600" o:allowincell="f" o:gfxdata="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cYa&#10;SNMAAAAJAQAADwAAAAAAAAABACAAAAAiAAAAZHJzL2Rvd25yZXYueG1sUEsBAhQAFAAAAAgAh07i&#10;QB2Y3cnuAQAAsAMAAA4AAAAAAAAAAQAgAAAAIgEAAGRycy9lMm9Eb2MueG1sUEsFBgAAAAAGAAYA&#10;WQEAAIIFAAAAAA==&#10;">
                      <v:fill on="f" focussize="0,0"/>
                      <v:stroke color="#000000" joinstyle="round"/>
                      <v:imagedata o:title=""/>
                      <o:lock v:ext="edit" aspectratio="f"/>
                    </v:line>
                  </w:pict>
                </mc:Fallback>
              </mc:AlternateContent>
            </w:r>
            <w:r>
              <w:rPr>
                <w:b/>
                <w:sz w:val="20"/>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5pt;height:0pt;width:0.05pt;z-index:251658240;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kdN+1QAAAAkBAAAPAAAAAAAAAAEAIAAA&#10;ACIAAABkcnMvZG93bnJldi54bWxQSwECFAAUAAAACACHTuJANDkDgtYBAACSAwAADgAAAAAAAAAB&#10;ACAAAAAkAQAAZHJzL2Uyb0RvYy54bWxQSwUGAAAAAAYABgBZAQAAbAUAAAAA&#10;">
                      <v:fill on="f" focussize="0,0"/>
                      <v:stroke color="#000000" joinstyle="round"/>
                      <v:imagedata o:title=""/>
                      <o:lock v:ext="edit" aspectratio="f"/>
                    </v:line>
                  </w:pict>
                </mc:Fallback>
              </mc:AlternateContent>
            </w:r>
            <w:r>
              <w:rPr>
                <w:rFonts w:hint="eastAsia"/>
                <w:b/>
              </w:rPr>
              <w:t>服</w:t>
            </w:r>
          </w:p>
          <w:p>
            <w:pPr>
              <w:ind w:firstLine="211"/>
              <w:rPr>
                <w:rFonts w:hint="eastAsia"/>
                <w:b/>
              </w:rPr>
            </w:pPr>
            <w:r>
              <w:rPr>
                <w:rFonts w:hint="eastAsia"/>
                <w:b/>
              </w:rPr>
              <w:t>费　　　　　务</w:t>
            </w:r>
          </w:p>
          <w:p>
            <w:pPr>
              <w:ind w:firstLine="1004"/>
              <w:rPr>
                <w:rFonts w:hint="eastAsia"/>
                <w:b/>
              </w:rPr>
            </w:pPr>
            <w:r>
              <w:rPr>
                <w:b/>
                <w:sz w:val="20"/>
              </w:rPr>
              <mc:AlternateContent>
                <mc:Choice Requires="wps">
                  <w:drawing>
                    <wp:anchor distT="0" distB="0" distL="114300" distR="114300" simplePos="0" relativeHeight="251659264" behindDoc="0" locked="0" layoutInCell="0" allowOverlap="1">
                      <wp:simplePos x="0" y="0"/>
                      <wp:positionH relativeFrom="column">
                        <wp:posOffset>-84455</wp:posOffset>
                      </wp:positionH>
                      <wp:positionV relativeFrom="paragraph">
                        <wp:posOffset>90805</wp:posOffset>
                      </wp:positionV>
                      <wp:extent cx="1602740" cy="689610"/>
                      <wp:effectExtent l="1905" t="4445" r="14605" b="10795"/>
                      <wp:wrapNone/>
                      <wp:docPr id="5" name="直接连接符 5"/>
                      <wp:cNvGraphicFramePr/>
                      <a:graphic xmlns:a="http://schemas.openxmlformats.org/drawingml/2006/main">
                        <a:graphicData uri="http://schemas.microsoft.com/office/word/2010/wordprocessingShape">
                          <wps:wsp>
                            <wps:cNvCnPr/>
                            <wps:spPr>
                              <a:xfrm flipH="1" flipV="1">
                                <a:off x="0" y="0"/>
                                <a:ext cx="1602740" cy="6896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65pt;margin-top:7.15pt;height:54.3pt;width:126.2pt;z-index:251659264;mso-width-relative:page;mso-height-relative:page;" filled="f" stroked="t" coordsize="21600,21600" o:allowincell="f" o:gfxdata="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tT/y9YAAAAKAQAADwAAAAAAAAABACAAAAAiAAAAZHJzL2Rvd25yZXYueG1sUEsBAhQAFAAAAAgA&#10;h07iQPbLEAruAQAArwMAAA4AAAAAAAAAAQAgAAAAJQEAAGRycy9lMm9Eb2MueG1sUEsFBgAAAAAG&#10;AAYAWQEAAIUFAAAAAA==&#10;">
                      <v:fill on="f" focussize="0,0"/>
                      <v:stroke color="#000000" joinstyle="round"/>
                      <v:imagedata o:title=""/>
                      <o:lock v:ext="edit" aspectratio="f"/>
                    </v:line>
                  </w:pict>
                </mc:Fallback>
              </mc:AlternateContent>
            </w:r>
            <w:r>
              <w:rPr>
                <w:rFonts w:hint="eastAsia"/>
                <w:b/>
              </w:rPr>
              <w:t>　　　类</w:t>
            </w:r>
          </w:p>
          <w:p>
            <w:pPr>
              <w:ind w:firstLine="1054"/>
              <w:rPr>
                <w:rFonts w:hint="eastAsia"/>
                <w:b/>
              </w:rPr>
            </w:pPr>
            <w:r>
              <w:rPr>
                <w:rFonts w:hint="eastAsia"/>
                <w:b/>
              </w:rPr>
              <w:t>率　　　型</w:t>
            </w:r>
          </w:p>
          <w:p>
            <w:pPr>
              <w:ind w:firstLine="1054"/>
              <w:rPr>
                <w:rFonts w:hint="eastAsia"/>
                <w:b/>
              </w:rPr>
            </w:pPr>
            <w:r>
              <w:rPr>
                <w:rFonts w:hint="eastAsia"/>
                <w:b/>
              </w:rPr>
              <w:t>　　　　</w:t>
            </w:r>
          </w:p>
          <w:p>
            <w:pPr>
              <w:rPr>
                <w:rFonts w:hint="eastAsia"/>
                <w:b/>
              </w:rPr>
            </w:pPr>
            <w:r>
              <w:rPr>
                <w:rFonts w:hint="eastAsia"/>
                <w:b/>
              </w:rPr>
              <w:t>中标金额（万元）</w:t>
            </w:r>
          </w:p>
        </w:tc>
        <w:tc>
          <w:tcPr>
            <w:tcW w:w="1980" w:type="dxa"/>
            <w:noWrap w:val="0"/>
            <w:vAlign w:val="center"/>
          </w:tcPr>
          <w:p>
            <w:pPr>
              <w:jc w:val="center"/>
              <w:rPr>
                <w:rFonts w:hint="eastAsia"/>
                <w:b/>
              </w:rPr>
            </w:pPr>
            <w:r>
              <w:rPr>
                <w:rFonts w:hint="eastAsia"/>
                <w:b/>
              </w:rPr>
              <w:t>货物招标</w:t>
            </w:r>
          </w:p>
        </w:tc>
        <w:tc>
          <w:tcPr>
            <w:tcW w:w="1980" w:type="dxa"/>
            <w:noWrap w:val="0"/>
            <w:vAlign w:val="center"/>
          </w:tcPr>
          <w:p>
            <w:pPr>
              <w:jc w:val="center"/>
              <w:rPr>
                <w:rFonts w:hint="eastAsia"/>
                <w:b/>
              </w:rPr>
            </w:pPr>
            <w:r>
              <w:rPr>
                <w:rFonts w:hint="eastAsia"/>
                <w:b/>
              </w:rPr>
              <w:t>服务招标</w:t>
            </w:r>
          </w:p>
        </w:tc>
        <w:tc>
          <w:tcPr>
            <w:tcW w:w="1980" w:type="dxa"/>
            <w:noWrap w:val="0"/>
            <w:vAlign w:val="center"/>
          </w:tcPr>
          <w:p>
            <w:pPr>
              <w:jc w:val="center"/>
              <w:rPr>
                <w:rFonts w:hint="eastAsia"/>
                <w:b/>
              </w:rP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100以下</w:t>
            </w:r>
          </w:p>
        </w:tc>
        <w:tc>
          <w:tcPr>
            <w:tcW w:w="1980" w:type="dxa"/>
            <w:noWrap w:val="0"/>
            <w:vAlign w:val="top"/>
          </w:tcPr>
          <w:p>
            <w:pPr>
              <w:jc w:val="center"/>
              <w:rPr>
                <w:rFonts w:hint="eastAsia"/>
              </w:rPr>
            </w:pPr>
            <w:r>
              <w:rPr>
                <w:rFonts w:hint="eastAsia"/>
              </w:rPr>
              <w:t>1.5%</w:t>
            </w:r>
          </w:p>
        </w:tc>
        <w:tc>
          <w:tcPr>
            <w:tcW w:w="1980" w:type="dxa"/>
            <w:noWrap w:val="0"/>
            <w:vAlign w:val="top"/>
          </w:tcPr>
          <w:p>
            <w:pPr>
              <w:jc w:val="center"/>
              <w:rPr>
                <w:rFonts w:hint="eastAsia"/>
              </w:rPr>
            </w:pPr>
            <w:r>
              <w:rPr>
                <w:rFonts w:hint="eastAsia"/>
              </w:rPr>
              <w:t>1.5%</w:t>
            </w:r>
          </w:p>
        </w:tc>
        <w:tc>
          <w:tcPr>
            <w:tcW w:w="1980" w:type="dxa"/>
            <w:noWrap w:val="0"/>
            <w:vAlign w:val="top"/>
          </w:tcPr>
          <w:p>
            <w:pPr>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100-500</w:t>
            </w:r>
          </w:p>
        </w:tc>
        <w:tc>
          <w:tcPr>
            <w:tcW w:w="1980" w:type="dxa"/>
            <w:noWrap w:val="0"/>
            <w:vAlign w:val="top"/>
          </w:tcPr>
          <w:p>
            <w:pPr>
              <w:jc w:val="center"/>
              <w:rPr>
                <w:rFonts w:hint="eastAsia"/>
              </w:rPr>
            </w:pPr>
            <w:r>
              <w:rPr>
                <w:rFonts w:hint="eastAsia"/>
              </w:rPr>
              <w:t>1.1%</w:t>
            </w:r>
          </w:p>
        </w:tc>
        <w:tc>
          <w:tcPr>
            <w:tcW w:w="1980" w:type="dxa"/>
            <w:noWrap w:val="0"/>
            <w:vAlign w:val="top"/>
          </w:tcPr>
          <w:p>
            <w:pPr>
              <w:jc w:val="center"/>
              <w:rPr>
                <w:rFonts w:hint="eastAsia"/>
              </w:rPr>
            </w:pPr>
            <w:r>
              <w:rPr>
                <w:rFonts w:hint="eastAsia"/>
              </w:rPr>
              <w:t>0.8%</w:t>
            </w:r>
          </w:p>
        </w:tc>
        <w:tc>
          <w:tcPr>
            <w:tcW w:w="1980" w:type="dxa"/>
            <w:noWrap w:val="0"/>
            <w:vAlign w:val="top"/>
          </w:tcPr>
          <w:p>
            <w:pPr>
              <w:jc w:val="center"/>
              <w:rPr>
                <w:rFonts w:hint="eastAsia"/>
              </w:rP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500-1000</w:t>
            </w:r>
          </w:p>
        </w:tc>
        <w:tc>
          <w:tcPr>
            <w:tcW w:w="1980" w:type="dxa"/>
            <w:noWrap w:val="0"/>
            <w:vAlign w:val="top"/>
          </w:tcPr>
          <w:p>
            <w:pPr>
              <w:jc w:val="center"/>
              <w:rPr>
                <w:rFonts w:hint="eastAsia"/>
              </w:rPr>
            </w:pPr>
            <w:r>
              <w:rPr>
                <w:rFonts w:hint="eastAsia"/>
              </w:rPr>
              <w:t>0.8%</w:t>
            </w:r>
          </w:p>
        </w:tc>
        <w:tc>
          <w:tcPr>
            <w:tcW w:w="1980" w:type="dxa"/>
            <w:noWrap w:val="0"/>
            <w:vAlign w:val="top"/>
          </w:tcPr>
          <w:p>
            <w:pPr>
              <w:jc w:val="center"/>
              <w:rPr>
                <w:rFonts w:hint="eastAsia"/>
              </w:rPr>
            </w:pPr>
            <w:r>
              <w:rPr>
                <w:rFonts w:hint="eastAsia"/>
              </w:rPr>
              <w:t>0.45%</w:t>
            </w:r>
          </w:p>
        </w:tc>
        <w:tc>
          <w:tcPr>
            <w:tcW w:w="1980" w:type="dxa"/>
            <w:noWrap w:val="0"/>
            <w:vAlign w:val="top"/>
          </w:tcPr>
          <w:p>
            <w:pPr>
              <w:jc w:val="center"/>
              <w:rPr>
                <w:rFonts w:hint="eastAsia"/>
              </w:rPr>
            </w:pPr>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1000-5000</w:t>
            </w:r>
          </w:p>
        </w:tc>
        <w:tc>
          <w:tcPr>
            <w:tcW w:w="1980" w:type="dxa"/>
            <w:noWrap w:val="0"/>
            <w:vAlign w:val="top"/>
          </w:tcPr>
          <w:p>
            <w:pPr>
              <w:jc w:val="center"/>
              <w:rPr>
                <w:rFonts w:hint="eastAsia"/>
              </w:rPr>
            </w:pPr>
            <w:r>
              <w:rPr>
                <w:rFonts w:hint="eastAsia"/>
              </w:rPr>
              <w:t>0.5%</w:t>
            </w:r>
          </w:p>
        </w:tc>
        <w:tc>
          <w:tcPr>
            <w:tcW w:w="1980" w:type="dxa"/>
            <w:noWrap w:val="0"/>
            <w:vAlign w:val="top"/>
          </w:tcPr>
          <w:p>
            <w:pPr>
              <w:jc w:val="center"/>
              <w:rPr>
                <w:rFonts w:hint="eastAsia"/>
              </w:rPr>
            </w:pPr>
            <w:r>
              <w:rPr>
                <w:rFonts w:hint="eastAsia"/>
              </w:rPr>
              <w:t>0.25%</w:t>
            </w:r>
          </w:p>
        </w:tc>
        <w:tc>
          <w:tcPr>
            <w:tcW w:w="1980" w:type="dxa"/>
            <w:noWrap w:val="0"/>
            <w:vAlign w:val="top"/>
          </w:tcPr>
          <w:p>
            <w:pPr>
              <w:jc w:val="center"/>
              <w:rPr>
                <w:rFonts w:hint="eastAsia"/>
              </w:rP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5000-10000</w:t>
            </w:r>
          </w:p>
        </w:tc>
        <w:tc>
          <w:tcPr>
            <w:tcW w:w="1980" w:type="dxa"/>
            <w:noWrap w:val="0"/>
            <w:vAlign w:val="top"/>
          </w:tcPr>
          <w:p>
            <w:pPr>
              <w:jc w:val="center"/>
              <w:rPr>
                <w:rFonts w:hint="eastAsia"/>
              </w:rPr>
            </w:pPr>
            <w:r>
              <w:rPr>
                <w:rFonts w:hint="eastAsia"/>
              </w:rPr>
              <w:t>0.25%</w:t>
            </w:r>
          </w:p>
        </w:tc>
        <w:tc>
          <w:tcPr>
            <w:tcW w:w="1980" w:type="dxa"/>
            <w:noWrap w:val="0"/>
            <w:vAlign w:val="top"/>
          </w:tcPr>
          <w:p>
            <w:pPr>
              <w:jc w:val="center"/>
              <w:rPr>
                <w:rFonts w:hint="eastAsia"/>
              </w:rPr>
            </w:pPr>
            <w:r>
              <w:rPr>
                <w:rFonts w:hint="eastAsia"/>
              </w:rPr>
              <w:t>0.1%</w:t>
            </w:r>
          </w:p>
        </w:tc>
        <w:tc>
          <w:tcPr>
            <w:tcW w:w="1980" w:type="dxa"/>
            <w:noWrap w:val="0"/>
            <w:vAlign w:val="top"/>
          </w:tcPr>
          <w:p>
            <w:pPr>
              <w:jc w:val="center"/>
              <w:rPr>
                <w:rFonts w:hint="eastAsia"/>
              </w:rPr>
            </w:pPr>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10000-100000</w:t>
            </w:r>
          </w:p>
        </w:tc>
        <w:tc>
          <w:tcPr>
            <w:tcW w:w="1980" w:type="dxa"/>
            <w:noWrap w:val="0"/>
            <w:vAlign w:val="top"/>
          </w:tcPr>
          <w:p>
            <w:pPr>
              <w:jc w:val="center"/>
              <w:rPr>
                <w:rFonts w:hint="eastAsia"/>
              </w:rPr>
            </w:pPr>
            <w:r>
              <w:rPr>
                <w:rFonts w:hint="eastAsia"/>
              </w:rPr>
              <w:t>0.05%</w:t>
            </w:r>
          </w:p>
        </w:tc>
        <w:tc>
          <w:tcPr>
            <w:tcW w:w="1980" w:type="dxa"/>
            <w:noWrap w:val="0"/>
            <w:vAlign w:val="top"/>
          </w:tcPr>
          <w:p>
            <w:pPr>
              <w:jc w:val="center"/>
              <w:rPr>
                <w:rFonts w:hint="eastAsia"/>
              </w:rPr>
            </w:pPr>
            <w:r>
              <w:rPr>
                <w:rFonts w:hint="eastAsia"/>
              </w:rPr>
              <w:t>0.05%</w:t>
            </w:r>
          </w:p>
        </w:tc>
        <w:tc>
          <w:tcPr>
            <w:tcW w:w="1980" w:type="dxa"/>
            <w:noWrap w:val="0"/>
            <w:vAlign w:val="top"/>
          </w:tcPr>
          <w:p>
            <w:pPr>
              <w:jc w:val="center"/>
              <w:rPr>
                <w:rFonts w:hint="eastAsia"/>
              </w:rPr>
            </w:pPr>
            <w:r>
              <w:rPr>
                <w:rFonts w:hint="eastAsi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1000000以上</w:t>
            </w:r>
          </w:p>
        </w:tc>
        <w:tc>
          <w:tcPr>
            <w:tcW w:w="1980" w:type="dxa"/>
            <w:noWrap w:val="0"/>
            <w:vAlign w:val="top"/>
          </w:tcPr>
          <w:p>
            <w:pPr>
              <w:jc w:val="center"/>
              <w:rPr>
                <w:rFonts w:hint="eastAsia"/>
              </w:rPr>
            </w:pPr>
            <w:r>
              <w:rPr>
                <w:rFonts w:hint="eastAsia"/>
              </w:rPr>
              <w:t>0.01%</w:t>
            </w:r>
          </w:p>
        </w:tc>
        <w:tc>
          <w:tcPr>
            <w:tcW w:w="1980" w:type="dxa"/>
            <w:noWrap w:val="0"/>
            <w:vAlign w:val="top"/>
          </w:tcPr>
          <w:p>
            <w:pPr>
              <w:jc w:val="center"/>
              <w:rPr>
                <w:rFonts w:hint="eastAsia"/>
              </w:rPr>
            </w:pPr>
            <w:r>
              <w:rPr>
                <w:rFonts w:hint="eastAsia"/>
              </w:rPr>
              <w:t>0.01%</w:t>
            </w:r>
          </w:p>
        </w:tc>
        <w:tc>
          <w:tcPr>
            <w:tcW w:w="1980" w:type="dxa"/>
            <w:noWrap w:val="0"/>
            <w:vAlign w:val="top"/>
          </w:tcPr>
          <w:p>
            <w:pPr>
              <w:jc w:val="center"/>
              <w:rPr>
                <w:rFonts w:hint="eastAsia"/>
              </w:rPr>
            </w:pPr>
            <w:r>
              <w:rPr>
                <w:rFonts w:hint="eastAsia"/>
              </w:rPr>
              <w:t>0.01%</w:t>
            </w:r>
          </w:p>
        </w:tc>
      </w:tr>
    </w:tbl>
    <w:p>
      <w:pPr>
        <w:ind w:left="630" w:hanging="630"/>
        <w:rPr>
          <w:rFonts w:hint="eastAsia"/>
        </w:rPr>
      </w:pPr>
      <w:r>
        <w:rPr>
          <w:rFonts w:hint="eastAsia"/>
        </w:rPr>
        <w:t>注：1.按本表费率计算的收费为招标代理服务全过程的收费基准价格，单独提供编制招标文件（有标底的含标底）服务的，可按规定标准的30%计收。</w:t>
      </w:r>
    </w:p>
    <w:p>
      <w:pPr>
        <w:ind w:left="630" w:hanging="210"/>
        <w:rPr>
          <w:rFonts w:hint="eastAsia"/>
        </w:rPr>
      </w:pPr>
      <w:r>
        <w:rPr>
          <w:rFonts w:hint="eastAsia"/>
        </w:rPr>
        <w:t>2.招标代理服务收费按差额定率累进法计算。例如：某工程招标代理业务中标金额为6000万元，计算招标代理服务收费额如下：</w:t>
      </w:r>
    </w:p>
    <w:p>
      <w:pPr>
        <w:ind w:left="630" w:hanging="210"/>
        <w:rPr>
          <w:rFonts w:hint="eastAsia"/>
        </w:rPr>
      </w:pPr>
    </w:p>
    <w:p>
      <w:pPr>
        <w:ind w:firstLine="2730" w:firstLineChars="1300"/>
        <w:rPr>
          <w:rFonts w:hint="eastAsia"/>
        </w:rPr>
      </w:pPr>
      <w:r>
        <w:rPr>
          <w:rFonts w:hint="eastAsia"/>
        </w:rPr>
        <w:t>100万元×1.0%=1万元</w:t>
      </w:r>
    </w:p>
    <w:p>
      <w:pPr>
        <w:ind w:firstLine="2520" w:firstLineChars="1200"/>
        <w:jc w:val="both"/>
        <w:rPr>
          <w:rFonts w:hint="eastAsia"/>
        </w:rPr>
      </w:pPr>
      <w:r>
        <w:rPr>
          <w:rFonts w:hint="eastAsia"/>
        </w:rPr>
        <w:t>（500-100）万元×0.7%=2.8万元</w:t>
      </w:r>
    </w:p>
    <w:p>
      <w:pPr>
        <w:ind w:firstLine="2520"/>
        <w:rPr>
          <w:rFonts w:hint="eastAsia"/>
        </w:rPr>
      </w:pPr>
      <w:r>
        <w:rPr>
          <w:rFonts w:hint="eastAsia"/>
        </w:rPr>
        <w:t>（1000-500）×0.55%=2.75万元</w:t>
      </w:r>
    </w:p>
    <w:p>
      <w:pPr>
        <w:ind w:firstLine="2520"/>
        <w:rPr>
          <w:rFonts w:hint="eastAsia"/>
        </w:rPr>
      </w:pPr>
      <w:r>
        <w:rPr>
          <w:rFonts w:hint="eastAsia"/>
        </w:rPr>
        <w:t>（5000-1000）×0.35%=14万元</w:t>
      </w:r>
    </w:p>
    <w:p>
      <w:pPr>
        <w:ind w:firstLine="2520"/>
        <w:rPr>
          <w:rFonts w:hint="eastAsia"/>
        </w:rPr>
      </w:pPr>
      <w:r>
        <w:rPr>
          <w:rFonts w:hint="eastAsia"/>
        </w:rPr>
        <w:t>（6000-5000）×0.2%=2万元</w:t>
      </w:r>
    </w:p>
    <w:p>
      <w:pPr>
        <w:ind w:firstLine="2730" w:firstLineChars="1300"/>
        <w:jc w:val="both"/>
        <w:rPr>
          <w:rFonts w:hint="eastAsia"/>
        </w:rPr>
      </w:pPr>
      <w:r>
        <w:rPr>
          <w:rFonts w:hint="eastAsia"/>
        </w:rPr>
        <w:t>合计收费=1+2.8+2.75+14+2=22.55（万元）</w:t>
      </w:r>
    </w:p>
    <w:p>
      <w:pPr>
        <w:pStyle w:val="2"/>
        <w:rPr>
          <w:rFonts w:hint="eastAsia"/>
          <w:lang w:eastAsia="zh-CN"/>
        </w:rPr>
      </w:pPr>
    </w:p>
    <w:sectPr>
      <w:pgSz w:w="11906" w:h="16838"/>
      <w:pgMar w:top="850" w:right="850" w:bottom="850" w:left="850" w:header="851" w:footer="992" w:gutter="567"/>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swiss"/>
    <w:pitch w:val="default"/>
    <w:sig w:usb0="00000000" w:usb1="00000000" w:usb2="00000000" w:usb3="00000000" w:csb0="0000009F" w:csb1="00000000"/>
  </w:font>
  <w:font w:name="Arial (W1)">
    <w:altName w:val="Arial"/>
    <w:panose1 w:val="00000000000000000000"/>
    <w:charset w:val="00"/>
    <w:family w:val="swiss"/>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方正美黑简体">
    <w:altName w:val="黑体"/>
    <w:panose1 w:val="00000000000000000000"/>
    <w:charset w:val="86"/>
    <w:family w:val="script"/>
    <w:pitch w:val="default"/>
    <w:sig w:usb0="00000000" w:usb1="00000000" w:usb2="00000000" w:usb3="00000000" w:csb0="00040000" w:csb1="00000000"/>
  </w:font>
  <w:font w:name="Univers">
    <w:panose1 w:val="020B0603020202030204"/>
    <w:charset w:val="00"/>
    <w:family w:val="swiss"/>
    <w:pitch w:val="default"/>
    <w:sig w:usb0="00000007" w:usb1="00000000" w:usb2="00000000" w:usb3="00000000" w:csb0="00000093" w:csb1="00000000"/>
  </w:font>
  <w:font w:name="FuturaA Bk BT">
    <w:altName w:val="Times New Roman"/>
    <w:panose1 w:val="00000000000000000000"/>
    <w:charset w:val="00"/>
    <w:family w:val="roman"/>
    <w:pitch w:val="default"/>
    <w:sig w:usb0="00000000" w:usb1="00000000" w:usb2="00000000" w:usb3="00000000" w:csb0="00000001" w:csb1="00000000"/>
  </w:font>
  <w:font w:name="Garamond">
    <w:panose1 w:val="02020502050306020203"/>
    <w:charset w:val="00"/>
    <w:family w:val="roman"/>
    <w:pitch w:val="default"/>
    <w:sig w:usb0="00000007" w:usb1="00000000" w:usb2="00000000" w:usb3="00000000" w:csb0="00000093" w:csb1="00000000"/>
  </w:font>
  <w:font w:name="Arial Unicode MS">
    <w:panose1 w:val="020B0604020202020204"/>
    <w:charset w:val="86"/>
    <w:family w:val="swiss"/>
    <w:pitch w:val="default"/>
    <w:sig w:usb0="FFFFFFFF" w:usb1="E9FFFFFF" w:usb2="0000003F" w:usb3="00000000" w:csb0="603F01FF" w:csb1="FFFF0000"/>
  </w:font>
  <w:font w:name="方正艺黑简体">
    <w:altName w:val="黑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全真中明體">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rPr>
        <w:rStyle w:val="65"/>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posOffset>2484755</wp:posOffset>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Bdr>
                              <w:top w:val="single" w:color="auto" w:sz="4" w:space="1"/>
                            </w:pBdr>
                            <w:jc w:val="cente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65pt;margin-top:-0.7pt;height:144pt;width:144pt;mso-position-horizontal-relative:margin;mso-wrap-style:none;z-index:251659264;mso-width-relative:page;mso-height-relative:page;" filled="f" stroked="f" coordsize="21600,21600" o:gfxdata="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04IytgAAAAK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pStyle w:val="39"/>
                      <w:pBdr>
                        <w:top w:val="single" w:color="auto" w:sz="4" w:space="1"/>
                      </w:pBdr>
                      <w:jc w:val="cente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txbxContent>
              </v:textbox>
            </v:shape>
          </w:pict>
        </mc:Fallback>
      </mc:AlternateContent>
    </w:r>
  </w:p>
  <w:p>
    <w:pPr>
      <w:pStyle w:val="39"/>
      <w:pBdr>
        <w:top w:val="single" w:color="auto" w:sz="4" w:space="1"/>
      </w:pBdr>
      <w:jc w:val="center"/>
      <w:rPr>
        <w:rFonts w:ascii="宋体" w:hAnsi="宋体"/>
      </w:rPr>
    </w:pPr>
    <w:r>
      <w:rPr>
        <w:rFonts w:hint="eastAsia"/>
      </w:rPr>
      <w:t xml:space="preserve">                                                     浙江中正工程项目管理有限公司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rPr>
        <w:rStyle w:val="65"/>
        <w:rFonts w:hint="eastAsia"/>
      </w:rP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p>
    <w:pPr>
      <w:pStyle w:val="39"/>
      <w:pBdr>
        <w:top w:val="single" w:color="auto" w:sz="4" w:space="1"/>
      </w:pBdr>
      <w:jc w:val="center"/>
      <w:rPr>
        <w:rFonts w:ascii="宋体" w:hAnsi="宋体"/>
      </w:rPr>
    </w:pPr>
    <w:r>
      <w:rPr>
        <w:rFonts w:hint="eastAsia"/>
      </w:rPr>
      <w:t xml:space="preserve">                                                     浙江中正工程项目管理有限公司</w:t>
    </w:r>
  </w:p>
  <w:p>
    <w:pPr>
      <w:pStyle w:val="3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-3133090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46.7pt;height:144pt;width:144pt;mso-position-horizontal:center;mso-position-horizontal-relative:margin;mso-wrap-style:none;z-index:251658240;mso-width-relative:page;mso-height-relative:page;" filled="f" stroked="f" coordsize="21600,21600" o:gfxdata="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lOSUdcAAAAKAQAADwAAAAAAAAABACAA&#10;AAAiAAAAZHJzL2Rvd25yZXYueG1sUEsBAhQAFAAAAAgAh07iQPpO5poOAgAABwQAAA4AAAAAAAAA&#10;AQAgAAAAJgEAAGRycy9lMm9Eb2MueG1sUEsFBgAAAAAGAAYAWQEAAKYFA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rPr>
        <w:rStyle w:val="65"/>
        <w:rFonts w:hint="eastAsia"/>
      </w:rP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p>
    <w:pPr>
      <w:pStyle w:val="39"/>
      <w:pBdr>
        <w:top w:val="single" w:color="auto" w:sz="4" w:space="1"/>
      </w:pBdr>
      <w:jc w:val="center"/>
      <w:rPr>
        <w:rFonts w:ascii="宋体" w:hAnsi="宋体"/>
      </w:rPr>
    </w:pPr>
    <w:r>
      <w:rPr>
        <w:rFonts w:hint="eastAsia"/>
      </w:rPr>
      <w:t xml:space="preserve">                                                     浙江中正工程项目管理有限公司</w:t>
    </w:r>
  </w:p>
  <w:p>
    <w:pPr>
      <w:pStyle w:val="3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-3133090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46.7pt;height:144pt;width:144pt;mso-position-horizontal:center;mso-position-horizontal-relative:margin;mso-wrap-style:none;z-index:251658240;mso-width-relative:page;mso-height-relative:page;" filled="f" stroked="f" coordsize="21600,21600" o:gfxdata="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5TklHXAAAACgEAAA8AAAAAAAAAAQAg&#10;AAAAIgAAAGRycy9kb3ducmV2LnhtbFBLAQIUABQAAAAIAIdO4kDLlzVRDwIAAAcEAAAOAAAAAAAA&#10;AAEAIAAAACYBAABkcnMvZTJvRG9jLnhtbFBLBQYAAAAABgAGAFkBAACnBQAAAAA=&#10;">
              <v:fill on="f" focussize="0,0"/>
              <v:stroke on="f" weight="0.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27C5B"/>
    <w:multiLevelType w:val="multilevel"/>
    <w:tmpl w:val="E7B27C5B"/>
    <w:lvl w:ilvl="0" w:tentative="0">
      <w:start w:val="1"/>
      <w:numFmt w:val="decimal"/>
      <w:lvlText w:val="%1）"/>
      <w:lvlJc w:val="left"/>
      <w:pPr>
        <w:ind w:left="120" w:hanging="365"/>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974" w:hanging="365"/>
      </w:pPr>
      <w:rPr>
        <w:rFonts w:hint="default"/>
        <w:lang w:val="zh-CN" w:eastAsia="zh-CN" w:bidi="zh-CN"/>
      </w:rPr>
    </w:lvl>
    <w:lvl w:ilvl="2" w:tentative="0">
      <w:start w:val="0"/>
      <w:numFmt w:val="bullet"/>
      <w:lvlText w:val="•"/>
      <w:lvlJc w:val="left"/>
      <w:pPr>
        <w:ind w:left="1829" w:hanging="365"/>
      </w:pPr>
      <w:rPr>
        <w:rFonts w:hint="default"/>
        <w:lang w:val="zh-CN" w:eastAsia="zh-CN" w:bidi="zh-CN"/>
      </w:rPr>
    </w:lvl>
    <w:lvl w:ilvl="3" w:tentative="0">
      <w:start w:val="0"/>
      <w:numFmt w:val="bullet"/>
      <w:lvlText w:val="•"/>
      <w:lvlJc w:val="left"/>
      <w:pPr>
        <w:ind w:left="2683" w:hanging="365"/>
      </w:pPr>
      <w:rPr>
        <w:rFonts w:hint="default"/>
        <w:lang w:val="zh-CN" w:eastAsia="zh-CN" w:bidi="zh-CN"/>
      </w:rPr>
    </w:lvl>
    <w:lvl w:ilvl="4" w:tentative="0">
      <w:start w:val="0"/>
      <w:numFmt w:val="bullet"/>
      <w:lvlText w:val="•"/>
      <w:lvlJc w:val="left"/>
      <w:pPr>
        <w:ind w:left="3538" w:hanging="365"/>
      </w:pPr>
      <w:rPr>
        <w:rFonts w:hint="default"/>
        <w:lang w:val="zh-CN" w:eastAsia="zh-CN" w:bidi="zh-CN"/>
      </w:rPr>
    </w:lvl>
    <w:lvl w:ilvl="5" w:tentative="0">
      <w:start w:val="0"/>
      <w:numFmt w:val="bullet"/>
      <w:lvlText w:val="•"/>
      <w:lvlJc w:val="left"/>
      <w:pPr>
        <w:ind w:left="4393" w:hanging="365"/>
      </w:pPr>
      <w:rPr>
        <w:rFonts w:hint="default"/>
        <w:lang w:val="zh-CN" w:eastAsia="zh-CN" w:bidi="zh-CN"/>
      </w:rPr>
    </w:lvl>
    <w:lvl w:ilvl="6" w:tentative="0">
      <w:start w:val="0"/>
      <w:numFmt w:val="bullet"/>
      <w:lvlText w:val="•"/>
      <w:lvlJc w:val="left"/>
      <w:pPr>
        <w:ind w:left="5247" w:hanging="365"/>
      </w:pPr>
      <w:rPr>
        <w:rFonts w:hint="default"/>
        <w:lang w:val="zh-CN" w:eastAsia="zh-CN" w:bidi="zh-CN"/>
      </w:rPr>
    </w:lvl>
    <w:lvl w:ilvl="7" w:tentative="0">
      <w:start w:val="0"/>
      <w:numFmt w:val="bullet"/>
      <w:lvlText w:val="•"/>
      <w:lvlJc w:val="left"/>
      <w:pPr>
        <w:ind w:left="6102" w:hanging="365"/>
      </w:pPr>
      <w:rPr>
        <w:rFonts w:hint="default"/>
        <w:lang w:val="zh-CN" w:eastAsia="zh-CN" w:bidi="zh-CN"/>
      </w:rPr>
    </w:lvl>
    <w:lvl w:ilvl="8" w:tentative="0">
      <w:start w:val="0"/>
      <w:numFmt w:val="bullet"/>
      <w:lvlText w:val="•"/>
      <w:lvlJc w:val="left"/>
      <w:pPr>
        <w:ind w:left="6956" w:hanging="365"/>
      </w:pPr>
      <w:rPr>
        <w:rFonts w:hint="default"/>
        <w:lang w:val="zh-CN" w:eastAsia="zh-CN" w:bidi="zh-CN"/>
      </w:rPr>
    </w:lvl>
  </w:abstractNum>
  <w:abstractNum w:abstractNumId="1">
    <w:nsid w:val="EC74230B"/>
    <w:multiLevelType w:val="singleLevel"/>
    <w:tmpl w:val="EC74230B"/>
    <w:lvl w:ilvl="0" w:tentative="0">
      <w:start w:val="2"/>
      <w:numFmt w:val="chineseCounting"/>
      <w:lvlText w:val="%1、"/>
      <w:lvlJc w:val="left"/>
      <w:rPr>
        <w:rFonts w:hint="eastAsia"/>
      </w:rPr>
    </w:lvl>
  </w:abstractNum>
  <w:abstractNum w:abstractNumId="2">
    <w:nsid w:val="00000006"/>
    <w:multiLevelType w:val="multilevel"/>
    <w:tmpl w:val="00000006"/>
    <w:lvl w:ilvl="0" w:tentative="0">
      <w:start w:val="1"/>
      <w:numFmt w:val="japaneseCounting"/>
      <w:lvlText w:val="%1、"/>
      <w:lvlJc w:val="left"/>
      <w:pPr>
        <w:tabs>
          <w:tab w:val="left" w:pos="1202"/>
        </w:tabs>
        <w:ind w:left="1202" w:hanging="720"/>
      </w:pPr>
      <w:rPr>
        <w:rFonts w:hint="default"/>
      </w:rPr>
    </w:lvl>
    <w:lvl w:ilvl="1" w:tentative="0">
      <w:start w:val="1"/>
      <w:numFmt w:val="decimal"/>
      <w:lvlText w:val="（%2）"/>
      <w:lvlJc w:val="left"/>
      <w:pPr>
        <w:tabs>
          <w:tab w:val="left" w:pos="1622"/>
        </w:tabs>
        <w:ind w:left="1622" w:hanging="72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0000000E"/>
    <w:multiLevelType w:val="multilevel"/>
    <w:tmpl w:val="0000000E"/>
    <w:lvl w:ilvl="0" w:tentative="0">
      <w:start w:val="1"/>
      <w:numFmt w:val="chineseCountingThousand"/>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multilevel"/>
    <w:tmpl w:val="00000015"/>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F1A7BC5"/>
    <w:multiLevelType w:val="multilevel"/>
    <w:tmpl w:val="0F1A7BC5"/>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15C84656"/>
    <w:multiLevelType w:val="multilevel"/>
    <w:tmpl w:val="15C84656"/>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DBA27F7"/>
    <w:multiLevelType w:val="multilevel"/>
    <w:tmpl w:val="1DBA27F7"/>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1" w:firstLine="567"/>
      </w:pPr>
      <w:rPr>
        <w:rFonts w:hint="eastAsia"/>
        <w:b w:val="0"/>
        <w:i w:val="0"/>
      </w:rPr>
    </w:lvl>
    <w:lvl w:ilvl="2" w:tentative="0">
      <w:start w:val="1"/>
      <w:numFmt w:val="decimal"/>
      <w:suff w:val="space"/>
      <w:lvlText w:val="%2.%3"/>
      <w:lvlJc w:val="left"/>
      <w:pPr>
        <w:ind w:left="-141"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2E482C83"/>
    <w:multiLevelType w:val="multilevel"/>
    <w:tmpl w:val="2E482C83"/>
    <w:lvl w:ilvl="0" w:tentative="0">
      <w:start w:val="1"/>
      <w:numFmt w:val="decimal"/>
      <w:lvlText w:val="%1."/>
      <w:lvlJc w:val="left"/>
      <w:pPr>
        <w:ind w:left="901" w:hanging="420"/>
      </w:pPr>
    </w:lvl>
    <w:lvl w:ilvl="1" w:tentative="0">
      <w:start w:val="1"/>
      <w:numFmt w:val="lowerLetter"/>
      <w:lvlText w:val="%2)"/>
      <w:lvlJc w:val="left"/>
      <w:pPr>
        <w:ind w:left="1321" w:hanging="420"/>
      </w:pPr>
    </w:lvl>
    <w:lvl w:ilvl="2" w:tentative="0">
      <w:start w:val="1"/>
      <w:numFmt w:val="lowerRoman"/>
      <w:lvlText w:val="%3."/>
      <w:lvlJc w:val="right"/>
      <w:pPr>
        <w:ind w:left="1741" w:hanging="420"/>
      </w:pPr>
    </w:lvl>
    <w:lvl w:ilvl="3" w:tentative="0">
      <w:start w:val="1"/>
      <w:numFmt w:val="decimal"/>
      <w:lvlText w:val="%4."/>
      <w:lvlJc w:val="left"/>
      <w:pPr>
        <w:ind w:left="2161" w:hanging="420"/>
      </w:pPr>
    </w:lvl>
    <w:lvl w:ilvl="4" w:tentative="0">
      <w:start w:val="1"/>
      <w:numFmt w:val="lowerLetter"/>
      <w:lvlText w:val="%5)"/>
      <w:lvlJc w:val="left"/>
      <w:pPr>
        <w:ind w:left="2581" w:hanging="420"/>
      </w:pPr>
    </w:lvl>
    <w:lvl w:ilvl="5" w:tentative="0">
      <w:start w:val="1"/>
      <w:numFmt w:val="lowerRoman"/>
      <w:lvlText w:val="%6."/>
      <w:lvlJc w:val="right"/>
      <w:pPr>
        <w:ind w:left="3001" w:hanging="420"/>
      </w:pPr>
    </w:lvl>
    <w:lvl w:ilvl="6" w:tentative="0">
      <w:start w:val="1"/>
      <w:numFmt w:val="decimal"/>
      <w:lvlText w:val="%7."/>
      <w:lvlJc w:val="left"/>
      <w:pPr>
        <w:ind w:left="3421" w:hanging="420"/>
      </w:pPr>
    </w:lvl>
    <w:lvl w:ilvl="7" w:tentative="0">
      <w:start w:val="1"/>
      <w:numFmt w:val="lowerLetter"/>
      <w:lvlText w:val="%8)"/>
      <w:lvlJc w:val="left"/>
      <w:pPr>
        <w:ind w:left="3841" w:hanging="420"/>
      </w:pPr>
    </w:lvl>
    <w:lvl w:ilvl="8" w:tentative="0">
      <w:start w:val="1"/>
      <w:numFmt w:val="lowerRoman"/>
      <w:lvlText w:val="%9."/>
      <w:lvlJc w:val="right"/>
      <w:pPr>
        <w:ind w:left="4261" w:hanging="420"/>
      </w:pPr>
    </w:lvl>
  </w:abstractNum>
  <w:abstractNum w:abstractNumId="10">
    <w:nsid w:val="35B46A54"/>
    <w:multiLevelType w:val="multilevel"/>
    <w:tmpl w:val="35B46A54"/>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5EC69AF"/>
    <w:multiLevelType w:val="multilevel"/>
    <w:tmpl w:val="35EC69AF"/>
    <w:lvl w:ilvl="0" w:tentative="0">
      <w:start w:val="4"/>
      <w:numFmt w:val="chineseCountingThousand"/>
      <w:suff w:val="space"/>
      <w:lvlText w:val="%1、"/>
      <w:lvlJc w:val="left"/>
      <w:pPr>
        <w:ind w:left="993" w:firstLine="142"/>
      </w:pPr>
      <w:rPr>
        <w:rFonts w:hint="eastAsia"/>
      </w:rPr>
    </w:lvl>
    <w:lvl w:ilvl="1" w:tentative="0">
      <w:start w:val="10"/>
      <w:numFmt w:val="decimal"/>
      <w:suff w:val="space"/>
      <w:lvlText w:val="%2"/>
      <w:lvlJc w:val="left"/>
      <w:pPr>
        <w:ind w:left="568" w:firstLine="567"/>
      </w:pPr>
      <w:rPr>
        <w:rFonts w:hint="eastAsia"/>
        <w:b w:val="0"/>
        <w:i w:val="0"/>
      </w:rPr>
    </w:lvl>
    <w:lvl w:ilvl="2" w:tentative="0">
      <w:start w:val="1"/>
      <w:numFmt w:val="decimal"/>
      <w:suff w:val="nothing"/>
      <w:lvlText w:val="%2.%3"/>
      <w:lvlJc w:val="left"/>
      <w:pPr>
        <w:ind w:left="568" w:firstLine="567"/>
      </w:pPr>
      <w:rPr>
        <w:rFonts w:hint="eastAsia"/>
      </w:rPr>
    </w:lvl>
    <w:lvl w:ilvl="3" w:tentative="0">
      <w:start w:val="1"/>
      <w:numFmt w:val="decimal"/>
      <w:suff w:val="nothing"/>
      <w:lvlText w:val="%2.%3.%4"/>
      <w:lvlJc w:val="left"/>
      <w:pPr>
        <w:ind w:left="568" w:firstLine="567"/>
      </w:pPr>
      <w:rPr>
        <w:rFonts w:hint="default"/>
      </w:rPr>
    </w:lvl>
    <w:lvl w:ilvl="4" w:tentative="0">
      <w:start w:val="1"/>
      <w:numFmt w:val="decimal"/>
      <w:lvlText w:val="%1.%2.%3.%4.%5"/>
      <w:lvlJc w:val="left"/>
      <w:pPr>
        <w:tabs>
          <w:tab w:val="left" w:pos="3119"/>
        </w:tabs>
        <w:ind w:left="3119" w:hanging="850"/>
      </w:pPr>
      <w:rPr>
        <w:rFonts w:hint="eastAsia"/>
      </w:rPr>
    </w:lvl>
    <w:lvl w:ilvl="5" w:tentative="0">
      <w:start w:val="1"/>
      <w:numFmt w:val="decimal"/>
      <w:lvlText w:val="%1.%2.%3.%4.%5.%6"/>
      <w:lvlJc w:val="left"/>
      <w:pPr>
        <w:tabs>
          <w:tab w:val="left" w:pos="3828"/>
        </w:tabs>
        <w:ind w:left="3828" w:hanging="1134"/>
      </w:pPr>
      <w:rPr>
        <w:rFonts w:hint="eastAsia"/>
      </w:rPr>
    </w:lvl>
    <w:lvl w:ilvl="6" w:tentative="0">
      <w:start w:val="1"/>
      <w:numFmt w:val="decimal"/>
      <w:lvlText w:val="%1.%2.%3.%4.%5.%6.%7"/>
      <w:lvlJc w:val="left"/>
      <w:pPr>
        <w:tabs>
          <w:tab w:val="left" w:pos="4395"/>
        </w:tabs>
        <w:ind w:left="4395" w:hanging="1276"/>
      </w:pPr>
      <w:rPr>
        <w:rFonts w:hint="eastAsia"/>
      </w:rPr>
    </w:lvl>
    <w:lvl w:ilvl="7" w:tentative="0">
      <w:start w:val="1"/>
      <w:numFmt w:val="decimal"/>
      <w:lvlText w:val="%1.%2.%3.%4.%5.%6.%7.%8"/>
      <w:lvlJc w:val="left"/>
      <w:pPr>
        <w:tabs>
          <w:tab w:val="left" w:pos="4962"/>
        </w:tabs>
        <w:ind w:left="4962" w:hanging="1418"/>
      </w:pPr>
      <w:rPr>
        <w:rFonts w:hint="eastAsia"/>
      </w:rPr>
    </w:lvl>
    <w:lvl w:ilvl="8" w:tentative="0">
      <w:start w:val="1"/>
      <w:numFmt w:val="decimal"/>
      <w:lvlText w:val="%1.%2.%3.%4.%5.%6.%7.%8.%9"/>
      <w:lvlJc w:val="left"/>
      <w:pPr>
        <w:tabs>
          <w:tab w:val="left" w:pos="5670"/>
        </w:tabs>
        <w:ind w:left="5670" w:hanging="1700"/>
      </w:pPr>
      <w:rPr>
        <w:rFonts w:hint="eastAsia"/>
      </w:rPr>
    </w:lvl>
  </w:abstractNum>
  <w:abstractNum w:abstractNumId="12">
    <w:nsid w:val="3A2C6EEC"/>
    <w:multiLevelType w:val="multilevel"/>
    <w:tmpl w:val="3A2C6EEC"/>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54F403B5"/>
    <w:multiLevelType w:val="singleLevel"/>
    <w:tmpl w:val="54F403B5"/>
    <w:lvl w:ilvl="0" w:tentative="0">
      <w:start w:val="1"/>
      <w:numFmt w:val="chineseCounting"/>
      <w:suff w:val="nothing"/>
      <w:lvlText w:val="%1、"/>
      <w:lvlJc w:val="left"/>
    </w:lvl>
  </w:abstractNum>
  <w:abstractNum w:abstractNumId="15">
    <w:nsid w:val="557FD3DA"/>
    <w:multiLevelType w:val="singleLevel"/>
    <w:tmpl w:val="557FD3DA"/>
    <w:lvl w:ilvl="0" w:tentative="0">
      <w:start w:val="3"/>
      <w:numFmt w:val="chineseCounting"/>
      <w:suff w:val="nothing"/>
      <w:lvlText w:val="%1、"/>
      <w:lvlJc w:val="left"/>
    </w:lvl>
  </w:abstractNum>
  <w:abstractNum w:abstractNumId="16">
    <w:nsid w:val="55D767D1"/>
    <w:multiLevelType w:val="multilevel"/>
    <w:tmpl w:val="55D767D1"/>
    <w:lvl w:ilvl="0" w:tentative="0">
      <w:start w:val="1"/>
      <w:numFmt w:val="japaneseCounting"/>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7">
    <w:nsid w:val="58CD3374"/>
    <w:multiLevelType w:val="singleLevel"/>
    <w:tmpl w:val="58CD3374"/>
    <w:lvl w:ilvl="0" w:tentative="0">
      <w:start w:val="3"/>
      <w:numFmt w:val="chineseCounting"/>
      <w:suff w:val="space"/>
      <w:lvlText w:val="第%1章"/>
      <w:lvlJc w:val="left"/>
    </w:lvl>
  </w:abstractNum>
  <w:abstractNum w:abstractNumId="18">
    <w:nsid w:val="77775A4F"/>
    <w:multiLevelType w:val="multilevel"/>
    <w:tmpl w:val="77775A4F"/>
    <w:lvl w:ilvl="0" w:tentative="0">
      <w:start w:val="1"/>
      <w:numFmt w:val="decimal"/>
      <w:lvlText w:val="%1、"/>
      <w:lvlJc w:val="left"/>
      <w:pPr>
        <w:tabs>
          <w:tab w:val="left" w:pos="1047"/>
        </w:tabs>
        <w:ind w:left="1047" w:hanging="480"/>
      </w:pPr>
      <w:rPr>
        <w:rFonts w:hint="default"/>
        <w:b/>
        <w:color w:val="000000"/>
      </w:rPr>
    </w:lvl>
    <w:lvl w:ilvl="1" w:tentative="0">
      <w:start w:val="1"/>
      <w:numFmt w:val="chineseCountingThousand"/>
      <w:lvlText w:val="%2、"/>
      <w:lvlJc w:val="left"/>
      <w:pPr>
        <w:tabs>
          <w:tab w:val="left" w:pos="840"/>
        </w:tabs>
        <w:ind w:left="840" w:hanging="420"/>
      </w:pPr>
      <w:rPr>
        <w:rFonts w:hint="eastAsia"/>
        <w:b/>
        <w:color w:val="000000"/>
      </w:rPr>
    </w:lvl>
    <w:lvl w:ilvl="2" w:tentative="0">
      <w:start w:val="1"/>
      <w:numFmt w:val="chineseCountingThousand"/>
      <w:lvlText w:val="%3、"/>
      <w:lvlJc w:val="left"/>
      <w:pPr>
        <w:tabs>
          <w:tab w:val="left" w:pos="1260"/>
        </w:tabs>
        <w:ind w:left="1260" w:hanging="420"/>
      </w:pPr>
      <w:rPr>
        <w:rFonts w:hint="eastAsia"/>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8"/>
  </w:num>
  <w:num w:numId="3">
    <w:abstractNumId w:val="13"/>
  </w:num>
  <w:num w:numId="4">
    <w:abstractNumId w:val="11"/>
  </w:num>
  <w:num w:numId="5">
    <w:abstractNumId w:val="7"/>
  </w:num>
  <w:num w:numId="6">
    <w:abstractNumId w:val="17"/>
  </w:num>
  <w:num w:numId="7">
    <w:abstractNumId w:val="0"/>
  </w:num>
  <w:num w:numId="8">
    <w:abstractNumId w:val="1"/>
  </w:num>
  <w:num w:numId="9">
    <w:abstractNumId w:val="16"/>
  </w:num>
  <w:num w:numId="10">
    <w:abstractNumId w:val="5"/>
  </w:num>
  <w:num w:numId="11">
    <w:abstractNumId w:val="10"/>
  </w:num>
  <w:num w:numId="12">
    <w:abstractNumId w:val="2"/>
  </w:num>
  <w:num w:numId="13">
    <w:abstractNumId w:val="4"/>
  </w:num>
  <w:num w:numId="14">
    <w:abstractNumId w:val="18"/>
  </w:num>
  <w:num w:numId="15">
    <w:abstractNumId w:val="6"/>
  </w:num>
  <w:num w:numId="16">
    <w:abstractNumId w:val="9"/>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B"/>
    <w:rsid w:val="00001512"/>
    <w:rsid w:val="0000185F"/>
    <w:rsid w:val="0000332A"/>
    <w:rsid w:val="000044BC"/>
    <w:rsid w:val="00006B8C"/>
    <w:rsid w:val="00026926"/>
    <w:rsid w:val="0003498A"/>
    <w:rsid w:val="00037A90"/>
    <w:rsid w:val="000406C4"/>
    <w:rsid w:val="00046C0D"/>
    <w:rsid w:val="00047285"/>
    <w:rsid w:val="000555FC"/>
    <w:rsid w:val="000572FB"/>
    <w:rsid w:val="00075A8D"/>
    <w:rsid w:val="000801B8"/>
    <w:rsid w:val="0008286D"/>
    <w:rsid w:val="00086063"/>
    <w:rsid w:val="00092BA1"/>
    <w:rsid w:val="000964F2"/>
    <w:rsid w:val="000A083F"/>
    <w:rsid w:val="000A5632"/>
    <w:rsid w:val="000B08C7"/>
    <w:rsid w:val="000B7A5C"/>
    <w:rsid w:val="000C1F7D"/>
    <w:rsid w:val="000C3856"/>
    <w:rsid w:val="000D1FD2"/>
    <w:rsid w:val="000D48C2"/>
    <w:rsid w:val="000D523E"/>
    <w:rsid w:val="000D65C0"/>
    <w:rsid w:val="000D66B4"/>
    <w:rsid w:val="000D79D0"/>
    <w:rsid w:val="000E3304"/>
    <w:rsid w:val="000E3ECF"/>
    <w:rsid w:val="000E460D"/>
    <w:rsid w:val="000F3914"/>
    <w:rsid w:val="000F637A"/>
    <w:rsid w:val="001008C0"/>
    <w:rsid w:val="001030FC"/>
    <w:rsid w:val="001031A1"/>
    <w:rsid w:val="001052C2"/>
    <w:rsid w:val="00106484"/>
    <w:rsid w:val="00106DAF"/>
    <w:rsid w:val="0010777A"/>
    <w:rsid w:val="00110B24"/>
    <w:rsid w:val="00110BC5"/>
    <w:rsid w:val="001162F1"/>
    <w:rsid w:val="00124D39"/>
    <w:rsid w:val="001260D7"/>
    <w:rsid w:val="00126E7D"/>
    <w:rsid w:val="00130B3C"/>
    <w:rsid w:val="00132F3C"/>
    <w:rsid w:val="00137232"/>
    <w:rsid w:val="001455ED"/>
    <w:rsid w:val="0015185E"/>
    <w:rsid w:val="0015436B"/>
    <w:rsid w:val="0015479F"/>
    <w:rsid w:val="001574FB"/>
    <w:rsid w:val="001602CE"/>
    <w:rsid w:val="00161041"/>
    <w:rsid w:val="001614F9"/>
    <w:rsid w:val="00172AAD"/>
    <w:rsid w:val="00172D6C"/>
    <w:rsid w:val="00175130"/>
    <w:rsid w:val="001765DC"/>
    <w:rsid w:val="00176C66"/>
    <w:rsid w:val="00177A51"/>
    <w:rsid w:val="00182131"/>
    <w:rsid w:val="00185A01"/>
    <w:rsid w:val="00185DF3"/>
    <w:rsid w:val="001879DE"/>
    <w:rsid w:val="00190E59"/>
    <w:rsid w:val="001975C4"/>
    <w:rsid w:val="001A155E"/>
    <w:rsid w:val="001A4D00"/>
    <w:rsid w:val="001A754C"/>
    <w:rsid w:val="001C3D20"/>
    <w:rsid w:val="001C5932"/>
    <w:rsid w:val="001D7ADC"/>
    <w:rsid w:val="001E394F"/>
    <w:rsid w:val="001E3D53"/>
    <w:rsid w:val="001F2271"/>
    <w:rsid w:val="001F2977"/>
    <w:rsid w:val="001F39EA"/>
    <w:rsid w:val="001F4F8B"/>
    <w:rsid w:val="001F5E13"/>
    <w:rsid w:val="001F7010"/>
    <w:rsid w:val="00202D82"/>
    <w:rsid w:val="002043F3"/>
    <w:rsid w:val="00216D82"/>
    <w:rsid w:val="002213C2"/>
    <w:rsid w:val="00221D23"/>
    <w:rsid w:val="00224F85"/>
    <w:rsid w:val="00230B4D"/>
    <w:rsid w:val="002320B4"/>
    <w:rsid w:val="002444AB"/>
    <w:rsid w:val="00250B67"/>
    <w:rsid w:val="0025163B"/>
    <w:rsid w:val="00252661"/>
    <w:rsid w:val="00257695"/>
    <w:rsid w:val="00262078"/>
    <w:rsid w:val="0026457C"/>
    <w:rsid w:val="00266965"/>
    <w:rsid w:val="00271B3F"/>
    <w:rsid w:val="00272BDE"/>
    <w:rsid w:val="002758B6"/>
    <w:rsid w:val="00280407"/>
    <w:rsid w:val="00282A5A"/>
    <w:rsid w:val="00287E75"/>
    <w:rsid w:val="00292065"/>
    <w:rsid w:val="0029533B"/>
    <w:rsid w:val="002A471A"/>
    <w:rsid w:val="002A644C"/>
    <w:rsid w:val="002B2360"/>
    <w:rsid w:val="002B2577"/>
    <w:rsid w:val="002B65A5"/>
    <w:rsid w:val="002C2110"/>
    <w:rsid w:val="002C5EAC"/>
    <w:rsid w:val="002D1682"/>
    <w:rsid w:val="002D56E5"/>
    <w:rsid w:val="002E416C"/>
    <w:rsid w:val="002F0027"/>
    <w:rsid w:val="002F1316"/>
    <w:rsid w:val="003052BC"/>
    <w:rsid w:val="003055FE"/>
    <w:rsid w:val="003065C6"/>
    <w:rsid w:val="003076A5"/>
    <w:rsid w:val="00311BDB"/>
    <w:rsid w:val="00313F1E"/>
    <w:rsid w:val="00320236"/>
    <w:rsid w:val="00322A16"/>
    <w:rsid w:val="00326FF2"/>
    <w:rsid w:val="00335AB1"/>
    <w:rsid w:val="0034166B"/>
    <w:rsid w:val="003419AB"/>
    <w:rsid w:val="003454A7"/>
    <w:rsid w:val="00346504"/>
    <w:rsid w:val="00346DAF"/>
    <w:rsid w:val="00352D9B"/>
    <w:rsid w:val="003578F4"/>
    <w:rsid w:val="00365119"/>
    <w:rsid w:val="00365AB6"/>
    <w:rsid w:val="00376DCD"/>
    <w:rsid w:val="00380F5C"/>
    <w:rsid w:val="00381FB9"/>
    <w:rsid w:val="00390C71"/>
    <w:rsid w:val="00397F3F"/>
    <w:rsid w:val="003A1D2B"/>
    <w:rsid w:val="003A2840"/>
    <w:rsid w:val="003A5D5B"/>
    <w:rsid w:val="003A61FB"/>
    <w:rsid w:val="003A6412"/>
    <w:rsid w:val="003B061C"/>
    <w:rsid w:val="003B25B0"/>
    <w:rsid w:val="003C3646"/>
    <w:rsid w:val="003C3668"/>
    <w:rsid w:val="003C7B65"/>
    <w:rsid w:val="003D004F"/>
    <w:rsid w:val="003D186E"/>
    <w:rsid w:val="003D2DBB"/>
    <w:rsid w:val="003E39B3"/>
    <w:rsid w:val="003E5B40"/>
    <w:rsid w:val="003E5FDD"/>
    <w:rsid w:val="003F4F80"/>
    <w:rsid w:val="003F7DEC"/>
    <w:rsid w:val="004002B3"/>
    <w:rsid w:val="004021EA"/>
    <w:rsid w:val="004039A4"/>
    <w:rsid w:val="00403C5A"/>
    <w:rsid w:val="00405D24"/>
    <w:rsid w:val="0041357B"/>
    <w:rsid w:val="00414489"/>
    <w:rsid w:val="00415E98"/>
    <w:rsid w:val="00416120"/>
    <w:rsid w:val="0042304A"/>
    <w:rsid w:val="0042464B"/>
    <w:rsid w:val="00426456"/>
    <w:rsid w:val="0043417D"/>
    <w:rsid w:val="00435CCD"/>
    <w:rsid w:val="0044233C"/>
    <w:rsid w:val="00444377"/>
    <w:rsid w:val="00445E88"/>
    <w:rsid w:val="0044712D"/>
    <w:rsid w:val="00454ACE"/>
    <w:rsid w:val="00455B02"/>
    <w:rsid w:val="00455D3A"/>
    <w:rsid w:val="00462B5A"/>
    <w:rsid w:val="004649A2"/>
    <w:rsid w:val="004651A0"/>
    <w:rsid w:val="00465398"/>
    <w:rsid w:val="004757C2"/>
    <w:rsid w:val="004849FE"/>
    <w:rsid w:val="00485041"/>
    <w:rsid w:val="00490450"/>
    <w:rsid w:val="004912DA"/>
    <w:rsid w:val="0049408E"/>
    <w:rsid w:val="00495BC4"/>
    <w:rsid w:val="004A0925"/>
    <w:rsid w:val="004A1641"/>
    <w:rsid w:val="004A576C"/>
    <w:rsid w:val="004B0A8E"/>
    <w:rsid w:val="004B1C7E"/>
    <w:rsid w:val="004B2649"/>
    <w:rsid w:val="004B6C8D"/>
    <w:rsid w:val="004C5124"/>
    <w:rsid w:val="004C6EAF"/>
    <w:rsid w:val="004C7048"/>
    <w:rsid w:val="004C7D3F"/>
    <w:rsid w:val="004D07AE"/>
    <w:rsid w:val="004D31C1"/>
    <w:rsid w:val="004D6C6B"/>
    <w:rsid w:val="004E027F"/>
    <w:rsid w:val="004E1EDF"/>
    <w:rsid w:val="004F61CF"/>
    <w:rsid w:val="00507D7E"/>
    <w:rsid w:val="00512A8B"/>
    <w:rsid w:val="00513CE6"/>
    <w:rsid w:val="005217CD"/>
    <w:rsid w:val="005232C2"/>
    <w:rsid w:val="00524919"/>
    <w:rsid w:val="00524935"/>
    <w:rsid w:val="00526D76"/>
    <w:rsid w:val="00527BD5"/>
    <w:rsid w:val="005367E3"/>
    <w:rsid w:val="0054291E"/>
    <w:rsid w:val="00542B8C"/>
    <w:rsid w:val="00553E28"/>
    <w:rsid w:val="00561825"/>
    <w:rsid w:val="0057378B"/>
    <w:rsid w:val="005779B3"/>
    <w:rsid w:val="00577D83"/>
    <w:rsid w:val="00580847"/>
    <w:rsid w:val="00584CCB"/>
    <w:rsid w:val="005851E2"/>
    <w:rsid w:val="00590941"/>
    <w:rsid w:val="00591C85"/>
    <w:rsid w:val="00591E73"/>
    <w:rsid w:val="005A0D2E"/>
    <w:rsid w:val="005A0F1B"/>
    <w:rsid w:val="005A3338"/>
    <w:rsid w:val="005A506F"/>
    <w:rsid w:val="005B0BE0"/>
    <w:rsid w:val="005B1994"/>
    <w:rsid w:val="005B1C50"/>
    <w:rsid w:val="005B3D41"/>
    <w:rsid w:val="005B7CD7"/>
    <w:rsid w:val="005C3BD1"/>
    <w:rsid w:val="005C3E8D"/>
    <w:rsid w:val="005D1D65"/>
    <w:rsid w:val="005D581F"/>
    <w:rsid w:val="005E6751"/>
    <w:rsid w:val="005F0975"/>
    <w:rsid w:val="005F1BDC"/>
    <w:rsid w:val="005F46D8"/>
    <w:rsid w:val="005F4964"/>
    <w:rsid w:val="0061743D"/>
    <w:rsid w:val="00617B42"/>
    <w:rsid w:val="00624E85"/>
    <w:rsid w:val="0063091B"/>
    <w:rsid w:val="00633590"/>
    <w:rsid w:val="006343A5"/>
    <w:rsid w:val="00634866"/>
    <w:rsid w:val="006353EF"/>
    <w:rsid w:val="00636E05"/>
    <w:rsid w:val="00640105"/>
    <w:rsid w:val="00643572"/>
    <w:rsid w:val="00643EDA"/>
    <w:rsid w:val="0064785E"/>
    <w:rsid w:val="00647EDC"/>
    <w:rsid w:val="006508E0"/>
    <w:rsid w:val="00653FE2"/>
    <w:rsid w:val="00654613"/>
    <w:rsid w:val="006555D8"/>
    <w:rsid w:val="006563E0"/>
    <w:rsid w:val="00657E1C"/>
    <w:rsid w:val="00660790"/>
    <w:rsid w:val="00662C02"/>
    <w:rsid w:val="0066318B"/>
    <w:rsid w:val="0066320E"/>
    <w:rsid w:val="00665B91"/>
    <w:rsid w:val="0066668E"/>
    <w:rsid w:val="00666C14"/>
    <w:rsid w:val="00684968"/>
    <w:rsid w:val="006945D0"/>
    <w:rsid w:val="00694B48"/>
    <w:rsid w:val="006A0C0F"/>
    <w:rsid w:val="006A372E"/>
    <w:rsid w:val="006A4FE2"/>
    <w:rsid w:val="006A53D4"/>
    <w:rsid w:val="006A713B"/>
    <w:rsid w:val="006B2D17"/>
    <w:rsid w:val="006E0F27"/>
    <w:rsid w:val="006E25AB"/>
    <w:rsid w:val="006F7368"/>
    <w:rsid w:val="006F7D98"/>
    <w:rsid w:val="007004B6"/>
    <w:rsid w:val="00701C04"/>
    <w:rsid w:val="00704A71"/>
    <w:rsid w:val="00712019"/>
    <w:rsid w:val="007169AF"/>
    <w:rsid w:val="00726876"/>
    <w:rsid w:val="007316E9"/>
    <w:rsid w:val="00733057"/>
    <w:rsid w:val="0073362F"/>
    <w:rsid w:val="00733661"/>
    <w:rsid w:val="00737080"/>
    <w:rsid w:val="00737FFA"/>
    <w:rsid w:val="007408F1"/>
    <w:rsid w:val="00745BFC"/>
    <w:rsid w:val="0075343B"/>
    <w:rsid w:val="0075423F"/>
    <w:rsid w:val="0076062F"/>
    <w:rsid w:val="00761DFF"/>
    <w:rsid w:val="00764A3C"/>
    <w:rsid w:val="0077106C"/>
    <w:rsid w:val="00774193"/>
    <w:rsid w:val="00777598"/>
    <w:rsid w:val="00780A2B"/>
    <w:rsid w:val="0078117A"/>
    <w:rsid w:val="0078431C"/>
    <w:rsid w:val="00784FCA"/>
    <w:rsid w:val="00786E16"/>
    <w:rsid w:val="00787D02"/>
    <w:rsid w:val="00793837"/>
    <w:rsid w:val="00797274"/>
    <w:rsid w:val="007A1CC6"/>
    <w:rsid w:val="007A4479"/>
    <w:rsid w:val="007A605B"/>
    <w:rsid w:val="007B0BD2"/>
    <w:rsid w:val="007B41DC"/>
    <w:rsid w:val="007C04D9"/>
    <w:rsid w:val="007C3C36"/>
    <w:rsid w:val="007D4278"/>
    <w:rsid w:val="007D583E"/>
    <w:rsid w:val="007D6D1C"/>
    <w:rsid w:val="007E3072"/>
    <w:rsid w:val="007F0146"/>
    <w:rsid w:val="007F04ED"/>
    <w:rsid w:val="007F256D"/>
    <w:rsid w:val="007F293C"/>
    <w:rsid w:val="007F59B3"/>
    <w:rsid w:val="007F6F60"/>
    <w:rsid w:val="00802D20"/>
    <w:rsid w:val="0080432F"/>
    <w:rsid w:val="00804A0E"/>
    <w:rsid w:val="00805511"/>
    <w:rsid w:val="00811A97"/>
    <w:rsid w:val="008130B3"/>
    <w:rsid w:val="0081586D"/>
    <w:rsid w:val="00815893"/>
    <w:rsid w:val="00816AEF"/>
    <w:rsid w:val="00823D2D"/>
    <w:rsid w:val="00833B4B"/>
    <w:rsid w:val="00836884"/>
    <w:rsid w:val="00846704"/>
    <w:rsid w:val="008519B4"/>
    <w:rsid w:val="0085334F"/>
    <w:rsid w:val="0085452E"/>
    <w:rsid w:val="00860A16"/>
    <w:rsid w:val="008749CE"/>
    <w:rsid w:val="00877586"/>
    <w:rsid w:val="00877F48"/>
    <w:rsid w:val="00880555"/>
    <w:rsid w:val="00881521"/>
    <w:rsid w:val="0088193B"/>
    <w:rsid w:val="008821B4"/>
    <w:rsid w:val="00883D30"/>
    <w:rsid w:val="00887661"/>
    <w:rsid w:val="00891818"/>
    <w:rsid w:val="00892D0C"/>
    <w:rsid w:val="00892D64"/>
    <w:rsid w:val="00896162"/>
    <w:rsid w:val="00896435"/>
    <w:rsid w:val="00896E18"/>
    <w:rsid w:val="008A1046"/>
    <w:rsid w:val="008A270D"/>
    <w:rsid w:val="008A2C38"/>
    <w:rsid w:val="008A35FB"/>
    <w:rsid w:val="008A7032"/>
    <w:rsid w:val="008B1346"/>
    <w:rsid w:val="008B47DB"/>
    <w:rsid w:val="008B572C"/>
    <w:rsid w:val="008C110D"/>
    <w:rsid w:val="008C1570"/>
    <w:rsid w:val="008C4989"/>
    <w:rsid w:val="008C63E4"/>
    <w:rsid w:val="008C689F"/>
    <w:rsid w:val="008C721E"/>
    <w:rsid w:val="008D0228"/>
    <w:rsid w:val="008D4AB5"/>
    <w:rsid w:val="008E3D46"/>
    <w:rsid w:val="008E4BDD"/>
    <w:rsid w:val="008F2928"/>
    <w:rsid w:val="008F4164"/>
    <w:rsid w:val="008F62E7"/>
    <w:rsid w:val="008F6719"/>
    <w:rsid w:val="008F7C5B"/>
    <w:rsid w:val="0090188D"/>
    <w:rsid w:val="009118DB"/>
    <w:rsid w:val="009120B7"/>
    <w:rsid w:val="00916007"/>
    <w:rsid w:val="009173D5"/>
    <w:rsid w:val="009229D2"/>
    <w:rsid w:val="00924908"/>
    <w:rsid w:val="0092550D"/>
    <w:rsid w:val="009324C2"/>
    <w:rsid w:val="00941C89"/>
    <w:rsid w:val="00950117"/>
    <w:rsid w:val="009524D1"/>
    <w:rsid w:val="00956803"/>
    <w:rsid w:val="009635D7"/>
    <w:rsid w:val="00965515"/>
    <w:rsid w:val="00970543"/>
    <w:rsid w:val="0097204F"/>
    <w:rsid w:val="009739C9"/>
    <w:rsid w:val="009864EE"/>
    <w:rsid w:val="0099037C"/>
    <w:rsid w:val="00990E4F"/>
    <w:rsid w:val="009956C9"/>
    <w:rsid w:val="009A294D"/>
    <w:rsid w:val="009A2A8F"/>
    <w:rsid w:val="009A386A"/>
    <w:rsid w:val="009A47CC"/>
    <w:rsid w:val="009B27A1"/>
    <w:rsid w:val="009B362D"/>
    <w:rsid w:val="009C0EEE"/>
    <w:rsid w:val="009C2DB5"/>
    <w:rsid w:val="009C4E31"/>
    <w:rsid w:val="009C70D7"/>
    <w:rsid w:val="009D0B0B"/>
    <w:rsid w:val="009D0D6E"/>
    <w:rsid w:val="009D376E"/>
    <w:rsid w:val="009D784B"/>
    <w:rsid w:val="009E01B1"/>
    <w:rsid w:val="009E2AF5"/>
    <w:rsid w:val="009E33E5"/>
    <w:rsid w:val="009E5A7D"/>
    <w:rsid w:val="009F04B9"/>
    <w:rsid w:val="009F22B4"/>
    <w:rsid w:val="009F6661"/>
    <w:rsid w:val="009F6EB0"/>
    <w:rsid w:val="00A0390C"/>
    <w:rsid w:val="00A17B37"/>
    <w:rsid w:val="00A2336F"/>
    <w:rsid w:val="00A23B1D"/>
    <w:rsid w:val="00A32508"/>
    <w:rsid w:val="00A341F5"/>
    <w:rsid w:val="00A360D8"/>
    <w:rsid w:val="00A402D8"/>
    <w:rsid w:val="00A42E41"/>
    <w:rsid w:val="00A43E3E"/>
    <w:rsid w:val="00A4501E"/>
    <w:rsid w:val="00A52C99"/>
    <w:rsid w:val="00A55D32"/>
    <w:rsid w:val="00A63212"/>
    <w:rsid w:val="00A63E5D"/>
    <w:rsid w:val="00A71886"/>
    <w:rsid w:val="00A73F37"/>
    <w:rsid w:val="00A804E0"/>
    <w:rsid w:val="00A813EA"/>
    <w:rsid w:val="00A83F9B"/>
    <w:rsid w:val="00A84286"/>
    <w:rsid w:val="00A850ED"/>
    <w:rsid w:val="00A85478"/>
    <w:rsid w:val="00A9535D"/>
    <w:rsid w:val="00A9602F"/>
    <w:rsid w:val="00AB11A0"/>
    <w:rsid w:val="00AB3E9E"/>
    <w:rsid w:val="00AB70C7"/>
    <w:rsid w:val="00AC3369"/>
    <w:rsid w:val="00AC5BE7"/>
    <w:rsid w:val="00AD1C6A"/>
    <w:rsid w:val="00AD4765"/>
    <w:rsid w:val="00AE0B33"/>
    <w:rsid w:val="00AF2098"/>
    <w:rsid w:val="00AF43FD"/>
    <w:rsid w:val="00AF7356"/>
    <w:rsid w:val="00AF7832"/>
    <w:rsid w:val="00B04537"/>
    <w:rsid w:val="00B108C9"/>
    <w:rsid w:val="00B13AAF"/>
    <w:rsid w:val="00B14950"/>
    <w:rsid w:val="00B16929"/>
    <w:rsid w:val="00B17C3F"/>
    <w:rsid w:val="00B31559"/>
    <w:rsid w:val="00B433FD"/>
    <w:rsid w:val="00B45799"/>
    <w:rsid w:val="00B511E1"/>
    <w:rsid w:val="00B562E8"/>
    <w:rsid w:val="00B61E3A"/>
    <w:rsid w:val="00B65B24"/>
    <w:rsid w:val="00B661AA"/>
    <w:rsid w:val="00B75A02"/>
    <w:rsid w:val="00B76FE3"/>
    <w:rsid w:val="00B80E2F"/>
    <w:rsid w:val="00B82783"/>
    <w:rsid w:val="00B838A1"/>
    <w:rsid w:val="00B87AF5"/>
    <w:rsid w:val="00B920D7"/>
    <w:rsid w:val="00B920E1"/>
    <w:rsid w:val="00B96888"/>
    <w:rsid w:val="00BA0FA7"/>
    <w:rsid w:val="00BA268E"/>
    <w:rsid w:val="00BB00C7"/>
    <w:rsid w:val="00BB19AE"/>
    <w:rsid w:val="00BB538B"/>
    <w:rsid w:val="00BB7493"/>
    <w:rsid w:val="00BC4723"/>
    <w:rsid w:val="00BC6837"/>
    <w:rsid w:val="00BD31C5"/>
    <w:rsid w:val="00BD497E"/>
    <w:rsid w:val="00BE3290"/>
    <w:rsid w:val="00BE3BEB"/>
    <w:rsid w:val="00BF4667"/>
    <w:rsid w:val="00BF6A9D"/>
    <w:rsid w:val="00C02EC3"/>
    <w:rsid w:val="00C03233"/>
    <w:rsid w:val="00C040FC"/>
    <w:rsid w:val="00C068E2"/>
    <w:rsid w:val="00C07619"/>
    <w:rsid w:val="00C150CA"/>
    <w:rsid w:val="00C21EFA"/>
    <w:rsid w:val="00C2545B"/>
    <w:rsid w:val="00C30224"/>
    <w:rsid w:val="00C31FD5"/>
    <w:rsid w:val="00C34CF5"/>
    <w:rsid w:val="00C40916"/>
    <w:rsid w:val="00C42F2C"/>
    <w:rsid w:val="00C4368F"/>
    <w:rsid w:val="00C450F6"/>
    <w:rsid w:val="00C52017"/>
    <w:rsid w:val="00C5241B"/>
    <w:rsid w:val="00C53F64"/>
    <w:rsid w:val="00C55FA6"/>
    <w:rsid w:val="00C5676B"/>
    <w:rsid w:val="00C56E1B"/>
    <w:rsid w:val="00C61F7D"/>
    <w:rsid w:val="00C639DC"/>
    <w:rsid w:val="00C64FE8"/>
    <w:rsid w:val="00C7272F"/>
    <w:rsid w:val="00C75770"/>
    <w:rsid w:val="00C800C4"/>
    <w:rsid w:val="00C813DA"/>
    <w:rsid w:val="00C82174"/>
    <w:rsid w:val="00C82EA0"/>
    <w:rsid w:val="00C95BA5"/>
    <w:rsid w:val="00C9687E"/>
    <w:rsid w:val="00C9739B"/>
    <w:rsid w:val="00C974F8"/>
    <w:rsid w:val="00CB606F"/>
    <w:rsid w:val="00CC18B7"/>
    <w:rsid w:val="00CC623E"/>
    <w:rsid w:val="00CE4781"/>
    <w:rsid w:val="00CE4B33"/>
    <w:rsid w:val="00CE5341"/>
    <w:rsid w:val="00CF76BD"/>
    <w:rsid w:val="00D000B4"/>
    <w:rsid w:val="00D00B75"/>
    <w:rsid w:val="00D032A5"/>
    <w:rsid w:val="00D04C5A"/>
    <w:rsid w:val="00D073C9"/>
    <w:rsid w:val="00D12421"/>
    <w:rsid w:val="00D15BEC"/>
    <w:rsid w:val="00D16548"/>
    <w:rsid w:val="00D20D4B"/>
    <w:rsid w:val="00D2265A"/>
    <w:rsid w:val="00D253A7"/>
    <w:rsid w:val="00D31205"/>
    <w:rsid w:val="00D347CE"/>
    <w:rsid w:val="00D4295B"/>
    <w:rsid w:val="00D4748B"/>
    <w:rsid w:val="00D56E40"/>
    <w:rsid w:val="00D6228D"/>
    <w:rsid w:val="00D72039"/>
    <w:rsid w:val="00D92964"/>
    <w:rsid w:val="00D9445E"/>
    <w:rsid w:val="00DA5E07"/>
    <w:rsid w:val="00DB0EC2"/>
    <w:rsid w:val="00DB4A95"/>
    <w:rsid w:val="00DB7F7D"/>
    <w:rsid w:val="00DC079B"/>
    <w:rsid w:val="00DC0B33"/>
    <w:rsid w:val="00DC67EF"/>
    <w:rsid w:val="00DC7A91"/>
    <w:rsid w:val="00DD1717"/>
    <w:rsid w:val="00DD38C5"/>
    <w:rsid w:val="00DD3F54"/>
    <w:rsid w:val="00DD47AC"/>
    <w:rsid w:val="00DE0A90"/>
    <w:rsid w:val="00DE1D67"/>
    <w:rsid w:val="00DF3601"/>
    <w:rsid w:val="00DF3628"/>
    <w:rsid w:val="00DF501F"/>
    <w:rsid w:val="00E005B4"/>
    <w:rsid w:val="00E127D1"/>
    <w:rsid w:val="00E12A59"/>
    <w:rsid w:val="00E12E4B"/>
    <w:rsid w:val="00E173B5"/>
    <w:rsid w:val="00E177AA"/>
    <w:rsid w:val="00E21951"/>
    <w:rsid w:val="00E345C9"/>
    <w:rsid w:val="00E3510A"/>
    <w:rsid w:val="00E423E1"/>
    <w:rsid w:val="00E424F9"/>
    <w:rsid w:val="00E4517E"/>
    <w:rsid w:val="00E451B2"/>
    <w:rsid w:val="00E517CA"/>
    <w:rsid w:val="00E51C1E"/>
    <w:rsid w:val="00E80712"/>
    <w:rsid w:val="00E85735"/>
    <w:rsid w:val="00E8693B"/>
    <w:rsid w:val="00E900C1"/>
    <w:rsid w:val="00E922AB"/>
    <w:rsid w:val="00E92C11"/>
    <w:rsid w:val="00E93F9F"/>
    <w:rsid w:val="00EA125E"/>
    <w:rsid w:val="00EA3792"/>
    <w:rsid w:val="00EA37FE"/>
    <w:rsid w:val="00EA4CF9"/>
    <w:rsid w:val="00EB2502"/>
    <w:rsid w:val="00EC0A2F"/>
    <w:rsid w:val="00EC2AD8"/>
    <w:rsid w:val="00EC38DD"/>
    <w:rsid w:val="00EC455A"/>
    <w:rsid w:val="00ED4409"/>
    <w:rsid w:val="00ED7207"/>
    <w:rsid w:val="00ED7921"/>
    <w:rsid w:val="00ED7AA8"/>
    <w:rsid w:val="00EE230E"/>
    <w:rsid w:val="00EE52A6"/>
    <w:rsid w:val="00EF2CF1"/>
    <w:rsid w:val="00EF38CF"/>
    <w:rsid w:val="00EF58C6"/>
    <w:rsid w:val="00EF76F7"/>
    <w:rsid w:val="00F03471"/>
    <w:rsid w:val="00F05965"/>
    <w:rsid w:val="00F05BCF"/>
    <w:rsid w:val="00F0703A"/>
    <w:rsid w:val="00F15561"/>
    <w:rsid w:val="00F21570"/>
    <w:rsid w:val="00F22F57"/>
    <w:rsid w:val="00F24704"/>
    <w:rsid w:val="00F25B02"/>
    <w:rsid w:val="00F27E38"/>
    <w:rsid w:val="00F31CAE"/>
    <w:rsid w:val="00F402F7"/>
    <w:rsid w:val="00F42C05"/>
    <w:rsid w:val="00F436C2"/>
    <w:rsid w:val="00F4455D"/>
    <w:rsid w:val="00F44C62"/>
    <w:rsid w:val="00F51A81"/>
    <w:rsid w:val="00F5524F"/>
    <w:rsid w:val="00F55C57"/>
    <w:rsid w:val="00F615ED"/>
    <w:rsid w:val="00F675A5"/>
    <w:rsid w:val="00F74C90"/>
    <w:rsid w:val="00F77431"/>
    <w:rsid w:val="00F80A7D"/>
    <w:rsid w:val="00F971B4"/>
    <w:rsid w:val="00FA2FBC"/>
    <w:rsid w:val="00FA3275"/>
    <w:rsid w:val="00FA51F6"/>
    <w:rsid w:val="00FA6D63"/>
    <w:rsid w:val="00FB153F"/>
    <w:rsid w:val="00FC0295"/>
    <w:rsid w:val="00FC0C01"/>
    <w:rsid w:val="00FC2D99"/>
    <w:rsid w:val="00FC430F"/>
    <w:rsid w:val="00FC50F3"/>
    <w:rsid w:val="00FC5421"/>
    <w:rsid w:val="00FC6039"/>
    <w:rsid w:val="00FC7AB0"/>
    <w:rsid w:val="00FC7DF4"/>
    <w:rsid w:val="00FD30EA"/>
    <w:rsid w:val="00FD4831"/>
    <w:rsid w:val="00FD4E6B"/>
    <w:rsid w:val="00FD58F7"/>
    <w:rsid w:val="00FE1F46"/>
    <w:rsid w:val="00FE2DA5"/>
    <w:rsid w:val="00FF1EFD"/>
    <w:rsid w:val="00FF4FB7"/>
    <w:rsid w:val="010A307A"/>
    <w:rsid w:val="010D3219"/>
    <w:rsid w:val="0116669F"/>
    <w:rsid w:val="013E2F72"/>
    <w:rsid w:val="016C1C6B"/>
    <w:rsid w:val="0216400A"/>
    <w:rsid w:val="02175EBD"/>
    <w:rsid w:val="02C31395"/>
    <w:rsid w:val="035217D8"/>
    <w:rsid w:val="03A93410"/>
    <w:rsid w:val="03E56902"/>
    <w:rsid w:val="0473671F"/>
    <w:rsid w:val="04A107C7"/>
    <w:rsid w:val="059B4E44"/>
    <w:rsid w:val="06037F0E"/>
    <w:rsid w:val="06293088"/>
    <w:rsid w:val="070C5780"/>
    <w:rsid w:val="07791E99"/>
    <w:rsid w:val="079462EB"/>
    <w:rsid w:val="07A931AA"/>
    <w:rsid w:val="08947C4E"/>
    <w:rsid w:val="08E453B1"/>
    <w:rsid w:val="090B33CA"/>
    <w:rsid w:val="09203CF5"/>
    <w:rsid w:val="09367692"/>
    <w:rsid w:val="09B1275A"/>
    <w:rsid w:val="0A6753EE"/>
    <w:rsid w:val="0AAE1877"/>
    <w:rsid w:val="0AB84A48"/>
    <w:rsid w:val="0CB97EF9"/>
    <w:rsid w:val="0D140D39"/>
    <w:rsid w:val="0DD212D7"/>
    <w:rsid w:val="0DF02505"/>
    <w:rsid w:val="0E737BD2"/>
    <w:rsid w:val="0EA75FEB"/>
    <w:rsid w:val="0ECE4A71"/>
    <w:rsid w:val="0F3F3DC6"/>
    <w:rsid w:val="0F8D780B"/>
    <w:rsid w:val="0FFC3C1B"/>
    <w:rsid w:val="100A41D2"/>
    <w:rsid w:val="105C15BA"/>
    <w:rsid w:val="10B20640"/>
    <w:rsid w:val="118A45EB"/>
    <w:rsid w:val="119E7183"/>
    <w:rsid w:val="11AA4FC1"/>
    <w:rsid w:val="11D30EF1"/>
    <w:rsid w:val="11FA4213"/>
    <w:rsid w:val="11FD7074"/>
    <w:rsid w:val="121A392C"/>
    <w:rsid w:val="124019D7"/>
    <w:rsid w:val="125F23EC"/>
    <w:rsid w:val="1286457A"/>
    <w:rsid w:val="12F51EA6"/>
    <w:rsid w:val="130B7D77"/>
    <w:rsid w:val="13333A53"/>
    <w:rsid w:val="137227E5"/>
    <w:rsid w:val="13FA463B"/>
    <w:rsid w:val="14E21C71"/>
    <w:rsid w:val="14E40BAC"/>
    <w:rsid w:val="14F34A58"/>
    <w:rsid w:val="15065D91"/>
    <w:rsid w:val="15264088"/>
    <w:rsid w:val="160A6DC7"/>
    <w:rsid w:val="162A1926"/>
    <w:rsid w:val="165E35A0"/>
    <w:rsid w:val="16892D1B"/>
    <w:rsid w:val="16EE3451"/>
    <w:rsid w:val="17050AEF"/>
    <w:rsid w:val="177C5398"/>
    <w:rsid w:val="179F0225"/>
    <w:rsid w:val="180A2DB1"/>
    <w:rsid w:val="1843069A"/>
    <w:rsid w:val="194729F2"/>
    <w:rsid w:val="195B5054"/>
    <w:rsid w:val="1A23710B"/>
    <w:rsid w:val="1A784E71"/>
    <w:rsid w:val="1ADB3251"/>
    <w:rsid w:val="1AEA697B"/>
    <w:rsid w:val="1B277C71"/>
    <w:rsid w:val="1B310AB1"/>
    <w:rsid w:val="1B8509AD"/>
    <w:rsid w:val="1C7559F3"/>
    <w:rsid w:val="1C8C0065"/>
    <w:rsid w:val="1C9C3D06"/>
    <w:rsid w:val="1CAD4D82"/>
    <w:rsid w:val="1CC761C1"/>
    <w:rsid w:val="1CED6EF4"/>
    <w:rsid w:val="1D6A3B6B"/>
    <w:rsid w:val="1D7523D5"/>
    <w:rsid w:val="1DED0D20"/>
    <w:rsid w:val="1E58604D"/>
    <w:rsid w:val="1EA24FD4"/>
    <w:rsid w:val="1ED70B0E"/>
    <w:rsid w:val="1EF90F60"/>
    <w:rsid w:val="1F866013"/>
    <w:rsid w:val="1FBF3ABF"/>
    <w:rsid w:val="1FE02134"/>
    <w:rsid w:val="1FF10A27"/>
    <w:rsid w:val="2025661F"/>
    <w:rsid w:val="204505C7"/>
    <w:rsid w:val="20BF5541"/>
    <w:rsid w:val="20D74FB1"/>
    <w:rsid w:val="20E03D75"/>
    <w:rsid w:val="210B6FB8"/>
    <w:rsid w:val="21102B88"/>
    <w:rsid w:val="21207C8C"/>
    <w:rsid w:val="21396049"/>
    <w:rsid w:val="21CA55AD"/>
    <w:rsid w:val="226535E6"/>
    <w:rsid w:val="226A6F7A"/>
    <w:rsid w:val="228C4C95"/>
    <w:rsid w:val="22A40308"/>
    <w:rsid w:val="22D33C71"/>
    <w:rsid w:val="23675B00"/>
    <w:rsid w:val="238F2A65"/>
    <w:rsid w:val="23BE73F4"/>
    <w:rsid w:val="242C7D58"/>
    <w:rsid w:val="24405342"/>
    <w:rsid w:val="24782D7A"/>
    <w:rsid w:val="24B004D5"/>
    <w:rsid w:val="24C34D2A"/>
    <w:rsid w:val="24FA08E7"/>
    <w:rsid w:val="259A477B"/>
    <w:rsid w:val="26435D89"/>
    <w:rsid w:val="26502932"/>
    <w:rsid w:val="26781D78"/>
    <w:rsid w:val="268511A9"/>
    <w:rsid w:val="26981D38"/>
    <w:rsid w:val="26984347"/>
    <w:rsid w:val="27007721"/>
    <w:rsid w:val="270C5B86"/>
    <w:rsid w:val="271148C0"/>
    <w:rsid w:val="2794203E"/>
    <w:rsid w:val="28305A77"/>
    <w:rsid w:val="28431249"/>
    <w:rsid w:val="28727FE9"/>
    <w:rsid w:val="28976C07"/>
    <w:rsid w:val="289F51B8"/>
    <w:rsid w:val="29117B77"/>
    <w:rsid w:val="2A1A7328"/>
    <w:rsid w:val="2A6D58FA"/>
    <w:rsid w:val="2A867302"/>
    <w:rsid w:val="2A913AD9"/>
    <w:rsid w:val="2BA83A03"/>
    <w:rsid w:val="2BC07CAA"/>
    <w:rsid w:val="2C51247C"/>
    <w:rsid w:val="2D342564"/>
    <w:rsid w:val="2DE6488E"/>
    <w:rsid w:val="2DFF1A0F"/>
    <w:rsid w:val="2E0A248C"/>
    <w:rsid w:val="2E386189"/>
    <w:rsid w:val="2EFD6888"/>
    <w:rsid w:val="2F872275"/>
    <w:rsid w:val="30024A07"/>
    <w:rsid w:val="301724B8"/>
    <w:rsid w:val="30507BFC"/>
    <w:rsid w:val="30622A45"/>
    <w:rsid w:val="308D3B5A"/>
    <w:rsid w:val="31065FA4"/>
    <w:rsid w:val="315029A4"/>
    <w:rsid w:val="3181671D"/>
    <w:rsid w:val="31CC273E"/>
    <w:rsid w:val="32745134"/>
    <w:rsid w:val="328D7248"/>
    <w:rsid w:val="32CA6BF8"/>
    <w:rsid w:val="33E81D9F"/>
    <w:rsid w:val="33FE0B7E"/>
    <w:rsid w:val="351971CA"/>
    <w:rsid w:val="351D21FE"/>
    <w:rsid w:val="35626E05"/>
    <w:rsid w:val="36190ECA"/>
    <w:rsid w:val="364E073A"/>
    <w:rsid w:val="36635E9E"/>
    <w:rsid w:val="36AB21CE"/>
    <w:rsid w:val="36F4583C"/>
    <w:rsid w:val="370C7C8A"/>
    <w:rsid w:val="371E43B1"/>
    <w:rsid w:val="37A1653B"/>
    <w:rsid w:val="37AF2B87"/>
    <w:rsid w:val="388466BA"/>
    <w:rsid w:val="392323A9"/>
    <w:rsid w:val="39254278"/>
    <w:rsid w:val="39412BCC"/>
    <w:rsid w:val="39A567B8"/>
    <w:rsid w:val="3A397552"/>
    <w:rsid w:val="3A4B53D8"/>
    <w:rsid w:val="3A7440FF"/>
    <w:rsid w:val="3A8A5607"/>
    <w:rsid w:val="3AA14CDE"/>
    <w:rsid w:val="3B115C3A"/>
    <w:rsid w:val="3B4940EA"/>
    <w:rsid w:val="3B543C9C"/>
    <w:rsid w:val="3B5559A8"/>
    <w:rsid w:val="3B7F29E5"/>
    <w:rsid w:val="3BDD6F72"/>
    <w:rsid w:val="3BF939F2"/>
    <w:rsid w:val="3C340202"/>
    <w:rsid w:val="3C3A1479"/>
    <w:rsid w:val="3C985BCC"/>
    <w:rsid w:val="3CBD1F64"/>
    <w:rsid w:val="3D7373A2"/>
    <w:rsid w:val="3DDD0052"/>
    <w:rsid w:val="3DEB0374"/>
    <w:rsid w:val="3DEF5E93"/>
    <w:rsid w:val="3DF63B63"/>
    <w:rsid w:val="3E0527A3"/>
    <w:rsid w:val="3EBD3771"/>
    <w:rsid w:val="3EDF6D51"/>
    <w:rsid w:val="3F35630B"/>
    <w:rsid w:val="3F50259B"/>
    <w:rsid w:val="3F552B6A"/>
    <w:rsid w:val="3FB342A8"/>
    <w:rsid w:val="40B45BC7"/>
    <w:rsid w:val="419779A1"/>
    <w:rsid w:val="41ED4C51"/>
    <w:rsid w:val="422747E0"/>
    <w:rsid w:val="42582843"/>
    <w:rsid w:val="429D67C1"/>
    <w:rsid w:val="42D45FBF"/>
    <w:rsid w:val="42EF5658"/>
    <w:rsid w:val="42F55CB3"/>
    <w:rsid w:val="430A46B0"/>
    <w:rsid w:val="433F6BDD"/>
    <w:rsid w:val="43A15D25"/>
    <w:rsid w:val="43DA6D02"/>
    <w:rsid w:val="43DE7F15"/>
    <w:rsid w:val="442024D7"/>
    <w:rsid w:val="449850C1"/>
    <w:rsid w:val="44CC1DD6"/>
    <w:rsid w:val="44D61D18"/>
    <w:rsid w:val="45B11550"/>
    <w:rsid w:val="45BB72C9"/>
    <w:rsid w:val="468D53E2"/>
    <w:rsid w:val="46BC15AD"/>
    <w:rsid w:val="46E52760"/>
    <w:rsid w:val="473131CE"/>
    <w:rsid w:val="48362EA6"/>
    <w:rsid w:val="489B3E30"/>
    <w:rsid w:val="48EE73A8"/>
    <w:rsid w:val="48F63877"/>
    <w:rsid w:val="49363635"/>
    <w:rsid w:val="495C6ECB"/>
    <w:rsid w:val="497F2825"/>
    <w:rsid w:val="49832356"/>
    <w:rsid w:val="49C22AB6"/>
    <w:rsid w:val="4AE275BA"/>
    <w:rsid w:val="4B0F0C1D"/>
    <w:rsid w:val="4B2437E8"/>
    <w:rsid w:val="4D06364F"/>
    <w:rsid w:val="4D2B7996"/>
    <w:rsid w:val="4D2C16FF"/>
    <w:rsid w:val="4DDE4408"/>
    <w:rsid w:val="4E24252C"/>
    <w:rsid w:val="4E2E4D87"/>
    <w:rsid w:val="4EA67EC9"/>
    <w:rsid w:val="4F21471C"/>
    <w:rsid w:val="4F2B3DB2"/>
    <w:rsid w:val="4FD97284"/>
    <w:rsid w:val="50587784"/>
    <w:rsid w:val="50795F2C"/>
    <w:rsid w:val="50E16786"/>
    <w:rsid w:val="519A4B43"/>
    <w:rsid w:val="51A608B8"/>
    <w:rsid w:val="51DA333F"/>
    <w:rsid w:val="521E47CF"/>
    <w:rsid w:val="52355EE7"/>
    <w:rsid w:val="52C5500C"/>
    <w:rsid w:val="52EF594A"/>
    <w:rsid w:val="533579E0"/>
    <w:rsid w:val="53703AB3"/>
    <w:rsid w:val="53C74285"/>
    <w:rsid w:val="5407446E"/>
    <w:rsid w:val="54747AAC"/>
    <w:rsid w:val="557551BE"/>
    <w:rsid w:val="558372F9"/>
    <w:rsid w:val="56285B08"/>
    <w:rsid w:val="56811D47"/>
    <w:rsid w:val="57126E17"/>
    <w:rsid w:val="577C6993"/>
    <w:rsid w:val="57936193"/>
    <w:rsid w:val="585152CD"/>
    <w:rsid w:val="58951737"/>
    <w:rsid w:val="58B90177"/>
    <w:rsid w:val="58F35641"/>
    <w:rsid w:val="590378B7"/>
    <w:rsid w:val="59520C00"/>
    <w:rsid w:val="59AF03DA"/>
    <w:rsid w:val="59D93192"/>
    <w:rsid w:val="59D945E8"/>
    <w:rsid w:val="59F32670"/>
    <w:rsid w:val="59F96984"/>
    <w:rsid w:val="5AF41263"/>
    <w:rsid w:val="5B8D6B0F"/>
    <w:rsid w:val="5BCF7372"/>
    <w:rsid w:val="5C222165"/>
    <w:rsid w:val="5C9C62F0"/>
    <w:rsid w:val="5CE325B3"/>
    <w:rsid w:val="5D5416B8"/>
    <w:rsid w:val="5D9751FE"/>
    <w:rsid w:val="5DB123E3"/>
    <w:rsid w:val="5E4755DC"/>
    <w:rsid w:val="5ED875FF"/>
    <w:rsid w:val="5F13260D"/>
    <w:rsid w:val="5F967AAF"/>
    <w:rsid w:val="5FDC6609"/>
    <w:rsid w:val="60161283"/>
    <w:rsid w:val="606059FB"/>
    <w:rsid w:val="60EF5815"/>
    <w:rsid w:val="61C64686"/>
    <w:rsid w:val="630A3040"/>
    <w:rsid w:val="633045FF"/>
    <w:rsid w:val="63717CD6"/>
    <w:rsid w:val="63A90C33"/>
    <w:rsid w:val="63AB662E"/>
    <w:rsid w:val="66104BE2"/>
    <w:rsid w:val="66702A21"/>
    <w:rsid w:val="672C46F7"/>
    <w:rsid w:val="686053D1"/>
    <w:rsid w:val="68754157"/>
    <w:rsid w:val="68F34607"/>
    <w:rsid w:val="695012D2"/>
    <w:rsid w:val="699D1BED"/>
    <w:rsid w:val="69E31B16"/>
    <w:rsid w:val="6A1A65F9"/>
    <w:rsid w:val="6A3C5798"/>
    <w:rsid w:val="6AD00BAB"/>
    <w:rsid w:val="6AD35A6B"/>
    <w:rsid w:val="6AE07415"/>
    <w:rsid w:val="6B240195"/>
    <w:rsid w:val="6B276415"/>
    <w:rsid w:val="6B3E7E4E"/>
    <w:rsid w:val="6B4D1F4B"/>
    <w:rsid w:val="6B72293B"/>
    <w:rsid w:val="6BCA3299"/>
    <w:rsid w:val="6BD300A9"/>
    <w:rsid w:val="6CCB06ED"/>
    <w:rsid w:val="6CD15838"/>
    <w:rsid w:val="6CD46400"/>
    <w:rsid w:val="6D544679"/>
    <w:rsid w:val="6DDD2725"/>
    <w:rsid w:val="6E3D2479"/>
    <w:rsid w:val="6E3D5B73"/>
    <w:rsid w:val="6E5845F5"/>
    <w:rsid w:val="6EAA7916"/>
    <w:rsid w:val="6ED91663"/>
    <w:rsid w:val="6F3E0A2A"/>
    <w:rsid w:val="6F6A23D9"/>
    <w:rsid w:val="6F6D2040"/>
    <w:rsid w:val="6F9A468A"/>
    <w:rsid w:val="6FAA57E4"/>
    <w:rsid w:val="6FD26949"/>
    <w:rsid w:val="6FDF47D2"/>
    <w:rsid w:val="706F22AC"/>
    <w:rsid w:val="70F17496"/>
    <w:rsid w:val="71186AB9"/>
    <w:rsid w:val="72F8145F"/>
    <w:rsid w:val="731979A0"/>
    <w:rsid w:val="733E3B97"/>
    <w:rsid w:val="7385604E"/>
    <w:rsid w:val="74AB4257"/>
    <w:rsid w:val="74EF1F59"/>
    <w:rsid w:val="756C592C"/>
    <w:rsid w:val="75B0027D"/>
    <w:rsid w:val="75B21A5E"/>
    <w:rsid w:val="761C6494"/>
    <w:rsid w:val="7631621A"/>
    <w:rsid w:val="76844529"/>
    <w:rsid w:val="77044FFC"/>
    <w:rsid w:val="7779596B"/>
    <w:rsid w:val="778045C7"/>
    <w:rsid w:val="778919E7"/>
    <w:rsid w:val="78471DA9"/>
    <w:rsid w:val="788503CB"/>
    <w:rsid w:val="78F966B0"/>
    <w:rsid w:val="79060204"/>
    <w:rsid w:val="79074CCC"/>
    <w:rsid w:val="7A5B1249"/>
    <w:rsid w:val="7B2E7781"/>
    <w:rsid w:val="7B6C0D14"/>
    <w:rsid w:val="7B7A60AB"/>
    <w:rsid w:val="7B9E67D5"/>
    <w:rsid w:val="7BC86046"/>
    <w:rsid w:val="7BCF0F9F"/>
    <w:rsid w:val="7C92287A"/>
    <w:rsid w:val="7CAA5D96"/>
    <w:rsid w:val="7D7443F7"/>
    <w:rsid w:val="7D942011"/>
    <w:rsid w:val="7DBC0435"/>
    <w:rsid w:val="7DCC704B"/>
    <w:rsid w:val="7DDE4680"/>
    <w:rsid w:val="7DF4227F"/>
    <w:rsid w:val="7E383EEF"/>
    <w:rsid w:val="7EC72D6F"/>
    <w:rsid w:val="7EFC1F33"/>
    <w:rsid w:val="7F1349AD"/>
    <w:rsid w:val="7F4745F6"/>
    <w:rsid w:val="7F4C1C10"/>
    <w:rsid w:val="7FB4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71"/>
    <w:qFormat/>
    <w:uiPriority w:val="0"/>
    <w:pPr>
      <w:keepNext/>
      <w:keepLines/>
      <w:spacing w:before="340" w:after="340" w:line="578" w:lineRule="auto"/>
      <w:outlineLvl w:val="0"/>
    </w:pPr>
    <w:rPr>
      <w:rFonts w:eastAsia="仿宋_GB2312"/>
      <w:b/>
      <w:bCs/>
      <w:kern w:val="44"/>
      <w:sz w:val="28"/>
      <w:szCs w:val="44"/>
    </w:rPr>
  </w:style>
  <w:style w:type="paragraph" w:styleId="5">
    <w:name w:val="heading 2"/>
    <w:basedOn w:val="1"/>
    <w:next w:val="1"/>
    <w:link w:val="72"/>
    <w:qFormat/>
    <w:uiPriority w:val="0"/>
    <w:pPr>
      <w:keepNext/>
      <w:keepLines/>
      <w:spacing w:before="340" w:after="340" w:line="415" w:lineRule="auto"/>
      <w:outlineLvl w:val="1"/>
    </w:pPr>
    <w:rPr>
      <w:rFonts w:ascii="Cambria" w:hAnsi="Cambria"/>
      <w:b/>
      <w:bCs/>
      <w:kern w:val="0"/>
      <w:sz w:val="32"/>
      <w:szCs w:val="32"/>
    </w:rPr>
  </w:style>
  <w:style w:type="paragraph" w:styleId="6">
    <w:name w:val="heading 3"/>
    <w:basedOn w:val="1"/>
    <w:next w:val="1"/>
    <w:link w:val="73"/>
    <w:qFormat/>
    <w:uiPriority w:val="0"/>
    <w:pPr>
      <w:keepNext/>
      <w:keepLines/>
      <w:spacing w:before="340" w:after="340" w:line="415" w:lineRule="auto"/>
      <w:outlineLvl w:val="2"/>
    </w:pPr>
    <w:rPr>
      <w:b/>
      <w:bCs/>
      <w:kern w:val="0"/>
      <w:sz w:val="32"/>
      <w:szCs w:val="32"/>
    </w:rPr>
  </w:style>
  <w:style w:type="paragraph" w:styleId="7">
    <w:name w:val="heading 4"/>
    <w:basedOn w:val="1"/>
    <w:next w:val="1"/>
    <w:link w:val="74"/>
    <w:qFormat/>
    <w:uiPriority w:val="0"/>
    <w:pPr>
      <w:keepNext/>
      <w:keepLines/>
      <w:spacing w:before="280" w:after="290" w:line="376" w:lineRule="auto"/>
      <w:ind w:left="420" w:hanging="420"/>
      <w:outlineLvl w:val="3"/>
    </w:pPr>
    <w:rPr>
      <w:rFonts w:ascii="Cambria" w:hAnsi="Cambria"/>
      <w:b/>
      <w:bCs/>
      <w:kern w:val="0"/>
      <w:sz w:val="28"/>
      <w:szCs w:val="28"/>
    </w:rPr>
  </w:style>
  <w:style w:type="paragraph" w:styleId="8">
    <w:name w:val="heading 5"/>
    <w:basedOn w:val="1"/>
    <w:next w:val="1"/>
    <w:link w:val="75"/>
    <w:qFormat/>
    <w:uiPriority w:val="0"/>
    <w:pPr>
      <w:widowControl/>
      <w:overflowPunct w:val="0"/>
      <w:autoSpaceDE w:val="0"/>
      <w:autoSpaceDN w:val="0"/>
      <w:adjustRightInd w:val="0"/>
      <w:spacing w:before="240" w:after="60"/>
      <w:jc w:val="left"/>
      <w:textAlignment w:val="baseline"/>
      <w:outlineLvl w:val="4"/>
    </w:pPr>
    <w:rPr>
      <w:rFonts w:ascii="Arial" w:hAnsi="Arial"/>
      <w:kern w:val="0"/>
      <w:sz w:val="22"/>
      <w:szCs w:val="28"/>
    </w:rPr>
  </w:style>
  <w:style w:type="paragraph" w:styleId="9">
    <w:name w:val="heading 6"/>
    <w:basedOn w:val="1"/>
    <w:next w:val="1"/>
    <w:link w:val="76"/>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10">
    <w:name w:val="heading 7"/>
    <w:basedOn w:val="1"/>
    <w:next w:val="1"/>
    <w:link w:val="77"/>
    <w:qFormat/>
    <w:uiPriority w:val="0"/>
    <w:pPr>
      <w:widowControl/>
      <w:overflowPunct w:val="0"/>
      <w:autoSpaceDE w:val="0"/>
      <w:autoSpaceDN w:val="0"/>
      <w:adjustRightInd w:val="0"/>
      <w:spacing w:before="240" w:after="60"/>
      <w:jc w:val="left"/>
      <w:textAlignment w:val="baseline"/>
      <w:outlineLvl w:val="6"/>
    </w:pPr>
    <w:rPr>
      <w:rFonts w:ascii="Arial" w:hAnsi="Arial"/>
      <w:kern w:val="0"/>
      <w:sz w:val="28"/>
      <w:szCs w:val="28"/>
    </w:rPr>
  </w:style>
  <w:style w:type="paragraph" w:styleId="11">
    <w:name w:val="heading 8"/>
    <w:basedOn w:val="1"/>
    <w:next w:val="1"/>
    <w:link w:val="78"/>
    <w:qFormat/>
    <w:uiPriority w:val="0"/>
    <w:pPr>
      <w:widowControl/>
      <w:overflowPunct w:val="0"/>
      <w:autoSpaceDE w:val="0"/>
      <w:autoSpaceDN w:val="0"/>
      <w:adjustRightInd w:val="0"/>
      <w:spacing w:before="240" w:after="60"/>
      <w:jc w:val="left"/>
      <w:textAlignment w:val="baseline"/>
      <w:outlineLvl w:val="7"/>
    </w:pPr>
    <w:rPr>
      <w:rFonts w:ascii="Arial" w:hAnsi="Arial"/>
      <w:i/>
      <w:kern w:val="0"/>
      <w:sz w:val="28"/>
      <w:szCs w:val="28"/>
    </w:rPr>
  </w:style>
  <w:style w:type="paragraph" w:styleId="12">
    <w:name w:val="heading 9"/>
    <w:basedOn w:val="1"/>
    <w:next w:val="1"/>
    <w:link w:val="79"/>
    <w:qFormat/>
    <w:uiPriority w:val="0"/>
    <w:pPr>
      <w:widowControl/>
      <w:overflowPunct w:val="0"/>
      <w:autoSpaceDE w:val="0"/>
      <w:autoSpaceDN w:val="0"/>
      <w:adjustRightInd w:val="0"/>
      <w:spacing w:before="240" w:after="60"/>
      <w:jc w:val="left"/>
      <w:textAlignment w:val="baseline"/>
      <w:outlineLvl w:val="8"/>
    </w:pPr>
    <w:rPr>
      <w:rFonts w:ascii="Arial" w:hAnsi="Arial"/>
      <w:i/>
      <w:kern w:val="0"/>
      <w:sz w:val="18"/>
      <w:szCs w:val="28"/>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55"/>
    <w:qFormat/>
    <w:uiPriority w:val="0"/>
    <w:pPr>
      <w:adjustRightInd w:val="0"/>
      <w:spacing w:line="360" w:lineRule="auto"/>
      <w:ind w:firstLine="420"/>
      <w:textAlignment w:val="baseline"/>
    </w:pPr>
    <w:rPr>
      <w:rFonts w:ascii="Calibri" w:hAnsi="Calibri" w:eastAsia="楷体_GB2312"/>
      <w:sz w:val="24"/>
    </w:rPr>
  </w:style>
  <w:style w:type="paragraph" w:styleId="3">
    <w:name w:val="Body Text"/>
    <w:basedOn w:val="1"/>
    <w:next w:val="2"/>
    <w:link w:val="135"/>
    <w:unhideWhenUsed/>
    <w:qFormat/>
    <w:uiPriority w:val="0"/>
    <w:pPr>
      <w:spacing w:after="120"/>
    </w:pPr>
    <w:rPr>
      <w:kern w:val="0"/>
      <w:sz w:val="20"/>
    </w:rPr>
  </w:style>
  <w:style w:type="paragraph" w:styleId="13">
    <w:name w:val="List 3"/>
    <w:basedOn w:val="1"/>
    <w:unhideWhenUsed/>
    <w:qFormat/>
    <w:uiPriority w:val="0"/>
    <w:pPr>
      <w:ind w:left="100" w:leftChars="400" w:hanging="200" w:hangingChars="200"/>
    </w:pPr>
  </w:style>
  <w:style w:type="paragraph" w:styleId="14">
    <w:name w:val="toc 7"/>
    <w:basedOn w:val="1"/>
    <w:next w:val="1"/>
    <w:qFormat/>
    <w:uiPriority w:val="0"/>
    <w:pPr>
      <w:ind w:left="1260"/>
      <w:jc w:val="left"/>
    </w:pPr>
    <w:rPr>
      <w:rFonts w:ascii="仿宋_GB2312" w:eastAsia="仿宋_GB2312"/>
      <w:sz w:val="18"/>
      <w:szCs w:val="18"/>
    </w:rPr>
  </w:style>
  <w:style w:type="paragraph" w:styleId="15">
    <w:name w:val="index 8"/>
    <w:basedOn w:val="1"/>
    <w:next w:val="1"/>
    <w:qFormat/>
    <w:uiPriority w:val="0"/>
    <w:pPr>
      <w:widowControl/>
      <w:ind w:left="1920" w:hanging="240"/>
      <w:jc w:val="left"/>
    </w:pPr>
    <w:rPr>
      <w:rFonts w:ascii="仿宋_GB2312" w:eastAsia="仿宋_GB2312"/>
      <w:kern w:val="0"/>
      <w:sz w:val="24"/>
      <w:szCs w:val="28"/>
    </w:rPr>
  </w:style>
  <w:style w:type="paragraph" w:styleId="16">
    <w:name w:val="Normal Indent"/>
    <w:basedOn w:val="1"/>
    <w:link w:val="196"/>
    <w:qFormat/>
    <w:uiPriority w:val="0"/>
    <w:pPr>
      <w:widowControl/>
      <w:adjustRightInd w:val="0"/>
      <w:snapToGrid w:val="0"/>
      <w:spacing w:line="480" w:lineRule="exact"/>
      <w:ind w:firstLine="567"/>
    </w:pPr>
    <w:rPr>
      <w:rFonts w:ascii="宋体"/>
      <w:snapToGrid w:val="0"/>
      <w:color w:val="000000"/>
      <w:kern w:val="28"/>
      <w:sz w:val="28"/>
    </w:rPr>
  </w:style>
  <w:style w:type="paragraph" w:styleId="17">
    <w:name w:val="caption"/>
    <w:basedOn w:val="1"/>
    <w:next w:val="1"/>
    <w:qFormat/>
    <w:uiPriority w:val="0"/>
    <w:pPr>
      <w:spacing w:before="152" w:after="160"/>
    </w:pPr>
    <w:rPr>
      <w:rFonts w:ascii="Arial" w:hAnsi="Arial" w:eastAsia="黑体" w:cs="Arial"/>
      <w:sz w:val="20"/>
    </w:rPr>
  </w:style>
  <w:style w:type="paragraph" w:styleId="18">
    <w:name w:val="index 5"/>
    <w:basedOn w:val="1"/>
    <w:next w:val="1"/>
    <w:qFormat/>
    <w:uiPriority w:val="0"/>
    <w:pPr>
      <w:widowControl/>
      <w:ind w:left="1200" w:hanging="240"/>
      <w:jc w:val="left"/>
    </w:pPr>
    <w:rPr>
      <w:rFonts w:ascii="仿宋_GB2312" w:eastAsia="仿宋_GB2312"/>
      <w:kern w:val="0"/>
      <w:sz w:val="24"/>
      <w:szCs w:val="28"/>
    </w:rPr>
  </w:style>
  <w:style w:type="paragraph" w:styleId="19">
    <w:name w:val="List Bullet"/>
    <w:basedOn w:val="20"/>
    <w:qFormat/>
    <w:uiPriority w:val="0"/>
    <w:pPr>
      <w:widowControl/>
      <w:tabs>
        <w:tab w:val="left" w:pos="840"/>
      </w:tabs>
      <w:spacing w:line="360" w:lineRule="auto"/>
      <w:ind w:left="420" w:right="720" w:hanging="420" w:firstLineChars="0"/>
      <w:jc w:val="left"/>
    </w:pPr>
    <w:rPr>
      <w:kern w:val="0"/>
      <w:sz w:val="24"/>
      <w:szCs w:val="20"/>
    </w:rPr>
  </w:style>
  <w:style w:type="paragraph" w:styleId="20">
    <w:name w:val="List"/>
    <w:basedOn w:val="1"/>
    <w:qFormat/>
    <w:uiPriority w:val="0"/>
    <w:pPr>
      <w:ind w:left="200" w:hanging="200" w:hangingChars="200"/>
    </w:pPr>
    <w:rPr>
      <w:rFonts w:ascii="仿宋_GB2312" w:eastAsia="仿宋_GB2312"/>
      <w:sz w:val="28"/>
      <w:szCs w:val="28"/>
    </w:rPr>
  </w:style>
  <w:style w:type="paragraph" w:styleId="21">
    <w:name w:val="Document Map"/>
    <w:basedOn w:val="1"/>
    <w:link w:val="152"/>
    <w:qFormat/>
    <w:uiPriority w:val="0"/>
    <w:pPr>
      <w:shd w:val="clear" w:color="auto" w:fill="000080"/>
    </w:pPr>
    <w:rPr>
      <w:kern w:val="0"/>
      <w:sz w:val="20"/>
      <w:szCs w:val="24"/>
      <w:shd w:val="clear" w:color="auto" w:fill="000080"/>
    </w:rPr>
  </w:style>
  <w:style w:type="paragraph" w:styleId="22">
    <w:name w:val="annotation text"/>
    <w:basedOn w:val="1"/>
    <w:link w:val="188"/>
    <w:unhideWhenUsed/>
    <w:qFormat/>
    <w:uiPriority w:val="0"/>
    <w:pPr>
      <w:jc w:val="left"/>
    </w:pPr>
    <w:rPr>
      <w:kern w:val="0"/>
      <w:sz w:val="20"/>
    </w:rPr>
  </w:style>
  <w:style w:type="paragraph" w:styleId="23">
    <w:name w:val="index 6"/>
    <w:basedOn w:val="1"/>
    <w:next w:val="1"/>
    <w:qFormat/>
    <w:uiPriority w:val="0"/>
    <w:pPr>
      <w:widowControl/>
      <w:ind w:left="1440" w:hanging="240"/>
      <w:jc w:val="left"/>
    </w:pPr>
    <w:rPr>
      <w:rFonts w:ascii="仿宋_GB2312" w:eastAsia="仿宋_GB2312"/>
      <w:kern w:val="0"/>
      <w:sz w:val="24"/>
      <w:szCs w:val="28"/>
    </w:rPr>
  </w:style>
  <w:style w:type="paragraph" w:styleId="24">
    <w:name w:val="Body Text 3"/>
    <w:basedOn w:val="1"/>
    <w:link w:val="166"/>
    <w:qFormat/>
    <w:uiPriority w:val="0"/>
    <w:rPr>
      <w:rFonts w:ascii="宋体" w:hAnsi="宋体"/>
      <w:b/>
      <w:bCs/>
      <w:kern w:val="0"/>
      <w:sz w:val="24"/>
      <w:szCs w:val="24"/>
    </w:rPr>
  </w:style>
  <w:style w:type="paragraph" w:styleId="25">
    <w:name w:val="Body Text Indent"/>
    <w:basedOn w:val="1"/>
    <w:link w:val="89"/>
    <w:unhideWhenUsed/>
    <w:qFormat/>
    <w:uiPriority w:val="0"/>
    <w:pPr>
      <w:spacing w:after="120"/>
      <w:ind w:left="420" w:leftChars="200"/>
    </w:pPr>
    <w:rPr>
      <w:kern w:val="0"/>
      <w:sz w:val="20"/>
    </w:rPr>
  </w:style>
  <w:style w:type="paragraph" w:styleId="26">
    <w:name w:val="List Number 3"/>
    <w:basedOn w:val="1"/>
    <w:qFormat/>
    <w:uiPriority w:val="0"/>
    <w:pPr>
      <w:tabs>
        <w:tab w:val="left" w:pos="1200"/>
      </w:tabs>
      <w:ind w:left="1200" w:hanging="360"/>
      <w:contextualSpacing/>
    </w:pPr>
    <w:rPr>
      <w:rFonts w:ascii="仿宋_GB2312" w:eastAsia="仿宋_GB2312"/>
      <w:sz w:val="28"/>
      <w:szCs w:val="28"/>
    </w:rPr>
  </w:style>
  <w:style w:type="paragraph" w:styleId="27">
    <w:name w:val="List 2"/>
    <w:basedOn w:val="20"/>
    <w:qFormat/>
    <w:uiPriority w:val="0"/>
    <w:pPr>
      <w:spacing w:after="120" w:line="400" w:lineRule="exact"/>
      <w:ind w:left="0" w:firstLine="0" w:firstLineChars="0"/>
    </w:pPr>
    <w:rPr>
      <w:sz w:val="24"/>
      <w:szCs w:val="20"/>
    </w:rPr>
  </w:style>
  <w:style w:type="paragraph" w:styleId="28">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9">
    <w:name w:val="index 4"/>
    <w:basedOn w:val="1"/>
    <w:next w:val="1"/>
    <w:qFormat/>
    <w:uiPriority w:val="0"/>
    <w:pPr>
      <w:widowControl/>
      <w:ind w:left="960" w:hanging="240"/>
      <w:jc w:val="left"/>
    </w:pPr>
    <w:rPr>
      <w:rFonts w:ascii="仿宋_GB2312" w:eastAsia="仿宋_GB2312"/>
      <w:kern w:val="0"/>
      <w:sz w:val="24"/>
      <w:szCs w:val="28"/>
    </w:rPr>
  </w:style>
  <w:style w:type="paragraph" w:styleId="30">
    <w:name w:val="toc 5"/>
    <w:basedOn w:val="1"/>
    <w:next w:val="1"/>
    <w:qFormat/>
    <w:uiPriority w:val="0"/>
    <w:pPr>
      <w:ind w:left="840"/>
      <w:jc w:val="left"/>
    </w:pPr>
    <w:rPr>
      <w:rFonts w:ascii="仿宋_GB2312" w:eastAsia="仿宋_GB2312"/>
      <w:sz w:val="18"/>
      <w:szCs w:val="18"/>
    </w:rPr>
  </w:style>
  <w:style w:type="paragraph" w:styleId="31">
    <w:name w:val="toc 3"/>
    <w:basedOn w:val="1"/>
    <w:next w:val="1"/>
    <w:qFormat/>
    <w:uiPriority w:val="0"/>
    <w:pPr>
      <w:ind w:left="420"/>
      <w:jc w:val="left"/>
    </w:pPr>
    <w:rPr>
      <w:rFonts w:ascii="仿宋_GB2312" w:eastAsia="仿宋_GB2312"/>
      <w:i/>
      <w:iCs/>
      <w:sz w:val="20"/>
    </w:rPr>
  </w:style>
  <w:style w:type="paragraph" w:styleId="32">
    <w:name w:val="Plain Text"/>
    <w:basedOn w:val="1"/>
    <w:link w:val="211"/>
    <w:qFormat/>
    <w:uiPriority w:val="0"/>
    <w:rPr>
      <w:rFonts w:ascii="宋体" w:hAnsi="Courier New"/>
      <w:kern w:val="0"/>
      <w:sz w:val="20"/>
    </w:rPr>
  </w:style>
  <w:style w:type="paragraph" w:styleId="33">
    <w:name w:val="toc 8"/>
    <w:basedOn w:val="1"/>
    <w:next w:val="1"/>
    <w:qFormat/>
    <w:uiPriority w:val="0"/>
    <w:pPr>
      <w:ind w:left="1470"/>
      <w:jc w:val="left"/>
    </w:pPr>
    <w:rPr>
      <w:rFonts w:ascii="仿宋_GB2312" w:eastAsia="仿宋_GB2312"/>
      <w:sz w:val="18"/>
      <w:szCs w:val="18"/>
    </w:rPr>
  </w:style>
  <w:style w:type="paragraph" w:styleId="34">
    <w:name w:val="index 3"/>
    <w:basedOn w:val="1"/>
    <w:next w:val="1"/>
    <w:qFormat/>
    <w:uiPriority w:val="0"/>
    <w:pPr>
      <w:widowControl/>
      <w:ind w:left="720" w:hanging="240"/>
      <w:jc w:val="left"/>
    </w:pPr>
    <w:rPr>
      <w:rFonts w:ascii="仿宋_GB2312" w:eastAsia="仿宋_GB2312"/>
      <w:kern w:val="0"/>
      <w:sz w:val="24"/>
      <w:szCs w:val="28"/>
    </w:rPr>
  </w:style>
  <w:style w:type="paragraph" w:styleId="35">
    <w:name w:val="Date"/>
    <w:basedOn w:val="1"/>
    <w:next w:val="1"/>
    <w:link w:val="177"/>
    <w:qFormat/>
    <w:uiPriority w:val="0"/>
    <w:pPr>
      <w:ind w:left="100" w:leftChars="2500"/>
    </w:pPr>
    <w:rPr>
      <w:kern w:val="0"/>
      <w:sz w:val="20"/>
    </w:rPr>
  </w:style>
  <w:style w:type="paragraph" w:styleId="36">
    <w:name w:val="Body Text Indent 2"/>
    <w:basedOn w:val="1"/>
    <w:link w:val="87"/>
    <w:qFormat/>
    <w:uiPriority w:val="0"/>
    <w:pPr>
      <w:spacing w:line="432" w:lineRule="auto"/>
      <w:ind w:firstLine="480" w:firstLineChars="200"/>
    </w:pPr>
    <w:rPr>
      <w:kern w:val="0"/>
      <w:sz w:val="24"/>
      <w:szCs w:val="21"/>
    </w:rPr>
  </w:style>
  <w:style w:type="paragraph" w:styleId="37">
    <w:name w:val="endnote text"/>
    <w:basedOn w:val="1"/>
    <w:link w:val="214"/>
    <w:qFormat/>
    <w:uiPriority w:val="0"/>
    <w:pPr>
      <w:snapToGrid w:val="0"/>
      <w:jc w:val="left"/>
    </w:pPr>
    <w:rPr>
      <w:rFonts w:ascii="仿宋_GB2312" w:eastAsia="仿宋_GB2312"/>
      <w:kern w:val="0"/>
      <w:sz w:val="28"/>
      <w:szCs w:val="28"/>
    </w:rPr>
  </w:style>
  <w:style w:type="paragraph" w:styleId="38">
    <w:name w:val="Balloon Text"/>
    <w:basedOn w:val="1"/>
    <w:link w:val="111"/>
    <w:semiHidden/>
    <w:qFormat/>
    <w:uiPriority w:val="99"/>
    <w:rPr>
      <w:kern w:val="0"/>
      <w:sz w:val="18"/>
      <w:szCs w:val="18"/>
    </w:rPr>
  </w:style>
  <w:style w:type="paragraph" w:styleId="39">
    <w:name w:val="footer"/>
    <w:basedOn w:val="1"/>
    <w:link w:val="161"/>
    <w:unhideWhenUsed/>
    <w:qFormat/>
    <w:uiPriority w:val="99"/>
    <w:pPr>
      <w:tabs>
        <w:tab w:val="center" w:pos="4153"/>
        <w:tab w:val="right" w:pos="8306"/>
      </w:tabs>
      <w:snapToGrid w:val="0"/>
      <w:jc w:val="left"/>
    </w:pPr>
    <w:rPr>
      <w:kern w:val="0"/>
      <w:sz w:val="18"/>
      <w:szCs w:val="18"/>
    </w:rPr>
  </w:style>
  <w:style w:type="paragraph" w:styleId="40">
    <w:name w:val="header"/>
    <w:basedOn w:val="1"/>
    <w:link w:val="19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1">
    <w:name w:val="toc 1"/>
    <w:basedOn w:val="1"/>
    <w:next w:val="1"/>
    <w:qFormat/>
    <w:uiPriority w:val="39"/>
    <w:pPr>
      <w:tabs>
        <w:tab w:val="right" w:leader="dot" w:pos="8835"/>
      </w:tabs>
    </w:pPr>
    <w:rPr>
      <w:rFonts w:eastAsia="仿宋_GB2312"/>
      <w:sz w:val="32"/>
    </w:rPr>
  </w:style>
  <w:style w:type="paragraph" w:styleId="42">
    <w:name w:val="toc 4"/>
    <w:basedOn w:val="1"/>
    <w:next w:val="1"/>
    <w:qFormat/>
    <w:uiPriority w:val="0"/>
    <w:pPr>
      <w:ind w:left="630"/>
      <w:jc w:val="left"/>
    </w:pPr>
    <w:rPr>
      <w:rFonts w:ascii="仿宋_GB2312" w:eastAsia="仿宋_GB2312"/>
      <w:sz w:val="18"/>
      <w:szCs w:val="18"/>
    </w:rPr>
  </w:style>
  <w:style w:type="paragraph" w:styleId="43">
    <w:name w:val="index heading"/>
    <w:basedOn w:val="1"/>
    <w:next w:val="44"/>
    <w:qFormat/>
    <w:uiPriority w:val="0"/>
    <w:pPr>
      <w:widowControl/>
      <w:jc w:val="left"/>
    </w:pPr>
    <w:rPr>
      <w:rFonts w:ascii="仿宋_GB2312" w:eastAsia="仿宋_GB2312"/>
      <w:kern w:val="0"/>
      <w:sz w:val="24"/>
      <w:szCs w:val="28"/>
    </w:rPr>
  </w:style>
  <w:style w:type="paragraph" w:styleId="44">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5">
    <w:name w:val="Subtitle"/>
    <w:basedOn w:val="1"/>
    <w:next w:val="1"/>
    <w:link w:val="134"/>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6">
    <w:name w:val="footnote text"/>
    <w:basedOn w:val="1"/>
    <w:link w:val="96"/>
    <w:qFormat/>
    <w:uiPriority w:val="0"/>
    <w:pPr>
      <w:snapToGrid w:val="0"/>
      <w:jc w:val="left"/>
    </w:pPr>
    <w:rPr>
      <w:rFonts w:ascii="仿宋_GB2312" w:eastAsia="仿宋_GB2312"/>
      <w:kern w:val="0"/>
      <w:sz w:val="18"/>
      <w:szCs w:val="18"/>
    </w:rPr>
  </w:style>
  <w:style w:type="paragraph" w:styleId="47">
    <w:name w:val="toc 6"/>
    <w:basedOn w:val="1"/>
    <w:next w:val="1"/>
    <w:qFormat/>
    <w:uiPriority w:val="0"/>
    <w:pPr>
      <w:ind w:left="1050"/>
      <w:jc w:val="left"/>
    </w:pPr>
    <w:rPr>
      <w:rFonts w:ascii="仿宋_GB2312" w:eastAsia="仿宋_GB2312"/>
      <w:sz w:val="18"/>
      <w:szCs w:val="18"/>
    </w:rPr>
  </w:style>
  <w:style w:type="paragraph" w:styleId="48">
    <w:name w:val="Body Text Indent 3"/>
    <w:basedOn w:val="1"/>
    <w:link w:val="172"/>
    <w:qFormat/>
    <w:uiPriority w:val="0"/>
    <w:pPr>
      <w:spacing w:line="540" w:lineRule="exact"/>
      <w:ind w:left="479" w:leftChars="228"/>
    </w:pPr>
    <w:rPr>
      <w:rFonts w:ascii="隶书" w:hAnsi="宋体" w:eastAsia="隶书"/>
      <w:kern w:val="0"/>
      <w:sz w:val="20"/>
      <w:szCs w:val="24"/>
    </w:rPr>
  </w:style>
  <w:style w:type="paragraph" w:styleId="49">
    <w:name w:val="index 7"/>
    <w:basedOn w:val="1"/>
    <w:next w:val="1"/>
    <w:qFormat/>
    <w:uiPriority w:val="0"/>
    <w:pPr>
      <w:widowControl/>
      <w:ind w:left="1680" w:hanging="240"/>
      <w:jc w:val="left"/>
    </w:pPr>
    <w:rPr>
      <w:rFonts w:ascii="仿宋_GB2312" w:eastAsia="仿宋_GB2312"/>
      <w:kern w:val="0"/>
      <w:sz w:val="24"/>
      <w:szCs w:val="28"/>
    </w:rPr>
  </w:style>
  <w:style w:type="paragraph" w:styleId="50">
    <w:name w:val="index 9"/>
    <w:basedOn w:val="1"/>
    <w:next w:val="1"/>
    <w:qFormat/>
    <w:uiPriority w:val="0"/>
    <w:pPr>
      <w:widowControl/>
      <w:ind w:left="2160" w:hanging="240"/>
      <w:jc w:val="left"/>
    </w:pPr>
    <w:rPr>
      <w:rFonts w:ascii="仿宋_GB2312" w:eastAsia="仿宋_GB2312"/>
      <w:kern w:val="0"/>
      <w:sz w:val="24"/>
      <w:szCs w:val="28"/>
    </w:rPr>
  </w:style>
  <w:style w:type="paragraph" w:styleId="51">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2">
    <w:name w:val="toc 2"/>
    <w:basedOn w:val="1"/>
    <w:next w:val="1"/>
    <w:qFormat/>
    <w:uiPriority w:val="39"/>
    <w:pPr>
      <w:ind w:left="210"/>
      <w:jc w:val="left"/>
    </w:pPr>
    <w:rPr>
      <w:rFonts w:ascii="仿宋_GB2312" w:eastAsia="仿宋_GB2312"/>
      <w:smallCaps/>
      <w:sz w:val="20"/>
    </w:rPr>
  </w:style>
  <w:style w:type="paragraph" w:styleId="53">
    <w:name w:val="toc 9"/>
    <w:basedOn w:val="1"/>
    <w:next w:val="1"/>
    <w:qFormat/>
    <w:uiPriority w:val="0"/>
    <w:pPr>
      <w:ind w:left="1680"/>
      <w:jc w:val="left"/>
    </w:pPr>
    <w:rPr>
      <w:rFonts w:ascii="仿宋_GB2312" w:eastAsia="仿宋_GB2312"/>
      <w:sz w:val="18"/>
      <w:szCs w:val="18"/>
    </w:rPr>
  </w:style>
  <w:style w:type="paragraph" w:styleId="54">
    <w:name w:val="Body Text 2"/>
    <w:basedOn w:val="1"/>
    <w:link w:val="194"/>
    <w:qFormat/>
    <w:uiPriority w:val="0"/>
    <w:pPr>
      <w:spacing w:line="360" w:lineRule="auto"/>
    </w:pPr>
    <w:rPr>
      <w:kern w:val="0"/>
      <w:sz w:val="24"/>
      <w:szCs w:val="24"/>
    </w:rPr>
  </w:style>
  <w:style w:type="paragraph" w:styleId="5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6">
    <w:name w:val="index 2"/>
    <w:basedOn w:val="1"/>
    <w:next w:val="1"/>
    <w:qFormat/>
    <w:uiPriority w:val="0"/>
    <w:pPr>
      <w:widowControl/>
      <w:ind w:left="480" w:hanging="240"/>
      <w:jc w:val="left"/>
    </w:pPr>
    <w:rPr>
      <w:rFonts w:ascii="仿宋_GB2312" w:eastAsia="仿宋_GB2312"/>
      <w:kern w:val="0"/>
      <w:sz w:val="24"/>
      <w:szCs w:val="28"/>
    </w:rPr>
  </w:style>
  <w:style w:type="paragraph" w:styleId="57">
    <w:name w:val="Title"/>
    <w:basedOn w:val="1"/>
    <w:next w:val="1"/>
    <w:link w:val="163"/>
    <w:qFormat/>
    <w:uiPriority w:val="0"/>
    <w:pPr>
      <w:jc w:val="center"/>
    </w:pPr>
    <w:rPr>
      <w:rFonts w:ascii="Arial" w:hAnsi="Arial"/>
      <w:b/>
      <w:kern w:val="0"/>
      <w:sz w:val="36"/>
      <w:lang w:eastAsia="en-US"/>
    </w:rPr>
  </w:style>
  <w:style w:type="paragraph" w:styleId="58">
    <w:name w:val="annotation subject"/>
    <w:basedOn w:val="22"/>
    <w:next w:val="22"/>
    <w:link w:val="208"/>
    <w:qFormat/>
    <w:uiPriority w:val="0"/>
    <w:rPr>
      <w:b/>
      <w:bCs/>
      <w:szCs w:val="24"/>
    </w:rPr>
  </w:style>
  <w:style w:type="paragraph" w:styleId="59">
    <w:name w:val="Body Text First Indent 2"/>
    <w:basedOn w:val="25"/>
    <w:link w:val="88"/>
    <w:qFormat/>
    <w:uiPriority w:val="0"/>
    <w:pPr>
      <w:ind w:firstLine="420" w:firstLineChars="200"/>
    </w:pPr>
    <w:rPr>
      <w:szCs w:val="24"/>
    </w:r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0"/>
    <w:rPr>
      <w:b/>
      <w:bCs/>
    </w:rPr>
  </w:style>
  <w:style w:type="character" w:styleId="64">
    <w:name w:val="endnote reference"/>
    <w:qFormat/>
    <w:uiPriority w:val="0"/>
    <w:rPr>
      <w:vertAlign w:val="superscript"/>
    </w:rPr>
  </w:style>
  <w:style w:type="character" w:styleId="65">
    <w:name w:val="page number"/>
    <w:basedOn w:val="62"/>
    <w:qFormat/>
    <w:uiPriority w:val="0"/>
  </w:style>
  <w:style w:type="character" w:styleId="66">
    <w:name w:val="FollowedHyperlink"/>
    <w:qFormat/>
    <w:uiPriority w:val="0"/>
    <w:rPr>
      <w:color w:val="800080"/>
      <w:u w:val="single"/>
    </w:rPr>
  </w:style>
  <w:style w:type="character" w:styleId="67">
    <w:name w:val="Emphasis"/>
    <w:qFormat/>
    <w:uiPriority w:val="0"/>
    <w:rPr>
      <w:color w:val="CC0000"/>
    </w:rPr>
  </w:style>
  <w:style w:type="character" w:styleId="68">
    <w:name w:val="Hyperlink"/>
    <w:qFormat/>
    <w:uiPriority w:val="99"/>
    <w:rPr>
      <w:color w:val="0000FF"/>
      <w:u w:val="single"/>
    </w:rPr>
  </w:style>
  <w:style w:type="character" w:styleId="69">
    <w:name w:val="annotation reference"/>
    <w:qFormat/>
    <w:uiPriority w:val="0"/>
    <w:rPr>
      <w:sz w:val="21"/>
      <w:szCs w:val="21"/>
    </w:rPr>
  </w:style>
  <w:style w:type="character" w:styleId="70">
    <w:name w:val="footnote reference"/>
    <w:qFormat/>
    <w:uiPriority w:val="0"/>
    <w:rPr>
      <w:vertAlign w:val="superscript"/>
    </w:rPr>
  </w:style>
  <w:style w:type="character" w:customStyle="1" w:styleId="71">
    <w:name w:val="标题 1 字符"/>
    <w:link w:val="4"/>
    <w:qFormat/>
    <w:uiPriority w:val="0"/>
    <w:rPr>
      <w:rFonts w:ascii="Times New Roman" w:hAnsi="Times New Roman" w:eastAsia="仿宋_GB2312" w:cs="Times New Roman"/>
      <w:b/>
      <w:bCs/>
      <w:kern w:val="44"/>
      <w:sz w:val="28"/>
      <w:szCs w:val="44"/>
    </w:rPr>
  </w:style>
  <w:style w:type="character" w:customStyle="1" w:styleId="72">
    <w:name w:val="标题 2 字符"/>
    <w:link w:val="5"/>
    <w:qFormat/>
    <w:uiPriority w:val="0"/>
    <w:rPr>
      <w:rFonts w:ascii="Cambria" w:hAnsi="Cambria" w:eastAsia="宋体" w:cs="Times New Roman"/>
      <w:b/>
      <w:bCs/>
      <w:sz w:val="32"/>
      <w:szCs w:val="32"/>
    </w:rPr>
  </w:style>
  <w:style w:type="character" w:customStyle="1" w:styleId="73">
    <w:name w:val="标题 3 字符"/>
    <w:link w:val="6"/>
    <w:qFormat/>
    <w:uiPriority w:val="0"/>
    <w:rPr>
      <w:rFonts w:ascii="Times New Roman" w:hAnsi="Times New Roman" w:eastAsia="宋体" w:cs="Times New Roman"/>
      <w:b/>
      <w:bCs/>
      <w:sz w:val="32"/>
      <w:szCs w:val="32"/>
    </w:rPr>
  </w:style>
  <w:style w:type="character" w:customStyle="1" w:styleId="74">
    <w:name w:val="标题 4 字符"/>
    <w:link w:val="7"/>
    <w:qFormat/>
    <w:uiPriority w:val="0"/>
    <w:rPr>
      <w:rFonts w:ascii="Cambria" w:hAnsi="Cambria" w:eastAsia="宋体" w:cs="Times New Roman"/>
      <w:b/>
      <w:bCs/>
      <w:sz w:val="28"/>
      <w:szCs w:val="28"/>
    </w:rPr>
  </w:style>
  <w:style w:type="character" w:customStyle="1" w:styleId="75">
    <w:name w:val="标题 5 字符"/>
    <w:link w:val="8"/>
    <w:qFormat/>
    <w:uiPriority w:val="0"/>
    <w:rPr>
      <w:rFonts w:ascii="Arial" w:hAnsi="Arial" w:eastAsia="宋体" w:cs="Times New Roman"/>
      <w:sz w:val="22"/>
      <w:szCs w:val="28"/>
    </w:rPr>
  </w:style>
  <w:style w:type="character" w:customStyle="1" w:styleId="76">
    <w:name w:val="标题 6 字符"/>
    <w:link w:val="9"/>
    <w:qFormat/>
    <w:uiPriority w:val="0"/>
    <w:rPr>
      <w:rFonts w:ascii="Arial" w:hAnsi="Arial" w:eastAsia="仿宋_GB2312" w:cs="Times New Roman"/>
      <w:i/>
      <w:kern w:val="0"/>
      <w:sz w:val="22"/>
      <w:szCs w:val="20"/>
    </w:rPr>
  </w:style>
  <w:style w:type="character" w:customStyle="1" w:styleId="77">
    <w:name w:val="标题 7 字符"/>
    <w:link w:val="10"/>
    <w:qFormat/>
    <w:uiPriority w:val="0"/>
    <w:rPr>
      <w:rFonts w:ascii="Arial" w:hAnsi="Arial" w:eastAsia="宋体" w:cs="Times New Roman"/>
      <w:sz w:val="28"/>
      <w:szCs w:val="28"/>
    </w:rPr>
  </w:style>
  <w:style w:type="character" w:customStyle="1" w:styleId="78">
    <w:name w:val="标题 8 字符"/>
    <w:link w:val="11"/>
    <w:qFormat/>
    <w:uiPriority w:val="0"/>
    <w:rPr>
      <w:rFonts w:ascii="Arial" w:hAnsi="Arial" w:eastAsia="宋体" w:cs="Times New Roman"/>
      <w:i/>
      <w:sz w:val="28"/>
      <w:szCs w:val="28"/>
    </w:rPr>
  </w:style>
  <w:style w:type="character" w:customStyle="1" w:styleId="79">
    <w:name w:val="标题 9 字符"/>
    <w:link w:val="12"/>
    <w:qFormat/>
    <w:uiPriority w:val="0"/>
    <w:rPr>
      <w:rFonts w:ascii="Arial" w:hAnsi="Arial" w:eastAsia="宋体" w:cs="Times New Roman"/>
      <w:i/>
      <w:sz w:val="18"/>
      <w:szCs w:val="28"/>
    </w:rPr>
  </w:style>
  <w:style w:type="character" w:customStyle="1" w:styleId="80">
    <w:name w:val="Intense Emphasis"/>
    <w:qFormat/>
    <w:uiPriority w:val="0"/>
    <w:rPr>
      <w:b/>
      <w:bCs/>
      <w:i/>
      <w:iCs/>
      <w:color w:val="4F81BD"/>
    </w:rPr>
  </w:style>
  <w:style w:type="character" w:customStyle="1" w:styleId="81">
    <w:name w:val="Char Char14"/>
    <w:qFormat/>
    <w:uiPriority w:val="0"/>
    <w:rPr>
      <w:rFonts w:ascii="宋体" w:hAnsi="Courier New" w:eastAsia="宋体"/>
      <w:sz w:val="21"/>
      <w:lang w:val="en-US" w:eastAsia="zh-CN" w:bidi="ar-SA"/>
    </w:rPr>
  </w:style>
  <w:style w:type="character" w:customStyle="1" w:styleId="82">
    <w:name w:val="列表段落 字符"/>
    <w:link w:val="83"/>
    <w:qFormat/>
    <w:uiPriority w:val="0"/>
    <w:rPr>
      <w:rFonts w:ascii="Calibri" w:hAnsi="Calibri" w:eastAsia="仿宋_GB2312"/>
      <w:sz w:val="28"/>
    </w:rPr>
  </w:style>
  <w:style w:type="paragraph" w:styleId="83">
    <w:name w:val="List Paragraph"/>
    <w:basedOn w:val="1"/>
    <w:link w:val="82"/>
    <w:qFormat/>
    <w:uiPriority w:val="0"/>
    <w:pPr>
      <w:ind w:firstLine="420" w:firstLineChars="200"/>
    </w:pPr>
    <w:rPr>
      <w:rFonts w:ascii="Calibri" w:hAnsi="Calibri" w:eastAsia="仿宋_GB2312"/>
      <w:kern w:val="0"/>
      <w:sz w:val="28"/>
    </w:rPr>
  </w:style>
  <w:style w:type="character" w:customStyle="1" w:styleId="84">
    <w:name w:val="unnamed11"/>
    <w:qFormat/>
    <w:uiPriority w:val="0"/>
    <w:rPr>
      <w:sz w:val="18"/>
      <w:szCs w:val="18"/>
    </w:rPr>
  </w:style>
  <w:style w:type="character" w:customStyle="1" w:styleId="85">
    <w:name w:val="日期 Char1"/>
    <w:semiHidden/>
    <w:qFormat/>
    <w:uiPriority w:val="0"/>
    <w:rPr>
      <w:rFonts w:ascii="仿宋_GB2312" w:hAnsi="Times New Roman" w:eastAsia="仿宋_GB2312" w:cs="Times New Roman"/>
      <w:sz w:val="28"/>
      <w:szCs w:val="28"/>
    </w:rPr>
  </w:style>
  <w:style w:type="character" w:customStyle="1" w:styleId="86">
    <w:name w:val="页脚 Char1"/>
    <w:semiHidden/>
    <w:qFormat/>
    <w:uiPriority w:val="0"/>
    <w:rPr>
      <w:rFonts w:ascii="仿宋_GB2312" w:hAnsi="Times New Roman" w:eastAsia="仿宋_GB2312" w:cs="Times New Roman"/>
      <w:sz w:val="18"/>
      <w:szCs w:val="18"/>
    </w:rPr>
  </w:style>
  <w:style w:type="character" w:customStyle="1" w:styleId="87">
    <w:name w:val="正文文本缩进 2 字符"/>
    <w:link w:val="36"/>
    <w:qFormat/>
    <w:uiPriority w:val="0"/>
    <w:rPr>
      <w:sz w:val="24"/>
      <w:szCs w:val="21"/>
    </w:rPr>
  </w:style>
  <w:style w:type="character" w:customStyle="1" w:styleId="88">
    <w:name w:val="正文文本首行缩进 2 字符"/>
    <w:link w:val="59"/>
    <w:qFormat/>
    <w:uiPriority w:val="0"/>
    <w:rPr>
      <w:rFonts w:ascii="Times New Roman" w:hAnsi="Times New Roman" w:eastAsia="宋体" w:cs="Times New Roman"/>
      <w:szCs w:val="24"/>
    </w:rPr>
  </w:style>
  <w:style w:type="character" w:customStyle="1" w:styleId="89">
    <w:name w:val="正文文本缩进 字符"/>
    <w:link w:val="25"/>
    <w:qFormat/>
    <w:uiPriority w:val="0"/>
    <w:rPr>
      <w:rFonts w:ascii="Times New Roman" w:hAnsi="Times New Roman" w:eastAsia="宋体" w:cs="Times New Roman"/>
      <w:szCs w:val="20"/>
    </w:rPr>
  </w:style>
  <w:style w:type="character" w:customStyle="1" w:styleId="90">
    <w:name w:val="EHPT Char1"/>
    <w:qFormat/>
    <w:uiPriority w:val="0"/>
    <w:rPr>
      <w:rFonts w:ascii="Calibri" w:hAnsi="Calibri" w:eastAsia="宋体"/>
      <w:kern w:val="2"/>
      <w:sz w:val="21"/>
      <w:szCs w:val="22"/>
      <w:lang w:val="en-US" w:eastAsia="zh-CN" w:bidi="ar-SA"/>
    </w:rPr>
  </w:style>
  <w:style w:type="character" w:customStyle="1" w:styleId="91">
    <w:name w:val="maincontenttable1"/>
    <w:qFormat/>
    <w:uiPriority w:val="0"/>
    <w:rPr>
      <w:sz w:val="18"/>
      <w:szCs w:val="18"/>
    </w:rPr>
  </w:style>
  <w:style w:type="character" w:customStyle="1" w:styleId="92">
    <w:name w:val="14normal1"/>
    <w:qFormat/>
    <w:uiPriority w:val="0"/>
    <w:rPr>
      <w:rFonts w:hint="default" w:ascii="ˎ̥" w:hAnsi="ˎ̥"/>
      <w:color w:val="000000"/>
      <w:sz w:val="21"/>
      <w:szCs w:val="21"/>
    </w:rPr>
  </w:style>
  <w:style w:type="character" w:customStyle="1" w:styleId="93">
    <w:name w:val="文字 Char"/>
    <w:link w:val="94"/>
    <w:qFormat/>
    <w:uiPriority w:val="0"/>
    <w:rPr>
      <w:rFonts w:ascii="宋体" w:hAnsi="宋体"/>
      <w:sz w:val="28"/>
    </w:rPr>
  </w:style>
  <w:style w:type="paragraph" w:customStyle="1" w:styleId="94">
    <w:name w:val="文字"/>
    <w:basedOn w:val="1"/>
    <w:link w:val="93"/>
    <w:qFormat/>
    <w:uiPriority w:val="0"/>
    <w:pPr>
      <w:tabs>
        <w:tab w:val="left" w:pos="8520"/>
      </w:tabs>
      <w:spacing w:line="312" w:lineRule="auto"/>
      <w:ind w:right="-210" w:firstLine="556"/>
    </w:pPr>
    <w:rPr>
      <w:rFonts w:ascii="宋体" w:hAnsi="宋体"/>
      <w:kern w:val="0"/>
      <w:sz w:val="28"/>
    </w:rPr>
  </w:style>
  <w:style w:type="character" w:customStyle="1" w:styleId="95">
    <w:name w:val="EHPT Char2"/>
    <w:qFormat/>
    <w:uiPriority w:val="0"/>
    <w:rPr>
      <w:rFonts w:ascii="Calibri" w:hAnsi="Calibri"/>
      <w:kern w:val="2"/>
      <w:sz w:val="21"/>
      <w:szCs w:val="22"/>
    </w:rPr>
  </w:style>
  <w:style w:type="character" w:customStyle="1" w:styleId="96">
    <w:name w:val="脚注文本 字符"/>
    <w:link w:val="46"/>
    <w:qFormat/>
    <w:uiPriority w:val="0"/>
    <w:rPr>
      <w:rFonts w:ascii="仿宋_GB2312" w:eastAsia="仿宋_GB2312"/>
      <w:sz w:val="18"/>
      <w:szCs w:val="18"/>
    </w:rPr>
  </w:style>
  <w:style w:type="character" w:customStyle="1" w:styleId="97">
    <w:name w:val="g1"/>
    <w:qFormat/>
    <w:uiPriority w:val="0"/>
    <w:rPr>
      <w:color w:val="008000"/>
    </w:rPr>
  </w:style>
  <w:style w:type="character" w:customStyle="1" w:styleId="98">
    <w:name w:val="Intense Reference"/>
    <w:qFormat/>
    <w:uiPriority w:val="0"/>
    <w:rPr>
      <w:b/>
      <w:bCs/>
      <w:smallCaps/>
      <w:color w:val="C0504D"/>
      <w:spacing w:val="5"/>
      <w:u w:val="single"/>
    </w:rPr>
  </w:style>
  <w:style w:type="character" w:customStyle="1" w:styleId="99">
    <w:name w:val="Book Title"/>
    <w:qFormat/>
    <w:uiPriority w:val="0"/>
    <w:rPr>
      <w:b/>
      <w:bCs/>
      <w:smallCaps/>
      <w:spacing w:val="5"/>
    </w:rPr>
  </w:style>
  <w:style w:type="character" w:customStyle="1" w:styleId="100">
    <w:name w:val="H6 Char1"/>
    <w:qFormat/>
    <w:uiPriority w:val="0"/>
    <w:rPr>
      <w:rFonts w:ascii="Arial" w:hAnsi="Arial" w:eastAsia="宋体" w:cs="Times New Roman"/>
      <w:i/>
      <w:sz w:val="22"/>
      <w:szCs w:val="28"/>
    </w:rPr>
  </w:style>
  <w:style w:type="character" w:customStyle="1" w:styleId="101">
    <w:name w:val="Char Char4"/>
    <w:qFormat/>
    <w:uiPriority w:val="0"/>
    <w:rPr>
      <w:rFonts w:ascii="仿宋_GB2312" w:eastAsia="仿宋_GB2312"/>
      <w:kern w:val="2"/>
      <w:sz w:val="28"/>
      <w:szCs w:val="28"/>
      <w:lang w:val="zh-CN" w:eastAsia="zh-CN" w:bidi="ar-SA"/>
    </w:rPr>
  </w:style>
  <w:style w:type="character" w:customStyle="1" w:styleId="102">
    <w:name w:val="标书正文格式 Char"/>
    <w:link w:val="103"/>
    <w:qFormat/>
    <w:uiPriority w:val="0"/>
    <w:rPr>
      <w:rFonts w:ascii="楷体_GB2312" w:eastAsia="楷体_GB2312"/>
      <w:color w:val="000000"/>
      <w:kern w:val="2"/>
      <w:sz w:val="24"/>
      <w:szCs w:val="24"/>
      <w:lang w:val="en-US" w:eastAsia="zh-CN" w:bidi="ar-SA"/>
    </w:rPr>
  </w:style>
  <w:style w:type="paragraph" w:customStyle="1" w:styleId="103">
    <w:name w:val="标书正文格式"/>
    <w:link w:val="102"/>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character" w:customStyle="1" w:styleId="104">
    <w:name w:val="bulletintext1"/>
    <w:qFormat/>
    <w:uiPriority w:val="0"/>
    <w:rPr>
      <w:color w:val="000000"/>
      <w:sz w:val="18"/>
      <w:szCs w:val="18"/>
    </w:rPr>
  </w:style>
  <w:style w:type="character" w:customStyle="1" w:styleId="105">
    <w:name w:val="正文文本缩进 2 Char1"/>
    <w:semiHidden/>
    <w:qFormat/>
    <w:uiPriority w:val="0"/>
    <w:rPr>
      <w:rFonts w:eastAsia="宋体"/>
      <w:kern w:val="2"/>
      <w:sz w:val="24"/>
      <w:szCs w:val="21"/>
      <w:lang w:val="en-US" w:eastAsia="zh-CN" w:bidi="ar-SA"/>
    </w:rPr>
  </w:style>
  <w:style w:type="character" w:customStyle="1" w:styleId="106">
    <w:name w:val="正文文本 3 Char2"/>
    <w:semiHidden/>
    <w:qFormat/>
    <w:uiPriority w:val="99"/>
    <w:rPr>
      <w:rFonts w:ascii="Times New Roman" w:hAnsi="Times New Roman" w:eastAsia="宋体" w:cs="Times New Roman"/>
      <w:sz w:val="16"/>
      <w:szCs w:val="16"/>
    </w:rPr>
  </w:style>
  <w:style w:type="character" w:customStyle="1" w:styleId="107">
    <w:name w:val="ca-10"/>
    <w:basedOn w:val="62"/>
    <w:qFormat/>
    <w:uiPriority w:val="0"/>
  </w:style>
  <w:style w:type="character" w:customStyle="1" w:styleId="108">
    <w:name w:val="Char Char25"/>
    <w:qFormat/>
    <w:uiPriority w:val="0"/>
    <w:rPr>
      <w:rFonts w:eastAsia="黑体"/>
      <w:b/>
      <w:bCs/>
      <w:spacing w:val="20"/>
      <w:kern w:val="52"/>
      <w:sz w:val="56"/>
      <w:szCs w:val="24"/>
      <w:lang w:val="en-US" w:eastAsia="zh-CN" w:bidi="ar-SA"/>
    </w:rPr>
  </w:style>
  <w:style w:type="character" w:customStyle="1" w:styleId="109">
    <w:name w:val="www序号1) Char"/>
    <w:link w:val="110"/>
    <w:qFormat/>
    <w:uiPriority w:val="0"/>
    <w:rPr>
      <w:sz w:val="24"/>
      <w:szCs w:val="24"/>
    </w:rPr>
  </w:style>
  <w:style w:type="paragraph" w:customStyle="1" w:styleId="110">
    <w:name w:val="www序号1)"/>
    <w:basedOn w:val="1"/>
    <w:link w:val="109"/>
    <w:qFormat/>
    <w:uiPriority w:val="0"/>
    <w:pPr>
      <w:tabs>
        <w:tab w:val="left" w:pos="2160"/>
      </w:tabs>
      <w:ind w:left="2160" w:hanging="420"/>
    </w:pPr>
    <w:rPr>
      <w:kern w:val="0"/>
      <w:sz w:val="24"/>
      <w:szCs w:val="24"/>
    </w:rPr>
  </w:style>
  <w:style w:type="character" w:customStyle="1" w:styleId="111">
    <w:name w:val="批注框文本 字符"/>
    <w:link w:val="38"/>
    <w:semiHidden/>
    <w:qFormat/>
    <w:uiPriority w:val="99"/>
    <w:rPr>
      <w:sz w:val="18"/>
      <w:szCs w:val="18"/>
    </w:rPr>
  </w:style>
  <w:style w:type="character" w:customStyle="1" w:styleId="112">
    <w:name w:val="明显引用 Char1"/>
    <w:qFormat/>
    <w:uiPriority w:val="30"/>
    <w:rPr>
      <w:rFonts w:ascii="Times New Roman" w:hAnsi="Times New Roman" w:eastAsia="宋体" w:cs="Times New Roman"/>
      <w:b/>
      <w:bCs/>
      <w:i/>
      <w:iCs/>
      <w:color w:val="4F81BD"/>
      <w:szCs w:val="20"/>
    </w:rPr>
  </w:style>
  <w:style w:type="character" w:customStyle="1" w:styleId="113">
    <w:name w:val="Char Char62"/>
    <w:qFormat/>
    <w:uiPriority w:val="0"/>
    <w:rPr>
      <w:rFonts w:ascii="仿宋_GB2312" w:hAnsi="宋体"/>
      <w:b/>
      <w:bCs/>
      <w:color w:val="000000"/>
      <w:kern w:val="2"/>
      <w:sz w:val="24"/>
      <w:szCs w:val="24"/>
      <w:lang w:bidi="ar-SA"/>
    </w:rPr>
  </w:style>
  <w:style w:type="character" w:customStyle="1" w:styleId="114">
    <w:name w:val="标题 Char1"/>
    <w:qFormat/>
    <w:uiPriority w:val="0"/>
    <w:rPr>
      <w:rFonts w:ascii="Cambria" w:hAnsi="Cambria" w:eastAsia="宋体" w:cs="Times New Roman"/>
      <w:b/>
      <w:bCs/>
      <w:sz w:val="32"/>
      <w:szCs w:val="32"/>
    </w:rPr>
  </w:style>
  <w:style w:type="character" w:customStyle="1" w:styleId="115">
    <w:name w:val="纯文本 Char2"/>
    <w:semiHidden/>
    <w:qFormat/>
    <w:uiPriority w:val="99"/>
    <w:rPr>
      <w:rFonts w:ascii="宋体" w:hAnsi="Courier New" w:eastAsia="宋体" w:cs="Courier New"/>
      <w:szCs w:val="21"/>
    </w:rPr>
  </w:style>
  <w:style w:type="character" w:customStyle="1" w:styleId="116">
    <w:name w:val="表格非标题文字 Char"/>
    <w:link w:val="117"/>
    <w:qFormat/>
    <w:uiPriority w:val="0"/>
    <w:rPr>
      <w:rFonts w:ascii="Futura Bk" w:hAnsi="Futura Bk"/>
      <w:kern w:val="2"/>
      <w:sz w:val="18"/>
      <w:szCs w:val="21"/>
      <w:lang w:val="en-US" w:eastAsia="zh-CN" w:bidi="ar-SA"/>
    </w:rPr>
  </w:style>
  <w:style w:type="paragraph" w:customStyle="1" w:styleId="117">
    <w:name w:val="表格非标题文字"/>
    <w:link w:val="1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Char Char20"/>
    <w:qFormat/>
    <w:uiPriority w:val="0"/>
    <w:rPr>
      <w:rFonts w:ascii="Cambria" w:hAnsi="Cambria" w:eastAsia="宋体" w:cs="Times New Roman"/>
      <w:i/>
      <w:iCs/>
      <w:color w:val="404040"/>
    </w:rPr>
  </w:style>
  <w:style w:type="character" w:customStyle="1" w:styleId="119">
    <w:name w:val="PI Char3"/>
    <w:qFormat/>
    <w:uiPriority w:val="0"/>
    <w:rPr>
      <w:rFonts w:ascii="仿宋_GB2312" w:eastAsia="仿宋_GB2312"/>
      <w:kern w:val="2"/>
      <w:sz w:val="28"/>
      <w:szCs w:val="28"/>
      <w:lang w:val="zh-CN"/>
    </w:rPr>
  </w:style>
  <w:style w:type="character" w:customStyle="1" w:styleId="120">
    <w:name w:val="普通文字 Char Char6"/>
    <w:qFormat/>
    <w:uiPriority w:val="0"/>
    <w:rPr>
      <w:rFonts w:ascii="宋体" w:hAnsi="Courier New" w:eastAsia="仿宋_GB2312" w:cs="Times New Roman"/>
      <w:kern w:val="0"/>
      <w:sz w:val="28"/>
      <w:szCs w:val="20"/>
      <w:lang w:val="en-US" w:eastAsia="zh-CN"/>
    </w:rPr>
  </w:style>
  <w:style w:type="character" w:customStyle="1" w:styleId="121">
    <w:name w:val="正文首行缩进 Char"/>
    <w:qFormat/>
    <w:uiPriority w:val="0"/>
    <w:rPr>
      <w:rFonts w:ascii="Calibri" w:hAnsi="Calibri" w:eastAsia="楷体_GB2312"/>
      <w:sz w:val="24"/>
    </w:rPr>
  </w:style>
  <w:style w:type="character" w:customStyle="1" w:styleId="122">
    <w:name w:val="正文文本 Char2"/>
    <w:qFormat/>
    <w:uiPriority w:val="0"/>
    <w:rPr>
      <w:rFonts w:eastAsia="黑体"/>
      <w:b/>
      <w:bCs/>
      <w:spacing w:val="20"/>
      <w:kern w:val="52"/>
      <w:sz w:val="56"/>
      <w:szCs w:val="24"/>
      <w:lang w:val="en-US" w:eastAsia="zh-CN" w:bidi="ar-SA"/>
    </w:rPr>
  </w:style>
  <w:style w:type="character" w:customStyle="1" w:styleId="123">
    <w:name w:val="正文文本缩进 Char1"/>
    <w:semiHidden/>
    <w:qFormat/>
    <w:uiPriority w:val="0"/>
    <w:rPr>
      <w:rFonts w:ascii="仿宋_GB2312" w:hAnsi="Times New Roman" w:eastAsia="仿宋_GB2312" w:cs="Times New Roman"/>
      <w:sz w:val="28"/>
      <w:szCs w:val="28"/>
    </w:rPr>
  </w:style>
  <w:style w:type="character" w:customStyle="1" w:styleId="124">
    <w:name w:val="正文文本 Char1"/>
    <w:semiHidden/>
    <w:qFormat/>
    <w:uiPriority w:val="0"/>
    <w:rPr>
      <w:rFonts w:ascii="仿宋_GB2312" w:hAnsi="Times New Roman" w:eastAsia="仿宋_GB2312" w:cs="Times New Roman"/>
      <w:sz w:val="28"/>
      <w:szCs w:val="28"/>
    </w:rPr>
  </w:style>
  <w:style w:type="character" w:customStyle="1" w:styleId="125">
    <w:name w:val="正文文本 3 Char1"/>
    <w:semiHidden/>
    <w:qFormat/>
    <w:uiPriority w:val="0"/>
    <w:rPr>
      <w:rFonts w:ascii="仿宋_GB2312" w:hAnsi="Times New Roman" w:eastAsia="仿宋_GB2312" w:cs="Times New Roman"/>
      <w:sz w:val="16"/>
      <w:szCs w:val="16"/>
    </w:rPr>
  </w:style>
  <w:style w:type="character" w:customStyle="1" w:styleId="126">
    <w:name w:val="style321"/>
    <w:qFormat/>
    <w:uiPriority w:val="0"/>
    <w:rPr>
      <w:b/>
      <w:bCs/>
      <w:color w:val="FF9900"/>
      <w:sz w:val="23"/>
      <w:szCs w:val="23"/>
    </w:rPr>
  </w:style>
  <w:style w:type="character" w:customStyle="1" w:styleId="127">
    <w:name w:val="font31"/>
    <w:qFormat/>
    <w:uiPriority w:val="0"/>
    <w:rPr>
      <w:rFonts w:hint="eastAsia" w:ascii="宋体" w:hAnsi="宋体" w:eastAsia="宋体" w:cs="宋体"/>
      <w:color w:val="000000"/>
      <w:sz w:val="28"/>
      <w:szCs w:val="28"/>
      <w:u w:val="none"/>
    </w:rPr>
  </w:style>
  <w:style w:type="character" w:customStyle="1" w:styleId="128">
    <w:name w:val="Char Char29"/>
    <w:qFormat/>
    <w:uiPriority w:val="0"/>
    <w:rPr>
      <w:rFonts w:ascii="Arial" w:hAnsi="Arial" w:eastAsia="黑体"/>
      <w:b/>
      <w:bCs/>
      <w:kern w:val="2"/>
      <w:sz w:val="32"/>
      <w:szCs w:val="32"/>
      <w:lang w:val="en-US" w:eastAsia="zh-CN" w:bidi="ar-SA"/>
    </w:rPr>
  </w:style>
  <w:style w:type="character" w:customStyle="1" w:styleId="129">
    <w:name w:val="PI Char2"/>
    <w:qFormat/>
    <w:uiPriority w:val="0"/>
    <w:rPr>
      <w:rFonts w:ascii="仿宋_GB2312" w:eastAsia="仿宋_GB2312"/>
      <w:kern w:val="2"/>
      <w:sz w:val="28"/>
      <w:szCs w:val="28"/>
      <w:lang w:val="zh-CN" w:eastAsia="zh-CN" w:bidi="ar-SA"/>
    </w:rPr>
  </w:style>
  <w:style w:type="character" w:customStyle="1" w:styleId="130">
    <w:name w:val="正文文本 Char"/>
    <w:qFormat/>
    <w:uiPriority w:val="0"/>
    <w:rPr>
      <w:rFonts w:ascii="仿宋_GB2312" w:hAnsi="Times New Roman" w:eastAsia="仿宋_GB2312" w:cs="Times New Roman"/>
      <w:sz w:val="28"/>
      <w:szCs w:val="28"/>
    </w:rPr>
  </w:style>
  <w:style w:type="character" w:customStyle="1" w:styleId="131">
    <w:name w:val="EmailStyle191"/>
    <w:semiHidden/>
    <w:qFormat/>
    <w:uiPriority w:val="0"/>
    <w:rPr>
      <w:rFonts w:ascii="Arial" w:hAnsi="Arial" w:eastAsia="宋体" w:cs="Arial"/>
      <w:color w:val="000080"/>
      <w:sz w:val="18"/>
      <w:szCs w:val="20"/>
    </w:rPr>
  </w:style>
  <w:style w:type="character" w:customStyle="1" w:styleId="132">
    <w:name w:val="Heading 2 Hidden Char2"/>
    <w:qFormat/>
    <w:uiPriority w:val="0"/>
    <w:rPr>
      <w:rFonts w:ascii="Cambria" w:hAnsi="Cambria" w:eastAsia="宋体" w:cs="Times New Roman"/>
      <w:b/>
      <w:bCs/>
      <w:color w:val="4F81BD"/>
      <w:sz w:val="26"/>
      <w:szCs w:val="26"/>
    </w:rPr>
  </w:style>
  <w:style w:type="character" w:customStyle="1" w:styleId="133">
    <w:name w:val="普通文字 Char Char8"/>
    <w:qFormat/>
    <w:uiPriority w:val="0"/>
    <w:rPr>
      <w:rFonts w:ascii="宋体" w:hAnsi="Courier New" w:eastAsia="宋体"/>
    </w:rPr>
  </w:style>
  <w:style w:type="character" w:customStyle="1" w:styleId="134">
    <w:name w:val="副标题 字符"/>
    <w:link w:val="45"/>
    <w:qFormat/>
    <w:uiPriority w:val="0"/>
    <w:rPr>
      <w:rFonts w:ascii="Cambria" w:hAnsi="Cambria" w:eastAsia="宋体" w:cs="Times New Roman"/>
      <w:i/>
      <w:iCs/>
      <w:color w:val="4F81BD"/>
      <w:spacing w:val="15"/>
      <w:kern w:val="0"/>
      <w:sz w:val="24"/>
      <w:szCs w:val="24"/>
      <w:lang w:eastAsia="en-US" w:bidi="en-US"/>
    </w:rPr>
  </w:style>
  <w:style w:type="character" w:customStyle="1" w:styleId="135">
    <w:name w:val="正文文本 字符"/>
    <w:link w:val="3"/>
    <w:qFormat/>
    <w:uiPriority w:val="0"/>
    <w:rPr>
      <w:rFonts w:ascii="Times New Roman" w:hAnsi="Times New Roman" w:eastAsia="宋体" w:cs="Times New Roman"/>
      <w:szCs w:val="20"/>
    </w:rPr>
  </w:style>
  <w:style w:type="character" w:customStyle="1" w:styleId="136">
    <w:name w:val="番茄花园"/>
    <w:qFormat/>
    <w:uiPriority w:val="0"/>
    <w:rPr>
      <w:rFonts w:ascii="Arial" w:hAnsi="Arial" w:eastAsia="宋体" w:cs="Arial"/>
      <w:color w:val="000080"/>
      <w:sz w:val="18"/>
      <w:szCs w:val="20"/>
    </w:rPr>
  </w:style>
  <w:style w:type="character" w:customStyle="1" w:styleId="137">
    <w:name w:val="Char Char30"/>
    <w:qFormat/>
    <w:uiPriority w:val="0"/>
    <w:rPr>
      <w:rFonts w:eastAsia="宋体"/>
      <w:b/>
      <w:bCs/>
      <w:kern w:val="44"/>
      <w:sz w:val="44"/>
      <w:szCs w:val="44"/>
      <w:lang w:val="en-US" w:eastAsia="zh-CN" w:bidi="ar-SA"/>
    </w:rPr>
  </w:style>
  <w:style w:type="character" w:customStyle="1" w:styleId="138">
    <w:name w:val="EHPT Char"/>
    <w:qFormat/>
    <w:uiPriority w:val="0"/>
    <w:rPr>
      <w:rFonts w:ascii="Calibri" w:hAnsi="Calibri" w:eastAsia="宋体"/>
      <w:kern w:val="2"/>
      <w:sz w:val="21"/>
      <w:szCs w:val="22"/>
      <w:lang w:val="en-US" w:eastAsia="zh-CN" w:bidi="ar-SA"/>
    </w:rPr>
  </w:style>
  <w:style w:type="character" w:customStyle="1" w:styleId="139">
    <w:name w:val="尾注文本 Char1"/>
    <w:semiHidden/>
    <w:qFormat/>
    <w:uiPriority w:val="99"/>
    <w:rPr>
      <w:rFonts w:ascii="Times New Roman" w:hAnsi="Times New Roman" w:eastAsia="宋体" w:cs="Times New Roman"/>
      <w:szCs w:val="20"/>
    </w:rPr>
  </w:style>
  <w:style w:type="character" w:customStyle="1" w:styleId="140">
    <w:name w:val="正文文本缩进 3 Char2"/>
    <w:semiHidden/>
    <w:qFormat/>
    <w:uiPriority w:val="99"/>
    <w:rPr>
      <w:rFonts w:ascii="Times New Roman" w:hAnsi="Times New Roman" w:eastAsia="宋体" w:cs="Times New Roman"/>
      <w:sz w:val="16"/>
      <w:szCs w:val="16"/>
    </w:rPr>
  </w:style>
  <w:style w:type="character" w:customStyle="1" w:styleId="141">
    <w:name w:val="Char Char22"/>
    <w:qFormat/>
    <w:uiPriority w:val="0"/>
    <w:rPr>
      <w:rFonts w:ascii="Arial" w:hAnsi="Arial" w:eastAsia="宋体"/>
      <w:i/>
      <w:kern w:val="2"/>
      <w:sz w:val="18"/>
      <w:szCs w:val="28"/>
      <w:lang w:val="en-US" w:eastAsia="zh-CN" w:bidi="ar-SA"/>
    </w:rPr>
  </w:style>
  <w:style w:type="character" w:customStyle="1" w:styleId="142">
    <w:name w:val="PI Char"/>
    <w:qFormat/>
    <w:uiPriority w:val="0"/>
    <w:rPr>
      <w:rFonts w:ascii="仿宋_GB2312" w:eastAsia="仿宋_GB2312"/>
      <w:kern w:val="2"/>
      <w:sz w:val="28"/>
      <w:szCs w:val="28"/>
      <w:lang w:val="zh-CN" w:eastAsia="zh-CN" w:bidi="ar-SA"/>
    </w:rPr>
  </w:style>
  <w:style w:type="character" w:customStyle="1" w:styleId="143">
    <w:name w:val="批注框文本 Char1"/>
    <w:semiHidden/>
    <w:qFormat/>
    <w:uiPriority w:val="0"/>
    <w:rPr>
      <w:rFonts w:eastAsia="宋体"/>
      <w:kern w:val="2"/>
      <w:sz w:val="18"/>
      <w:szCs w:val="18"/>
      <w:lang w:val="en-US" w:eastAsia="zh-CN" w:bidi="ar-SA"/>
    </w:rPr>
  </w:style>
  <w:style w:type="character" w:customStyle="1" w:styleId="144">
    <w:name w:val="apple-style-span"/>
    <w:basedOn w:val="62"/>
    <w:qFormat/>
    <w:uiPriority w:val="0"/>
  </w:style>
  <w:style w:type="character" w:customStyle="1" w:styleId="145">
    <w:name w:val="正文文本缩进 Char"/>
    <w:qFormat/>
    <w:uiPriority w:val="0"/>
    <w:rPr>
      <w:rFonts w:ascii="仿宋_GB2312" w:hAnsi="Times New Roman" w:eastAsia="仿宋_GB2312" w:cs="Times New Roman"/>
      <w:sz w:val="28"/>
      <w:szCs w:val="28"/>
    </w:rPr>
  </w:style>
  <w:style w:type="character" w:customStyle="1" w:styleId="146">
    <w:name w:val="text9"/>
    <w:basedOn w:val="62"/>
    <w:qFormat/>
    <w:uiPriority w:val="0"/>
  </w:style>
  <w:style w:type="character" w:customStyle="1" w:styleId="147">
    <w:name w:val="Char Char21"/>
    <w:qFormat/>
    <w:uiPriority w:val="0"/>
    <w:rPr>
      <w:rFonts w:eastAsia="宋体"/>
      <w:kern w:val="2"/>
      <w:sz w:val="18"/>
      <w:lang w:val="en-US" w:eastAsia="zh-CN" w:bidi="ar-SA"/>
    </w:rPr>
  </w:style>
  <w:style w:type="character" w:customStyle="1" w:styleId="148">
    <w:name w:val="Char Char24"/>
    <w:qFormat/>
    <w:uiPriority w:val="0"/>
    <w:rPr>
      <w:rFonts w:ascii="Arial" w:hAnsi="Arial" w:eastAsia="宋体"/>
      <w:kern w:val="2"/>
      <w:sz w:val="28"/>
      <w:szCs w:val="28"/>
      <w:lang w:val="en-US" w:eastAsia="zh-CN" w:bidi="ar-SA"/>
    </w:rPr>
  </w:style>
  <w:style w:type="character" w:customStyle="1" w:styleId="149">
    <w:name w:val="批注主题 Char2"/>
    <w:semiHidden/>
    <w:qFormat/>
    <w:uiPriority w:val="99"/>
    <w:rPr>
      <w:rFonts w:ascii="Times New Roman" w:hAnsi="Times New Roman" w:eastAsia="宋体" w:cs="Times New Roman"/>
      <w:b/>
      <w:bCs/>
      <w:szCs w:val="20"/>
    </w:rPr>
  </w:style>
  <w:style w:type="character" w:customStyle="1" w:styleId="150">
    <w:name w:val="font21"/>
    <w:qFormat/>
    <w:uiPriority w:val="0"/>
    <w:rPr>
      <w:rFonts w:hint="eastAsia" w:ascii="楷体_GB2312" w:eastAsia="楷体_GB2312"/>
      <w:color w:val="000000"/>
      <w:sz w:val="21"/>
      <w:szCs w:val="21"/>
      <w:u w:val="single"/>
    </w:rPr>
  </w:style>
  <w:style w:type="character" w:customStyle="1" w:styleId="151">
    <w:name w:val="ca-3"/>
    <w:basedOn w:val="62"/>
    <w:qFormat/>
    <w:uiPriority w:val="0"/>
  </w:style>
  <w:style w:type="character" w:customStyle="1" w:styleId="152">
    <w:name w:val="文档结构图 字符"/>
    <w:link w:val="21"/>
    <w:qFormat/>
    <w:uiPriority w:val="0"/>
    <w:rPr>
      <w:szCs w:val="24"/>
      <w:shd w:val="clear" w:color="auto" w:fill="000080"/>
    </w:rPr>
  </w:style>
  <w:style w:type="character" w:customStyle="1" w:styleId="153">
    <w:name w:val="Char Char28"/>
    <w:qFormat/>
    <w:uiPriority w:val="0"/>
    <w:rPr>
      <w:rFonts w:eastAsia="宋体"/>
      <w:b/>
      <w:bCs/>
      <w:kern w:val="2"/>
      <w:sz w:val="32"/>
      <w:szCs w:val="32"/>
      <w:lang w:val="en-US" w:eastAsia="zh-CN" w:bidi="ar-SA"/>
    </w:rPr>
  </w:style>
  <w:style w:type="character" w:customStyle="1" w:styleId="154">
    <w:name w:val="批注主题 Char1"/>
    <w:semiHidden/>
    <w:qFormat/>
    <w:uiPriority w:val="0"/>
    <w:rPr>
      <w:rFonts w:ascii="仿宋_GB2312" w:eastAsia="仿宋_GB2312"/>
      <w:b/>
      <w:bCs/>
      <w:kern w:val="2"/>
      <w:sz w:val="28"/>
      <w:szCs w:val="28"/>
      <w:lang w:val="en-US" w:eastAsia="zh-CN" w:bidi="ar-SA"/>
    </w:rPr>
  </w:style>
  <w:style w:type="character" w:customStyle="1" w:styleId="155">
    <w:name w:val="正文文本首行缩进 字符"/>
    <w:basedOn w:val="135"/>
    <w:link w:val="2"/>
    <w:semiHidden/>
    <w:qFormat/>
    <w:uiPriority w:val="99"/>
    <w:rPr>
      <w:rFonts w:ascii="Times New Roman" w:hAnsi="Times New Roman" w:eastAsia="宋体" w:cs="Times New Roman"/>
      <w:szCs w:val="20"/>
    </w:rPr>
  </w:style>
  <w:style w:type="character" w:customStyle="1" w:styleId="156">
    <w:name w:val="批注文字 Char"/>
    <w:qFormat/>
    <w:uiPriority w:val="0"/>
    <w:rPr>
      <w:rFonts w:eastAsia="宋体"/>
      <w:kern w:val="2"/>
      <w:sz w:val="21"/>
      <w:szCs w:val="24"/>
      <w:lang w:val="en-US" w:eastAsia="zh-CN" w:bidi="ar-SA"/>
    </w:rPr>
  </w:style>
  <w:style w:type="character" w:customStyle="1" w:styleId="157">
    <w:name w:val="正文文本缩进 Char2"/>
    <w:qFormat/>
    <w:uiPriority w:val="0"/>
    <w:rPr>
      <w:rFonts w:eastAsia="宋体"/>
      <w:kern w:val="2"/>
      <w:sz w:val="28"/>
      <w:szCs w:val="24"/>
      <w:lang w:val="en-US" w:eastAsia="zh-CN" w:bidi="ar-SA"/>
    </w:rPr>
  </w:style>
  <w:style w:type="character" w:customStyle="1" w:styleId="158">
    <w:name w:val="Subtle Emphasis"/>
    <w:qFormat/>
    <w:uiPriority w:val="0"/>
    <w:rPr>
      <w:i/>
      <w:iCs/>
      <w:color w:val="808080"/>
    </w:rPr>
  </w:style>
  <w:style w:type="character" w:customStyle="1" w:styleId="159">
    <w:name w:val="font01"/>
    <w:qFormat/>
    <w:uiPriority w:val="0"/>
    <w:rPr>
      <w:rFonts w:ascii="Calibri" w:hAnsi="Calibri" w:cs="Calibri"/>
      <w:b/>
      <w:color w:val="000000"/>
      <w:sz w:val="28"/>
      <w:szCs w:val="28"/>
      <w:u w:val="none"/>
    </w:rPr>
  </w:style>
  <w:style w:type="character" w:customStyle="1" w:styleId="160">
    <w:name w:val="bei2"/>
    <w:basedOn w:val="62"/>
    <w:qFormat/>
    <w:uiPriority w:val="0"/>
  </w:style>
  <w:style w:type="character" w:customStyle="1" w:styleId="161">
    <w:name w:val="页脚 字符"/>
    <w:link w:val="39"/>
    <w:qFormat/>
    <w:uiPriority w:val="99"/>
    <w:rPr>
      <w:sz w:val="18"/>
      <w:szCs w:val="18"/>
    </w:rPr>
  </w:style>
  <w:style w:type="character" w:customStyle="1" w:styleId="162">
    <w:name w:val="批注文字 Char1"/>
    <w:qFormat/>
    <w:uiPriority w:val="0"/>
    <w:rPr>
      <w:rFonts w:ascii="仿宋_GB2312" w:eastAsia="仿宋_GB2312"/>
      <w:kern w:val="2"/>
      <w:sz w:val="28"/>
      <w:szCs w:val="28"/>
      <w:lang w:val="en-US" w:eastAsia="zh-CN" w:bidi="ar-SA"/>
    </w:rPr>
  </w:style>
  <w:style w:type="character" w:customStyle="1" w:styleId="163">
    <w:name w:val="标题 字符"/>
    <w:link w:val="57"/>
    <w:qFormat/>
    <w:uiPriority w:val="0"/>
    <w:rPr>
      <w:rFonts w:ascii="Arial" w:hAnsi="Arial"/>
      <w:b/>
      <w:sz w:val="36"/>
      <w:lang w:eastAsia="en-US"/>
    </w:rPr>
  </w:style>
  <w:style w:type="character" w:customStyle="1" w:styleId="164">
    <w:name w:val="正文文本缩进 3 Char1"/>
    <w:semiHidden/>
    <w:qFormat/>
    <w:uiPriority w:val="0"/>
    <w:rPr>
      <w:rFonts w:ascii="仿宋_GB2312" w:hAnsi="Times New Roman" w:eastAsia="仿宋_GB2312" w:cs="Times New Roman"/>
      <w:sz w:val="16"/>
      <w:szCs w:val="16"/>
    </w:rPr>
  </w:style>
  <w:style w:type="character" w:customStyle="1" w:styleId="165">
    <w:name w:val="Char Char27"/>
    <w:qFormat/>
    <w:uiPriority w:val="0"/>
    <w:rPr>
      <w:rFonts w:ascii="Cambria" w:hAnsi="Cambria" w:eastAsia="宋体"/>
      <w:b/>
      <w:bCs/>
      <w:kern w:val="2"/>
      <w:sz w:val="28"/>
      <w:szCs w:val="28"/>
      <w:lang w:val="en-US" w:eastAsia="zh-CN" w:bidi="ar-SA"/>
    </w:rPr>
  </w:style>
  <w:style w:type="character" w:customStyle="1" w:styleId="166">
    <w:name w:val="正文文本 3 字符"/>
    <w:link w:val="24"/>
    <w:qFormat/>
    <w:uiPriority w:val="0"/>
    <w:rPr>
      <w:rFonts w:ascii="宋体" w:hAnsi="宋体"/>
      <w:b/>
      <w:bCs/>
      <w:sz w:val="24"/>
      <w:szCs w:val="24"/>
    </w:rPr>
  </w:style>
  <w:style w:type="character" w:customStyle="1" w:styleId="167">
    <w:name w:val="普通文字 Char Char4"/>
    <w:qFormat/>
    <w:uiPriority w:val="0"/>
    <w:rPr>
      <w:rFonts w:ascii="宋体" w:hAnsi="Courier New" w:eastAsia="宋体"/>
      <w:sz w:val="21"/>
      <w:lang w:val="en-US" w:eastAsia="zh-CN" w:bidi="ar-SA"/>
    </w:rPr>
  </w:style>
  <w:style w:type="character" w:customStyle="1" w:styleId="168">
    <w:name w:val="large1"/>
    <w:qFormat/>
    <w:uiPriority w:val="0"/>
    <w:rPr>
      <w:rFonts w:hint="eastAsia" w:ascii="宋体" w:hAnsi="宋体" w:eastAsia="宋体"/>
      <w:sz w:val="21"/>
      <w:szCs w:val="21"/>
    </w:rPr>
  </w:style>
  <w:style w:type="character" w:customStyle="1" w:styleId="169">
    <w:name w:val="font11"/>
    <w:qFormat/>
    <w:uiPriority w:val="0"/>
    <w:rPr>
      <w:rFonts w:hint="eastAsia" w:ascii="楷体_GB2312" w:eastAsia="楷体_GB2312"/>
      <w:color w:val="000000"/>
      <w:sz w:val="21"/>
      <w:szCs w:val="21"/>
      <w:u w:val="none"/>
    </w:rPr>
  </w:style>
  <w:style w:type="character" w:customStyle="1" w:styleId="170">
    <w:name w:val="Char Char23"/>
    <w:qFormat/>
    <w:uiPriority w:val="0"/>
    <w:rPr>
      <w:rFonts w:ascii="Arial" w:hAnsi="Arial" w:eastAsia="宋体"/>
      <w:i/>
      <w:kern w:val="2"/>
      <w:sz w:val="28"/>
      <w:szCs w:val="28"/>
      <w:lang w:val="en-US" w:eastAsia="zh-CN" w:bidi="ar-SA"/>
    </w:rPr>
  </w:style>
  <w:style w:type="character" w:customStyle="1" w:styleId="171">
    <w:name w:val="Subtle Reference"/>
    <w:qFormat/>
    <w:uiPriority w:val="0"/>
    <w:rPr>
      <w:smallCaps/>
      <w:color w:val="C0504D"/>
      <w:u w:val="single"/>
    </w:rPr>
  </w:style>
  <w:style w:type="character" w:customStyle="1" w:styleId="172">
    <w:name w:val="正文文本缩进 3 字符"/>
    <w:link w:val="48"/>
    <w:qFormat/>
    <w:uiPriority w:val="0"/>
    <w:rPr>
      <w:rFonts w:ascii="隶书" w:hAnsi="宋体" w:eastAsia="隶书"/>
      <w:szCs w:val="24"/>
    </w:rPr>
  </w:style>
  <w:style w:type="character" w:customStyle="1" w:styleId="173">
    <w:name w:val="表格 Char Char"/>
    <w:link w:val="174"/>
    <w:qFormat/>
    <w:uiPriority w:val="0"/>
    <w:rPr>
      <w:rFonts w:ascii="宋体" w:hAnsi="宋体"/>
    </w:rPr>
  </w:style>
  <w:style w:type="paragraph" w:customStyle="1" w:styleId="174">
    <w:name w:val="表格"/>
    <w:basedOn w:val="1"/>
    <w:link w:val="173"/>
    <w:qFormat/>
    <w:uiPriority w:val="0"/>
    <w:pPr>
      <w:snapToGrid w:val="0"/>
      <w:ind w:firstLine="42" w:firstLineChars="21"/>
    </w:pPr>
    <w:rPr>
      <w:rFonts w:ascii="宋体" w:hAnsi="宋体"/>
      <w:kern w:val="0"/>
      <w:sz w:val="20"/>
    </w:rPr>
  </w:style>
  <w:style w:type="character" w:customStyle="1" w:styleId="175">
    <w:name w:val="text1"/>
    <w:qFormat/>
    <w:uiPriority w:val="0"/>
    <w:rPr>
      <w:rFonts w:hint="eastAsia" w:ascii="宋体" w:hAnsi="宋体" w:eastAsia="宋体"/>
      <w:color w:val="000099"/>
      <w:sz w:val="18"/>
      <w:szCs w:val="18"/>
    </w:rPr>
  </w:style>
  <w:style w:type="character" w:customStyle="1" w:styleId="176">
    <w:name w:val="正文文本缩进 2 Char2"/>
    <w:semiHidden/>
    <w:qFormat/>
    <w:uiPriority w:val="99"/>
    <w:rPr>
      <w:rFonts w:ascii="Times New Roman" w:hAnsi="Times New Roman" w:eastAsia="宋体" w:cs="Times New Roman"/>
      <w:szCs w:val="20"/>
    </w:rPr>
  </w:style>
  <w:style w:type="character" w:customStyle="1" w:styleId="177">
    <w:name w:val="日期 字符"/>
    <w:link w:val="35"/>
    <w:qFormat/>
    <w:uiPriority w:val="0"/>
  </w:style>
  <w:style w:type="character" w:customStyle="1" w:styleId="178">
    <w:name w:val="apple-converted-space"/>
    <w:basedOn w:val="62"/>
    <w:qFormat/>
    <w:uiPriority w:val="0"/>
  </w:style>
  <w:style w:type="character" w:customStyle="1" w:styleId="179">
    <w:name w:val="脚注文本 Char1"/>
    <w:semiHidden/>
    <w:qFormat/>
    <w:uiPriority w:val="99"/>
    <w:rPr>
      <w:rFonts w:ascii="Times New Roman" w:hAnsi="Times New Roman" w:eastAsia="宋体" w:cs="Times New Roman"/>
      <w:sz w:val="18"/>
      <w:szCs w:val="18"/>
    </w:rPr>
  </w:style>
  <w:style w:type="character" w:customStyle="1" w:styleId="180">
    <w:name w:val="日期 Char2"/>
    <w:semiHidden/>
    <w:qFormat/>
    <w:uiPriority w:val="99"/>
    <w:rPr>
      <w:rFonts w:ascii="Times New Roman" w:hAnsi="Times New Roman" w:eastAsia="宋体" w:cs="Times New Roman"/>
      <w:szCs w:val="20"/>
    </w:rPr>
  </w:style>
  <w:style w:type="character" w:customStyle="1" w:styleId="181">
    <w:name w:val="引用 字符"/>
    <w:link w:val="182"/>
    <w:qFormat/>
    <w:uiPriority w:val="0"/>
    <w:rPr>
      <w:rFonts w:ascii="Calibri" w:hAnsi="Calibri"/>
      <w:i/>
      <w:iCs/>
      <w:color w:val="000000"/>
      <w:sz w:val="22"/>
      <w:lang w:eastAsia="en-US" w:bidi="en-US"/>
    </w:rPr>
  </w:style>
  <w:style w:type="paragraph" w:styleId="182">
    <w:name w:val="Quote"/>
    <w:basedOn w:val="1"/>
    <w:next w:val="1"/>
    <w:link w:val="181"/>
    <w:qFormat/>
    <w:uiPriority w:val="0"/>
    <w:pPr>
      <w:widowControl/>
      <w:spacing w:after="480" w:line="276" w:lineRule="auto"/>
      <w:jc w:val="left"/>
    </w:pPr>
    <w:rPr>
      <w:rFonts w:ascii="Calibri" w:hAnsi="Calibri"/>
      <w:i/>
      <w:iCs/>
      <w:color w:val="000000"/>
      <w:kern w:val="0"/>
      <w:sz w:val="22"/>
      <w:lang w:eastAsia="en-US" w:bidi="en-US"/>
    </w:rPr>
  </w:style>
  <w:style w:type="character" w:customStyle="1" w:styleId="183">
    <w:name w:val="Char Char26"/>
    <w:qFormat/>
    <w:uiPriority w:val="0"/>
    <w:rPr>
      <w:rFonts w:ascii="Arial" w:hAnsi="Arial" w:eastAsia="宋体"/>
      <w:kern w:val="2"/>
      <w:sz w:val="22"/>
      <w:szCs w:val="28"/>
      <w:lang w:val="en-US" w:eastAsia="zh-CN" w:bidi="ar-SA"/>
    </w:rPr>
  </w:style>
  <w:style w:type="character" w:customStyle="1" w:styleId="184">
    <w:name w:val="明显引用 字符"/>
    <w:link w:val="185"/>
    <w:qFormat/>
    <w:uiPriority w:val="0"/>
    <w:rPr>
      <w:rFonts w:ascii="Calibri" w:hAnsi="Calibri"/>
      <w:b/>
      <w:bCs/>
      <w:i/>
      <w:iCs/>
      <w:color w:val="4F81BD"/>
      <w:sz w:val="22"/>
      <w:lang w:eastAsia="en-US" w:bidi="en-US"/>
    </w:rPr>
  </w:style>
  <w:style w:type="paragraph" w:styleId="185">
    <w:name w:val="Intense Quote"/>
    <w:basedOn w:val="1"/>
    <w:next w:val="1"/>
    <w:link w:val="184"/>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lang w:eastAsia="en-US" w:bidi="en-US"/>
    </w:rPr>
  </w:style>
  <w:style w:type="character" w:customStyle="1" w:styleId="186">
    <w:name w:val="H5 Char"/>
    <w:qFormat/>
    <w:uiPriority w:val="0"/>
    <w:rPr>
      <w:rFonts w:ascii="Arial" w:hAnsi="Arial"/>
      <w:sz w:val="22"/>
    </w:rPr>
  </w:style>
  <w:style w:type="character" w:customStyle="1" w:styleId="187">
    <w:name w:val="Heading 2 Hidden Char1"/>
    <w:qFormat/>
    <w:uiPriority w:val="0"/>
    <w:rPr>
      <w:rFonts w:ascii="Arial" w:hAnsi="Arial" w:eastAsia="黑体"/>
      <w:b/>
      <w:bCs/>
      <w:kern w:val="2"/>
      <w:sz w:val="32"/>
      <w:szCs w:val="32"/>
    </w:rPr>
  </w:style>
  <w:style w:type="character" w:customStyle="1" w:styleId="188">
    <w:name w:val="批注文字 字符"/>
    <w:link w:val="22"/>
    <w:qFormat/>
    <w:uiPriority w:val="0"/>
    <w:rPr>
      <w:rFonts w:ascii="Times New Roman" w:hAnsi="Times New Roman" w:eastAsia="宋体" w:cs="Times New Roman"/>
      <w:szCs w:val="20"/>
    </w:rPr>
  </w:style>
  <w:style w:type="character" w:customStyle="1" w:styleId="189">
    <w:name w:val="Heading 3 - old Char"/>
    <w:qFormat/>
    <w:uiPriority w:val="0"/>
    <w:rPr>
      <w:rFonts w:ascii="Calibri" w:hAnsi="Calibri"/>
      <w:b/>
      <w:bCs/>
      <w:kern w:val="2"/>
      <w:sz w:val="32"/>
      <w:szCs w:val="32"/>
    </w:rPr>
  </w:style>
  <w:style w:type="character" w:customStyle="1" w:styleId="190">
    <w:name w:val="h1 Char"/>
    <w:qFormat/>
    <w:uiPriority w:val="0"/>
    <w:rPr>
      <w:rFonts w:ascii="Calibri" w:hAnsi="Calibri"/>
      <w:b/>
      <w:bCs/>
      <w:kern w:val="44"/>
      <w:sz w:val="44"/>
      <w:szCs w:val="44"/>
    </w:rPr>
  </w:style>
  <w:style w:type="character" w:customStyle="1" w:styleId="191">
    <w:name w:val="批注框文本 Char2"/>
    <w:semiHidden/>
    <w:qFormat/>
    <w:uiPriority w:val="99"/>
    <w:rPr>
      <w:rFonts w:ascii="Times New Roman" w:hAnsi="Times New Roman" w:eastAsia="宋体" w:cs="Times New Roman"/>
      <w:sz w:val="18"/>
      <w:szCs w:val="18"/>
    </w:rPr>
  </w:style>
  <w:style w:type="character" w:customStyle="1" w:styleId="192">
    <w:name w:val="font1"/>
    <w:qFormat/>
    <w:uiPriority w:val="0"/>
    <w:rPr>
      <w:color w:val="333333"/>
      <w:sz w:val="18"/>
      <w:szCs w:val="18"/>
      <w:u w:val="none"/>
    </w:rPr>
  </w:style>
  <w:style w:type="character" w:customStyle="1" w:styleId="193">
    <w:name w:val="访问过的超链接1"/>
    <w:qFormat/>
    <w:uiPriority w:val="0"/>
    <w:rPr>
      <w:color w:val="800080"/>
      <w:u w:val="single"/>
    </w:rPr>
  </w:style>
  <w:style w:type="character" w:customStyle="1" w:styleId="194">
    <w:name w:val="正文文本 2 字符"/>
    <w:link w:val="54"/>
    <w:qFormat/>
    <w:uiPriority w:val="0"/>
    <w:rPr>
      <w:sz w:val="24"/>
      <w:szCs w:val="24"/>
    </w:rPr>
  </w:style>
  <w:style w:type="character" w:customStyle="1" w:styleId="195">
    <w:name w:val="表正文 Char"/>
    <w:qFormat/>
    <w:uiPriority w:val="0"/>
    <w:rPr>
      <w:rFonts w:ascii="仿宋_GB2312" w:eastAsia="仿宋_GB2312"/>
      <w:kern w:val="2"/>
      <w:sz w:val="28"/>
    </w:rPr>
  </w:style>
  <w:style w:type="character" w:customStyle="1" w:styleId="196">
    <w:name w:val="正文缩进 字符"/>
    <w:link w:val="16"/>
    <w:qFormat/>
    <w:uiPriority w:val="0"/>
    <w:rPr>
      <w:rFonts w:ascii="宋体"/>
      <w:snapToGrid w:val="0"/>
      <w:color w:val="000000"/>
      <w:kern w:val="28"/>
      <w:sz w:val="28"/>
    </w:rPr>
  </w:style>
  <w:style w:type="character" w:customStyle="1" w:styleId="197">
    <w:name w:val="页眉 字符"/>
    <w:link w:val="40"/>
    <w:qFormat/>
    <w:uiPriority w:val="99"/>
    <w:rPr>
      <w:sz w:val="18"/>
      <w:szCs w:val="18"/>
    </w:rPr>
  </w:style>
  <w:style w:type="character" w:customStyle="1" w:styleId="198">
    <w:name w:val="EHPT Char3"/>
    <w:qFormat/>
    <w:uiPriority w:val="0"/>
    <w:rPr>
      <w:rFonts w:ascii="Calibri" w:hAnsi="Calibri" w:eastAsia="宋体"/>
    </w:rPr>
  </w:style>
  <w:style w:type="character" w:customStyle="1" w:styleId="199">
    <w:name w:val="Char Char16"/>
    <w:qFormat/>
    <w:locked/>
    <w:uiPriority w:val="0"/>
    <w:rPr>
      <w:rFonts w:ascii="宋体" w:hAnsi="Courier New" w:eastAsia="宋体"/>
      <w:kern w:val="2"/>
      <w:sz w:val="21"/>
      <w:lang w:val="en-US" w:eastAsia="zh-CN" w:bidi="ar-SA"/>
    </w:rPr>
  </w:style>
  <w:style w:type="character" w:customStyle="1" w:styleId="200">
    <w:name w:val="引用 Char1"/>
    <w:qFormat/>
    <w:uiPriority w:val="29"/>
    <w:rPr>
      <w:rFonts w:ascii="Times New Roman" w:hAnsi="Times New Roman" w:eastAsia="宋体" w:cs="Times New Roman"/>
      <w:i/>
      <w:iCs/>
      <w:color w:val="000000"/>
      <w:szCs w:val="20"/>
    </w:rPr>
  </w:style>
  <w:style w:type="character" w:customStyle="1" w:styleId="201">
    <w:name w:val="纯文本 Char1"/>
    <w:semiHidden/>
    <w:qFormat/>
    <w:uiPriority w:val="0"/>
    <w:rPr>
      <w:rFonts w:ascii="宋体" w:hAnsi="Courier New" w:eastAsia="宋体" w:cs="Courier New"/>
      <w:szCs w:val="21"/>
    </w:rPr>
  </w:style>
  <w:style w:type="character" w:customStyle="1" w:styleId="202">
    <w:name w:val="PI Char1"/>
    <w:qFormat/>
    <w:uiPriority w:val="0"/>
    <w:rPr>
      <w:rFonts w:ascii="仿宋_GB2312" w:eastAsia="仿宋_GB2312"/>
      <w:kern w:val="2"/>
      <w:sz w:val="28"/>
      <w:szCs w:val="28"/>
      <w:lang w:val="zh-CN" w:eastAsia="zh-CN" w:bidi="ar-SA"/>
    </w:rPr>
  </w:style>
  <w:style w:type="character" w:customStyle="1" w:styleId="203">
    <w:name w:val="文档结构图 Char2"/>
    <w:semiHidden/>
    <w:qFormat/>
    <w:uiPriority w:val="99"/>
    <w:rPr>
      <w:rFonts w:ascii="宋体" w:hAnsi="Times New Roman" w:eastAsia="宋体" w:cs="Times New Roman"/>
      <w:sz w:val="18"/>
      <w:szCs w:val="18"/>
    </w:rPr>
  </w:style>
  <w:style w:type="character" w:customStyle="1" w:styleId="204">
    <w:name w:val="正文文本 2 Char1"/>
    <w:semiHidden/>
    <w:qFormat/>
    <w:uiPriority w:val="0"/>
    <w:rPr>
      <w:rFonts w:ascii="仿宋_GB2312" w:hAnsi="Times New Roman" w:eastAsia="仿宋_GB2312" w:cs="Times New Roman"/>
      <w:sz w:val="28"/>
      <w:szCs w:val="28"/>
    </w:rPr>
  </w:style>
  <w:style w:type="character" w:customStyle="1" w:styleId="205">
    <w:name w:val="正文文本 2 Char2"/>
    <w:semiHidden/>
    <w:qFormat/>
    <w:uiPriority w:val="99"/>
    <w:rPr>
      <w:rFonts w:ascii="Times New Roman" w:hAnsi="Times New Roman" w:eastAsia="宋体" w:cs="Times New Roman"/>
      <w:szCs w:val="20"/>
    </w:rPr>
  </w:style>
  <w:style w:type="character" w:customStyle="1" w:styleId="206">
    <w:name w:val="标题 3 Char Char"/>
    <w:qFormat/>
    <w:uiPriority w:val="0"/>
    <w:rPr>
      <w:rFonts w:ascii="宋体" w:hAnsi="宋体" w:eastAsia="宋体"/>
      <w:color w:val="666666"/>
      <w:kern w:val="2"/>
      <w:sz w:val="28"/>
      <w:szCs w:val="28"/>
      <w:lang w:val="en-US" w:eastAsia="zh-CN" w:bidi="ar-SA"/>
    </w:rPr>
  </w:style>
  <w:style w:type="character" w:customStyle="1" w:styleId="207">
    <w:name w:val="bullet Char"/>
    <w:qFormat/>
    <w:uiPriority w:val="0"/>
    <w:rPr>
      <w:b/>
      <w:i/>
      <w:sz w:val="24"/>
    </w:rPr>
  </w:style>
  <w:style w:type="character" w:customStyle="1" w:styleId="208">
    <w:name w:val="批注主题 字符"/>
    <w:link w:val="58"/>
    <w:qFormat/>
    <w:uiPriority w:val="0"/>
    <w:rPr>
      <w:b/>
      <w:bCs/>
      <w:szCs w:val="24"/>
    </w:rPr>
  </w:style>
  <w:style w:type="character" w:customStyle="1" w:styleId="209">
    <w:name w:val="标题 2 Char1"/>
    <w:qFormat/>
    <w:uiPriority w:val="0"/>
    <w:rPr>
      <w:rFonts w:ascii="Arial" w:hAnsi="Arial" w:eastAsia="黑体" w:cs="Times New Roman"/>
      <w:b/>
      <w:bCs/>
      <w:sz w:val="32"/>
      <w:szCs w:val="32"/>
    </w:rPr>
  </w:style>
  <w:style w:type="character" w:customStyle="1" w:styleId="210">
    <w:name w:val="ca-9"/>
    <w:basedOn w:val="62"/>
    <w:qFormat/>
    <w:uiPriority w:val="0"/>
  </w:style>
  <w:style w:type="character" w:customStyle="1" w:styleId="211">
    <w:name w:val="纯文本 字符"/>
    <w:link w:val="32"/>
    <w:qFormat/>
    <w:locked/>
    <w:uiPriority w:val="0"/>
    <w:rPr>
      <w:rFonts w:ascii="宋体" w:hAnsi="Courier New"/>
    </w:rPr>
  </w:style>
  <w:style w:type="character" w:customStyle="1" w:styleId="212">
    <w:name w:val="Char Char"/>
    <w:qFormat/>
    <w:uiPriority w:val="0"/>
    <w:rPr>
      <w:rFonts w:ascii="宋体" w:hAnsi="宋体" w:eastAsia="宋体"/>
      <w:sz w:val="24"/>
      <w:szCs w:val="24"/>
      <w:lang w:val="en-US" w:eastAsia="zh-CN" w:bidi="ar-SA"/>
    </w:rPr>
  </w:style>
  <w:style w:type="character" w:customStyle="1" w:styleId="213">
    <w:name w:val="标题 Char2"/>
    <w:qFormat/>
    <w:uiPriority w:val="10"/>
    <w:rPr>
      <w:rFonts w:ascii="Cambria" w:hAnsi="Cambria" w:eastAsia="宋体" w:cs="Times New Roman"/>
      <w:b/>
      <w:bCs/>
      <w:sz w:val="32"/>
      <w:szCs w:val="32"/>
    </w:rPr>
  </w:style>
  <w:style w:type="character" w:customStyle="1" w:styleId="214">
    <w:name w:val="尾注文本 字符"/>
    <w:link w:val="37"/>
    <w:qFormat/>
    <w:uiPriority w:val="0"/>
    <w:rPr>
      <w:rFonts w:ascii="仿宋_GB2312" w:eastAsia="仿宋_GB2312"/>
      <w:sz w:val="28"/>
      <w:szCs w:val="28"/>
    </w:rPr>
  </w:style>
  <w:style w:type="character" w:customStyle="1" w:styleId="215">
    <w:name w:val="文档结构图 Char1"/>
    <w:semiHidden/>
    <w:qFormat/>
    <w:uiPriority w:val="0"/>
    <w:rPr>
      <w:rFonts w:ascii="宋体" w:hAnsi="Times New Roman" w:eastAsia="宋体" w:cs="Times New Roman"/>
      <w:sz w:val="18"/>
      <w:szCs w:val="18"/>
    </w:rPr>
  </w:style>
  <w:style w:type="character" w:customStyle="1" w:styleId="216">
    <w:name w:val="h Char"/>
    <w:qFormat/>
    <w:uiPriority w:val="0"/>
    <w:rPr>
      <w:sz w:val="18"/>
      <w:szCs w:val="18"/>
    </w:rPr>
  </w:style>
  <w:style w:type="paragraph" w:customStyle="1" w:styleId="217">
    <w:name w:val="Level 3: (a)"/>
    <w:basedOn w:val="1"/>
    <w:qFormat/>
    <w:uiPriority w:val="0"/>
    <w:pPr>
      <w:widowControl/>
      <w:tabs>
        <w:tab w:val="left" w:pos="1080"/>
      </w:tabs>
      <w:spacing w:before="72" w:after="72"/>
      <w:ind w:left="2520" w:hanging="420"/>
      <w:outlineLvl w:val="5"/>
    </w:pPr>
    <w:rPr>
      <w:rFonts w:ascii="Arial" w:hAnsi="Arial" w:eastAsia="仿宋_GB2312"/>
      <w:kern w:val="0"/>
      <w:sz w:val="20"/>
      <w:lang w:eastAsia="en-US"/>
    </w:rPr>
  </w:style>
  <w:style w:type="paragraph" w:customStyle="1" w:styleId="21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219">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2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21">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222">
    <w:name w:val="List Paragraph1"/>
    <w:basedOn w:val="1"/>
    <w:qFormat/>
    <w:uiPriority w:val="0"/>
    <w:pPr>
      <w:ind w:firstLine="420" w:firstLineChars="200"/>
    </w:pPr>
    <w:rPr>
      <w:rFonts w:ascii="Calibri" w:hAnsi="Calibri"/>
      <w:szCs w:val="22"/>
    </w:rPr>
  </w:style>
  <w:style w:type="paragraph" w:customStyle="1" w:styleId="223">
    <w:name w:val="日期右"/>
    <w:basedOn w:val="35"/>
    <w:qFormat/>
    <w:uiPriority w:val="0"/>
    <w:pPr>
      <w:spacing w:line="600" w:lineRule="exact"/>
      <w:ind w:left="0" w:leftChars="0"/>
      <w:jc w:val="right"/>
    </w:pPr>
    <w:rPr>
      <w:rFonts w:ascii="Calibri" w:hAnsi="Calibri" w:eastAsia="仿宋_GB2312"/>
      <w:sz w:val="31"/>
      <w:szCs w:val="24"/>
    </w:rPr>
  </w:style>
  <w:style w:type="paragraph" w:customStyle="1" w:styleId="224">
    <w:name w:val="RFI Heading 4th Level"/>
    <w:basedOn w:val="225"/>
    <w:qFormat/>
    <w:uiPriority w:val="0"/>
    <w:pPr>
      <w:tabs>
        <w:tab w:val="left" w:pos="720"/>
        <w:tab w:val="left" w:pos="1152"/>
      </w:tabs>
      <w:spacing w:before="240" w:after="160"/>
      <w:ind w:left="1152" w:hanging="1152"/>
      <w:jc w:val="both"/>
      <w:outlineLvl w:val="2"/>
    </w:pPr>
    <w:rPr>
      <w:rFonts w:eastAsia="Times New Roman"/>
      <w:bCs/>
      <w:color w:val="auto"/>
    </w:rPr>
  </w:style>
  <w:style w:type="paragraph" w:customStyle="1" w:styleId="225">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22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27">
    <w:name w:val="列出段落1"/>
    <w:basedOn w:val="1"/>
    <w:qFormat/>
    <w:uiPriority w:val="0"/>
    <w:pPr>
      <w:ind w:firstLine="420" w:firstLineChars="200"/>
    </w:pPr>
    <w:rPr>
      <w:szCs w:val="24"/>
    </w:rPr>
  </w:style>
  <w:style w:type="paragraph" w:customStyle="1" w:styleId="228">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29">
    <w:name w:val="1.1.1Head2"/>
    <w:qFormat/>
    <w:uiPriority w:val="0"/>
    <w:pPr>
      <w:tabs>
        <w:tab w:val="left" w:pos="2880"/>
      </w:tabs>
      <w:spacing w:before="28" w:after="28"/>
      <w:ind w:left="1680" w:hanging="420"/>
      <w:outlineLvl w:val="2"/>
    </w:pPr>
    <w:rPr>
      <w:rFonts w:ascii="Arial" w:hAnsi="Arial" w:eastAsia="宋体" w:cs="Times New Roman"/>
      <w:b/>
      <w:lang w:val="en-US" w:eastAsia="en-US" w:bidi="ar-SA"/>
    </w:rPr>
  </w:style>
  <w:style w:type="paragraph" w:customStyle="1" w:styleId="230">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3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0"/>
      <w:szCs w:val="30"/>
    </w:rPr>
  </w:style>
  <w:style w:type="paragraph" w:customStyle="1" w:styleId="232">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szCs w:val="24"/>
    </w:rPr>
  </w:style>
  <w:style w:type="paragraph" w:customStyle="1" w:styleId="234">
    <w:name w:val="Level 5: (1)"/>
    <w:basedOn w:val="1"/>
    <w:qFormat/>
    <w:uiPriority w:val="0"/>
    <w:pPr>
      <w:widowControl/>
      <w:tabs>
        <w:tab w:val="left" w:pos="1800"/>
      </w:tabs>
      <w:spacing w:before="72" w:after="72"/>
      <w:ind w:left="3360" w:hanging="420"/>
      <w:outlineLvl w:val="7"/>
    </w:pPr>
    <w:rPr>
      <w:rFonts w:ascii="Arial" w:hAnsi="Arial" w:eastAsia="仿宋_GB2312"/>
      <w:kern w:val="0"/>
      <w:sz w:val="20"/>
      <w:lang w:eastAsia="en-US"/>
    </w:rPr>
  </w:style>
  <w:style w:type="paragraph" w:customStyle="1" w:styleId="235">
    <w:name w:val="xl101"/>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236">
    <w:name w:val="1.1.1.1Heading3"/>
    <w:basedOn w:val="6"/>
    <w:qFormat/>
    <w:uiPriority w:val="0"/>
    <w:pPr>
      <w:keepLines w:val="0"/>
      <w:widowControl/>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37">
    <w:name w:val="项目"/>
    <w:basedOn w:val="3"/>
    <w:next w:val="3"/>
    <w:qFormat/>
    <w:uiPriority w:val="0"/>
    <w:pPr>
      <w:tabs>
        <w:tab w:val="left" w:pos="420"/>
      </w:tabs>
      <w:spacing w:after="0" w:line="360" w:lineRule="auto"/>
      <w:ind w:left="420" w:hanging="720"/>
    </w:pPr>
    <w:rPr>
      <w:sz w:val="24"/>
    </w:rPr>
  </w:style>
  <w:style w:type="paragraph" w:customStyle="1" w:styleId="238">
    <w:name w:val="条目2"/>
    <w:basedOn w:val="32"/>
    <w:qFormat/>
    <w:uiPriority w:val="0"/>
    <w:pPr>
      <w:tabs>
        <w:tab w:val="left" w:pos="420"/>
      </w:tabs>
      <w:spacing w:line="360" w:lineRule="auto"/>
      <w:ind w:left="420" w:hanging="420"/>
    </w:pPr>
    <w:rPr>
      <w:rFonts w:cs="Courier New"/>
      <w:color w:val="000000"/>
      <w:sz w:val="24"/>
      <w:szCs w:val="21"/>
    </w:rPr>
  </w:style>
  <w:style w:type="paragraph" w:customStyle="1" w:styleId="239">
    <w:name w:val="www正文"/>
    <w:basedOn w:val="1"/>
    <w:qFormat/>
    <w:uiPriority w:val="0"/>
    <w:pPr>
      <w:ind w:firstLine="480" w:firstLineChars="200"/>
    </w:pPr>
    <w:rPr>
      <w:rFonts w:ascii="仿宋_GB2312" w:eastAsia="仿宋_GB2312"/>
      <w:sz w:val="24"/>
      <w:szCs w:val="28"/>
    </w:rPr>
  </w:style>
  <w:style w:type="paragraph" w:customStyle="1" w:styleId="240">
    <w:name w:val="Head2"/>
    <w:qFormat/>
    <w:uiPriority w:val="0"/>
    <w:pPr>
      <w:tabs>
        <w:tab w:val="left" w:pos="576"/>
      </w:tabs>
      <w:spacing w:before="28" w:after="28"/>
      <w:ind w:left="1260" w:hanging="420"/>
      <w:outlineLvl w:val="2"/>
    </w:pPr>
    <w:rPr>
      <w:rFonts w:ascii="Arial" w:hAnsi="Arial" w:eastAsia="宋体" w:cs="Times New Roman"/>
      <w:b/>
      <w:lang w:val="en-US" w:eastAsia="en-US" w:bidi="ar-SA"/>
    </w:rPr>
  </w:style>
  <w:style w:type="paragraph" w:customStyle="1" w:styleId="241">
    <w:name w:val="Char1 Char Char Char"/>
    <w:basedOn w:val="1"/>
    <w:qFormat/>
    <w:uiPriority w:val="0"/>
    <w:pPr>
      <w:ind w:left="420" w:hanging="420"/>
    </w:pPr>
    <w:rPr>
      <w:rFonts w:ascii="仿宋_GB2312" w:eastAsia="仿宋_GB2312"/>
      <w:sz w:val="24"/>
      <w:szCs w:val="28"/>
    </w:rPr>
  </w:style>
  <w:style w:type="paragraph" w:customStyle="1" w:styleId="242">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43">
    <w:name w:val="正文缩进6格"/>
    <w:basedOn w:val="244"/>
    <w:qFormat/>
    <w:uiPriority w:val="0"/>
    <w:pPr>
      <w:ind w:left="1758" w:leftChars="854"/>
    </w:pPr>
  </w:style>
  <w:style w:type="paragraph" w:customStyle="1" w:styleId="244">
    <w:name w:val="正文缩进4格"/>
    <w:basedOn w:val="245"/>
    <w:qFormat/>
    <w:uiPriority w:val="0"/>
    <w:pPr>
      <w:ind w:left="651" w:leftChars="310" w:firstLine="608" w:firstLineChars="196"/>
    </w:pPr>
    <w:rPr>
      <w:color w:val="000000"/>
    </w:rPr>
  </w:style>
  <w:style w:type="paragraph" w:customStyle="1" w:styleId="24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47">
    <w:name w:val="xl10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2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49">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0">
    <w:name w:val="Char1"/>
    <w:basedOn w:val="1"/>
    <w:qFormat/>
    <w:uiPriority w:val="0"/>
    <w:rPr>
      <w:rFonts w:ascii="仿宋_GB2312" w:eastAsia="仿宋_GB2312"/>
      <w:b/>
      <w:sz w:val="32"/>
      <w:szCs w:val="32"/>
    </w:rPr>
  </w:style>
  <w:style w:type="paragraph" w:customStyle="1" w:styleId="251">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标题 3.1"/>
    <w:basedOn w:val="6"/>
    <w:qFormat/>
    <w:uiPriority w:val="0"/>
    <w:pPr>
      <w:tabs>
        <w:tab w:val="left" w:pos="5614"/>
      </w:tabs>
      <w:spacing w:line="600" w:lineRule="exact"/>
    </w:pPr>
    <w:rPr>
      <w:rFonts w:ascii="仿宋_GB2312"/>
      <w:sz w:val="36"/>
    </w:rPr>
  </w:style>
  <w:style w:type="paragraph" w:customStyle="1" w:styleId="25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254">
    <w:name w:val="TOC Heading"/>
    <w:basedOn w:val="4"/>
    <w:next w:val="1"/>
    <w:qFormat/>
    <w:uiPriority w:val="0"/>
    <w:pPr>
      <w:widowControl/>
      <w:spacing w:before="480" w:after="0" w:line="276" w:lineRule="auto"/>
      <w:jc w:val="left"/>
      <w:outlineLvl w:val="9"/>
    </w:pPr>
    <w:rPr>
      <w:rFonts w:ascii="Cambria" w:hAnsi="Cambria"/>
      <w:color w:val="365F91"/>
      <w:kern w:val="0"/>
      <w:szCs w:val="28"/>
    </w:rPr>
  </w:style>
  <w:style w:type="paragraph" w:customStyle="1" w:styleId="255">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56">
    <w:name w:val="标题 3.5"/>
    <w:basedOn w:val="6"/>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57">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58">
    <w:name w:val="正文4"/>
    <w:basedOn w:val="1"/>
    <w:qFormat/>
    <w:uiPriority w:val="0"/>
    <w:pPr>
      <w:ind w:firstLine="480" w:firstLineChars="200"/>
    </w:pPr>
    <w:rPr>
      <w:sz w:val="28"/>
    </w:rPr>
  </w:style>
  <w:style w:type="paragraph" w:customStyle="1" w:styleId="259">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60">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61">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62">
    <w:name w:val="正文文本 21"/>
    <w:basedOn w:val="1"/>
    <w:qFormat/>
    <w:uiPriority w:val="0"/>
    <w:pPr>
      <w:adjustRightInd w:val="0"/>
      <w:spacing w:line="300" w:lineRule="auto"/>
      <w:jc w:val="center"/>
    </w:pPr>
    <w:rPr>
      <w:rFonts w:hint="eastAsia" w:ascii="宋体" w:hAnsi="宋体"/>
      <w:sz w:val="24"/>
    </w:rPr>
  </w:style>
  <w:style w:type="paragraph" w:customStyle="1" w:styleId="263">
    <w:name w:val="xl96"/>
    <w:basedOn w:val="1"/>
    <w:qFormat/>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264">
    <w:name w:val="小四缩进"/>
    <w:basedOn w:val="1"/>
    <w:qFormat/>
    <w:uiPriority w:val="0"/>
    <w:pPr>
      <w:spacing w:line="360" w:lineRule="auto"/>
      <w:ind w:firstLine="480" w:firstLineChars="200"/>
    </w:pPr>
    <w:rPr>
      <w:sz w:val="24"/>
      <w:szCs w:val="24"/>
    </w:rPr>
  </w:style>
  <w:style w:type="paragraph" w:customStyle="1" w:styleId="2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66">
    <w:name w:val="正文2"/>
    <w:basedOn w:val="1"/>
    <w:qFormat/>
    <w:uiPriority w:val="0"/>
    <w:pPr>
      <w:spacing w:before="156" w:line="360" w:lineRule="auto"/>
      <w:ind w:firstLine="510" w:firstLineChars="200"/>
    </w:pPr>
    <w:rPr>
      <w:sz w:val="24"/>
    </w:rPr>
  </w:style>
  <w:style w:type="paragraph" w:customStyle="1" w:styleId="267">
    <w:name w:val="xl84"/>
    <w:basedOn w:val="1"/>
    <w:qFormat/>
    <w:uiPriority w:val="0"/>
    <w:pPr>
      <w:widowControl/>
      <w:pBdr>
        <w:bottom w:val="single" w:color="auto" w:sz="4" w:space="0"/>
      </w:pBdr>
      <w:spacing w:before="100" w:beforeAutospacing="1" w:after="100" w:afterAutospacing="1"/>
      <w:jc w:val="center"/>
    </w:pPr>
    <w:rPr>
      <w:rFonts w:ascii="方正美黑简体" w:hAnsi="宋体" w:eastAsia="方正美黑简体" w:cs="宋体"/>
      <w:b/>
      <w:bCs/>
      <w:kern w:val="0"/>
      <w:sz w:val="60"/>
      <w:szCs w:val="60"/>
    </w:rPr>
  </w:style>
  <w:style w:type="paragraph" w:customStyle="1" w:styleId="268">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269">
    <w:name w:val="Char1 Char Char Char Char Char Char Char Char Char Char Char Char Char Char Char"/>
    <w:basedOn w:val="1"/>
    <w:qFormat/>
    <w:uiPriority w:val="0"/>
    <w:rPr>
      <w:szCs w:val="24"/>
    </w:rPr>
  </w:style>
  <w:style w:type="paragraph" w:customStyle="1" w:styleId="27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271">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272">
    <w:name w:val="xl105"/>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73">
    <w:name w:val="Style Heading 3 + 11 pt Line spacing:  1.5 lines"/>
    <w:basedOn w:val="6"/>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74">
    <w:name w:val="A标题1"/>
    <w:basedOn w:val="4"/>
    <w:qFormat/>
    <w:uiPriority w:val="0"/>
    <w:pPr>
      <w:spacing w:before="0" w:after="0" w:line="240" w:lineRule="auto"/>
      <w:jc w:val="center"/>
    </w:pPr>
    <w:rPr>
      <w:rFonts w:ascii="黑体" w:eastAsia="黑体"/>
      <w:sz w:val="32"/>
      <w:szCs w:val="32"/>
    </w:rPr>
  </w:style>
  <w:style w:type="paragraph" w:customStyle="1" w:styleId="275">
    <w:name w:val="font6"/>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276">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77">
    <w:name w:val="RFI text from 2nd Level"/>
    <w:basedOn w:val="225"/>
    <w:qFormat/>
    <w:uiPriority w:val="0"/>
    <w:pPr>
      <w:tabs>
        <w:tab w:val="left" w:pos="360"/>
        <w:tab w:val="clear" w:pos="720"/>
      </w:tabs>
      <w:ind w:left="720"/>
    </w:pPr>
    <w:rPr>
      <w:b/>
      <w:bCs/>
      <w:color w:val="auto"/>
    </w:rPr>
  </w:style>
  <w:style w:type="paragraph" w:customStyle="1" w:styleId="27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79">
    <w:name w:val="Level 1: a."/>
    <w:qFormat/>
    <w:uiPriority w:val="0"/>
    <w:pPr>
      <w:tabs>
        <w:tab w:val="left" w:pos="360"/>
      </w:tabs>
      <w:spacing w:before="72" w:after="72"/>
      <w:ind w:left="1680" w:hanging="420"/>
      <w:jc w:val="both"/>
      <w:outlineLvl w:val="3"/>
    </w:pPr>
    <w:rPr>
      <w:rFonts w:ascii="Arial" w:hAnsi="Arial" w:eastAsia="宋体" w:cs="Times New Roman"/>
      <w:lang w:val="en-US" w:eastAsia="en-US" w:bidi="ar-SA"/>
    </w:rPr>
  </w:style>
  <w:style w:type="paragraph" w:customStyle="1" w:styleId="280">
    <w:name w:val="A04"/>
    <w:basedOn w:val="1"/>
    <w:qFormat/>
    <w:uiPriority w:val="0"/>
    <w:pPr>
      <w:tabs>
        <w:tab w:val="left" w:pos="0"/>
      </w:tabs>
      <w:ind w:left="1680" w:hanging="420"/>
    </w:pPr>
    <w:rPr>
      <w:szCs w:val="24"/>
    </w:rPr>
  </w:style>
  <w:style w:type="paragraph" w:customStyle="1" w:styleId="281">
    <w:name w:val="标题6"/>
    <w:basedOn w:val="1"/>
    <w:next w:val="4"/>
    <w:qFormat/>
    <w:uiPriority w:val="0"/>
    <w:pPr>
      <w:widowControl/>
      <w:snapToGrid w:val="0"/>
      <w:spacing w:beforeLines="50" w:afterLines="50" w:line="520" w:lineRule="atLeast"/>
      <w:ind w:firstLine="200" w:firstLineChars="200"/>
    </w:pPr>
    <w:rPr>
      <w:rFonts w:cs="Arial"/>
      <w:b/>
      <w:sz w:val="24"/>
      <w:szCs w:val="24"/>
    </w:rPr>
  </w:style>
  <w:style w:type="paragraph" w:customStyle="1" w:styleId="282">
    <w:name w:val="正文段"/>
    <w:basedOn w:val="1"/>
    <w:qFormat/>
    <w:uiPriority w:val="0"/>
    <w:pPr>
      <w:widowControl/>
      <w:snapToGrid w:val="0"/>
      <w:spacing w:afterLines="50"/>
      <w:ind w:firstLine="200" w:firstLineChars="200"/>
    </w:pPr>
    <w:rPr>
      <w:kern w:val="0"/>
      <w:sz w:val="24"/>
    </w:rPr>
  </w:style>
  <w:style w:type="paragraph" w:customStyle="1" w:styleId="283">
    <w:name w:val="简单回函地址"/>
    <w:basedOn w:val="1"/>
    <w:qFormat/>
    <w:uiPriority w:val="0"/>
    <w:rPr>
      <w:rFonts w:ascii="宋体" w:hAnsi="宋体" w:eastAsia="仿宋_GB2312"/>
      <w:color w:val="000000"/>
      <w:sz w:val="28"/>
      <w:szCs w:val="21"/>
    </w:rPr>
  </w:style>
  <w:style w:type="paragraph" w:customStyle="1" w:styleId="284">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85">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86">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28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88">
    <w:name w:val="Char Char Char Char Char Char Char Char1 Char"/>
    <w:basedOn w:val="1"/>
    <w:qFormat/>
    <w:uiPriority w:val="0"/>
    <w:rPr>
      <w:rFonts w:ascii="仿宋_GB2312" w:eastAsia="仿宋_GB2312"/>
      <w:sz w:val="28"/>
    </w:rPr>
  </w:style>
  <w:style w:type="paragraph" w:customStyle="1" w:styleId="289">
    <w:name w:val="font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9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91">
    <w:name w:val="正文无缩进"/>
    <w:basedOn w:val="245"/>
    <w:qFormat/>
    <w:uiPriority w:val="0"/>
    <w:pPr>
      <w:ind w:firstLine="0" w:firstLineChars="0"/>
    </w:pPr>
  </w:style>
  <w:style w:type="paragraph" w:customStyle="1" w:styleId="292">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93">
    <w:name w:val="RFI List 2"/>
    <w:basedOn w:val="294"/>
    <w:qFormat/>
    <w:uiPriority w:val="0"/>
    <w:pPr>
      <w:tabs>
        <w:tab w:val="left" w:pos="360"/>
        <w:tab w:val="left" w:pos="1800"/>
      </w:tabs>
    </w:pPr>
    <w:rPr>
      <w:rFonts w:eastAsia="Times New Roman"/>
      <w:b w:val="0"/>
      <w:bCs/>
    </w:rPr>
  </w:style>
  <w:style w:type="paragraph" w:customStyle="1" w:styleId="294">
    <w:name w:val="RFI List 1"/>
    <w:basedOn w:val="225"/>
    <w:qFormat/>
    <w:uiPriority w:val="0"/>
    <w:pPr>
      <w:tabs>
        <w:tab w:val="left" w:pos="360"/>
        <w:tab w:val="left" w:pos="1800"/>
        <w:tab w:val="clear" w:pos="720"/>
      </w:tabs>
      <w:spacing w:before="240" w:after="160"/>
      <w:ind w:left="720" w:hanging="720"/>
      <w:outlineLvl w:val="0"/>
    </w:pPr>
    <w:rPr>
      <w:b/>
      <w:color w:val="auto"/>
    </w:rPr>
  </w:style>
  <w:style w:type="paragraph" w:customStyle="1" w:styleId="295">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96">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97">
    <w:name w:val="标题3正文"/>
    <w:basedOn w:val="1"/>
    <w:qFormat/>
    <w:uiPriority w:val="0"/>
    <w:pPr>
      <w:snapToGrid w:val="0"/>
      <w:spacing w:line="360" w:lineRule="auto"/>
      <w:ind w:firstLine="480" w:firstLineChars="200"/>
    </w:pPr>
    <w:rPr>
      <w:sz w:val="24"/>
      <w:szCs w:val="24"/>
    </w:rPr>
  </w:style>
  <w:style w:type="paragraph" w:customStyle="1" w:styleId="29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9">
    <w:name w:val="样式 样式1 + 加粗 行距: 固定值 20 磅"/>
    <w:basedOn w:val="300"/>
    <w:qFormat/>
    <w:uiPriority w:val="0"/>
    <w:pPr>
      <w:keepNext w:val="0"/>
      <w:keepLines w:val="0"/>
      <w:adjustRightInd w:val="0"/>
      <w:spacing w:before="0" w:after="0" w:line="400" w:lineRule="exact"/>
      <w:jc w:val="both"/>
      <w:textAlignment w:val="baseline"/>
    </w:pPr>
    <w:rPr>
      <w:sz w:val="21"/>
      <w:szCs w:val="20"/>
    </w:rPr>
  </w:style>
  <w:style w:type="paragraph" w:customStyle="1" w:styleId="300">
    <w:name w:val="样式1"/>
    <w:basedOn w:val="5"/>
    <w:qFormat/>
    <w:uiPriority w:val="0"/>
    <w:pPr>
      <w:jc w:val="center"/>
    </w:pPr>
    <w:rPr>
      <w:rFonts w:ascii="宋体" w:hAnsi="宋体"/>
      <w:sz w:val="36"/>
      <w:szCs w:val="36"/>
    </w:rPr>
  </w:style>
  <w:style w:type="paragraph" w:customStyle="1" w:styleId="301">
    <w:name w:val="BodyText"/>
    <w:basedOn w:val="1"/>
    <w:qFormat/>
    <w:uiPriority w:val="0"/>
    <w:pPr>
      <w:widowControl/>
      <w:spacing w:after="120"/>
      <w:jc w:val="left"/>
    </w:pPr>
    <w:rPr>
      <w:rFonts w:ascii="FuturaA Bk BT" w:hAnsi="FuturaA Bk BT" w:eastAsia="仿宋_GB2312"/>
      <w:kern w:val="0"/>
      <w:sz w:val="20"/>
    </w:rPr>
  </w:style>
  <w:style w:type="paragraph" w:customStyle="1" w:styleId="30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03">
    <w:name w:val="p18"/>
    <w:basedOn w:val="1"/>
    <w:qFormat/>
    <w:uiPriority w:val="0"/>
    <w:pPr>
      <w:widowControl/>
      <w:spacing w:before="156" w:after="156" w:line="400" w:lineRule="atLeast"/>
    </w:pPr>
    <w:rPr>
      <w:rFonts w:ascii="宋体" w:hAnsi="宋体" w:cs="宋体"/>
      <w:kern w:val="0"/>
      <w:sz w:val="24"/>
      <w:szCs w:val="24"/>
    </w:rPr>
  </w:style>
  <w:style w:type="paragraph" w:customStyle="1" w:styleId="30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05">
    <w:name w:val="Level 4: (i)"/>
    <w:basedOn w:val="1"/>
    <w:qFormat/>
    <w:uiPriority w:val="0"/>
    <w:pPr>
      <w:widowControl/>
      <w:tabs>
        <w:tab w:val="left" w:pos="1440"/>
      </w:tabs>
      <w:spacing w:before="72" w:after="72"/>
      <w:ind w:left="2940" w:hanging="420"/>
      <w:outlineLvl w:val="6"/>
    </w:pPr>
    <w:rPr>
      <w:rFonts w:ascii="Arial" w:hAnsi="Arial" w:eastAsia="仿宋_GB2312"/>
      <w:kern w:val="0"/>
      <w:sz w:val="20"/>
      <w:lang w:eastAsia="en-US"/>
    </w:rPr>
  </w:style>
  <w:style w:type="paragraph" w:customStyle="1" w:styleId="306">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30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309">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310">
    <w:name w:val="1.1 Header2"/>
    <w:basedOn w:val="1"/>
    <w:qFormat/>
    <w:uiPriority w:val="0"/>
    <w:pPr>
      <w:widowControl/>
      <w:jc w:val="left"/>
    </w:pPr>
    <w:rPr>
      <w:rFonts w:ascii="宋体" w:hAnsi="宋体" w:eastAsia="仿宋_GB2312"/>
      <w:color w:val="000000"/>
      <w:kern w:val="0"/>
      <w:sz w:val="24"/>
      <w:szCs w:val="21"/>
    </w:rPr>
  </w:style>
  <w:style w:type="paragraph" w:customStyle="1" w:styleId="311">
    <w:name w:val="p0"/>
    <w:basedOn w:val="1"/>
    <w:qFormat/>
    <w:uiPriority w:val="0"/>
    <w:pPr>
      <w:widowControl/>
    </w:pPr>
    <w:rPr>
      <w:rFonts w:ascii="仿宋_GB2312" w:hAnsi="宋体" w:eastAsia="仿宋_GB2312" w:cs="宋体"/>
      <w:kern w:val="0"/>
      <w:sz w:val="28"/>
      <w:szCs w:val="28"/>
    </w:rPr>
  </w:style>
  <w:style w:type="paragraph" w:customStyle="1" w:styleId="312">
    <w:name w:val="style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314">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31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16">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317">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318">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319">
    <w:name w:val="RFI abc 1st Level"/>
    <w:basedOn w:val="1"/>
    <w:qFormat/>
    <w:uiPriority w:val="0"/>
    <w:pPr>
      <w:widowControl/>
      <w:tabs>
        <w:tab w:val="left" w:pos="1440"/>
      </w:tabs>
      <w:ind w:left="1440" w:hanging="245"/>
    </w:pPr>
    <w:rPr>
      <w:rFonts w:ascii="Arial (W1)" w:hAnsi="Arial (W1)" w:eastAsia="仿宋_GB2312"/>
      <w:kern w:val="0"/>
      <w:sz w:val="24"/>
      <w:szCs w:val="28"/>
      <w:lang w:val="en-GB" w:eastAsia="en-US"/>
    </w:rPr>
  </w:style>
  <w:style w:type="paragraph" w:customStyle="1" w:styleId="320">
    <w:name w:val="Char Char Char Char Char Char Char Char Char Char"/>
    <w:basedOn w:val="1"/>
    <w:qFormat/>
    <w:uiPriority w:val="0"/>
    <w:rPr>
      <w:rFonts w:ascii="Tahoma" w:hAnsi="Tahoma"/>
      <w:sz w:val="24"/>
    </w:rPr>
  </w:style>
  <w:style w:type="paragraph" w:customStyle="1" w:styleId="321">
    <w:name w:val="Char2"/>
    <w:basedOn w:val="1"/>
    <w:qFormat/>
    <w:uiPriority w:val="0"/>
    <w:rPr>
      <w:rFonts w:ascii="仿宋_GB2312" w:eastAsia="仿宋_GB2312"/>
      <w:b/>
      <w:sz w:val="32"/>
      <w:szCs w:val="32"/>
    </w:rPr>
  </w:style>
  <w:style w:type="paragraph" w:customStyle="1" w:styleId="32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23">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324">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325">
    <w:name w:val="Char"/>
    <w:basedOn w:val="5"/>
    <w:qFormat/>
    <w:uiPriority w:val="0"/>
    <w:rPr>
      <w:rFonts w:ascii="仿宋_GB2312" w:eastAsia="仿宋_GB2312"/>
      <w:b w:val="0"/>
      <w:sz w:val="28"/>
    </w:rPr>
  </w:style>
  <w:style w:type="paragraph" w:customStyle="1" w:styleId="326">
    <w:name w:val="font10"/>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327">
    <w:name w:val="Level 2: 1."/>
    <w:qFormat/>
    <w:uiPriority w:val="0"/>
    <w:pPr>
      <w:tabs>
        <w:tab w:val="left" w:pos="720"/>
      </w:tabs>
      <w:spacing w:before="72" w:after="72"/>
      <w:ind w:left="2100" w:hanging="420"/>
      <w:jc w:val="both"/>
      <w:outlineLvl w:val="4"/>
    </w:pPr>
    <w:rPr>
      <w:rFonts w:ascii="Arial" w:hAnsi="Arial" w:eastAsia="宋体" w:cs="Times New Roman"/>
      <w:lang w:val="en-US" w:eastAsia="en-US" w:bidi="ar-SA"/>
    </w:rPr>
  </w:style>
  <w:style w:type="paragraph" w:customStyle="1" w:styleId="3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40"/>
      <w:szCs w:val="40"/>
    </w:rPr>
  </w:style>
  <w:style w:type="paragraph" w:customStyle="1" w:styleId="329">
    <w:name w:val="xl100"/>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330">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31">
    <w:name w:val="标题2正文"/>
    <w:basedOn w:val="1"/>
    <w:qFormat/>
    <w:uiPriority w:val="0"/>
    <w:pPr>
      <w:snapToGrid w:val="0"/>
      <w:spacing w:line="360" w:lineRule="auto"/>
      <w:ind w:firstLine="480" w:firstLineChars="200"/>
    </w:pPr>
    <w:rPr>
      <w:sz w:val="24"/>
      <w:szCs w:val="24"/>
    </w:rPr>
  </w:style>
  <w:style w:type="paragraph" w:customStyle="1" w:styleId="332">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333">
    <w:name w:val="RFI text from 3rd Level"/>
    <w:basedOn w:val="277"/>
    <w:qFormat/>
    <w:uiPriority w:val="0"/>
    <w:pPr>
      <w:tabs>
        <w:tab w:val="left" w:pos="1080"/>
        <w:tab w:val="clear" w:pos="360"/>
      </w:tabs>
      <w:ind w:left="720" w:hanging="420"/>
    </w:pPr>
    <w:rPr>
      <w:b w:val="0"/>
      <w:lang w:eastAsia="zh-CN"/>
    </w:rPr>
  </w:style>
  <w:style w:type="paragraph" w:customStyle="1" w:styleId="3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33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7">
    <w:name w:val="标题2正文 Char"/>
    <w:basedOn w:val="1"/>
    <w:qFormat/>
    <w:uiPriority w:val="0"/>
    <w:pPr>
      <w:snapToGrid w:val="0"/>
      <w:spacing w:line="360" w:lineRule="auto"/>
      <w:ind w:firstLine="480" w:firstLineChars="200"/>
    </w:pPr>
    <w:rPr>
      <w:sz w:val="24"/>
      <w:szCs w:val="24"/>
    </w:rPr>
  </w:style>
  <w:style w:type="paragraph" w:customStyle="1" w:styleId="338">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339">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340">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3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42">
    <w:name w:val="A正文"/>
    <w:basedOn w:val="1"/>
    <w:qFormat/>
    <w:uiPriority w:val="0"/>
    <w:pPr>
      <w:snapToGrid w:val="0"/>
      <w:ind w:firstLine="480" w:firstLineChars="200"/>
    </w:pPr>
    <w:rPr>
      <w:rFonts w:ascii="宋体" w:hAnsi="宋体"/>
      <w:sz w:val="24"/>
      <w:szCs w:val="24"/>
    </w:rPr>
  </w:style>
  <w:style w:type="paragraph" w:customStyle="1" w:styleId="343">
    <w:name w:val="font8"/>
    <w:basedOn w:val="1"/>
    <w:qFormat/>
    <w:uiPriority w:val="0"/>
    <w:pPr>
      <w:widowControl/>
      <w:spacing w:before="100" w:beforeAutospacing="1" w:after="100" w:afterAutospacing="1"/>
      <w:jc w:val="left"/>
    </w:pPr>
    <w:rPr>
      <w:rFonts w:ascii="宋体" w:hAnsi="宋体" w:cs="宋体"/>
      <w:kern w:val="0"/>
      <w:sz w:val="20"/>
    </w:rPr>
  </w:style>
  <w:style w:type="paragraph" w:customStyle="1" w:styleId="344">
    <w:name w:val="1 Char Char Char Char"/>
    <w:basedOn w:val="1"/>
    <w:qFormat/>
    <w:uiPriority w:val="0"/>
    <w:rPr>
      <w:rFonts w:ascii="Tahoma" w:hAnsi="Tahoma"/>
      <w:sz w:val="24"/>
    </w:rPr>
  </w:style>
  <w:style w:type="paragraph" w:customStyle="1" w:styleId="345">
    <w:name w:val="项目1"/>
    <w:basedOn w:val="16"/>
    <w:next w:val="16"/>
    <w:qFormat/>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346">
    <w:name w:val="Style Heading 3 + Line spacing:  1.5 lines"/>
    <w:basedOn w:val="6"/>
    <w:qFormat/>
    <w:uiPriority w:val="0"/>
    <w:pPr>
      <w:keepLines w:val="0"/>
      <w:widowControl/>
      <w:tabs>
        <w:tab w:val="left" w:pos="1152"/>
        <w:tab w:val="left" w:pos="1680"/>
      </w:tabs>
      <w:spacing w:before="0" w:after="0" w:line="360" w:lineRule="auto"/>
      <w:ind w:left="236" w:leftChars="236" w:hanging="420"/>
    </w:pPr>
    <w:rPr>
      <w:rFonts w:ascii="仿宋_GB2312" w:eastAsia="黑体"/>
      <w:sz w:val="28"/>
      <w:szCs w:val="28"/>
    </w:rPr>
  </w:style>
  <w:style w:type="paragraph" w:customStyle="1" w:styleId="347">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34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艺黑简体" w:hAnsi="宋体" w:eastAsia="方正艺黑简体" w:cs="宋体"/>
      <w:kern w:val="0"/>
      <w:sz w:val="32"/>
      <w:szCs w:val="32"/>
    </w:rPr>
  </w:style>
  <w:style w:type="paragraph" w:customStyle="1" w:styleId="349">
    <w:name w:val="A标题2.3"/>
    <w:basedOn w:val="5"/>
    <w:qFormat/>
    <w:uiPriority w:val="0"/>
    <w:pPr>
      <w:tabs>
        <w:tab w:val="left" w:pos="709"/>
      </w:tabs>
      <w:autoSpaceDE w:val="0"/>
      <w:autoSpaceDN w:val="0"/>
      <w:adjustRightInd w:val="0"/>
      <w:snapToGrid w:val="0"/>
      <w:spacing w:before="0" w:after="0" w:line="360" w:lineRule="auto"/>
      <w:ind w:firstLine="120" w:firstLineChars="50"/>
    </w:pPr>
    <w:rPr>
      <w:rFonts w:ascii="宋体" w:hAnsi="宋体" w:cs="宋体"/>
      <w:bCs w:val="0"/>
      <w:sz w:val="24"/>
      <w:szCs w:val="24"/>
      <w:lang w:val="zh-CN"/>
    </w:rPr>
  </w:style>
  <w:style w:type="paragraph" w:customStyle="1" w:styleId="350">
    <w:name w:val="Char1 Char Char Char Char Char Char"/>
    <w:basedOn w:val="1"/>
    <w:qFormat/>
    <w:uiPriority w:val="0"/>
    <w:pPr>
      <w:adjustRightInd w:val="0"/>
    </w:pPr>
    <w:rPr>
      <w:rFonts w:ascii="Tahoma" w:hAnsi="Tahoma"/>
      <w:sz w:val="24"/>
    </w:rPr>
  </w:style>
  <w:style w:type="paragraph" w:customStyle="1" w:styleId="351">
    <w:name w:val="Head1"/>
    <w:qFormat/>
    <w:uiPriority w:val="0"/>
    <w:pPr>
      <w:pBdr>
        <w:top w:val="single" w:color="auto" w:sz="6" w:space="1"/>
      </w:pBdr>
      <w:tabs>
        <w:tab w:val="left" w:pos="576"/>
      </w:tabs>
      <w:spacing w:before="28" w:after="28"/>
      <w:ind w:left="840" w:hanging="420"/>
      <w:outlineLvl w:val="1"/>
    </w:pPr>
    <w:rPr>
      <w:rFonts w:ascii="Arial" w:hAnsi="Arial" w:eastAsia="宋体" w:cs="Times New Roman"/>
      <w:b/>
      <w:sz w:val="22"/>
      <w:lang w:val="en-US" w:eastAsia="en-US" w:bidi="ar-SA"/>
    </w:rPr>
  </w:style>
  <w:style w:type="paragraph" w:customStyle="1" w:styleId="3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5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354">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55">
    <w:name w:val="金保标题正文"/>
    <w:qFormat/>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customStyle="1" w:styleId="35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357">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358">
    <w:name w:val="Achievement"/>
    <w:basedOn w:val="3"/>
    <w:qFormat/>
    <w:uiPriority w:val="0"/>
    <w:pPr>
      <w:widowControl/>
      <w:tabs>
        <w:tab w:val="left" w:pos="840"/>
      </w:tabs>
      <w:spacing w:after="60" w:line="220" w:lineRule="atLeast"/>
      <w:ind w:left="840" w:hanging="420"/>
    </w:pPr>
    <w:rPr>
      <w:rFonts w:ascii="Arial" w:hAnsi="Arial"/>
      <w:spacing w:val="-5"/>
    </w:rPr>
  </w:style>
  <w:style w:type="paragraph" w:customStyle="1" w:styleId="359">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360">
    <w:name w:val="文档正文"/>
    <w:basedOn w:val="1"/>
    <w:qFormat/>
    <w:uiPriority w:val="0"/>
    <w:rPr>
      <w:rFonts w:ascii="Arial" w:hAnsi="Arial" w:eastAsia="仿宋_GB2312" w:cs="Arial"/>
      <w:bCs/>
      <w:sz w:val="24"/>
      <w:szCs w:val="28"/>
    </w:rPr>
  </w:style>
  <w:style w:type="paragraph" w:customStyle="1" w:styleId="36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62">
    <w:name w:val="Table Text"/>
    <w:basedOn w:val="1"/>
    <w:qFormat/>
    <w:uiPriority w:val="0"/>
    <w:pPr>
      <w:widowControl/>
      <w:spacing w:before="60" w:after="60"/>
      <w:jc w:val="left"/>
    </w:pPr>
    <w:rPr>
      <w:kern w:val="0"/>
      <w:szCs w:val="24"/>
    </w:rPr>
  </w:style>
  <w:style w:type="paragraph" w:customStyle="1" w:styleId="363">
    <w:name w:val="Style Body Text Indent 2 + 11 pt Line spacing:  1.5 lines"/>
    <w:basedOn w:val="36"/>
    <w:qFormat/>
    <w:uiPriority w:val="0"/>
    <w:pPr>
      <w:widowControl/>
      <w:tabs>
        <w:tab w:val="left" w:pos="900"/>
      </w:tabs>
      <w:spacing w:line="360" w:lineRule="auto"/>
      <w:ind w:firstLine="0" w:firstLineChars="0"/>
    </w:pPr>
    <w:rPr>
      <w:rFonts w:ascii="宋体" w:hAnsi="宋体"/>
      <w:sz w:val="22"/>
      <w:szCs w:val="20"/>
      <w:lang w:val="en-GB"/>
    </w:rPr>
  </w:style>
  <w:style w:type="paragraph" w:customStyle="1" w:styleId="364">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36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366">
    <w:name w:val="xl104"/>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367">
    <w:name w:val="Level 6: (i)"/>
    <w:basedOn w:val="1"/>
    <w:qFormat/>
    <w:uiPriority w:val="0"/>
    <w:pPr>
      <w:widowControl/>
      <w:tabs>
        <w:tab w:val="left" w:pos="2160"/>
      </w:tabs>
      <w:spacing w:before="72" w:after="72"/>
      <w:ind w:left="3780" w:hanging="420"/>
      <w:outlineLvl w:val="8"/>
    </w:pPr>
    <w:rPr>
      <w:rFonts w:ascii="Arial" w:hAnsi="Arial" w:eastAsia="仿宋_GB2312"/>
      <w:kern w:val="0"/>
      <w:sz w:val="20"/>
      <w:lang w:eastAsia="en-US"/>
    </w:rPr>
  </w:style>
  <w:style w:type="paragraph" w:customStyle="1" w:styleId="368">
    <w:name w:val="Bullet 1"/>
    <w:basedOn w:val="1"/>
    <w:qFormat/>
    <w:uiPriority w:val="0"/>
    <w:pPr>
      <w:widowControl/>
      <w:jc w:val="left"/>
    </w:pPr>
    <w:rPr>
      <w:rFonts w:ascii="Tahoma" w:hAnsi="Tahoma" w:eastAsia="仿宋_GB2312" w:cs="Tahoma"/>
      <w:kern w:val="0"/>
      <w:sz w:val="24"/>
      <w:szCs w:val="28"/>
      <w:lang w:eastAsia="en-US"/>
    </w:rPr>
  </w:style>
  <w:style w:type="paragraph" w:styleId="369">
    <w:name w:val="No Spacing"/>
    <w:qFormat/>
    <w:uiPriority w:val="0"/>
    <w:rPr>
      <w:rFonts w:ascii="Times New Roman" w:hAnsi="Times New Roman" w:eastAsia="宋体" w:cs="Times New Roman"/>
      <w:sz w:val="22"/>
      <w:szCs w:val="22"/>
      <w:lang w:val="en-US" w:eastAsia="en-US" w:bidi="en-US"/>
    </w:rPr>
  </w:style>
  <w:style w:type="paragraph" w:customStyle="1" w:styleId="370">
    <w:name w:val="P1"/>
    <w:basedOn w:val="1"/>
    <w:qFormat/>
    <w:uiPriority w:val="0"/>
    <w:pPr>
      <w:adjustRightInd w:val="0"/>
      <w:spacing w:before="100" w:beforeAutospacing="1" w:after="240" w:line="240" w:lineRule="atLeast"/>
      <w:ind w:left="2304" w:hanging="576"/>
      <w:textAlignment w:val="baseline"/>
    </w:pPr>
    <w:rPr>
      <w:rFonts w:ascii="Calibri" w:hAnsi="Calibri" w:eastAsia="全真中明體"/>
      <w:spacing w:val="20"/>
      <w:kern w:val="0"/>
      <w:sz w:val="24"/>
      <w:szCs w:val="24"/>
    </w:rPr>
  </w:style>
  <w:style w:type="paragraph" w:customStyle="1" w:styleId="371">
    <w:name w:val="font7"/>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72">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3">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374">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75">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376">
    <w:name w:val="[Normal]"/>
    <w:qFormat/>
    <w:uiPriority w:val="0"/>
    <w:rPr>
      <w:rFonts w:ascii="宋体" w:hAnsi="宋体" w:eastAsia="宋体" w:cs="Times New Roman"/>
      <w:sz w:val="24"/>
      <w:szCs w:val="22"/>
      <w:lang w:val="zh-CN" w:eastAsia="zh-CN" w:bidi="ar-SA"/>
    </w:rPr>
  </w:style>
  <w:style w:type="character" w:customStyle="1" w:styleId="377">
    <w:name w:val="font51"/>
    <w:basedOn w:val="62"/>
    <w:qFormat/>
    <w:uiPriority w:val="0"/>
    <w:rPr>
      <w:rFonts w:hint="default" w:ascii="Calibri" w:hAnsi="Calibri" w:cs="Calibri"/>
      <w:color w:val="000000"/>
      <w:sz w:val="21"/>
      <w:szCs w:val="21"/>
      <w:u w:val="none"/>
    </w:rPr>
  </w:style>
  <w:style w:type="character" w:customStyle="1" w:styleId="378">
    <w:name w:val="font81"/>
    <w:basedOn w:val="62"/>
    <w:qFormat/>
    <w:uiPriority w:val="0"/>
    <w:rPr>
      <w:rFonts w:hint="eastAsia" w:ascii="宋体" w:hAnsi="宋体" w:eastAsia="宋体" w:cs="宋体"/>
      <w:color w:val="000000"/>
      <w:sz w:val="21"/>
      <w:szCs w:val="21"/>
      <w:u w:val="none"/>
    </w:rPr>
  </w:style>
  <w:style w:type="character" w:customStyle="1" w:styleId="379">
    <w:name w:val="font101"/>
    <w:basedOn w:val="62"/>
    <w:qFormat/>
    <w:uiPriority w:val="0"/>
    <w:rPr>
      <w:rFonts w:hint="eastAsia" w:ascii="宋体" w:hAnsi="宋体" w:eastAsia="宋体" w:cs="宋体"/>
      <w:color w:val="000000"/>
      <w:sz w:val="20"/>
      <w:szCs w:val="20"/>
      <w:u w:val="none"/>
    </w:rPr>
  </w:style>
  <w:style w:type="character" w:customStyle="1" w:styleId="380">
    <w:name w:val="font71"/>
    <w:basedOn w:val="62"/>
    <w:qFormat/>
    <w:uiPriority w:val="0"/>
    <w:rPr>
      <w:rFonts w:hint="eastAsia" w:ascii="宋体" w:hAnsi="宋体" w:eastAsia="宋体" w:cs="宋体"/>
      <w:b/>
      <w:color w:val="000000"/>
      <w:sz w:val="21"/>
      <w:szCs w:val="21"/>
      <w:u w:val="none"/>
    </w:rPr>
  </w:style>
  <w:style w:type="character" w:customStyle="1" w:styleId="381">
    <w:name w:val="标题 2 Char"/>
    <w:qFormat/>
    <w:uiPriority w:val="0"/>
    <w:rPr>
      <w:rFonts w:ascii="Cambria" w:hAnsi="Cambria" w:eastAsia="宋体" w:cs="Times New Roman"/>
      <w:b/>
      <w:bCs/>
      <w:sz w:val="32"/>
      <w:szCs w:val="32"/>
    </w:rPr>
  </w:style>
  <w:style w:type="character" w:customStyle="1" w:styleId="382">
    <w:name w:val="font121"/>
    <w:basedOn w:val="62"/>
    <w:qFormat/>
    <w:uiPriority w:val="0"/>
    <w:rPr>
      <w:rFonts w:hint="eastAsia" w:ascii="宋体" w:hAnsi="宋体" w:eastAsia="宋体" w:cs="宋体"/>
      <w:color w:val="000000"/>
      <w:sz w:val="20"/>
      <w:szCs w:val="20"/>
      <w:u w:val="none"/>
    </w:rPr>
  </w:style>
  <w:style w:type="character" w:customStyle="1" w:styleId="383">
    <w:name w:val="font141"/>
    <w:basedOn w:val="62"/>
    <w:qFormat/>
    <w:uiPriority w:val="0"/>
    <w:rPr>
      <w:rFonts w:hint="eastAsia" w:ascii="宋体" w:hAnsi="宋体" w:eastAsia="宋体" w:cs="宋体"/>
      <w:color w:val="FF0000"/>
      <w:sz w:val="20"/>
      <w:szCs w:val="20"/>
      <w:u w:val="none"/>
    </w:rPr>
  </w:style>
  <w:style w:type="character" w:customStyle="1" w:styleId="384">
    <w:name w:val="font61"/>
    <w:basedOn w:val="62"/>
    <w:qFormat/>
    <w:uiPriority w:val="0"/>
    <w:rPr>
      <w:rFonts w:hint="eastAsia" w:ascii="宋体" w:hAnsi="宋体" w:eastAsia="宋体" w:cs="宋体"/>
      <w:color w:val="000000"/>
      <w:sz w:val="20"/>
      <w:szCs w:val="20"/>
      <w:u w:val="none"/>
    </w:rPr>
  </w:style>
  <w:style w:type="character" w:customStyle="1" w:styleId="385">
    <w:name w:val="font131"/>
    <w:basedOn w:val="62"/>
    <w:qFormat/>
    <w:uiPriority w:val="0"/>
    <w:rPr>
      <w:rFonts w:hint="eastAsia" w:ascii="宋体" w:hAnsi="宋体" w:eastAsia="宋体" w:cs="宋体"/>
      <w:color w:val="000000"/>
      <w:sz w:val="20"/>
      <w:szCs w:val="20"/>
      <w:u w:val="none"/>
    </w:rPr>
  </w:style>
  <w:style w:type="character" w:customStyle="1" w:styleId="386">
    <w:name w:val="font151"/>
    <w:basedOn w:val="62"/>
    <w:qFormat/>
    <w:uiPriority w:val="0"/>
    <w:rPr>
      <w:rFonts w:hint="eastAsia" w:ascii="宋体" w:hAnsi="宋体" w:eastAsia="宋体" w:cs="宋体"/>
      <w:color w:val="000000"/>
      <w:sz w:val="20"/>
      <w:szCs w:val="20"/>
      <w:u w:val="none"/>
    </w:rPr>
  </w:style>
  <w:style w:type="paragraph" w:customStyle="1" w:styleId="387">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88">
    <w:name w:val="Table Paragraph"/>
    <w:basedOn w:val="1"/>
    <w:qFormat/>
    <w:uiPriority w:val="1"/>
    <w:rPr>
      <w:rFonts w:ascii="宋体" w:hAnsi="宋体" w:eastAsia="宋体" w:cs="宋体"/>
      <w:lang w:val="zh-CN" w:eastAsia="zh-CN" w:bidi="zh-CN"/>
    </w:rPr>
  </w:style>
  <w:style w:type="paragraph" w:customStyle="1" w:styleId="389">
    <w:name w:val="￥正文"/>
    <w:basedOn w:val="1"/>
    <w:qFormat/>
    <w:uiPriority w:val="0"/>
    <w:rPr>
      <w:kern w:val="0"/>
      <w:sz w:val="24"/>
    </w:rPr>
  </w:style>
  <w:style w:type="character" w:customStyle="1" w:styleId="390">
    <w:name w:val="font41"/>
    <w:basedOn w:val="62"/>
    <w:qFormat/>
    <w:uiPriority w:val="0"/>
    <w:rPr>
      <w:rFonts w:hint="eastAsia" w:ascii="宋体" w:hAnsi="宋体" w:eastAsia="宋体" w:cs="宋体"/>
      <w:color w:val="000000"/>
      <w:sz w:val="20"/>
      <w:szCs w:val="20"/>
      <w:u w:val="none"/>
    </w:rPr>
  </w:style>
  <w:style w:type="character" w:customStyle="1" w:styleId="391">
    <w:name w:val="font12"/>
    <w:basedOn w:val="62"/>
    <w:qFormat/>
    <w:uiPriority w:val="0"/>
    <w:rPr>
      <w:rFonts w:hint="eastAsia" w:ascii="宋体" w:hAnsi="宋体" w:eastAsia="宋体" w:cs="宋体"/>
      <w:color w:val="000000"/>
      <w:sz w:val="20"/>
      <w:szCs w:val="20"/>
      <w:u w:val="none"/>
    </w:rPr>
  </w:style>
  <w:style w:type="paragraph" w:customStyle="1" w:styleId="392">
    <w:name w:val="Plain Text"/>
    <w:basedOn w:val="1"/>
    <w:uiPriority w:val="0"/>
    <w:pPr>
      <w:adjustRightInd w:val="0"/>
      <w:textAlignment w:val="baseline"/>
    </w:pPr>
    <w:rPr>
      <w:rFonts w:ascii="宋体" w:hAnsi="Courier New" w:eastAsia="楷体_GB2312"/>
      <w:kern w:val="0"/>
      <w:sz w:val="2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22B3D-ACC9-4E78-9392-C29EB4532DD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12220</Words>
  <Characters>69657</Characters>
  <Lines>580</Lines>
  <Paragraphs>163</Paragraphs>
  <TotalTime>81</TotalTime>
  <ScaleCrop>false</ScaleCrop>
  <LinksUpToDate>false</LinksUpToDate>
  <CharactersWithSpaces>81714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2020-04-03T03:48:00Z</dcterms:created>
  <dc:creator>Administrator</dc:creator>
  <cp:lastModifiedBy>L_。1422081552</cp:lastModifiedBy>
  <cp:lastPrinted>2020-08-26T09:10:15Z</cp:lastPrinted>
  <dcterms:modified xsi:type="dcterms:W3CDTF">2020-08-26T09:44:54Z</dcterms:modified>
  <dc:title>江山市农业农村局应急指挥系统建设项目</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