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autoSpaceDE w:val="0"/>
        <w:autoSpaceDN w:val="0"/>
        <w:adjustRightInd w:val="0"/>
        <w:snapToGrid w:val="0"/>
        <w:spacing w:line="360" w:lineRule="auto"/>
        <w:jc w:val="both"/>
        <w:textAlignment w:val="bottom"/>
        <w:rPr>
          <w:rFonts w:ascii="仿宋" w:hAnsi="仿宋" w:eastAsia="仿宋" w:cs="仿宋"/>
          <w:b/>
          <w:color w:val="auto"/>
          <w:sz w:val="52"/>
          <w:highlight w:val="none"/>
        </w:rPr>
      </w:pPr>
    </w:p>
    <w:p>
      <w:pPr>
        <w:tabs>
          <w:tab w:val="left" w:pos="4500"/>
        </w:tabs>
        <w:autoSpaceDE w:val="0"/>
        <w:autoSpaceDN w:val="0"/>
        <w:adjustRightInd w:val="0"/>
        <w:snapToGrid w:val="0"/>
        <w:spacing w:line="360" w:lineRule="auto"/>
        <w:jc w:val="center"/>
        <w:textAlignment w:val="bottom"/>
        <w:rPr>
          <w:rFonts w:ascii="仿宋" w:hAnsi="仿宋" w:eastAsia="仿宋" w:cs="仿宋"/>
          <w:color w:val="auto"/>
          <w:highlight w:val="none"/>
        </w:rPr>
      </w:pPr>
      <w:r>
        <w:rPr>
          <w:rFonts w:hint="eastAsia" w:ascii="仿宋" w:hAnsi="仿宋" w:eastAsia="仿宋" w:cs="仿宋"/>
          <w:b/>
          <w:color w:val="auto"/>
          <w:sz w:val="52"/>
          <w:highlight w:val="none"/>
        </w:rPr>
        <w:t>公开招标采购文件</w:t>
      </w:r>
    </w:p>
    <w:p>
      <w:pPr>
        <w:spacing w:before="24" w:beforeLines="10" w:line="360" w:lineRule="auto"/>
        <w:ind w:firstLine="361" w:firstLineChars="100"/>
        <w:jc w:val="left"/>
        <w:rPr>
          <w:rFonts w:ascii="仿宋" w:hAnsi="仿宋" w:eastAsia="仿宋" w:cs="仿宋"/>
          <w:b/>
          <w:color w:val="auto"/>
          <w:sz w:val="36"/>
          <w:highlight w:val="none"/>
        </w:rPr>
      </w:pPr>
    </w:p>
    <w:p>
      <w:pPr>
        <w:spacing w:before="24" w:beforeLines="10" w:line="360" w:lineRule="auto"/>
        <w:ind w:firstLine="361" w:firstLineChars="100"/>
        <w:jc w:val="left"/>
        <w:rPr>
          <w:rFonts w:ascii="仿宋" w:hAnsi="仿宋" w:eastAsia="仿宋" w:cs="仿宋"/>
          <w:b/>
          <w:color w:val="auto"/>
          <w:sz w:val="36"/>
          <w:highlight w:val="none"/>
        </w:rPr>
      </w:pPr>
    </w:p>
    <w:p>
      <w:pPr>
        <w:spacing w:before="24" w:beforeLines="10" w:line="360" w:lineRule="auto"/>
        <w:ind w:firstLine="361" w:firstLineChars="100"/>
        <w:jc w:val="left"/>
        <w:rPr>
          <w:rFonts w:hint="eastAsia" w:ascii="仿宋" w:hAnsi="仿宋" w:eastAsia="仿宋" w:cs="仿宋"/>
          <w:b/>
          <w:color w:val="auto"/>
          <w:sz w:val="36"/>
          <w:highlight w:val="none"/>
          <w:lang w:eastAsia="zh-CN"/>
        </w:rPr>
      </w:pPr>
      <w:r>
        <w:rPr>
          <w:rFonts w:hint="eastAsia" w:ascii="仿宋" w:hAnsi="仿宋" w:eastAsia="仿宋" w:cs="仿宋"/>
          <w:b/>
          <w:color w:val="auto"/>
          <w:sz w:val="36"/>
          <w:highlight w:val="none"/>
        </w:rPr>
        <w:t>项目编号：</w:t>
      </w:r>
      <w:r>
        <w:rPr>
          <w:rFonts w:hint="eastAsia" w:ascii="仿宋" w:hAnsi="仿宋" w:eastAsia="仿宋" w:cs="仿宋"/>
          <w:b/>
          <w:color w:val="auto"/>
          <w:sz w:val="36"/>
          <w:highlight w:val="none"/>
          <w:lang w:eastAsia="zh-CN"/>
        </w:rPr>
        <w:t>ZZCG2023082</w:t>
      </w:r>
    </w:p>
    <w:p>
      <w:pPr>
        <w:spacing w:before="24" w:beforeLines="10" w:line="360" w:lineRule="auto"/>
        <w:ind w:firstLine="361" w:firstLineChars="100"/>
        <w:jc w:val="left"/>
        <w:rPr>
          <w:rFonts w:ascii="仿宋" w:hAnsi="仿宋" w:eastAsia="仿宋" w:cs="仿宋"/>
          <w:color w:val="auto"/>
          <w:highlight w:val="none"/>
        </w:rPr>
      </w:pPr>
      <w:r>
        <w:rPr>
          <w:rFonts w:hint="eastAsia" w:ascii="仿宋" w:hAnsi="仿宋" w:eastAsia="仿宋" w:cs="仿宋"/>
          <w:b/>
          <w:color w:val="auto"/>
          <w:sz w:val="36"/>
          <w:highlight w:val="none"/>
        </w:rPr>
        <w:t xml:space="preserve">项目名称：衢江区小区生活垃圾分类提升项目          </w:t>
      </w:r>
    </w:p>
    <w:p>
      <w:pPr>
        <w:pStyle w:val="4"/>
        <w:ind w:left="560" w:firstLine="0"/>
        <w:rPr>
          <w:rFonts w:ascii="仿宋" w:hAnsi="仿宋" w:eastAsia="仿宋" w:cs="仿宋"/>
          <w:color w:val="auto"/>
          <w:highlight w:val="none"/>
        </w:rPr>
      </w:pPr>
    </w:p>
    <w:p>
      <w:pPr>
        <w:rPr>
          <w:rFonts w:ascii="仿宋" w:hAnsi="仿宋" w:eastAsia="仿宋" w:cs="仿宋"/>
          <w:color w:val="auto"/>
          <w:highlight w:val="none"/>
        </w:rPr>
      </w:pPr>
    </w:p>
    <w:p>
      <w:pPr>
        <w:pStyle w:val="7"/>
        <w:rPr>
          <w:rFonts w:ascii="仿宋" w:hAnsi="仿宋" w:eastAsia="仿宋" w:cs="仿宋"/>
          <w:color w:val="auto"/>
          <w:highlight w:val="none"/>
        </w:rPr>
      </w:pPr>
    </w:p>
    <w:p>
      <w:pPr>
        <w:autoSpaceDE w:val="0"/>
        <w:autoSpaceDN w:val="0"/>
        <w:adjustRightInd w:val="0"/>
        <w:snapToGrid w:val="0"/>
        <w:spacing w:before="24" w:beforeLines="10" w:line="360" w:lineRule="auto"/>
        <w:jc w:val="center"/>
        <w:textAlignment w:val="bottom"/>
        <w:rPr>
          <w:rFonts w:ascii="仿宋" w:hAnsi="仿宋" w:eastAsia="仿宋" w:cs="仿宋"/>
          <w:b/>
          <w:color w:val="auto"/>
          <w:highlight w:val="none"/>
        </w:rPr>
      </w:pPr>
    </w:p>
    <w:p>
      <w:pPr>
        <w:autoSpaceDE w:val="0"/>
        <w:autoSpaceDN w:val="0"/>
        <w:adjustRightInd w:val="0"/>
        <w:snapToGrid w:val="0"/>
        <w:spacing w:before="24" w:beforeLines="10" w:line="360" w:lineRule="auto"/>
        <w:jc w:val="center"/>
        <w:textAlignment w:val="bottom"/>
        <w:rPr>
          <w:rFonts w:ascii="仿宋" w:hAnsi="仿宋" w:eastAsia="仿宋" w:cs="仿宋"/>
          <w:b/>
          <w:color w:val="auto"/>
          <w:highlight w:val="none"/>
        </w:rPr>
      </w:pPr>
    </w:p>
    <w:p>
      <w:pPr>
        <w:pStyle w:val="36"/>
        <w:ind w:left="560"/>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autoSpaceDE w:val="0"/>
        <w:autoSpaceDN w:val="0"/>
        <w:adjustRightInd w:val="0"/>
        <w:snapToGrid w:val="0"/>
        <w:spacing w:before="24" w:beforeLines="10" w:line="360" w:lineRule="auto"/>
        <w:jc w:val="center"/>
        <w:textAlignment w:val="bottom"/>
        <w:rPr>
          <w:rFonts w:ascii="仿宋" w:hAnsi="仿宋" w:eastAsia="仿宋" w:cs="仿宋"/>
          <w:b/>
          <w:color w:val="auto"/>
          <w:highlight w:val="none"/>
        </w:rPr>
      </w:pPr>
    </w:p>
    <w:p>
      <w:pPr>
        <w:pStyle w:val="34"/>
        <w:rPr>
          <w:rFonts w:ascii="仿宋" w:hAnsi="仿宋" w:eastAsia="仿宋" w:cs="仿宋"/>
          <w:color w:val="auto"/>
          <w:highlight w:val="none"/>
        </w:rPr>
      </w:pPr>
    </w:p>
    <w:p>
      <w:pPr>
        <w:autoSpaceDE w:val="0"/>
        <w:autoSpaceDN w:val="0"/>
        <w:adjustRightInd w:val="0"/>
        <w:snapToGrid w:val="0"/>
        <w:spacing w:line="360" w:lineRule="auto"/>
        <w:ind w:firstLine="321" w:firstLineChars="100"/>
        <w:textAlignment w:val="bottom"/>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   购   人：</w:t>
      </w:r>
      <w:r>
        <w:rPr>
          <w:rFonts w:hint="eastAsia" w:ascii="仿宋" w:hAnsi="仿宋" w:eastAsia="仿宋" w:cs="仿宋"/>
          <w:b/>
          <w:color w:val="auto"/>
          <w:sz w:val="32"/>
          <w:szCs w:val="32"/>
          <w:highlight w:val="none"/>
          <w:u w:val="single"/>
        </w:rPr>
        <w:t>衢州市衢江区住房和城乡建设局</w:t>
      </w:r>
      <w:r>
        <w:rPr>
          <w:rFonts w:hint="eastAsia" w:ascii="仿宋" w:hAnsi="仿宋" w:eastAsia="仿宋" w:cs="仿宋"/>
          <w:b/>
          <w:color w:val="auto"/>
          <w:sz w:val="32"/>
          <w:szCs w:val="32"/>
          <w:highlight w:val="none"/>
        </w:rPr>
        <w:t>(盖章）</w:t>
      </w:r>
    </w:p>
    <w:p>
      <w:pPr>
        <w:autoSpaceDE w:val="0"/>
        <w:autoSpaceDN w:val="0"/>
        <w:adjustRightInd w:val="0"/>
        <w:snapToGrid w:val="0"/>
        <w:spacing w:line="360" w:lineRule="auto"/>
        <w:ind w:firstLine="321" w:firstLineChars="100"/>
        <w:textAlignment w:val="bottom"/>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招标代理机构：</w:t>
      </w:r>
      <w:r>
        <w:rPr>
          <w:rFonts w:hint="eastAsia" w:ascii="仿宋" w:hAnsi="仿宋" w:eastAsia="仿宋" w:cs="仿宋"/>
          <w:b/>
          <w:color w:val="auto"/>
          <w:sz w:val="32"/>
          <w:szCs w:val="32"/>
          <w:highlight w:val="none"/>
          <w:u w:val="single"/>
        </w:rPr>
        <w:t>浙江中正工程项目管理有限公司</w:t>
      </w:r>
      <w:r>
        <w:rPr>
          <w:rFonts w:hint="eastAsia" w:ascii="仿宋" w:hAnsi="仿宋" w:eastAsia="仿宋" w:cs="仿宋"/>
          <w:b/>
          <w:color w:val="auto"/>
          <w:sz w:val="32"/>
          <w:szCs w:val="32"/>
          <w:highlight w:val="none"/>
        </w:rPr>
        <w:t>(盖章）</w:t>
      </w:r>
    </w:p>
    <w:p>
      <w:pPr>
        <w:pStyle w:val="51"/>
        <w:spacing w:before="24" w:beforeLines="10" w:line="360" w:lineRule="auto"/>
        <w:ind w:firstLine="321" w:firstLineChars="100"/>
        <w:jc w:val="left"/>
        <w:rPr>
          <w:rFonts w:ascii="仿宋" w:hAnsi="仿宋" w:eastAsia="仿宋" w:cs="仿宋"/>
          <w:color w:val="auto"/>
          <w:highlight w:val="none"/>
        </w:rPr>
      </w:pPr>
      <w:r>
        <w:rPr>
          <w:rFonts w:hint="eastAsia" w:ascii="仿宋" w:hAnsi="仿宋" w:eastAsia="仿宋" w:cs="仿宋"/>
          <w:color w:val="auto"/>
          <w:sz w:val="32"/>
          <w:szCs w:val="32"/>
          <w:highlight w:val="none"/>
        </w:rPr>
        <w:t>日        期：2023年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w:t>
      </w:r>
      <w:r>
        <w:rPr>
          <w:rFonts w:hint="eastAsia" w:ascii="仿宋" w:hAnsi="仿宋" w:eastAsia="仿宋" w:cs="仿宋"/>
          <w:color w:val="auto"/>
          <w:highlight w:val="none"/>
        </w:rPr>
        <w:br w:type="page"/>
      </w:r>
    </w:p>
    <w:p>
      <w:pPr>
        <w:pStyle w:val="51"/>
        <w:spacing w:before="24" w:beforeLines="10" w:line="360" w:lineRule="auto"/>
        <w:ind w:firstLine="361" w:firstLineChars="100"/>
        <w:jc w:val="center"/>
        <w:rPr>
          <w:rFonts w:ascii="仿宋" w:hAnsi="仿宋" w:eastAsia="仿宋" w:cs="仿宋"/>
          <w:bCs/>
          <w:color w:val="auto"/>
          <w:sz w:val="36"/>
          <w:highlight w:val="none"/>
        </w:rPr>
      </w:pPr>
      <w:r>
        <w:rPr>
          <w:rFonts w:hint="eastAsia" w:ascii="仿宋" w:hAnsi="仿宋" w:eastAsia="仿宋" w:cs="仿宋"/>
          <w:bCs/>
          <w:color w:val="auto"/>
          <w:sz w:val="36"/>
          <w:highlight w:val="none"/>
        </w:rPr>
        <w:t>目  录</w:t>
      </w:r>
    </w:p>
    <w:p>
      <w:pPr>
        <w:rPr>
          <w:rFonts w:ascii="仿宋" w:hAnsi="仿宋" w:eastAsia="仿宋" w:cs="仿宋"/>
          <w:color w:val="auto"/>
          <w:highlight w:val="none"/>
        </w:rPr>
      </w:pPr>
    </w:p>
    <w:p>
      <w:pPr>
        <w:pStyle w:val="60"/>
        <w:tabs>
          <w:tab w:val="right" w:leader="dot" w:pos="9026"/>
          <w:tab w:val="clear" w:pos="8364"/>
        </w:tabs>
        <w:rPr>
          <w:rFonts w:ascii="仿宋" w:hAnsi="仿宋" w:eastAsia="仿宋" w:cs="仿宋"/>
          <w:color w:val="auto"/>
          <w:sz w:val="24"/>
          <w:szCs w:val="24"/>
          <w:highlight w:val="none"/>
        </w:rPr>
      </w:pPr>
      <w:r>
        <w:rPr>
          <w:rFonts w:hint="eastAsia" w:ascii="仿宋" w:hAnsi="仿宋" w:eastAsia="仿宋" w:cs="仿宋"/>
          <w:b w:val="0"/>
          <w:color w:val="auto"/>
          <w:sz w:val="24"/>
          <w:szCs w:val="24"/>
          <w:highlight w:val="none"/>
        </w:rPr>
        <w:fldChar w:fldCharType="begin"/>
      </w:r>
      <w:r>
        <w:rPr>
          <w:rFonts w:hint="eastAsia" w:ascii="仿宋" w:hAnsi="仿宋" w:eastAsia="仿宋" w:cs="仿宋"/>
          <w:b w:val="0"/>
          <w:color w:val="auto"/>
          <w:sz w:val="24"/>
          <w:szCs w:val="24"/>
          <w:highlight w:val="none"/>
        </w:rPr>
        <w:instrText xml:space="preserve">TOC \o "1-2" \h \z \u</w:instrText>
      </w:r>
      <w:r>
        <w:rPr>
          <w:rFonts w:hint="eastAsia" w:ascii="仿宋" w:hAnsi="仿宋" w:eastAsia="仿宋" w:cs="仿宋"/>
          <w:b w:val="0"/>
          <w:color w:val="auto"/>
          <w:sz w:val="24"/>
          <w:szCs w:val="24"/>
          <w:highlight w:val="none"/>
        </w:rPr>
        <w:fldChar w:fldCharType="separate"/>
      </w:r>
      <w:r>
        <w:rPr>
          <w:color w:val="auto"/>
          <w:highlight w:val="none"/>
        </w:rPr>
        <w:fldChar w:fldCharType="begin"/>
      </w:r>
      <w:r>
        <w:rPr>
          <w:color w:val="auto"/>
          <w:highlight w:val="none"/>
        </w:rPr>
        <w:instrText xml:space="preserve"> HYPERLINK \l "_Toc32624" </w:instrText>
      </w:r>
      <w:r>
        <w:rPr>
          <w:color w:val="auto"/>
          <w:highlight w:val="none"/>
        </w:rPr>
        <w:fldChar w:fldCharType="separate"/>
      </w:r>
      <w:r>
        <w:rPr>
          <w:rFonts w:hint="eastAsia" w:ascii="仿宋" w:hAnsi="仿宋" w:eastAsia="仿宋" w:cs="仿宋"/>
          <w:color w:val="auto"/>
          <w:sz w:val="24"/>
          <w:szCs w:val="24"/>
          <w:highlight w:val="none"/>
        </w:rPr>
        <w:t>第一部分  招标公告</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fldChar w:fldCharType="end"/>
      </w:r>
    </w:p>
    <w:p>
      <w:pPr>
        <w:pStyle w:val="60"/>
        <w:tabs>
          <w:tab w:val="right" w:leader="dot" w:pos="9026"/>
          <w:tab w:val="clear" w:pos="8364"/>
        </w:tabs>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"_Toc31506" </w:instrText>
      </w:r>
      <w:r>
        <w:rPr>
          <w:color w:val="auto"/>
          <w:highlight w:val="none"/>
        </w:rPr>
        <w:fldChar w:fldCharType="separate"/>
      </w:r>
      <w:r>
        <w:rPr>
          <w:rFonts w:hint="eastAsia" w:ascii="仿宋" w:hAnsi="仿宋" w:eastAsia="仿宋" w:cs="仿宋"/>
          <w:color w:val="auto"/>
          <w:sz w:val="24"/>
          <w:szCs w:val="24"/>
          <w:highlight w:val="none"/>
        </w:rPr>
        <w:t>第二部分  投标人须知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fldChar w:fldCharType="end"/>
      </w:r>
    </w:p>
    <w:p>
      <w:pPr>
        <w:pStyle w:val="60"/>
        <w:tabs>
          <w:tab w:val="right" w:leader="dot" w:pos="9026"/>
          <w:tab w:val="clear" w:pos="8364"/>
        </w:tabs>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"_Toc4895" </w:instrText>
      </w:r>
      <w:r>
        <w:rPr>
          <w:color w:val="auto"/>
          <w:highlight w:val="none"/>
        </w:rPr>
        <w:fldChar w:fldCharType="separate"/>
      </w:r>
      <w:r>
        <w:rPr>
          <w:rFonts w:hint="eastAsia" w:ascii="仿宋" w:hAnsi="仿宋" w:eastAsia="仿宋" w:cs="仿宋"/>
          <w:color w:val="auto"/>
          <w:sz w:val="24"/>
          <w:szCs w:val="24"/>
          <w:highlight w:val="none"/>
        </w:rPr>
        <w:t>第三部分  采购内容及需求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fldChar w:fldCharType="end"/>
      </w:r>
    </w:p>
    <w:p>
      <w:pPr>
        <w:pStyle w:val="60"/>
        <w:tabs>
          <w:tab w:val="right" w:leader="dot" w:pos="9026"/>
          <w:tab w:val="clear" w:pos="8364"/>
        </w:tabs>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"_Toc1203" </w:instrText>
      </w:r>
      <w:r>
        <w:rPr>
          <w:color w:val="auto"/>
          <w:highlight w:val="none"/>
        </w:rPr>
        <w:fldChar w:fldCharType="separate"/>
      </w:r>
      <w:r>
        <w:rPr>
          <w:rFonts w:hint="eastAsia" w:ascii="仿宋" w:hAnsi="仿宋" w:eastAsia="仿宋" w:cs="仿宋"/>
          <w:color w:val="auto"/>
          <w:sz w:val="24"/>
          <w:szCs w:val="24"/>
          <w:highlight w:val="none"/>
        </w:rPr>
        <w:t>第四部分  合同文本</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40</w:t>
      </w:r>
      <w:r>
        <w:rPr>
          <w:rFonts w:hint="eastAsia" w:ascii="仿宋" w:hAnsi="仿宋" w:eastAsia="仿宋" w:cs="仿宋"/>
          <w:color w:val="auto"/>
          <w:sz w:val="24"/>
          <w:szCs w:val="24"/>
          <w:highlight w:val="none"/>
        </w:rPr>
        <w:fldChar w:fldCharType="end"/>
      </w:r>
    </w:p>
    <w:p>
      <w:pPr>
        <w:pStyle w:val="75"/>
        <w:tabs>
          <w:tab w:val="right" w:leader="dot" w:pos="9026"/>
          <w:tab w:val="clear" w:pos="8364"/>
        </w:tabs>
        <w:ind w:left="0"/>
        <w:rPr>
          <w:rFonts w:cs="仿宋"/>
          <w:color w:val="auto"/>
          <w:szCs w:val="24"/>
          <w:highlight w:val="none"/>
        </w:rPr>
      </w:pPr>
      <w:r>
        <w:rPr>
          <w:rFonts w:hint="eastAsia" w:cs="仿宋"/>
          <w:caps/>
          <w:smallCaps w:val="0"/>
          <w:color w:val="auto"/>
          <w:szCs w:val="24"/>
          <w:highlight w:val="none"/>
        </w:rPr>
        <w:t xml:space="preserve">第五部分  </w:t>
      </w:r>
      <w:r>
        <w:rPr>
          <w:color w:val="auto"/>
          <w:highlight w:val="none"/>
        </w:rPr>
        <w:fldChar w:fldCharType="begin"/>
      </w:r>
      <w:r>
        <w:rPr>
          <w:color w:val="auto"/>
          <w:highlight w:val="none"/>
        </w:rPr>
        <w:instrText xml:space="preserve"> HYPERLINK \l "_Toc2553" </w:instrText>
      </w:r>
      <w:r>
        <w:rPr>
          <w:color w:val="auto"/>
          <w:highlight w:val="none"/>
        </w:rPr>
        <w:fldChar w:fldCharType="separate"/>
      </w:r>
      <w:r>
        <w:rPr>
          <w:rFonts w:hint="eastAsia" w:cs="仿宋"/>
          <w:caps/>
          <w:smallCaps w:val="0"/>
          <w:color w:val="auto"/>
          <w:szCs w:val="24"/>
          <w:highlight w:val="none"/>
        </w:rPr>
        <w:t>投标文件部分格式文件</w:t>
      </w:r>
      <w:r>
        <w:rPr>
          <w:rFonts w:hint="eastAsia" w:cs="仿宋"/>
          <w:caps/>
          <w:smallCaps w:val="0"/>
          <w:color w:val="auto"/>
          <w:szCs w:val="24"/>
          <w:highlight w:val="none"/>
        </w:rPr>
        <w:tab/>
      </w:r>
      <w:r>
        <w:rPr>
          <w:rFonts w:hint="eastAsia" w:cs="仿宋"/>
          <w:caps/>
          <w:smallCaps w:val="0"/>
          <w:color w:val="auto"/>
          <w:szCs w:val="24"/>
          <w:highlight w:val="none"/>
        </w:rPr>
        <w:fldChar w:fldCharType="end"/>
      </w:r>
      <w:r>
        <w:rPr>
          <w:rFonts w:hint="eastAsia" w:cs="仿宋"/>
          <w:caps/>
          <w:smallCaps w:val="0"/>
          <w:color w:val="auto"/>
          <w:szCs w:val="24"/>
          <w:highlight w:val="none"/>
        </w:rPr>
        <w:t>45</w:t>
      </w:r>
    </w:p>
    <w:p>
      <w:pPr>
        <w:pStyle w:val="60"/>
        <w:tabs>
          <w:tab w:val="right" w:leader="dot" w:pos="9026"/>
          <w:tab w:val="clear" w:pos="8364"/>
        </w:tabs>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"_Toc15453" </w:instrText>
      </w:r>
      <w:r>
        <w:rPr>
          <w:color w:val="auto"/>
          <w:highlight w:val="none"/>
        </w:rPr>
        <w:fldChar w:fldCharType="separate"/>
      </w:r>
      <w:r>
        <w:rPr>
          <w:rFonts w:hint="eastAsia" w:ascii="仿宋" w:hAnsi="仿宋" w:eastAsia="仿宋" w:cs="仿宋"/>
          <w:color w:val="auto"/>
          <w:sz w:val="24"/>
          <w:szCs w:val="24"/>
          <w:highlight w:val="none"/>
        </w:rPr>
        <w:t>第六部分  评分办法</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3</w:t>
      </w:r>
    </w:p>
    <w:p>
      <w:pPr>
        <w:rPr>
          <w:rFonts w:ascii="仿宋" w:hAnsi="仿宋" w:eastAsia="仿宋" w:cs="仿宋"/>
          <w:color w:val="auto"/>
          <w:sz w:val="24"/>
          <w:szCs w:val="24"/>
          <w:highlight w:val="none"/>
        </w:rPr>
      </w:pPr>
    </w:p>
    <w:p>
      <w:pPr>
        <w:pStyle w:val="46"/>
        <w:pageBreakBefore/>
        <w:adjustRightInd w:val="0"/>
        <w:snapToGrid w:val="0"/>
        <w:spacing w:line="360" w:lineRule="auto"/>
        <w:jc w:val="center"/>
        <w:outlineLvl w:val="0"/>
        <w:rPr>
          <w:rFonts w:ascii="仿宋" w:hAnsi="仿宋" w:eastAsia="仿宋" w:cs="仿宋"/>
          <w:b/>
          <w:color w:val="auto"/>
          <w:sz w:val="36"/>
          <w:highlight w:val="none"/>
        </w:rPr>
      </w:pPr>
      <w:r>
        <w:rPr>
          <w:rFonts w:hint="eastAsia" w:ascii="仿宋" w:hAnsi="仿宋" w:eastAsia="仿宋" w:cs="仿宋"/>
          <w:color w:val="auto"/>
          <w:sz w:val="24"/>
          <w:szCs w:val="24"/>
          <w:highlight w:val="none"/>
        </w:rPr>
        <w:fldChar w:fldCharType="end"/>
      </w:r>
      <w:bookmarkStart w:id="0" w:name="_Toc32624"/>
      <w:r>
        <w:rPr>
          <w:rFonts w:hint="eastAsia" w:ascii="仿宋" w:hAnsi="仿宋" w:eastAsia="仿宋" w:cs="仿宋"/>
          <w:b/>
          <w:color w:val="auto"/>
          <w:sz w:val="36"/>
          <w:highlight w:val="none"/>
        </w:rPr>
        <w:t xml:space="preserve"> 第一部分  招标公告</w:t>
      </w:r>
    </w:p>
    <w:tbl>
      <w:tblPr>
        <w:tblStyle w:val="89"/>
        <w:tblW w:w="988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9885" w:type="dxa"/>
          </w:tcPr>
          <w:p>
            <w:pPr>
              <w:pStyle w:val="82"/>
              <w:spacing w:before="0" w:beforeAutospacing="0" w:after="0" w:afterAutospacing="0" w:line="42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项目概况</w:t>
            </w:r>
          </w:p>
          <w:p>
            <w:pPr>
              <w:pStyle w:val="82"/>
              <w:spacing w:before="0" w:beforeAutospacing="0" w:after="0" w:afterAutospacing="0" w:line="42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u w:val="single"/>
              </w:rPr>
              <w:t>衢江区小区生活垃圾分类提升项目</w:t>
            </w:r>
            <w:r>
              <w:rPr>
                <w:rFonts w:hint="eastAsia" w:ascii="仿宋" w:hAnsi="仿宋" w:eastAsia="仿宋" w:cs="仿宋"/>
                <w:color w:val="auto"/>
                <w:szCs w:val="24"/>
                <w:highlight w:val="none"/>
              </w:rPr>
              <w:t>的潜在投标人应在</w:t>
            </w:r>
            <w:r>
              <w:rPr>
                <w:rFonts w:hint="eastAsia" w:ascii="仿宋" w:hAnsi="仿宋" w:eastAsia="仿宋" w:cs="仿宋"/>
                <w:color w:val="auto"/>
                <w:szCs w:val="24"/>
                <w:highlight w:val="none"/>
                <w:u w:val="single"/>
              </w:rPr>
              <w:t xml:space="preserve">http://www.zcygov.cn/ </w:t>
            </w:r>
            <w:r>
              <w:rPr>
                <w:rFonts w:hint="eastAsia" w:ascii="仿宋" w:hAnsi="仿宋" w:eastAsia="仿宋" w:cs="仿宋"/>
                <w:color w:val="auto"/>
                <w:szCs w:val="24"/>
                <w:highlight w:val="none"/>
              </w:rPr>
              <w:t>获取（下载）招标文件，并于</w:t>
            </w:r>
            <w:r>
              <w:rPr>
                <w:rFonts w:hint="eastAsia" w:ascii="仿宋" w:hAnsi="仿宋" w:eastAsia="仿宋" w:cs="仿宋"/>
                <w:color w:val="auto"/>
                <w:szCs w:val="24"/>
                <w:highlight w:val="none"/>
                <w:u w:val="single"/>
              </w:rPr>
              <w:t>2023年</w:t>
            </w:r>
            <w:r>
              <w:rPr>
                <w:rFonts w:hint="eastAsia" w:ascii="仿宋" w:hAnsi="仿宋" w:eastAsia="仿宋" w:cs="仿宋"/>
                <w:color w:val="auto"/>
                <w:szCs w:val="24"/>
                <w:highlight w:val="none"/>
                <w:u w:val="single"/>
                <w:lang w:val="en-US" w:eastAsia="zh-CN"/>
              </w:rPr>
              <w:t>10</w:t>
            </w:r>
            <w:r>
              <w:rPr>
                <w:rFonts w:hint="eastAsia" w:ascii="仿宋" w:hAnsi="仿宋" w:eastAsia="仿宋" w:cs="仿宋"/>
                <w:color w:val="auto"/>
                <w:szCs w:val="24"/>
                <w:highlight w:val="none"/>
                <w:u w:val="single"/>
              </w:rPr>
              <w:t>月</w:t>
            </w:r>
            <w:r>
              <w:rPr>
                <w:rFonts w:hint="eastAsia" w:ascii="仿宋" w:hAnsi="仿宋" w:eastAsia="仿宋" w:cs="仿宋"/>
                <w:color w:val="auto"/>
                <w:szCs w:val="24"/>
                <w:highlight w:val="none"/>
                <w:u w:val="single"/>
                <w:lang w:val="en-US" w:eastAsia="zh-CN"/>
              </w:rPr>
              <w:t>16</w:t>
            </w:r>
            <w:r>
              <w:rPr>
                <w:rFonts w:hint="eastAsia" w:ascii="仿宋" w:hAnsi="仿宋" w:eastAsia="仿宋" w:cs="仿宋"/>
                <w:color w:val="auto"/>
                <w:szCs w:val="24"/>
                <w:highlight w:val="none"/>
                <w:u w:val="single"/>
              </w:rPr>
              <w:t>日09:00:00秒</w:t>
            </w:r>
            <w:r>
              <w:rPr>
                <w:rFonts w:hint="eastAsia" w:ascii="仿宋" w:hAnsi="仿宋" w:eastAsia="仿宋" w:cs="仿宋"/>
                <w:color w:val="auto"/>
                <w:szCs w:val="24"/>
                <w:highlight w:val="none"/>
              </w:rPr>
              <w:t>（北京时间）前递交（上传）投标文件。</w:t>
            </w:r>
          </w:p>
        </w:tc>
      </w:tr>
    </w:tbl>
    <w:p>
      <w:pPr>
        <w:snapToGrid w:val="0"/>
        <w:spacing w:line="400" w:lineRule="exact"/>
        <w:jc w:val="left"/>
        <w:outlineLvl w:val="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一、项目基本情况</w:t>
      </w:r>
    </w:p>
    <w:p>
      <w:pPr>
        <w:snapToGrid w:val="0"/>
        <w:spacing w:line="400" w:lineRule="exact"/>
        <w:ind w:firstLine="480" w:firstLineChars="200"/>
        <w:jc w:val="left"/>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ZZCG2023082</w:t>
      </w:r>
    </w:p>
    <w:p>
      <w:pPr>
        <w:snapToGrid w:val="0"/>
        <w:spacing w:line="400" w:lineRule="exact"/>
        <w:ind w:firstLine="480" w:firstLineChars="200"/>
        <w:jc w:val="left"/>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项目名称：衢江区小区生活垃圾分类提升项目</w:t>
      </w:r>
    </w:p>
    <w:p>
      <w:pPr>
        <w:snapToGrid w:val="0"/>
        <w:spacing w:line="400" w:lineRule="exact"/>
        <w:ind w:firstLine="480" w:firstLineChars="200"/>
        <w:jc w:val="left"/>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预算金额：6</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0000元</w:t>
      </w:r>
    </w:p>
    <w:p>
      <w:pPr>
        <w:snapToGrid w:val="0"/>
        <w:spacing w:line="400" w:lineRule="exact"/>
        <w:ind w:firstLine="480" w:firstLineChars="200"/>
        <w:jc w:val="left"/>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最高限价：6</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0000元</w:t>
      </w:r>
    </w:p>
    <w:p>
      <w:pPr>
        <w:snapToGrid w:val="0"/>
        <w:spacing w:line="400" w:lineRule="exact"/>
        <w:ind w:firstLine="480" w:firstLineChars="200"/>
        <w:jc w:val="left"/>
        <w:outlineLvl w:val="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采购需求（内容、用途、数量、简要技术要求等）：</w:t>
      </w:r>
    </w:p>
    <w:tbl>
      <w:tblPr>
        <w:tblStyle w:val="88"/>
        <w:tblW w:w="5316" w:type="pct"/>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8"/>
        <w:gridCol w:w="2394"/>
        <w:gridCol w:w="946"/>
        <w:gridCol w:w="944"/>
        <w:gridCol w:w="1888"/>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436"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p>
        </w:tc>
        <w:tc>
          <w:tcPr>
            <w:tcW w:w="1245"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标项内容</w:t>
            </w:r>
          </w:p>
        </w:tc>
        <w:tc>
          <w:tcPr>
            <w:tcW w:w="492"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491"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p>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p>
        </w:tc>
        <w:tc>
          <w:tcPr>
            <w:tcW w:w="1351"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简要技术、服务要求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6"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45"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衢江区小区生活垃圾分类提升项目</w:t>
            </w:r>
          </w:p>
        </w:tc>
        <w:tc>
          <w:tcPr>
            <w:tcW w:w="492"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91"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w:t>
            </w:r>
          </w:p>
        </w:tc>
        <w:tc>
          <w:tcPr>
            <w:tcW w:w="9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0000元</w:t>
            </w:r>
          </w:p>
        </w:tc>
        <w:tc>
          <w:tcPr>
            <w:tcW w:w="1351" w:type="pct"/>
            <w:tcBorders>
              <w:left w:val="single" w:color="auto" w:sz="4" w:space="0"/>
              <w:right w:val="single" w:color="auto" w:sz="4" w:space="0"/>
            </w:tcBorders>
            <w:vAlign w:val="center"/>
          </w:tcPr>
          <w:p>
            <w:pPr>
              <w:snapToGrid w:val="0"/>
              <w:spacing w:line="440" w:lineRule="exact"/>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详见采购文件第三部分采购内容及需求</w:t>
            </w:r>
          </w:p>
        </w:tc>
      </w:tr>
    </w:tbl>
    <w:p>
      <w:pPr>
        <w:autoSpaceDE w:val="0"/>
        <w:autoSpaceDN w:val="0"/>
        <w:adjustRightInd w:val="0"/>
        <w:spacing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合同履约期限：详见采购文件。</w:t>
      </w:r>
    </w:p>
    <w:p>
      <w:pPr>
        <w:autoSpaceDE w:val="0"/>
        <w:autoSpaceDN w:val="0"/>
        <w:adjustRightInd w:val="0"/>
        <w:spacing w:line="440" w:lineRule="exac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二、申请人的资格要求：</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1．基本条件：</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（1）符合《中华人民共和国政府采购法》第二十二条规定的合格投标人：1）具有独立承担民事责任的能力或根据《关于规范政府采购投标人资格设定及资格审查的通知》 （浙财采监[2013]24 号）第 6 条规定接受金融、保险、通讯等特定行业的全国性企业所设立的区域性分支机构以及个体工商户、个人独资企业、合伙企业（应依法办理了工商、税务和社保登记手续，并且获得总公司（总机构）授权或能够提供房产权证或其他有效财产证明材料（在投标文件中提供相关材料），能证明其具备实际承担责任的能力和法定的缔结合同能力，可以独立参加政府采购活动，由单位负责人签署相关文件材料）；2）具有良好的商业信誉和健全的财务会计制度；3）具有履行合同所必需的设备和专业技术能力；4）有依法缴纳税收和社会保障资金的良好记录；5）参加政府采购活动前三年内（新成立不满三年的公司自成立之日起算）在经营活动中没有重大违法记录；6）法律、行政法规规定的其他条件。</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（2）投标人未被列入失信被执行人名单、重大税收违法案件当事人名单、政府采购严重违法失信行为记录名单，信用信息以信用中国网站（www.creditchina.gov.cn）、中国政府采购网（www.ccgp.gov.cn）公布为准。</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（3）单位负责人为同一人或者存在直接控股、管理关系的不同投标人，不得参加同一合同项下的政府采购活动。</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（4）落实政府采购政策需满足的资格要求：</w:t>
      </w:r>
      <w:r>
        <w:rPr>
          <w:rFonts w:hint="eastAsia" w:ascii="仿宋" w:hAnsi="仿宋" w:eastAsia="仿宋" w:cs="仿宋"/>
          <w:b/>
          <w:bCs/>
          <w:color w:val="auto"/>
          <w:sz w:val="24"/>
          <w:szCs w:val="24"/>
          <w:highlight w:val="none"/>
        </w:rPr>
        <w:t>本项目为专门面向中小企业采购，投标人非中小企业的，资格审查不通过；符合上述条件的中小微型企业应按照投标文件附件的格式要求在资格证明文件中提供《中小企业声明函》。</w:t>
      </w:r>
    </w:p>
    <w:p>
      <w:pPr>
        <w:autoSpaceDE w:val="0"/>
        <w:autoSpaceDN w:val="0"/>
        <w:adjustRightInd w:val="0"/>
        <w:spacing w:line="440" w:lineRule="exact"/>
        <w:ind w:firstLine="480" w:firstLineChars="20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2.本项目的特定资格要求：</w:t>
      </w:r>
      <w:r>
        <w:rPr>
          <w:rFonts w:hint="eastAsia" w:ascii="仿宋" w:hAnsi="仿宋" w:eastAsia="仿宋" w:cs="仿宋"/>
          <w:b/>
          <w:bCs/>
          <w:color w:val="auto"/>
          <w:sz w:val="24"/>
          <w:szCs w:val="24"/>
          <w:highlight w:val="none"/>
        </w:rPr>
        <w:t>投标人须具备有主管部门颁发的城市生活垃圾经营性清扫、收集、运输服务许可证。</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3.本项目不接受联合体投标。</w:t>
      </w:r>
    </w:p>
    <w:p>
      <w:pPr>
        <w:pStyle w:val="4"/>
        <w:adjustRightInd w:val="0"/>
        <w:snapToGrid w:val="0"/>
        <w:spacing w:line="440" w:lineRule="exact"/>
        <w:ind w:left="0" w:firstLine="0"/>
        <w:rPr>
          <w:rFonts w:ascii="仿宋" w:hAnsi="仿宋" w:eastAsia="仿宋" w:cs="仿宋"/>
          <w:color w:val="auto"/>
          <w:sz w:val="24"/>
          <w:szCs w:val="24"/>
          <w:highlight w:val="none"/>
        </w:rPr>
      </w:pPr>
      <w:bookmarkStart w:id="1" w:name="_Toc35393792"/>
      <w:bookmarkStart w:id="2" w:name="_Toc35393623"/>
      <w:r>
        <w:rPr>
          <w:rFonts w:hint="eastAsia" w:ascii="仿宋" w:hAnsi="仿宋" w:eastAsia="仿宋" w:cs="仿宋"/>
          <w:color w:val="auto"/>
          <w:sz w:val="24"/>
          <w:szCs w:val="24"/>
          <w:highlight w:val="none"/>
        </w:rPr>
        <w:t>三、获取招标文件</w:t>
      </w:r>
      <w:bookmarkEnd w:id="1"/>
      <w:bookmarkEnd w:id="2"/>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时间：/至</w:t>
      </w:r>
      <w:r>
        <w:rPr>
          <w:rFonts w:hint="eastAsia" w:ascii="仿宋" w:hAnsi="仿宋" w:eastAsia="仿宋" w:cs="仿宋"/>
          <w:bCs/>
          <w:color w:val="auto"/>
          <w:szCs w:val="24"/>
          <w:highlight w:val="none"/>
          <w:lang w:val="zh-CN"/>
        </w:rPr>
        <w:t>202</w:t>
      </w: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zh-CN"/>
        </w:rPr>
        <w:t>年</w:t>
      </w:r>
      <w:r>
        <w:rPr>
          <w:rFonts w:hint="eastAsia" w:ascii="仿宋" w:hAnsi="仿宋" w:eastAsia="仿宋" w:cs="仿宋"/>
          <w:bCs/>
          <w:color w:val="auto"/>
          <w:szCs w:val="24"/>
          <w:highlight w:val="none"/>
          <w:lang w:val="en-US" w:eastAsia="zh-CN"/>
        </w:rPr>
        <w:t>10</w:t>
      </w:r>
      <w:r>
        <w:rPr>
          <w:rFonts w:hint="eastAsia" w:ascii="仿宋" w:hAnsi="仿宋" w:eastAsia="仿宋" w:cs="仿宋"/>
          <w:bCs/>
          <w:color w:val="auto"/>
          <w:szCs w:val="24"/>
          <w:highlight w:val="none"/>
          <w:lang w:val="zh-CN"/>
        </w:rPr>
        <w:t>月</w:t>
      </w:r>
      <w:r>
        <w:rPr>
          <w:rFonts w:hint="eastAsia" w:ascii="仿宋" w:hAnsi="仿宋" w:eastAsia="仿宋" w:cs="仿宋"/>
          <w:bCs/>
          <w:color w:val="auto"/>
          <w:szCs w:val="24"/>
          <w:highlight w:val="none"/>
          <w:lang w:val="en-US" w:eastAsia="zh-CN"/>
        </w:rPr>
        <w:t>12</w:t>
      </w:r>
      <w:r>
        <w:rPr>
          <w:rFonts w:hint="eastAsia" w:ascii="仿宋" w:hAnsi="仿宋" w:eastAsia="仿宋" w:cs="仿宋"/>
          <w:bCs/>
          <w:color w:val="auto"/>
          <w:szCs w:val="24"/>
          <w:highlight w:val="none"/>
          <w:lang w:val="zh-CN"/>
        </w:rPr>
        <w:t>日</w:t>
      </w:r>
      <w:r>
        <w:rPr>
          <w:rFonts w:hint="eastAsia" w:ascii="仿宋" w:hAnsi="仿宋" w:eastAsia="仿宋" w:cs="仿宋"/>
          <w:bCs/>
          <w:color w:val="auto"/>
          <w:szCs w:val="24"/>
          <w:highlight w:val="none"/>
        </w:rPr>
        <w:t>，每天上午00:00至12:00 ，下午12:00至23:59（北京时间，线上获取法定节假日均可，线下获取文件法定节假日除外）</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 xml:space="preserve">地点（网址）：政采云平台（https://www.zcygov.cn/） </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方式：投标人按下述要求获取招标文件，如未在“政采云”系统内完成相关流程，引起的投标无效责任自负。</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1.本项目招标文件实行“政府采购云平台”在线获取，不提供招标文件纸质版。投标人获取招标文件前应先完成“政府采购云平台”的账号注册同时办理CA领取。</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2.潜在投标人登陆政采云平台，在线申请获取招标文件（进入“项目采购”应用，在获取招标文件菜单中选择项目，申请获取招标文件，本项目招标文件不收取工本费；仅需浏览招标文件的投标人可点击“游客，浏览招标文件”直接下载招标文件浏览）</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3.提示：招标公告内的招标文件（免费）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售价（元）：0</w:t>
      </w:r>
    </w:p>
    <w:p>
      <w:pPr>
        <w:snapToGrid w:val="0"/>
        <w:spacing w:line="440" w:lineRule="exact"/>
        <w:rPr>
          <w:rFonts w:ascii="仿宋" w:hAnsi="仿宋" w:eastAsia="仿宋" w:cs="仿宋"/>
          <w:b/>
          <w:bCs/>
          <w:color w:val="auto"/>
          <w:sz w:val="24"/>
          <w:szCs w:val="24"/>
          <w:highlight w:val="none"/>
        </w:rPr>
      </w:pPr>
      <w:bookmarkStart w:id="3" w:name="_Toc28359007"/>
      <w:bookmarkStart w:id="4" w:name="_Toc28359084"/>
      <w:bookmarkStart w:id="5" w:name="_Toc35393625"/>
      <w:bookmarkStart w:id="6" w:name="_Toc35393794"/>
      <w:r>
        <w:rPr>
          <w:rFonts w:hint="eastAsia" w:ascii="仿宋" w:hAnsi="仿宋" w:eastAsia="仿宋" w:cs="仿宋"/>
          <w:b/>
          <w:bCs/>
          <w:color w:val="auto"/>
          <w:sz w:val="24"/>
          <w:szCs w:val="24"/>
          <w:highlight w:val="none"/>
        </w:rPr>
        <w:t>四、提交投标文件截止时间、开标时间和地点</w:t>
      </w:r>
    </w:p>
    <w:p>
      <w:pPr>
        <w:spacing w:line="440" w:lineRule="exact"/>
        <w:ind w:firstLine="480" w:firstLineChars="200"/>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提交投标文件截止时间：2023年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09</w:t>
      </w:r>
      <w:r>
        <w:rPr>
          <w:rFonts w:hint="eastAsia" w:ascii="仿宋" w:hAnsi="仿宋" w:eastAsia="仿宋" w:cs="仿宋"/>
          <w:color w:val="auto"/>
          <w:sz w:val="24"/>
          <w:szCs w:val="24"/>
          <w:highlight w:val="none"/>
          <w:lang w:val="zh-CN"/>
        </w:rPr>
        <w:t>:00</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zh-CN"/>
        </w:rPr>
        <w:t>（北京时间）</w:t>
      </w:r>
    </w:p>
    <w:p>
      <w:pPr>
        <w:spacing w:line="440" w:lineRule="exact"/>
        <w:ind w:firstLine="480" w:firstLineChars="200"/>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投标地点（网址）：</w:t>
      </w:r>
      <w:r>
        <w:rPr>
          <w:rFonts w:hint="eastAsia" w:ascii="仿宋" w:hAnsi="仿宋" w:eastAsia="仿宋" w:cs="仿宋"/>
          <w:b/>
          <w:bCs/>
          <w:color w:val="auto"/>
          <w:sz w:val="24"/>
          <w:szCs w:val="24"/>
          <w:highlight w:val="none"/>
          <w:lang w:val="zh-CN"/>
        </w:rPr>
        <w:t>通过“政府采购云平台（www.zcygov.cn）”在线投标响应。未按采购公告规定获取采购文件的潜在供应商，其投标将被拒绝。</w:t>
      </w:r>
    </w:p>
    <w:p>
      <w:pPr>
        <w:spacing w:line="440" w:lineRule="exact"/>
        <w:ind w:firstLine="480" w:firstLineChars="200"/>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开标时间：2023年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lang w:val="zh-CN"/>
        </w:rPr>
        <w:t xml:space="preserve">日 </w:t>
      </w:r>
      <w:r>
        <w:rPr>
          <w:rFonts w:hint="eastAsia" w:ascii="仿宋" w:hAnsi="仿宋" w:eastAsia="仿宋" w:cs="仿宋"/>
          <w:color w:val="auto"/>
          <w:sz w:val="24"/>
          <w:szCs w:val="24"/>
          <w:highlight w:val="none"/>
        </w:rPr>
        <w:t>09</w:t>
      </w:r>
      <w:r>
        <w:rPr>
          <w:rFonts w:hint="eastAsia" w:ascii="仿宋" w:hAnsi="仿宋" w:eastAsia="仿宋" w:cs="仿宋"/>
          <w:color w:val="auto"/>
          <w:sz w:val="24"/>
          <w:szCs w:val="24"/>
          <w:highlight w:val="none"/>
          <w:lang w:val="zh-CN"/>
        </w:rPr>
        <w:t>:00</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zh-CN"/>
        </w:rPr>
        <w:t xml:space="preserve">（北京时间） </w:t>
      </w:r>
    </w:p>
    <w:p>
      <w:pPr>
        <w:spacing w:line="440" w:lineRule="exact"/>
        <w:ind w:firstLine="480" w:firstLineChars="200"/>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开标地点（网址）：衢州市衢江区公共资源交易中心（衢江区振兴东路268号）六楼</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号开标厅【政府采购云平台（www.zcygov.cn）】。</w:t>
      </w:r>
    </w:p>
    <w:p>
      <w:pPr>
        <w:numPr>
          <w:ilvl w:val="0"/>
          <w:numId w:val="1"/>
        </w:numPr>
        <w:snapToGrid w:val="0"/>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采购意向公开链接</w:t>
      </w:r>
    </w:p>
    <w:p>
      <w:pPr>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https://zfcg.czt.zj.gov.cn/luban/detail?parentId=600007&amp;articleId=UWuZoDB%2BN9Djt1j7UtLePg%3D%3D&amp;utm=luban.luban-PC-37000.979-pc-websitegroup-zhejiang-secondPage-front.3.f3c321704d2e11eea5a7992d63ff41a3</w:t>
      </w:r>
    </w:p>
    <w:p>
      <w:pPr>
        <w:snapToGrid w:val="0"/>
        <w:spacing w:line="44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六、公告期限</w:t>
      </w:r>
      <w:bookmarkEnd w:id="3"/>
      <w:bookmarkEnd w:id="4"/>
      <w:bookmarkEnd w:id="5"/>
      <w:bookmarkEnd w:id="6"/>
    </w:p>
    <w:p>
      <w:pPr>
        <w:pStyle w:val="82"/>
        <w:spacing w:before="0" w:beforeAutospacing="0" w:after="0" w:afterAutospacing="0" w:line="440" w:lineRule="exact"/>
        <w:ind w:firstLine="48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自本公告发布之日起5个工作日。</w:t>
      </w:r>
    </w:p>
    <w:p>
      <w:pPr>
        <w:snapToGrid w:val="0"/>
        <w:spacing w:line="440" w:lineRule="exact"/>
        <w:rPr>
          <w:rFonts w:ascii="仿宋" w:hAnsi="仿宋" w:eastAsia="仿宋" w:cs="仿宋"/>
          <w:b/>
          <w:bCs/>
          <w:color w:val="auto"/>
          <w:sz w:val="24"/>
          <w:szCs w:val="24"/>
          <w:highlight w:val="none"/>
        </w:rPr>
      </w:pPr>
      <w:bookmarkStart w:id="7" w:name="_Toc28359082"/>
      <w:bookmarkStart w:id="8" w:name="_Toc35393624"/>
      <w:bookmarkStart w:id="9" w:name="_Toc35393793"/>
      <w:bookmarkStart w:id="10" w:name="_Toc28359005"/>
      <w:r>
        <w:rPr>
          <w:rFonts w:hint="eastAsia" w:ascii="仿宋" w:hAnsi="仿宋" w:eastAsia="仿宋" w:cs="仿宋"/>
          <w:b/>
          <w:bCs/>
          <w:color w:val="auto"/>
          <w:sz w:val="24"/>
          <w:szCs w:val="24"/>
          <w:highlight w:val="none"/>
        </w:rPr>
        <w:t>七、</w:t>
      </w:r>
      <w:bookmarkEnd w:id="7"/>
      <w:bookmarkEnd w:id="8"/>
      <w:bookmarkEnd w:id="9"/>
      <w:bookmarkEnd w:id="10"/>
      <w:r>
        <w:rPr>
          <w:rFonts w:hint="eastAsia" w:ascii="仿宋" w:hAnsi="仿宋" w:eastAsia="仿宋" w:cs="仿宋"/>
          <w:b/>
          <w:bCs/>
          <w:color w:val="auto"/>
          <w:sz w:val="24"/>
          <w:szCs w:val="24"/>
          <w:highlight w:val="none"/>
        </w:rPr>
        <w:t>其他补充事宜</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440" w:lineRule="exact"/>
        <w:ind w:firstLine="401"/>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4.其他事项：</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4.1投标保证金：</w:t>
      </w:r>
      <w:r>
        <w:rPr>
          <w:rFonts w:hint="eastAsia" w:ascii="仿宋" w:hAnsi="仿宋" w:eastAsia="仿宋" w:cs="仿宋"/>
          <w:color w:val="auto"/>
          <w:sz w:val="24"/>
          <w:highlight w:val="none"/>
        </w:rPr>
        <w:t>本项目不需交纳投标保证金。</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4.2未按采购公告规定获取采购文件的潜在投标人不得对采购文件提出质疑，其投标将被拒绝。</w:t>
      </w:r>
    </w:p>
    <w:p>
      <w:pPr>
        <w:widowControl/>
        <w:adjustRightInd w:val="0"/>
        <w:snapToGrid w:val="0"/>
        <w:spacing w:line="440" w:lineRule="exact"/>
        <w:ind w:firstLine="401"/>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4.3 在线投标响应（电子投标）说明 </w:t>
      </w:r>
    </w:p>
    <w:p>
      <w:pPr>
        <w:widowControl/>
        <w:adjustRightInd w:val="0"/>
        <w:snapToGrid w:val="0"/>
        <w:spacing w:line="440" w:lineRule="exact"/>
        <w:ind w:firstLine="401"/>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本项目通过“政府采购云平台（www.zcygov.cn）”实行在线投标响应（电子投 </w:t>
      </w:r>
    </w:p>
    <w:p>
      <w:pPr>
        <w:widowControl/>
        <w:adjustRightInd w:val="0"/>
        <w:snapToGrid w:val="0"/>
        <w:spacing w:line="440" w:lineRule="exact"/>
        <w:ind w:firstLine="401"/>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标），供应商应先安装“政采云电子交易客户端”，并按照本招标文件和“政府采购云平台”的要求，通过“政采云电子交易客户端”编制并加密投标文件。供应商未按规定 加密的投标文件，“政府采购云平台”将予以拒收。</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“政采云电子交易客户端”请自行前往“浙江政府采购网-下载专区-电子交易客户端”进行下载；通过“政府采购云平台”参与在线投标时如遇平台技术问题详询95763。 </w:t>
      </w:r>
    </w:p>
    <w:p>
      <w:pPr>
        <w:widowControl/>
        <w:adjustRightInd w:val="0"/>
        <w:snapToGrid w:val="0"/>
        <w:spacing w:line="440" w:lineRule="exact"/>
        <w:ind w:firstLine="401"/>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为确保网上操作合法、有效和安全，投标供应商应当在投标截止时间前完成在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“政府采购云平台”的身份认证，确保在电子投标过程中能够对相关数据电文进行加密和使用电子签章。</w:t>
      </w:r>
      <w:r>
        <w:rPr>
          <w:rFonts w:hint="eastAsia" w:ascii="仿宋" w:hAnsi="仿宋" w:eastAsia="仿宋" w:cs="仿宋"/>
          <w:color w:val="auto"/>
          <w:sz w:val="24"/>
          <w:highlight w:val="none"/>
        </w:rPr>
        <w:t>使用“政采云电子交易客户端”需要提前申领 CA 数字证书，申领流程请自行前往“浙江政府采购网-下载专区-电子交易客户端-CA 驱动和申领流程”进行查阅；</w:t>
      </w:r>
    </w:p>
    <w:p>
      <w:pPr>
        <w:widowControl/>
        <w:adjustRightInd w:val="0"/>
        <w:snapToGrid w:val="0"/>
        <w:spacing w:line="440" w:lineRule="exact"/>
        <w:ind w:firstLine="401"/>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u w:val="single"/>
        </w:rPr>
        <w:t xml:space="preserve">投标供应商应当在投标截止时间前，将生成的“电子加密投标文件”上传递交 </w:t>
      </w:r>
    </w:p>
    <w:p>
      <w:pPr>
        <w:widowControl/>
        <w:adjustRightInd w:val="0"/>
        <w:snapToGrid w:val="0"/>
        <w:spacing w:line="440" w:lineRule="exact"/>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至“政府采购云平台”。投标截止时间以后上传递交的投标文件将被“政府采购云平台”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拒收。</w:t>
      </w:r>
    </w:p>
    <w:p>
      <w:pPr>
        <w:widowControl/>
        <w:adjustRightInd w:val="0"/>
        <w:snapToGrid w:val="0"/>
        <w:spacing w:line="440" w:lineRule="exact"/>
        <w:ind w:firstLine="401"/>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u w:val="single"/>
        </w:rPr>
        <w:t xml:space="preserve">投标供应商在“政府采购云平台”完成“电子加密投标文件”的上传递交后， </w:t>
      </w:r>
    </w:p>
    <w:p>
      <w:pPr>
        <w:widowControl/>
        <w:adjustRightInd w:val="0"/>
        <w:snapToGrid w:val="0"/>
        <w:spacing w:line="440" w:lineRule="exact"/>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还可以（EMS 邮寄形式）在投标截止时间前递交以介质（U 盘）存储的数据电文形式的 </w:t>
      </w:r>
    </w:p>
    <w:p>
      <w:pPr>
        <w:widowControl/>
        <w:adjustRightInd w:val="0"/>
        <w:snapToGrid w:val="0"/>
        <w:spacing w:line="440" w:lineRule="exact"/>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“备份投标文件”，“备份投标文件”应当密封包装并在包装上标注投标项目名称、投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标单位名称并加盖公章。</w:t>
      </w:r>
      <w:r>
        <w:rPr>
          <w:rFonts w:hint="eastAsia" w:ascii="仿宋" w:hAnsi="仿宋" w:eastAsia="仿宋" w:cs="仿宋"/>
          <w:color w:val="auto"/>
          <w:sz w:val="24"/>
          <w:highlight w:val="none"/>
        </w:rPr>
        <w:t xml:space="preserve">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5）通过“政府采购云平台”上传递交的“电子加密投标文件”无法按时解密，投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标供应商递交了备份投标文件的，以备份投标文件为依据，否则视为投标文件撤回。通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过“政府采购云平台”上传递交的“电子加密投标文件”已按时解密的，“备份投标文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件”自动失效。投标供应商仅递交备份投标文件的，投标无效。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4.4 信用记录：</w:t>
      </w:r>
      <w:r>
        <w:rPr>
          <w:rFonts w:hint="eastAsia" w:ascii="仿宋" w:hAnsi="仿宋" w:eastAsia="仿宋" w:cs="仿宋"/>
          <w:color w:val="auto"/>
          <w:sz w:val="24"/>
          <w:highlight w:val="none"/>
        </w:rPr>
        <w:t xml:space="preserve">根据财库[2016]125号《关于在政府采购活动中查询及使用信用记录有关问题的通知》要求，采购代理机构会对投标人信用记录进行查询并甄别。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1）信用信息查询的截止时点：投标截止时间；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2）查询渠道：“信用中国”（www.creditchina.gov.cn）、“中国政府采购网”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（www.ccgp.gov.cn）、“浙江政府采购网（http://zfcg.czt.zj.gov.cn/）；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3）信用信息查询记录和证据留存具体方式：采购代理机构经办人和监督人员将查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询网页打印、签字与其他采购文件一并保存；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4）信用信息的使用规则：投标人存在不良信用记录的，其投标将被作为无效投标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被拒绝。不良信用记录指：被列入失信被执行人、重大税收违法案件当事人名单、政府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采购严重违法失信行为记录名单或浙江政府采购网曝光台中尚在行政处罚期内的。 </w:t>
      </w:r>
    </w:p>
    <w:p>
      <w:pPr>
        <w:widowControl/>
        <w:adjustRightInd w:val="0"/>
        <w:snapToGrid w:val="0"/>
        <w:spacing w:line="440" w:lineRule="exact"/>
        <w:ind w:firstLine="401"/>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4.5本项目相关公告</w:t>
      </w:r>
      <w:r>
        <w:rPr>
          <w:rFonts w:hint="eastAsia" w:ascii="仿宋" w:hAnsi="仿宋" w:eastAsia="仿宋" w:cs="仿宋"/>
          <w:color w:val="auto"/>
          <w:sz w:val="24"/>
          <w:highlight w:val="none"/>
        </w:rPr>
        <w:t xml:space="preserve">（包括招标公告、中标公告及更正公告等）均以浙江政府采购 </w:t>
      </w:r>
    </w:p>
    <w:p>
      <w:pPr>
        <w:widowControl/>
        <w:adjustRightInd w:val="0"/>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网（http://zfcg.czt.zj.gov.cn/）发布的为准。</w:t>
      </w:r>
    </w:p>
    <w:p>
      <w:pPr>
        <w:pStyle w:val="4"/>
        <w:adjustRightInd w:val="0"/>
        <w:snapToGrid w:val="0"/>
        <w:spacing w:line="440" w:lineRule="exact"/>
        <w:ind w:left="0" w:firstLine="0"/>
        <w:rPr>
          <w:rFonts w:ascii="仿宋" w:hAnsi="仿宋" w:eastAsia="仿宋" w:cs="仿宋"/>
          <w:bCs/>
          <w:color w:val="auto"/>
          <w:sz w:val="24"/>
          <w:szCs w:val="24"/>
          <w:highlight w:val="none"/>
        </w:rPr>
      </w:pPr>
      <w:bookmarkStart w:id="11" w:name="_Toc35393796"/>
      <w:bookmarkStart w:id="12" w:name="_Toc28359085"/>
      <w:bookmarkStart w:id="13" w:name="_Toc28359008"/>
      <w:bookmarkStart w:id="14" w:name="_Toc35393627"/>
      <w:r>
        <w:rPr>
          <w:rFonts w:hint="eastAsia" w:ascii="仿宋" w:hAnsi="仿宋" w:eastAsia="仿宋" w:cs="仿宋"/>
          <w:bCs/>
          <w:color w:val="auto"/>
          <w:sz w:val="24"/>
          <w:szCs w:val="24"/>
          <w:highlight w:val="none"/>
        </w:rPr>
        <w:t>八、对本次招标提出询问，请按以下方式联系</w:t>
      </w:r>
      <w:bookmarkEnd w:id="11"/>
      <w:bookmarkEnd w:id="12"/>
      <w:bookmarkEnd w:id="13"/>
      <w:bookmarkEnd w:id="14"/>
      <w:r>
        <w:rPr>
          <w:rFonts w:hint="eastAsia" w:ascii="仿宋" w:hAnsi="仿宋" w:eastAsia="仿宋" w:cs="仿宋"/>
          <w:bCs/>
          <w:color w:val="auto"/>
          <w:sz w:val="24"/>
          <w:szCs w:val="24"/>
          <w:highlight w:val="none"/>
        </w:rPr>
        <w:t>：</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1.采购人信息：衢州市衢江区住房和城乡建设局</w:t>
      </w:r>
    </w:p>
    <w:p>
      <w:pPr>
        <w:autoSpaceDE w:val="0"/>
        <w:autoSpaceDN w:val="0"/>
        <w:adjustRightIn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地址：衢州市衢江区仙岩路32号 </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汪先生</w:t>
      </w:r>
      <w:r>
        <w:rPr>
          <w:rFonts w:hint="eastAsia" w:ascii="仿宋" w:hAnsi="仿宋" w:eastAsia="仿宋" w:cs="仿宋"/>
          <w:color w:val="auto"/>
          <w:sz w:val="24"/>
          <w:szCs w:val="24"/>
          <w:highlight w:val="none"/>
        </w:rPr>
        <w:t xml:space="preserve"> </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联系方式：0570-2298699 　</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val="en-US" w:eastAsia="zh-CN"/>
        </w:rPr>
        <w:t>罗先生</w:t>
      </w:r>
      <w:r>
        <w:rPr>
          <w:rFonts w:hint="eastAsia" w:ascii="仿宋" w:hAnsi="仿宋" w:eastAsia="仿宋" w:cs="仿宋"/>
          <w:color w:val="auto"/>
          <w:sz w:val="24"/>
          <w:szCs w:val="24"/>
          <w:highlight w:val="none"/>
        </w:rPr>
        <w:t xml:space="preserve"> </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联系电话：0570-2298699</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2.采购代理机构名称：浙江中正工程项目管理有限公司</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地点：衢州市九华北大道509号合屹大厦2#楼二单元9楼</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传    真：0570-3850156</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项目联系人（询问）：周女士</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项目联系方式（询问）：0570-3850117</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质疑联系人：朱女士</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质疑联系方式：0570-3850116</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3.同级政府采购监督管理部门 </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名称：衢州市衢江区财政局政府采购监管科 </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highlight w:val="none"/>
        </w:rPr>
        <w:t>衢州市衢江区政和路6号</w:t>
      </w:r>
      <w:r>
        <w:rPr>
          <w:rFonts w:hint="eastAsia" w:ascii="仿宋" w:hAnsi="仿宋" w:eastAsia="仿宋" w:cs="仿宋"/>
          <w:color w:val="auto"/>
          <w:szCs w:val="24"/>
          <w:highlight w:val="none"/>
        </w:rPr>
        <w:t xml:space="preserve"> </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联系人：</w:t>
      </w:r>
      <w:r>
        <w:rPr>
          <w:rFonts w:hint="eastAsia" w:ascii="仿宋" w:hAnsi="仿宋" w:eastAsia="仿宋" w:cs="仿宋"/>
          <w:color w:val="auto"/>
          <w:highlight w:val="none"/>
        </w:rPr>
        <w:t>杨女士</w:t>
      </w:r>
      <w:r>
        <w:rPr>
          <w:rFonts w:hint="eastAsia" w:ascii="仿宋" w:hAnsi="仿宋" w:eastAsia="仿宋" w:cs="仿宋"/>
          <w:color w:val="auto"/>
          <w:szCs w:val="24"/>
          <w:highlight w:val="none"/>
        </w:rPr>
        <w:t xml:space="preserve"> </w:t>
      </w: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监督投诉电话：</w:t>
      </w:r>
      <w:r>
        <w:rPr>
          <w:rFonts w:hint="eastAsia" w:ascii="仿宋" w:hAnsi="仿宋" w:eastAsia="仿宋" w:cs="仿宋"/>
          <w:color w:val="auto"/>
          <w:highlight w:val="none"/>
        </w:rPr>
        <w:t>0570-8762709</w:t>
      </w:r>
    </w:p>
    <w:p>
      <w:pPr>
        <w:pStyle w:val="82"/>
        <w:spacing w:before="0" w:beforeAutospacing="0" w:after="0" w:afterAutospacing="0" w:line="440" w:lineRule="exact"/>
        <w:ind w:firstLine="482"/>
        <w:rPr>
          <w:rFonts w:ascii="仿宋" w:hAnsi="仿宋" w:eastAsia="仿宋" w:cs="仿宋"/>
          <w:color w:val="auto"/>
          <w:szCs w:val="24"/>
          <w:highlight w:val="none"/>
        </w:rPr>
      </w:pPr>
    </w:p>
    <w:p>
      <w:pPr>
        <w:pStyle w:val="82"/>
        <w:spacing w:before="0" w:beforeAutospacing="0" w:after="0" w:afterAutospacing="0" w:line="440" w:lineRule="exact"/>
        <w:ind w:firstLine="482"/>
        <w:rPr>
          <w:rFonts w:ascii="仿宋" w:hAnsi="仿宋" w:eastAsia="仿宋" w:cs="仿宋"/>
          <w:color w:val="auto"/>
          <w:szCs w:val="24"/>
          <w:highlight w:val="none"/>
        </w:rPr>
      </w:pPr>
      <w:r>
        <w:rPr>
          <w:rFonts w:hint="eastAsia" w:ascii="仿宋" w:hAnsi="仿宋" w:eastAsia="仿宋" w:cs="仿宋"/>
          <w:color w:val="auto"/>
          <w:szCs w:val="24"/>
          <w:highlight w:val="none"/>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bookmarkEnd w:id="0"/>
    <w:p>
      <w:pPr>
        <w:pStyle w:val="46"/>
        <w:pageBreakBefore/>
        <w:adjustRightInd w:val="0"/>
        <w:snapToGrid w:val="0"/>
        <w:spacing w:line="360" w:lineRule="auto"/>
        <w:jc w:val="center"/>
        <w:outlineLvl w:val="0"/>
        <w:rPr>
          <w:rFonts w:ascii="仿宋" w:hAnsi="仿宋" w:eastAsia="仿宋" w:cs="仿宋"/>
          <w:b/>
          <w:color w:val="auto"/>
          <w:sz w:val="36"/>
          <w:highlight w:val="none"/>
        </w:rPr>
      </w:pPr>
      <w:bookmarkStart w:id="15" w:name="_Toc31506"/>
      <w:bookmarkStart w:id="16" w:name="_Toc225840107"/>
      <w:r>
        <w:rPr>
          <w:rFonts w:hint="eastAsia" w:ascii="仿宋" w:hAnsi="仿宋" w:eastAsia="仿宋" w:cs="仿宋"/>
          <w:b/>
          <w:color w:val="auto"/>
          <w:sz w:val="36"/>
          <w:highlight w:val="none"/>
        </w:rPr>
        <w:t>第二部分  投标人须知</w:t>
      </w:r>
      <w:bookmarkEnd w:id="15"/>
    </w:p>
    <w:p>
      <w:pPr>
        <w:pStyle w:val="4"/>
        <w:ind w:left="560" w:firstLine="0"/>
        <w:jc w:val="center"/>
        <w:rPr>
          <w:rFonts w:ascii="仿宋" w:hAnsi="仿宋" w:eastAsia="仿宋" w:cs="仿宋"/>
          <w:color w:val="auto"/>
          <w:sz w:val="32"/>
          <w:highlight w:val="none"/>
        </w:rPr>
      </w:pPr>
      <w:bookmarkStart w:id="17" w:name="_Toc519670190"/>
      <w:bookmarkStart w:id="18" w:name="_Toc522530040"/>
      <w:bookmarkStart w:id="19" w:name="_Toc16117"/>
      <w:r>
        <w:rPr>
          <w:rFonts w:hint="eastAsia" w:ascii="仿宋" w:hAnsi="仿宋" w:eastAsia="仿宋" w:cs="仿宋"/>
          <w:color w:val="auto"/>
          <w:sz w:val="32"/>
          <w:highlight w:val="none"/>
        </w:rPr>
        <w:t>前 附 表</w:t>
      </w:r>
      <w:bookmarkEnd w:id="17"/>
      <w:bookmarkEnd w:id="18"/>
      <w:bookmarkEnd w:id="19"/>
    </w:p>
    <w:tbl>
      <w:tblPr>
        <w:tblStyle w:val="88"/>
        <w:tblW w:w="979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23"/>
        <w:gridCol w:w="755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722"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523"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7554"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23" w:type="dxa"/>
            <w:vAlign w:val="center"/>
          </w:tcPr>
          <w:p>
            <w:pPr>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是否允许分包</w:t>
            </w:r>
          </w:p>
        </w:tc>
        <w:tc>
          <w:tcPr>
            <w:tcW w:w="7554" w:type="dxa"/>
            <w:vAlign w:val="center"/>
          </w:tcPr>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pacing w:val="-2"/>
                <w:kern w:val="0"/>
                <w:position w:val="-3"/>
                <w:sz w:val="24"/>
                <w:highlight w:val="none"/>
              </w:rPr>
              <w:sym w:font="Wingdings" w:char="00FE"/>
            </w:r>
            <w:r>
              <w:rPr>
                <w:rFonts w:hint="eastAsia" w:ascii="仿宋" w:hAnsi="仿宋" w:eastAsia="仿宋" w:cs="仿宋"/>
                <w:color w:val="auto"/>
                <w:sz w:val="24"/>
                <w:highlight w:val="none"/>
              </w:rPr>
              <w:t>不允许</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允许  分包内容要求：      </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接受分包的第三人资质要求：符合相应资质规定。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523" w:type="dxa"/>
            <w:vAlign w:val="center"/>
          </w:tcPr>
          <w:p>
            <w:pPr>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t>踏勘现场</w:t>
            </w:r>
          </w:p>
        </w:tc>
        <w:tc>
          <w:tcPr>
            <w:tcW w:w="7554" w:type="dxa"/>
            <w:vAlign w:val="center"/>
          </w:tcPr>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sym w:font="Wingdings" w:char="00FE"/>
            </w:r>
            <w:r>
              <w:rPr>
                <w:rFonts w:hint="eastAsia" w:ascii="仿宋" w:hAnsi="仿宋" w:eastAsia="仿宋" w:cs="仿宋"/>
                <w:color w:val="auto"/>
                <w:spacing w:val="-2"/>
                <w:kern w:val="0"/>
                <w:position w:val="-3"/>
                <w:sz w:val="24"/>
                <w:highlight w:val="none"/>
              </w:rPr>
              <w:t>不组织    投标人如有需要可自行前往踏勘，联系方式见招标公告。</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t xml:space="preserve">□统一组织踏勘时间：踏勘集中地点：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523" w:type="dxa"/>
            <w:vAlign w:val="center"/>
          </w:tcPr>
          <w:p>
            <w:pPr>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t>投标预备答疑会</w:t>
            </w:r>
          </w:p>
        </w:tc>
        <w:tc>
          <w:tcPr>
            <w:tcW w:w="7554" w:type="dxa"/>
            <w:vAlign w:val="center"/>
          </w:tcPr>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sym w:font="Wingdings" w:char="F0FE"/>
            </w:r>
            <w:r>
              <w:rPr>
                <w:rFonts w:hint="eastAsia" w:ascii="仿宋" w:hAnsi="仿宋" w:eastAsia="仿宋" w:cs="仿宋"/>
                <w:color w:val="auto"/>
                <w:spacing w:val="-2"/>
                <w:kern w:val="0"/>
                <w:position w:val="-3"/>
                <w:sz w:val="24"/>
                <w:highlight w:val="none"/>
              </w:rPr>
              <w:t>不召开</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pacing w:val="-2"/>
                <w:kern w:val="0"/>
                <w:position w:val="-3"/>
                <w:sz w:val="24"/>
                <w:highlight w:val="none"/>
              </w:rPr>
            </w:pPr>
            <w:r>
              <w:rPr>
                <w:rFonts w:hint="eastAsia" w:ascii="仿宋" w:hAnsi="仿宋" w:eastAsia="仿宋" w:cs="仿宋"/>
                <w:color w:val="auto"/>
                <w:spacing w:val="-2"/>
                <w:kern w:val="0"/>
                <w:position w:val="-3"/>
                <w:sz w:val="24"/>
                <w:highlight w:val="none"/>
              </w:rPr>
              <w:t>□召开召开时间：召开地点：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523" w:type="dxa"/>
            <w:vAlign w:val="center"/>
          </w:tcPr>
          <w:p>
            <w:pPr>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z w:val="24"/>
                <w:highlight w:val="none"/>
              </w:rPr>
            </w:pPr>
            <w:r>
              <w:rPr>
                <w:rFonts w:hint="eastAsia" w:ascii="仿宋" w:hAnsi="仿宋" w:eastAsia="仿宋" w:cs="仿宋"/>
                <w:color w:val="auto"/>
                <w:kern w:val="0"/>
                <w:position w:val="-3"/>
                <w:sz w:val="24"/>
                <w:highlight w:val="none"/>
              </w:rPr>
              <w:t>是否</w:t>
            </w:r>
            <w:r>
              <w:rPr>
                <w:rFonts w:hint="eastAsia" w:ascii="仿宋" w:hAnsi="仿宋" w:eastAsia="仿宋" w:cs="仿宋"/>
                <w:color w:val="auto"/>
                <w:spacing w:val="-2"/>
                <w:kern w:val="0"/>
                <w:position w:val="-3"/>
                <w:sz w:val="24"/>
                <w:highlight w:val="none"/>
              </w:rPr>
              <w:t>接</w:t>
            </w:r>
            <w:r>
              <w:rPr>
                <w:rFonts w:hint="eastAsia" w:ascii="仿宋" w:hAnsi="仿宋" w:eastAsia="仿宋" w:cs="仿宋"/>
                <w:color w:val="auto"/>
                <w:kern w:val="0"/>
                <w:position w:val="-3"/>
                <w:sz w:val="24"/>
                <w:highlight w:val="none"/>
              </w:rPr>
              <w:t>受</w:t>
            </w:r>
            <w:r>
              <w:rPr>
                <w:rFonts w:hint="eastAsia" w:ascii="仿宋" w:hAnsi="仿宋" w:eastAsia="仿宋" w:cs="仿宋"/>
                <w:color w:val="auto"/>
                <w:spacing w:val="-2"/>
                <w:kern w:val="0"/>
                <w:position w:val="-3"/>
                <w:sz w:val="24"/>
                <w:highlight w:val="none"/>
              </w:rPr>
              <w:t>联</w:t>
            </w:r>
            <w:r>
              <w:rPr>
                <w:rFonts w:hint="eastAsia" w:ascii="仿宋" w:hAnsi="仿宋" w:eastAsia="仿宋" w:cs="仿宋"/>
                <w:color w:val="auto"/>
                <w:kern w:val="0"/>
                <w:position w:val="-3"/>
                <w:sz w:val="24"/>
                <w:highlight w:val="none"/>
              </w:rPr>
              <w:t>合</w:t>
            </w:r>
            <w:r>
              <w:rPr>
                <w:rFonts w:hint="eastAsia" w:ascii="仿宋" w:hAnsi="仿宋" w:eastAsia="仿宋" w:cs="仿宋"/>
                <w:color w:val="auto"/>
                <w:spacing w:val="-2"/>
                <w:kern w:val="0"/>
                <w:position w:val="-3"/>
                <w:sz w:val="24"/>
                <w:highlight w:val="none"/>
              </w:rPr>
              <w:t>体</w:t>
            </w:r>
            <w:r>
              <w:rPr>
                <w:rFonts w:hint="eastAsia" w:ascii="仿宋" w:hAnsi="仿宋" w:eastAsia="仿宋" w:cs="仿宋"/>
                <w:color w:val="auto"/>
                <w:kern w:val="0"/>
                <w:position w:val="-3"/>
                <w:sz w:val="24"/>
                <w:highlight w:val="none"/>
              </w:rPr>
              <w:t>投标</w:t>
            </w:r>
          </w:p>
        </w:tc>
        <w:tc>
          <w:tcPr>
            <w:tcW w:w="7554" w:type="dxa"/>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rPr>
              <w:sym w:font="Wingdings" w:char="F0FE"/>
            </w:r>
            <w:r>
              <w:rPr>
                <w:rFonts w:hint="eastAsia" w:ascii="仿宋" w:hAnsi="仿宋" w:eastAsia="仿宋" w:cs="仿宋"/>
                <w:color w:val="auto"/>
                <w:sz w:val="24"/>
                <w:highlight w:val="none"/>
                <w:lang w:val="zh-CN"/>
              </w:rPr>
              <w:t>否。</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523" w:type="dxa"/>
            <w:vAlign w:val="center"/>
          </w:tcPr>
          <w:p>
            <w:pPr>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z w:val="24"/>
                <w:highlight w:val="none"/>
              </w:rPr>
            </w:pPr>
            <w:r>
              <w:rPr>
                <w:rFonts w:hint="eastAsia" w:ascii="仿宋" w:hAnsi="仿宋" w:eastAsia="仿宋" w:cs="仿宋"/>
                <w:color w:val="auto"/>
                <w:kern w:val="0"/>
                <w:position w:val="-5"/>
                <w:sz w:val="24"/>
                <w:highlight w:val="none"/>
              </w:rPr>
              <w:t>投标</w:t>
            </w:r>
            <w:r>
              <w:rPr>
                <w:rFonts w:hint="eastAsia" w:ascii="仿宋" w:hAnsi="仿宋" w:eastAsia="仿宋" w:cs="仿宋"/>
                <w:color w:val="auto"/>
                <w:spacing w:val="-2"/>
                <w:kern w:val="0"/>
                <w:position w:val="-5"/>
                <w:sz w:val="24"/>
                <w:highlight w:val="none"/>
              </w:rPr>
              <w:t>文</w:t>
            </w:r>
            <w:r>
              <w:rPr>
                <w:rFonts w:hint="eastAsia" w:ascii="仿宋" w:hAnsi="仿宋" w:eastAsia="仿宋" w:cs="仿宋"/>
                <w:color w:val="auto"/>
                <w:kern w:val="0"/>
                <w:position w:val="-5"/>
                <w:sz w:val="24"/>
                <w:highlight w:val="none"/>
              </w:rPr>
              <w:t>件</w:t>
            </w:r>
            <w:r>
              <w:rPr>
                <w:rFonts w:hint="eastAsia" w:ascii="仿宋" w:hAnsi="仿宋" w:eastAsia="仿宋" w:cs="仿宋"/>
                <w:color w:val="auto"/>
                <w:spacing w:val="-2"/>
                <w:kern w:val="0"/>
                <w:position w:val="-5"/>
                <w:sz w:val="24"/>
                <w:highlight w:val="none"/>
              </w:rPr>
              <w:t>份</w:t>
            </w:r>
            <w:r>
              <w:rPr>
                <w:rFonts w:hint="eastAsia" w:ascii="仿宋" w:hAnsi="仿宋" w:eastAsia="仿宋" w:cs="仿宋"/>
                <w:color w:val="auto"/>
                <w:kern w:val="0"/>
                <w:position w:val="-5"/>
                <w:sz w:val="24"/>
                <w:highlight w:val="none"/>
              </w:rPr>
              <w:t>数</w:t>
            </w:r>
          </w:p>
        </w:tc>
        <w:tc>
          <w:tcPr>
            <w:tcW w:w="7554" w:type="dxa"/>
            <w:vAlign w:val="center"/>
          </w:tcPr>
          <w:p>
            <w:pPr>
              <w:keepNext w:val="0"/>
              <w:keepLines w:val="0"/>
              <w:pageBreakBefore w:val="0"/>
              <w:widowControl w:val="0"/>
              <w:numPr>
                <w:ilvl w:val="0"/>
                <w:numId w:val="2"/>
              </w:numPr>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“电子加密投标文件”：在线上传递交、一份。</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（2）“备份投标文件”：密封包装后（建议顺丰邮寄形式）投标截止时间前递交一份，邮寄地址：衢州市九华北大道509号2#楼二单元9楼。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position w:val="-5"/>
                <w:sz w:val="24"/>
                <w:szCs w:val="22"/>
                <w:highlight w:val="none"/>
              </w:rPr>
              <w:t>投标文件的组成和编制</w:t>
            </w:r>
          </w:p>
        </w:tc>
        <w:tc>
          <w:tcPr>
            <w:tcW w:w="7554" w:type="dxa"/>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本项目的《投标文件》由“资格文件”、“商务技术文件”和“报价文件”三个部分组成。</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color w:val="auto"/>
                <w:kern w:val="0"/>
                <w:sz w:val="24"/>
                <w:highlight w:val="none"/>
              </w:rPr>
            </w:pPr>
            <w:r>
              <w:rPr>
                <w:rFonts w:hint="eastAsia" w:ascii="仿宋" w:hAnsi="仿宋" w:eastAsia="仿宋" w:cs="仿宋"/>
                <w:color w:val="auto"/>
                <w:sz w:val="24"/>
                <w:highlight w:val="none"/>
              </w:rPr>
              <w:t>投标人应先安装“政采云电子交易客户端”，并按照本招标文件和“政府采购云平台”的要求，通过“政采云电子交易客户端”编制并加密投标文件。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仿宋" w:hAnsi="仿宋" w:eastAsia="仿宋" w:cs="仿宋"/>
                <w:color w:val="auto"/>
                <w:kern w:val="0"/>
                <w:position w:val="-3"/>
                <w:sz w:val="24"/>
                <w:highlight w:val="none"/>
              </w:rPr>
            </w:pPr>
            <w:r>
              <w:rPr>
                <w:rFonts w:hint="eastAsia" w:ascii="仿宋" w:hAnsi="仿宋" w:eastAsia="仿宋" w:cs="仿宋"/>
                <w:color w:val="auto"/>
                <w:kern w:val="0"/>
                <w:position w:val="-5"/>
                <w:sz w:val="24"/>
                <w:szCs w:val="22"/>
                <w:highlight w:val="none"/>
              </w:rPr>
              <w:t>投标文件的签章</w:t>
            </w:r>
          </w:p>
        </w:tc>
        <w:tc>
          <w:tcPr>
            <w:tcW w:w="7554" w:type="dxa"/>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color w:val="auto"/>
                <w:kern w:val="0"/>
                <w:position w:val="-2"/>
                <w:sz w:val="24"/>
                <w:highlight w:val="none"/>
              </w:rPr>
            </w:pPr>
            <w:r>
              <w:rPr>
                <w:rFonts w:hint="eastAsia" w:ascii="仿宋" w:hAnsi="仿宋" w:eastAsia="仿宋" w:cs="仿宋"/>
                <w:color w:val="auto"/>
                <w:sz w:val="24"/>
                <w:highlight w:val="none"/>
              </w:rPr>
              <w:t>电子签章（</w:t>
            </w:r>
            <w:r>
              <w:rPr>
                <w:rFonts w:hint="eastAsia" w:ascii="仿宋" w:hAnsi="仿宋" w:eastAsia="仿宋" w:cs="仿宋"/>
                <w:b/>
                <w:color w:val="auto"/>
                <w:sz w:val="24"/>
                <w:highlight w:val="none"/>
              </w:rPr>
              <w:t>注：</w:t>
            </w:r>
            <w:r>
              <w:rPr>
                <w:rFonts w:hint="eastAsia" w:ascii="仿宋" w:hAnsi="仿宋" w:eastAsia="仿宋" w:cs="仿宋"/>
                <w:b/>
                <w:color w:val="auto"/>
                <w:sz w:val="24"/>
                <w:highlight w:val="none"/>
                <w:u w:val="single"/>
              </w:rPr>
              <w:t>CA签章上没有法人或授权代表签章信息的，投标文件中涉及到法人或授权代表签章的可线下签好字然后扫描成PDF格式</w:t>
            </w:r>
            <w:r>
              <w:rPr>
                <w:rFonts w:hint="eastAsia" w:ascii="仿宋" w:hAnsi="仿宋" w:eastAsia="仿宋" w:cs="仿宋"/>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position w:val="-3"/>
                <w:sz w:val="24"/>
                <w:highlight w:val="none"/>
              </w:rPr>
              <w:t>投标</w:t>
            </w:r>
            <w:r>
              <w:rPr>
                <w:rFonts w:hint="eastAsia" w:ascii="仿宋" w:hAnsi="仿宋" w:eastAsia="仿宋" w:cs="仿宋"/>
                <w:color w:val="auto"/>
                <w:spacing w:val="-2"/>
                <w:kern w:val="0"/>
                <w:position w:val="-3"/>
                <w:sz w:val="24"/>
                <w:highlight w:val="none"/>
              </w:rPr>
              <w:t>文</w:t>
            </w:r>
            <w:r>
              <w:rPr>
                <w:rFonts w:hint="eastAsia" w:ascii="仿宋" w:hAnsi="仿宋" w:eastAsia="仿宋" w:cs="仿宋"/>
                <w:color w:val="auto"/>
                <w:kern w:val="0"/>
                <w:position w:val="-3"/>
                <w:sz w:val="24"/>
                <w:highlight w:val="none"/>
              </w:rPr>
              <w:t>件</w:t>
            </w:r>
            <w:r>
              <w:rPr>
                <w:rFonts w:hint="eastAsia" w:ascii="仿宋" w:hAnsi="仿宋" w:eastAsia="仿宋" w:cs="仿宋"/>
                <w:color w:val="auto"/>
                <w:spacing w:val="-2"/>
                <w:kern w:val="0"/>
                <w:position w:val="-3"/>
                <w:sz w:val="24"/>
                <w:highlight w:val="none"/>
              </w:rPr>
              <w:t>有</w:t>
            </w:r>
            <w:r>
              <w:rPr>
                <w:rFonts w:hint="eastAsia" w:ascii="仿宋" w:hAnsi="仿宋" w:eastAsia="仿宋" w:cs="仿宋"/>
                <w:color w:val="auto"/>
                <w:kern w:val="0"/>
                <w:position w:val="-3"/>
                <w:sz w:val="24"/>
                <w:highlight w:val="none"/>
              </w:rPr>
              <w:t>效期</w:t>
            </w:r>
          </w:p>
        </w:tc>
        <w:tc>
          <w:tcPr>
            <w:tcW w:w="7554" w:type="dxa"/>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color w:val="auto"/>
                <w:kern w:val="0"/>
                <w:sz w:val="24"/>
                <w:highlight w:val="none"/>
              </w:rPr>
            </w:pPr>
            <w:r>
              <w:rPr>
                <w:rFonts w:hint="eastAsia" w:ascii="仿宋" w:hAnsi="仿宋" w:eastAsia="仿宋" w:cs="仿宋"/>
                <w:color w:val="auto"/>
                <w:kern w:val="0"/>
                <w:position w:val="-2"/>
                <w:sz w:val="24"/>
                <w:highlight w:val="none"/>
              </w:rPr>
              <w:t>自投</w:t>
            </w:r>
            <w:r>
              <w:rPr>
                <w:rFonts w:hint="eastAsia" w:ascii="仿宋" w:hAnsi="仿宋" w:eastAsia="仿宋" w:cs="仿宋"/>
                <w:color w:val="auto"/>
                <w:spacing w:val="-2"/>
                <w:kern w:val="0"/>
                <w:position w:val="-2"/>
                <w:sz w:val="24"/>
                <w:highlight w:val="none"/>
              </w:rPr>
              <w:t>标</w:t>
            </w:r>
            <w:r>
              <w:rPr>
                <w:rFonts w:hint="eastAsia" w:ascii="仿宋" w:hAnsi="仿宋" w:eastAsia="仿宋" w:cs="仿宋"/>
                <w:color w:val="auto"/>
                <w:kern w:val="0"/>
                <w:position w:val="-2"/>
                <w:sz w:val="24"/>
                <w:highlight w:val="none"/>
              </w:rPr>
              <w:t>截</w:t>
            </w:r>
            <w:r>
              <w:rPr>
                <w:rFonts w:hint="eastAsia" w:ascii="仿宋" w:hAnsi="仿宋" w:eastAsia="仿宋" w:cs="仿宋"/>
                <w:color w:val="auto"/>
                <w:spacing w:val="-2"/>
                <w:kern w:val="0"/>
                <w:position w:val="-2"/>
                <w:sz w:val="24"/>
                <w:highlight w:val="none"/>
              </w:rPr>
              <w:t>止</w:t>
            </w:r>
            <w:r>
              <w:rPr>
                <w:rFonts w:hint="eastAsia" w:ascii="仿宋" w:hAnsi="仿宋" w:eastAsia="仿宋" w:cs="仿宋"/>
                <w:color w:val="auto"/>
                <w:kern w:val="0"/>
                <w:position w:val="-2"/>
                <w:sz w:val="24"/>
                <w:highlight w:val="none"/>
              </w:rPr>
              <w:t>时</w:t>
            </w:r>
            <w:r>
              <w:rPr>
                <w:rFonts w:hint="eastAsia" w:ascii="仿宋" w:hAnsi="仿宋" w:eastAsia="仿宋" w:cs="仿宋"/>
                <w:color w:val="auto"/>
                <w:spacing w:val="-2"/>
                <w:kern w:val="0"/>
                <w:position w:val="-2"/>
                <w:sz w:val="24"/>
                <w:highlight w:val="none"/>
              </w:rPr>
              <w:t>间</w:t>
            </w:r>
            <w:r>
              <w:rPr>
                <w:rFonts w:hint="eastAsia" w:ascii="仿宋" w:hAnsi="仿宋" w:eastAsia="仿宋" w:cs="仿宋"/>
                <w:color w:val="auto"/>
                <w:kern w:val="0"/>
                <w:position w:val="-2"/>
                <w:sz w:val="24"/>
                <w:highlight w:val="none"/>
              </w:rPr>
              <w:t>起不少于</w:t>
            </w:r>
            <w:r>
              <w:rPr>
                <w:rFonts w:hint="eastAsia" w:ascii="仿宋" w:hAnsi="仿宋" w:eastAsia="仿宋" w:cs="仿宋"/>
                <w:color w:val="auto"/>
                <w:spacing w:val="-2"/>
                <w:kern w:val="0"/>
                <w:position w:val="-2"/>
                <w:sz w:val="24"/>
                <w:highlight w:val="none"/>
              </w:rPr>
              <w:t>90天。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position w:val="-3"/>
                <w:sz w:val="24"/>
                <w:szCs w:val="22"/>
                <w:highlight w:val="none"/>
              </w:rPr>
              <w:t>投标文件的形式</w:t>
            </w:r>
          </w:p>
        </w:tc>
        <w:tc>
          <w:tcPr>
            <w:tcW w:w="7554" w:type="dxa"/>
            <w:vAlign w:val="center"/>
          </w:tcPr>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☑电子投标文件（包括“电子加密投标文件”和“备份投标文件”，在投标文件编制完成后同时生成）；</w:t>
            </w:r>
          </w:p>
          <w:p>
            <w:pPr>
              <w:keepNext w:val="0"/>
              <w:keepLines w:val="0"/>
              <w:pageBreakBefore w:val="0"/>
              <w:widowControl w:val="0"/>
              <w:kinsoku/>
              <w:wordWrap/>
              <w:overflowPunct/>
              <w:topLinePunct w:val="0"/>
              <w:bidi w:val="0"/>
              <w:spacing w:line="360" w:lineRule="exac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（1）“电子加密投标文件”是指通过“政采云电子交易客户端”完成投标文件编制后生成并加密的数据电文形式的投标文件。</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仿宋" w:hAnsi="仿宋" w:eastAsia="仿宋" w:cs="仿宋"/>
                <w:color w:val="auto"/>
                <w:kern w:val="0"/>
                <w:sz w:val="24"/>
                <w:highlight w:val="none"/>
              </w:rPr>
            </w:pPr>
            <w:r>
              <w:rPr>
                <w:rFonts w:hint="eastAsia" w:ascii="仿宋" w:hAnsi="仿宋" w:eastAsia="仿宋" w:cs="仿宋"/>
                <w:color w:val="auto"/>
                <w:sz w:val="24"/>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523"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签订合同</w:t>
            </w:r>
          </w:p>
        </w:tc>
        <w:tc>
          <w:tcPr>
            <w:tcW w:w="7554"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中标通知书发出后三十天内签订合同。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523"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w:t>
            </w:r>
          </w:p>
        </w:tc>
        <w:tc>
          <w:tcPr>
            <w:tcW w:w="7554"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中标人通过电汇、转账、银行或保险公司出具履约保函向采购人交纳中标金额1%的履约保证金。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523"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履约保证金退还</w:t>
            </w:r>
          </w:p>
        </w:tc>
        <w:tc>
          <w:tcPr>
            <w:tcW w:w="7554" w:type="dxa"/>
            <w:vAlign w:val="center"/>
          </w:tcPr>
          <w:p>
            <w:pPr>
              <w:pStyle w:val="46"/>
              <w:keepNext w:val="0"/>
              <w:keepLines w:val="0"/>
              <w:pageBreakBefore w:val="0"/>
              <w:widowControl w:val="0"/>
              <w:kinsoku/>
              <w:wordWrap/>
              <w:overflowPunct/>
              <w:topLinePunct w:val="0"/>
              <w:bidi w:val="0"/>
              <w:snapToGrid w:val="0"/>
              <w:spacing w:line="3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项目结束后一次性退还（不计利息）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992"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523" w:type="dxa"/>
            <w:vAlign w:val="center"/>
          </w:tcPr>
          <w:p>
            <w:pPr>
              <w:pStyle w:val="606"/>
              <w:keepNext w:val="0"/>
              <w:keepLines w:val="0"/>
              <w:pageBreakBefore w:val="0"/>
              <w:widowControl w:val="0"/>
              <w:kinsoku/>
              <w:wordWrap/>
              <w:overflowPunct/>
              <w:topLinePunct w:val="0"/>
              <w:bidi w:val="0"/>
              <w:spacing w:line="36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TW" w:eastAsia="zh-TW"/>
              </w:rPr>
              <w:t>本项目需要落实的政府采购政策</w:t>
            </w:r>
          </w:p>
        </w:tc>
        <w:tc>
          <w:tcPr>
            <w:tcW w:w="7554" w:type="dxa"/>
            <w:vAlign w:val="center"/>
          </w:tcPr>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（1）本次采购为专门面向中小企业预留采购份额的采购项目</w:t>
            </w:r>
          </w:p>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（专门面向中小企业的项目不享受政策价格扣除）。</w:t>
            </w:r>
          </w:p>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（3）本次采购标的为</w:t>
            </w:r>
            <w:r>
              <w:rPr>
                <w:rFonts w:hint="eastAsia" w:ascii="仿宋" w:hAnsi="仿宋" w:eastAsia="仿宋" w:cs="仿宋"/>
                <w:color w:val="auto"/>
                <w:kern w:val="0"/>
                <w:sz w:val="24"/>
                <w:highlight w:val="none"/>
                <w:u w:val="single"/>
              </w:rPr>
              <w:t>服务</w:t>
            </w:r>
            <w:r>
              <w:rPr>
                <w:rFonts w:hint="eastAsia" w:ascii="仿宋" w:hAnsi="仿宋" w:eastAsia="仿宋" w:cs="仿宋"/>
                <w:color w:val="auto"/>
                <w:kern w:val="0"/>
                <w:sz w:val="24"/>
                <w:highlight w:val="none"/>
              </w:rPr>
              <w:t>，对应的中小企业划分标准所属行业是：</w:t>
            </w:r>
            <w:r>
              <w:rPr>
                <w:rFonts w:hint="eastAsia" w:ascii="仿宋" w:hAnsi="仿宋" w:eastAsia="仿宋" w:cs="仿宋"/>
                <w:color w:val="auto"/>
                <w:kern w:val="0"/>
                <w:sz w:val="24"/>
                <w:highlight w:val="none"/>
                <w:u w:val="single"/>
              </w:rPr>
              <w:t>其他未列明行业。</w:t>
            </w:r>
          </w:p>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（4）符合中小企业划分标准的个体工商户，视同中小企业。</w:t>
            </w:r>
          </w:p>
          <w:p>
            <w:pPr>
              <w:keepNext w:val="0"/>
              <w:keepLines w:val="0"/>
              <w:pageBreakBefore w:val="0"/>
              <w:widowControl w:val="0"/>
              <w:kinsoku/>
              <w:wordWrap/>
              <w:overflowPunct/>
              <w:topLinePunct w:val="0"/>
              <w:bidi w:val="0"/>
              <w:spacing w:line="36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（5）残疾人福利性单位视同小微企业。残疾人福利性单位参加政府采购活动时，应当提供《残疾人福利性单位声明函》。</w:t>
            </w:r>
          </w:p>
          <w:p>
            <w:pPr>
              <w:pStyle w:val="607"/>
              <w:keepNext w:val="0"/>
              <w:keepLines w:val="0"/>
              <w:pageBreakBefore w:val="0"/>
              <w:widowControl w:val="0"/>
              <w:kinsoku/>
              <w:wordWrap/>
              <w:overflowPunct/>
              <w:topLinePunct w:val="0"/>
              <w:bidi w:val="0"/>
              <w:adjustRightInd w:val="0"/>
              <w:snapToGrid w:val="0"/>
              <w:spacing w:before="0" w:beforeAutospacing="0" w:after="0" w:afterAutospacing="0" w:line="360" w:lineRule="exact"/>
              <w:textAlignment w:val="auto"/>
              <w:rPr>
                <w:rFonts w:ascii="仿宋" w:hAnsi="仿宋" w:eastAsia="仿宋" w:cs="仿宋"/>
                <w:color w:val="auto"/>
                <w:kern w:val="2"/>
                <w:highlight w:val="none"/>
              </w:rPr>
            </w:pPr>
            <w:r>
              <w:rPr>
                <w:rFonts w:hint="eastAsia" w:ascii="仿宋" w:hAnsi="仿宋" w:eastAsia="仿宋" w:cs="仿宋"/>
                <w:color w:val="auto"/>
                <w:highlight w:val="none"/>
              </w:rPr>
              <w:t>（6）监狱企业视同小微企业。监狱企业参加政府采购活动时，应当出具省级以上监狱管理局、戒毒管理局（含新疆生产建设兵团）提供的属于监狱企业的证明文件。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551" w:hRule="atLeast"/>
          <w:jc w:val="center"/>
        </w:trPr>
        <w:tc>
          <w:tcPr>
            <w:tcW w:w="722" w:type="dxa"/>
            <w:vAlign w:val="center"/>
          </w:tcPr>
          <w:p>
            <w:pPr>
              <w:spacing w:line="400" w:lineRule="exact"/>
              <w:jc w:val="center"/>
              <w:rPr>
                <w:rFonts w:ascii="仿宋" w:hAnsi="仿宋" w:eastAsia="仿宋" w:cs="仿宋"/>
                <w:color w:val="auto"/>
                <w:sz w:val="24"/>
                <w:highlight w:val="none"/>
              </w:rPr>
            </w:pPr>
          </w:p>
        </w:tc>
        <w:tc>
          <w:tcPr>
            <w:tcW w:w="1523" w:type="dxa"/>
            <w:vAlign w:val="center"/>
          </w:tcPr>
          <w:p>
            <w:pPr>
              <w:pStyle w:val="606"/>
              <w:spacing w:line="400" w:lineRule="exact"/>
              <w:jc w:val="center"/>
              <w:rPr>
                <w:rFonts w:ascii="仿宋" w:hAnsi="仿宋" w:eastAsia="仿宋" w:cs="仿宋"/>
                <w:color w:val="auto"/>
                <w:sz w:val="24"/>
                <w:szCs w:val="24"/>
                <w:highlight w:val="none"/>
                <w:lang w:val="zh-TW" w:eastAsia="zh-TW"/>
              </w:rPr>
            </w:pPr>
          </w:p>
        </w:tc>
        <w:tc>
          <w:tcPr>
            <w:tcW w:w="7554" w:type="dxa"/>
            <w:vAlign w:val="center"/>
          </w:tcPr>
          <w:p>
            <w:pPr>
              <w:snapToGrid w:val="0"/>
              <w:spacing w:line="400" w:lineRule="exact"/>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TW"/>
              </w:rPr>
              <w:t>）</w:t>
            </w:r>
            <w:r>
              <w:rPr>
                <w:rFonts w:hint="eastAsia" w:ascii="仿宋" w:hAnsi="仿宋" w:eastAsia="仿宋" w:cs="仿宋"/>
                <w:color w:val="auto"/>
                <w:sz w:val="24"/>
                <w:szCs w:val="24"/>
                <w:highlight w:val="none"/>
                <w:lang w:val="zh-TW" w:eastAsia="zh-TW"/>
              </w:rPr>
              <w:t>节能产品的强制采购政策</w:t>
            </w:r>
          </w:p>
          <w:p>
            <w:pPr>
              <w:snapToGrid w:val="0"/>
              <w:spacing w:line="400" w:lineRule="exact"/>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采购单位拟采购的产品属于品目清单范围内的强制采购品目的，</w:t>
            </w:r>
            <w:r>
              <w:rPr>
                <w:rFonts w:hint="eastAsia" w:ascii="仿宋" w:hAnsi="仿宋" w:eastAsia="仿宋" w:cs="仿宋"/>
                <w:color w:val="auto"/>
                <w:sz w:val="24"/>
                <w:szCs w:val="24"/>
                <w:highlight w:val="none"/>
                <w:lang w:val="zh-TW"/>
              </w:rPr>
              <w:t>投标人</w:t>
            </w:r>
            <w:r>
              <w:rPr>
                <w:rFonts w:hint="eastAsia" w:ascii="仿宋" w:hAnsi="仿宋" w:eastAsia="仿宋" w:cs="仿宋"/>
                <w:color w:val="auto"/>
                <w:sz w:val="24"/>
                <w:szCs w:val="24"/>
                <w:highlight w:val="none"/>
                <w:lang w:val="zh-TW" w:eastAsia="zh-TW"/>
              </w:rPr>
              <w:t>提供的产品应具有国家确定的认证机构出具的、处于有效期之内的节能产品认证证书，并在投标文件中提供该产品节能产品认证证书，否则无效。（注：本项目执行财政部、国家发展和改革委员会、生态环境部等部门公布的最新政府采购节能产品、环境标志产品品目清单、市场监管总局公布的参与实施政府采购节能产品、环境标志产品认证机构最新名录。）</w:t>
            </w:r>
          </w:p>
          <w:p>
            <w:pPr>
              <w:snapToGrid w:val="0"/>
              <w:spacing w:line="400" w:lineRule="exact"/>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TW"/>
              </w:rPr>
              <w:t>）</w:t>
            </w:r>
            <w:r>
              <w:rPr>
                <w:rFonts w:hint="eastAsia" w:ascii="仿宋" w:hAnsi="仿宋" w:eastAsia="仿宋" w:cs="仿宋"/>
                <w:color w:val="auto"/>
                <w:sz w:val="24"/>
                <w:szCs w:val="24"/>
                <w:highlight w:val="none"/>
                <w:lang w:val="zh-TW" w:eastAsia="zh-TW"/>
              </w:rPr>
              <w:t>节能产品、环境标志产品的优先采购政策</w:t>
            </w:r>
          </w:p>
          <w:p>
            <w:pPr>
              <w:pStyle w:val="46"/>
              <w:snapToGrid w:val="0"/>
              <w:spacing w:line="400" w:lineRule="exact"/>
              <w:rPr>
                <w:rFonts w:ascii="仿宋" w:hAnsi="仿宋" w:eastAsia="仿宋" w:cs="仿宋"/>
                <w:b/>
                <w:bCs/>
                <w:color w:val="auto"/>
                <w:sz w:val="24"/>
                <w:szCs w:val="24"/>
                <w:highlight w:val="none"/>
                <w:lang w:val="zh-TW" w:eastAsia="zh-TW"/>
              </w:rPr>
            </w:pPr>
            <w:r>
              <w:rPr>
                <w:rFonts w:hint="eastAsia" w:ascii="仿宋" w:hAnsi="仿宋" w:eastAsia="仿宋" w:cs="仿宋"/>
                <w:color w:val="auto"/>
                <w:sz w:val="24"/>
                <w:szCs w:val="24"/>
                <w:highlight w:val="none"/>
                <w:lang w:val="zh-TW" w:eastAsia="zh-TW"/>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采购单位拟采购的产品属于品目清单范围内的优先采购品目的，</w:t>
            </w:r>
            <w:r>
              <w:rPr>
                <w:rFonts w:hint="eastAsia" w:ascii="仿宋" w:hAnsi="仿宋" w:eastAsia="仿宋" w:cs="仿宋"/>
                <w:color w:val="auto"/>
                <w:sz w:val="24"/>
                <w:szCs w:val="24"/>
                <w:highlight w:val="none"/>
                <w:lang w:val="zh-TW"/>
              </w:rPr>
              <w:t>投标人</w:t>
            </w:r>
            <w:r>
              <w:rPr>
                <w:rFonts w:hint="eastAsia" w:ascii="仿宋" w:hAnsi="仿宋" w:eastAsia="仿宋" w:cs="仿宋"/>
                <w:color w:val="auto"/>
                <w:sz w:val="24"/>
                <w:szCs w:val="24"/>
                <w:highlight w:val="none"/>
                <w:lang w:val="zh-TW" w:eastAsia="zh-TW"/>
              </w:rPr>
              <w:t>提供的产品应具有国家确定的认证机构出具的、处于有效期之内的节能产品、环境标志产品认证证书，并在投标文件中提供该产品节能产品、环境标志产品认证证书。（注：本项目执行财政部、国家发展和改革委员会、生态环境部等部门公布的最新政府采购节能产品、环境标志产品品目清单、市场监管总局公布的参与实施政府采购节能产品、环境标志产品认证机构最新名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866" w:hRule="atLeast"/>
          <w:jc w:val="center"/>
        </w:trPr>
        <w:tc>
          <w:tcPr>
            <w:tcW w:w="722" w:type="dxa"/>
            <w:vAlign w:val="center"/>
          </w:tcPr>
          <w:p>
            <w:pPr>
              <w:spacing w:line="400" w:lineRule="exact"/>
              <w:jc w:val="center"/>
              <w:rPr>
                <w:rFonts w:ascii="仿宋" w:hAnsi="仿宋" w:eastAsia="仿宋" w:cs="仿宋"/>
                <w:color w:val="auto"/>
                <w:sz w:val="24"/>
                <w:highlight w:val="none"/>
              </w:rPr>
            </w:pPr>
          </w:p>
        </w:tc>
        <w:tc>
          <w:tcPr>
            <w:tcW w:w="1523" w:type="dxa"/>
            <w:vAlign w:val="center"/>
          </w:tcPr>
          <w:p>
            <w:pPr>
              <w:pStyle w:val="606"/>
              <w:spacing w:line="400" w:lineRule="exact"/>
              <w:jc w:val="center"/>
              <w:rPr>
                <w:rFonts w:ascii="仿宋" w:hAnsi="仿宋" w:eastAsia="仿宋" w:cs="仿宋"/>
                <w:color w:val="auto"/>
                <w:sz w:val="24"/>
                <w:szCs w:val="24"/>
                <w:highlight w:val="none"/>
                <w:lang w:val="zh-TW" w:eastAsia="zh-TW"/>
              </w:rPr>
            </w:pPr>
          </w:p>
        </w:tc>
        <w:tc>
          <w:tcPr>
            <w:tcW w:w="7554" w:type="dxa"/>
            <w:vAlign w:val="center"/>
          </w:tcPr>
          <w:p>
            <w:pPr>
              <w:pStyle w:val="46"/>
              <w:snapToGri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据《中国人民银行衢州市中心支行衢州市财政局关于衢州市政府采购进一步支持中企业质押融资的实施意见【衢银发[2021]4号】》取得衢州市政府采购合同的投标人，均可凭政府采购合同及应收账款收益权，向银行申请质押融资.申请质押融资时，投标人需先注册“衢州金融服务信用信息平台”用户，登录后通过“中征融资”模块进入“中征应收账款融资服务平台”，完善企业信息后，向合作银行推送中标采购信息。采购合同签订前已与银行机构达成融资意向的，投标人应向采购人或釆购代理机构申明该合同将用于质押融资，并在合同中注明融资银行机构名称及在该银行机构的唯一收款账号,投标人在合同签订后出现融资需求的，投标人应根据银行机构要求向采购人申请修改合同收款账号，并在开具发票时提供给采购人用于支付合同款项。</w:t>
            </w:r>
          </w:p>
          <w:p>
            <w:pPr>
              <w:pStyle w:val="46"/>
              <w:snapToGrid w:val="0"/>
              <w:spacing w:line="400" w:lineRule="exact"/>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rPr>
              <w:t>投标人可以通过浙江政府采购网(https://zfcg. czt.zj. gov.cn/)首页的“浙江政采贷”模块进入申请，还可以通过政府采购云平台(https://www. zcygov.cn/)首页的“金融服务”模块进入申请。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568" w:hRule="atLeast"/>
          <w:jc w:val="center"/>
        </w:trPr>
        <w:tc>
          <w:tcPr>
            <w:tcW w:w="72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152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招标代理服务费</w:t>
            </w:r>
          </w:p>
        </w:tc>
        <w:tc>
          <w:tcPr>
            <w:tcW w:w="7554" w:type="dxa"/>
            <w:vAlign w:val="center"/>
          </w:tcPr>
          <w:p>
            <w:pPr>
              <w:autoSpaceDE w:val="0"/>
              <w:autoSpaceDN w:val="0"/>
              <w:adjustRightIn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Cs/>
                <w:color w:val="auto"/>
                <w:sz w:val="24"/>
                <w:szCs w:val="24"/>
                <w:highlight w:val="none"/>
              </w:rPr>
              <w:t>本项目的招标代理服务费等其他相关费用由中标人支付。</w:t>
            </w:r>
            <w:r>
              <w:rPr>
                <w:rFonts w:hint="eastAsia" w:ascii="仿宋" w:hAnsi="仿宋" w:eastAsia="仿宋" w:cs="仿宋"/>
                <w:color w:val="auto"/>
                <w:sz w:val="24"/>
                <w:szCs w:val="24"/>
                <w:highlight w:val="none"/>
              </w:rPr>
              <w:t>根据中标价，参照原国家计委关于印发《招标代理服务收费管理暂行办法》的通知（计价格[2002]1980号）的收费标准的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60</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%向中标人收取招标代理服务费</w:t>
            </w:r>
            <w:r>
              <w:rPr>
                <w:rFonts w:hint="eastAsia" w:ascii="仿宋" w:hAnsi="仿宋" w:eastAsia="仿宋" w:cs="仿宋"/>
                <w:bCs/>
                <w:color w:val="auto"/>
                <w:sz w:val="24"/>
                <w:szCs w:val="24"/>
                <w:highlight w:val="none"/>
              </w:rPr>
              <w:t>。</w:t>
            </w:r>
          </w:p>
          <w:p>
            <w:pPr>
              <w:autoSpaceDE w:val="0"/>
              <w:autoSpaceDN w:val="0"/>
              <w:adjustRightIn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1）收款单位（户名）：浙江中正工程项目管理有限公司衢州分公司</w:t>
            </w:r>
          </w:p>
          <w:p>
            <w:pPr>
              <w:autoSpaceDE w:val="0"/>
              <w:autoSpaceDN w:val="0"/>
              <w:adjustRightIn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2）开  户：工行衢州市南区支行</w:t>
            </w:r>
          </w:p>
          <w:p>
            <w:pPr>
              <w:autoSpaceDE w:val="0"/>
              <w:autoSpaceDN w:val="0"/>
              <w:adjustRightIn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3）账  号：1209270009200172837</w:t>
            </w:r>
          </w:p>
          <w:p>
            <w:pPr>
              <w:adjustRightInd w:val="0"/>
              <w:snapToGrid w:val="0"/>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2、以上费用均不在报价中单列，请投标人在报价中予以考虑。</w:t>
            </w:r>
          </w:p>
          <w:p>
            <w:pPr>
              <w:adjustRightInd w:val="0"/>
              <w:snapToGrid w:val="0"/>
              <w:spacing w:line="400" w:lineRule="exact"/>
              <w:rPr>
                <w:rFonts w:ascii="仿宋" w:hAnsi="仿宋" w:eastAsia="仿宋" w:cs="仿宋"/>
                <w:b/>
                <w:color w:val="auto"/>
                <w:highlight w:val="none"/>
              </w:rPr>
            </w:pPr>
            <w:r>
              <w:rPr>
                <w:rFonts w:hint="eastAsia" w:ascii="仿宋" w:hAnsi="仿宋" w:eastAsia="仿宋" w:cs="仿宋"/>
                <w:color w:val="auto"/>
                <w:sz w:val="24"/>
                <w:szCs w:val="24"/>
                <w:highlight w:val="none"/>
              </w:rPr>
              <w:t>3、结算方式及时间为：在领取中标通知书时由中标供应商一次性向招标代理机构付清。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22" w:type="dxa"/>
            <w:vMerge w:val="restart"/>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1523" w:type="dxa"/>
            <w:vMerge w:val="restart"/>
            <w:vAlign w:val="center"/>
          </w:tcPr>
          <w:p>
            <w:pPr>
              <w:adjustRightInd w:val="0"/>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其他注意事项</w:t>
            </w:r>
          </w:p>
        </w:tc>
        <w:tc>
          <w:tcPr>
            <w:tcW w:w="7554" w:type="dxa"/>
            <w:vAlign w:val="center"/>
          </w:tcPr>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招标文件中部分加“▲”的条款，属于招标文件的实质性要求和条件，着重提醒各投标人注意，并认真查看招标文件中的每一个条款及要求，因误读招标文件而造成的后果，招标人概不负责。</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2" w:type="dxa"/>
            <w:vMerge w:val="continue"/>
            <w:vAlign w:val="center"/>
          </w:tcPr>
          <w:p>
            <w:pPr>
              <w:spacing w:line="400" w:lineRule="exact"/>
              <w:jc w:val="center"/>
              <w:rPr>
                <w:rFonts w:ascii="仿宋" w:hAnsi="仿宋" w:eastAsia="仿宋" w:cs="仿宋"/>
                <w:color w:val="auto"/>
                <w:sz w:val="24"/>
                <w:highlight w:val="none"/>
              </w:rPr>
            </w:pPr>
          </w:p>
        </w:tc>
        <w:tc>
          <w:tcPr>
            <w:tcW w:w="1523" w:type="dxa"/>
            <w:vMerge w:val="continue"/>
            <w:vAlign w:val="center"/>
          </w:tcPr>
          <w:p>
            <w:pPr>
              <w:spacing w:line="400" w:lineRule="exact"/>
              <w:rPr>
                <w:rFonts w:ascii="仿宋" w:hAnsi="仿宋" w:eastAsia="仿宋" w:cs="仿宋"/>
                <w:color w:val="auto"/>
                <w:sz w:val="24"/>
                <w:highlight w:val="none"/>
              </w:rPr>
            </w:pPr>
          </w:p>
        </w:tc>
        <w:tc>
          <w:tcPr>
            <w:tcW w:w="7554" w:type="dxa"/>
            <w:vAlign w:val="center"/>
          </w:tcPr>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以上内容如有变化将另行通知，如通知其中某一项内容发生变化，其余未提及的内容将不作变动。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22" w:type="dxa"/>
            <w:vMerge w:val="continue"/>
            <w:vAlign w:val="center"/>
          </w:tcPr>
          <w:p>
            <w:pPr>
              <w:spacing w:line="400" w:lineRule="exact"/>
              <w:jc w:val="center"/>
              <w:rPr>
                <w:rFonts w:ascii="仿宋" w:hAnsi="仿宋" w:eastAsia="仿宋" w:cs="仿宋"/>
                <w:color w:val="auto"/>
                <w:sz w:val="24"/>
                <w:highlight w:val="none"/>
              </w:rPr>
            </w:pPr>
          </w:p>
        </w:tc>
        <w:tc>
          <w:tcPr>
            <w:tcW w:w="1523" w:type="dxa"/>
            <w:vMerge w:val="continue"/>
            <w:vAlign w:val="center"/>
          </w:tcPr>
          <w:p>
            <w:pPr>
              <w:spacing w:line="400" w:lineRule="exact"/>
              <w:rPr>
                <w:rFonts w:ascii="仿宋" w:hAnsi="仿宋" w:eastAsia="仿宋" w:cs="仿宋"/>
                <w:color w:val="auto"/>
                <w:sz w:val="24"/>
                <w:highlight w:val="none"/>
              </w:rPr>
            </w:pPr>
          </w:p>
        </w:tc>
        <w:tc>
          <w:tcPr>
            <w:tcW w:w="7554" w:type="dxa"/>
            <w:vAlign w:val="center"/>
          </w:tcPr>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根据浙江省财政厅文件浙财采监[2015]13号文件《关于印发浙江省政府采购活动现场组织管理办法的通知》要求，本项目按浙江省政府采购活动现场组织管理办法实施。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042" w:hRule="atLeast"/>
          <w:jc w:val="center"/>
        </w:trPr>
        <w:tc>
          <w:tcPr>
            <w:tcW w:w="722" w:type="dxa"/>
            <w:vMerge w:val="continue"/>
            <w:vAlign w:val="center"/>
          </w:tcPr>
          <w:p>
            <w:pPr>
              <w:spacing w:line="400" w:lineRule="exact"/>
              <w:jc w:val="center"/>
              <w:rPr>
                <w:rFonts w:ascii="仿宋" w:hAnsi="仿宋" w:eastAsia="仿宋" w:cs="仿宋"/>
                <w:color w:val="auto"/>
                <w:sz w:val="24"/>
                <w:highlight w:val="none"/>
              </w:rPr>
            </w:pPr>
          </w:p>
        </w:tc>
        <w:tc>
          <w:tcPr>
            <w:tcW w:w="1523" w:type="dxa"/>
            <w:vMerge w:val="continue"/>
            <w:vAlign w:val="center"/>
          </w:tcPr>
          <w:p>
            <w:pPr>
              <w:spacing w:line="400" w:lineRule="exact"/>
              <w:rPr>
                <w:rFonts w:ascii="仿宋" w:hAnsi="仿宋" w:eastAsia="仿宋" w:cs="仿宋"/>
                <w:color w:val="auto"/>
                <w:sz w:val="24"/>
                <w:highlight w:val="none"/>
              </w:rPr>
            </w:pPr>
          </w:p>
        </w:tc>
        <w:tc>
          <w:tcPr>
            <w:tcW w:w="7554" w:type="dxa"/>
            <w:vAlign w:val="center"/>
          </w:tcPr>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根据《关于在政府采购活动中查询及使用信用记录有关问题的通知》财库[2016]125号的规定：</w:t>
            </w:r>
          </w:p>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1）采购人或采购代理机构将对本项目投标人的信用记录进行查询。查询渠道为信用中国网站（www.creditchina.gov.cn）、中国政府采购网（www.ccgp.gov.cn）；</w:t>
            </w:r>
          </w:p>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2）截止时点：提交投标文件（响应文件）截止时间前3年内；</w:t>
            </w:r>
          </w:p>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3）查询记录和证据的留存：信用信息查询记录和证据以网页截图等方式留存。</w:t>
            </w:r>
          </w:p>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adjustRightInd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5）联合体成员任意一方存在不良信用记录的，视同联合体存在不良信用记录。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22" w:type="dxa"/>
            <w:vMerge w:val="continue"/>
            <w:vAlign w:val="center"/>
          </w:tcPr>
          <w:p>
            <w:pPr>
              <w:spacing w:line="400" w:lineRule="exact"/>
              <w:jc w:val="center"/>
              <w:rPr>
                <w:rFonts w:ascii="仿宋" w:hAnsi="仿宋" w:eastAsia="仿宋" w:cs="仿宋"/>
                <w:color w:val="auto"/>
                <w:sz w:val="24"/>
                <w:highlight w:val="none"/>
              </w:rPr>
            </w:pPr>
          </w:p>
        </w:tc>
        <w:tc>
          <w:tcPr>
            <w:tcW w:w="1523" w:type="dxa"/>
            <w:vMerge w:val="continue"/>
            <w:vAlign w:val="center"/>
          </w:tcPr>
          <w:p>
            <w:pPr>
              <w:spacing w:line="400" w:lineRule="exact"/>
              <w:rPr>
                <w:rFonts w:ascii="仿宋" w:hAnsi="仿宋" w:eastAsia="仿宋" w:cs="仿宋"/>
                <w:color w:val="auto"/>
                <w:sz w:val="24"/>
                <w:highlight w:val="none"/>
              </w:rPr>
            </w:pPr>
          </w:p>
        </w:tc>
        <w:tc>
          <w:tcPr>
            <w:tcW w:w="7554" w:type="dxa"/>
            <w:vAlign w:val="center"/>
          </w:tcPr>
          <w:p>
            <w:pPr>
              <w:adjustRightInd w:val="0"/>
              <w:snapToGrid w:val="0"/>
              <w:spacing w:line="400" w:lineRule="exact"/>
              <w:rPr>
                <w:rFonts w:ascii="仿宋" w:hAnsi="仿宋" w:eastAsia="仿宋" w:cs="仿宋"/>
                <w:color w:val="auto"/>
                <w:sz w:val="24"/>
                <w:highlight w:val="none"/>
              </w:rPr>
            </w:pPr>
            <w:r>
              <w:rPr>
                <w:rStyle w:val="608"/>
                <w:rFonts w:hint="default" w:ascii="仿宋" w:hAnsi="仿宋" w:eastAsia="仿宋" w:cs="仿宋"/>
                <w:b/>
                <w:bCs/>
                <w:color w:val="auto"/>
                <w:kern w:val="0"/>
                <w:sz w:val="24"/>
                <w:szCs w:val="24"/>
                <w:highlight w:val="none"/>
              </w:rPr>
              <w:t>投标截止时间后投标人凭CA数字证书完成投标解密等事宜。</w:t>
            </w:r>
            <w:r>
              <w:rPr>
                <w:rFonts w:hint="eastAsia" w:ascii="仿宋" w:hAnsi="仿宋" w:eastAsia="仿宋" w:cs="仿宋"/>
                <w:b/>
                <w:color w:val="auto"/>
                <w:sz w:val="24"/>
                <w:szCs w:val="24"/>
                <w:highlight w:val="none"/>
              </w:rPr>
              <w:t>投标人的联系电话在投标当天保持通信畅通，因通信问题无法联系到投标人造成的后果由投标人自行承担。</w:t>
            </w:r>
          </w:p>
        </w:tc>
      </w:tr>
      <w:bookmarkEnd w:id="16"/>
    </w:tbl>
    <w:p>
      <w:pPr>
        <w:adjustRightInd w:val="0"/>
        <w:snapToGrid w:val="0"/>
        <w:spacing w:line="360" w:lineRule="auto"/>
        <w:jc w:val="center"/>
        <w:outlineLvl w:val="1"/>
        <w:rPr>
          <w:rFonts w:ascii="仿宋" w:hAnsi="仿宋" w:eastAsia="仿宋" w:cs="仿宋"/>
          <w:b/>
          <w:color w:val="auto"/>
          <w:sz w:val="32"/>
          <w:highlight w:val="none"/>
        </w:rPr>
        <w:sectPr>
          <w:headerReference r:id="rId4" w:type="first"/>
          <w:footerReference r:id="rId6" w:type="first"/>
          <w:headerReference r:id="rId3" w:type="default"/>
          <w:footerReference r:id="rId5" w:type="default"/>
          <w:pgSz w:w="11906" w:h="16838"/>
          <w:pgMar w:top="1440" w:right="1440" w:bottom="1440" w:left="1440" w:header="851" w:footer="851" w:gutter="0"/>
          <w:cols w:space="720" w:num="1"/>
          <w:titlePg/>
          <w:docGrid w:linePitch="381" w:charSpace="0"/>
        </w:sectPr>
      </w:pPr>
      <w:bookmarkStart w:id="20" w:name="_Toc994"/>
      <w:bookmarkStart w:id="21" w:name="_Toc233618972"/>
      <w:bookmarkStart w:id="22" w:name="_Toc522530041"/>
      <w:bookmarkStart w:id="23" w:name="_Toc226106516"/>
      <w:bookmarkStart w:id="24" w:name="_Toc225840109"/>
      <w:bookmarkStart w:id="25" w:name="_Toc226521904"/>
      <w:bookmarkStart w:id="26" w:name="_Toc226106467"/>
    </w:p>
    <w:p>
      <w:pPr>
        <w:adjustRightInd w:val="0"/>
        <w:snapToGrid w:val="0"/>
        <w:spacing w:line="360" w:lineRule="auto"/>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一、总 则</w:t>
      </w:r>
      <w:bookmarkEnd w:id="20"/>
      <w:bookmarkEnd w:id="21"/>
      <w:bookmarkEnd w:id="22"/>
    </w:p>
    <w:p>
      <w:pPr>
        <w:pStyle w:val="46"/>
        <w:adjustRightInd w:val="0"/>
        <w:snapToGrid w:val="0"/>
        <w:spacing w:line="440" w:lineRule="exact"/>
        <w:rPr>
          <w:rFonts w:ascii="仿宋" w:hAnsi="仿宋" w:eastAsia="仿宋" w:cs="仿宋"/>
          <w:b/>
          <w:color w:val="auto"/>
          <w:sz w:val="24"/>
          <w:highlight w:val="none"/>
        </w:rPr>
      </w:pPr>
      <w:bookmarkStart w:id="27" w:name="_Hlt74714665"/>
      <w:bookmarkEnd w:id="27"/>
      <w:bookmarkStart w:id="28" w:name="_Hlt74730295"/>
      <w:bookmarkEnd w:id="28"/>
      <w:bookmarkStart w:id="29" w:name="_Hlt74730112"/>
      <w:bookmarkStart w:id="30" w:name="_Hlt74730208"/>
      <w:r>
        <w:rPr>
          <w:rFonts w:hint="eastAsia" w:ascii="仿宋" w:hAnsi="仿宋" w:eastAsia="仿宋" w:cs="仿宋"/>
          <w:b/>
          <w:color w:val="auto"/>
          <w:sz w:val="24"/>
          <w:highlight w:val="none"/>
        </w:rPr>
        <w:t>（一）实施依据</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本次招标工作按照《中华人民共和国政府采购法》等政府采购有关法律、法规、规章、文件的规定组织和实施。</w:t>
      </w:r>
    </w:p>
    <w:p>
      <w:pPr>
        <w:pStyle w:val="46"/>
        <w:adjustRightInd w:val="0"/>
        <w:snapToGrid w:val="0"/>
        <w:spacing w:line="440" w:lineRule="exact"/>
        <w:rPr>
          <w:rFonts w:ascii="仿宋" w:hAnsi="仿宋" w:eastAsia="仿宋" w:cs="仿宋"/>
          <w:b/>
          <w:color w:val="auto"/>
          <w:sz w:val="24"/>
          <w:highlight w:val="none"/>
        </w:rPr>
      </w:pPr>
      <w:bookmarkStart w:id="31" w:name="_Toc91899873"/>
      <w:r>
        <w:rPr>
          <w:rFonts w:hint="eastAsia" w:ascii="仿宋" w:hAnsi="仿宋" w:eastAsia="仿宋" w:cs="仿宋"/>
          <w:b/>
          <w:color w:val="auto"/>
          <w:sz w:val="24"/>
          <w:highlight w:val="none"/>
        </w:rPr>
        <w:t>（二）采购方式</w:t>
      </w:r>
      <w:bookmarkEnd w:id="31"/>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公开招标。</w:t>
      </w:r>
      <w:bookmarkEnd w:id="29"/>
      <w:bookmarkEnd w:id="30"/>
      <w:bookmarkStart w:id="32" w:name="_Hlt74388212"/>
      <w:bookmarkEnd w:id="32"/>
      <w:bookmarkStart w:id="33" w:name="_Hlt68516771"/>
      <w:bookmarkEnd w:id="33"/>
    </w:p>
    <w:p>
      <w:pPr>
        <w:adjustRightInd w:val="0"/>
        <w:snapToGrid w:val="0"/>
        <w:spacing w:line="440" w:lineRule="exact"/>
        <w:rPr>
          <w:rFonts w:ascii="仿宋" w:hAnsi="仿宋" w:eastAsia="仿宋" w:cs="仿宋"/>
          <w:b/>
          <w:color w:val="auto"/>
          <w:kern w:val="0"/>
          <w:sz w:val="24"/>
          <w:highlight w:val="none"/>
          <w:lang w:val="zh-CN"/>
        </w:rPr>
      </w:pPr>
      <w:bookmarkStart w:id="34" w:name="_Hlt74730303"/>
      <w:bookmarkStart w:id="35" w:name="_Toc91899877"/>
      <w:r>
        <w:rPr>
          <w:rFonts w:hint="eastAsia" w:ascii="仿宋" w:hAnsi="仿宋" w:eastAsia="仿宋" w:cs="仿宋"/>
          <w:b/>
          <w:color w:val="auto"/>
          <w:sz w:val="24"/>
          <w:highlight w:val="none"/>
        </w:rPr>
        <w:t>（三）</w:t>
      </w:r>
      <w:r>
        <w:rPr>
          <w:rFonts w:hint="eastAsia" w:ascii="仿宋" w:hAnsi="仿宋" w:eastAsia="仿宋" w:cs="仿宋"/>
          <w:b/>
          <w:color w:val="auto"/>
          <w:kern w:val="0"/>
          <w:sz w:val="24"/>
          <w:highlight w:val="none"/>
          <w:lang w:val="zh-CN"/>
        </w:rPr>
        <w:t>定义</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招标（采购）人：是指依法进行政府采购的国家机关、事业单位、团体组织，见本项目“招标公告”；</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招标（采购）代理机构：受招标人委托，在委托的范围内办理政府采购事宜并组织招标活动的机构，见本项目“招标公告”；</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投标人：是指参加本政府采购项目投标的投标人；</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中标人：是指经评审获得本项目最终合同签订资格的投标人。</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发包人（甲方）：是指合同签订的一方，一般与招标人、用户相同；</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承包人（乙方）：是指合同签订的另一方，一般与中标人相同；</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招标文件中中小企业政策功能的投标人：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监狱企业：是指由司法部认定的为罪犯、戒毒人员提供生产项目和劳动对象，且全部产权属于司法 部监狱管理局、戒毒管理局、直属煤矿管理局，各省、自治区、直辖市监狱管理局、戒毒管理局，各地 （设区的市）监狱、强制隔离戒毒所、戒毒康复所，以及新疆生产建设兵团监狱管理局、戒毒管理局的 企业。监狱企业参加政府采购活动时，应当提供由省级以上监狱管理局、戒毒管理局（含新疆生产建设 兵团）出具的属于监狱企业的证明文件；</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残疾人福利性单位：符合《财政部 民政部 中国残疾人联合会关于促进残疾人就业政府采购政策的 通知》（财库〔2017〕 141 号）的规定单位；</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政府采购监管部门：衢州市衢江区财政局政府采购监管科；</w:t>
      </w:r>
    </w:p>
    <w:p>
      <w:pPr>
        <w:adjustRightInd w:val="0"/>
        <w:snapToGrid w:val="0"/>
        <w:spacing w:line="440" w:lineRule="exact"/>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产品（货物）：系指按招标文件规定，须向招标人提供的一切设备及配套备品备件、工具、手册及其他有关技术资料和材料；</w:t>
      </w:r>
    </w:p>
    <w:p>
      <w:pPr>
        <w:adjustRightInd w:val="0"/>
        <w:snapToGrid w:val="0"/>
        <w:spacing w:line="440" w:lineRule="exact"/>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产品应符合国家节能环保要求；投标人在投标文件中提供相关证明材料。</w:t>
      </w:r>
    </w:p>
    <w:p>
      <w:pPr>
        <w:tabs>
          <w:tab w:val="left" w:pos="0"/>
        </w:tabs>
        <w:autoSpaceDE w:val="0"/>
        <w:autoSpaceDN w:val="0"/>
        <w:adjustRightIn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服务：</w:t>
      </w:r>
      <w:r>
        <w:rPr>
          <w:rFonts w:hint="eastAsia" w:ascii="仿宋" w:hAnsi="仿宋" w:eastAsia="仿宋" w:cs="仿宋"/>
          <w:color w:val="auto"/>
          <w:kern w:val="0"/>
          <w:sz w:val="24"/>
          <w:highlight w:val="none"/>
          <w:lang w:val="zh-CN"/>
        </w:rPr>
        <w:t>系指按招标文件规定，须向招标人提供</w:t>
      </w:r>
      <w:r>
        <w:rPr>
          <w:rFonts w:hint="eastAsia" w:ascii="仿宋" w:hAnsi="仿宋" w:eastAsia="仿宋" w:cs="仿宋"/>
          <w:color w:val="auto"/>
          <w:sz w:val="24"/>
          <w:highlight w:val="none"/>
          <w:lang w:val="zh-CN"/>
        </w:rPr>
        <w:t xml:space="preserve">的与供货有关的辅助服务，如运输、保险、培训安装、调试、验收、技术支持和交付使用后质保期内应履行的售后服务等义务； </w:t>
      </w:r>
    </w:p>
    <w:p>
      <w:pPr>
        <w:tabs>
          <w:tab w:val="left" w:pos="0"/>
        </w:tabs>
        <w:autoSpaceDE w:val="0"/>
        <w:autoSpaceDN w:val="0"/>
        <w:adjustRightInd w:val="0"/>
        <w:spacing w:line="440" w:lineRule="exact"/>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培训：系指按招标文件规定，向招标人提供操作使用培训、系统管理培训和其他相关培训等。</w:t>
      </w:r>
    </w:p>
    <w:p>
      <w:pPr>
        <w:tabs>
          <w:tab w:val="left" w:pos="0"/>
        </w:tabs>
        <w:autoSpaceDE w:val="0"/>
        <w:autoSpaceDN w:val="0"/>
        <w:adjustRightInd w:val="0"/>
        <w:spacing w:line="440" w:lineRule="exact"/>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书面形式：包括纸质文件、电子邮件、传真、信函、电报等。</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实质性响应:系指投标文件符合招标文件规定的实质性内容、条件和规定。</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重大偏离或保留：系指将会影响到招标文件规定的服务范围、质量标准，或会给合同中规定的招标人的权利和投标人的责任造成实质性限制，而纠正这些偏离或保留将对其他提交了实质性响应的投标文件的投标人产生不公平影响的。</w:t>
      </w:r>
    </w:p>
    <w:p>
      <w:pPr>
        <w:tabs>
          <w:tab w:val="left" w:pos="0"/>
        </w:tabs>
        <w:autoSpaceDE w:val="0"/>
        <w:autoSpaceDN w:val="0"/>
        <w:adjustRightIn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lang w:val="zh-CN"/>
        </w:rPr>
        <w:t>细微偏离：系指投标文件对招标文件的非实质性内容存在不完全响应或不响应。</w:t>
      </w:r>
    </w:p>
    <w:p>
      <w:pPr>
        <w:pStyle w:val="46"/>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（四）投标费用</w:t>
      </w:r>
    </w:p>
    <w:p>
      <w:pPr>
        <w:adjustRightInd w:val="0"/>
        <w:snapToGrid w:val="0"/>
        <w:spacing w:line="440" w:lineRule="exact"/>
        <w:ind w:firstLine="523" w:firstLineChars="218"/>
        <w:rPr>
          <w:rFonts w:ascii="仿宋" w:hAnsi="仿宋" w:eastAsia="仿宋" w:cs="仿宋"/>
          <w:color w:val="auto"/>
          <w:kern w:val="0"/>
          <w:position w:val="-5"/>
          <w:sz w:val="24"/>
          <w:highlight w:val="none"/>
        </w:rPr>
      </w:pPr>
      <w:r>
        <w:rPr>
          <w:rFonts w:hint="eastAsia" w:ascii="仿宋" w:hAnsi="仿宋" w:eastAsia="仿宋" w:cs="仿宋"/>
          <w:color w:val="auto"/>
          <w:kern w:val="0"/>
          <w:position w:val="-5"/>
          <w:sz w:val="24"/>
          <w:highlight w:val="none"/>
        </w:rPr>
        <w:t>无论招投标过程中的做法和结果如何，投标人自行承担招投标活动中所发生的全部费用。</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（五）语言文字</w:t>
      </w:r>
    </w:p>
    <w:bookmarkEnd w:id="34"/>
    <w:bookmarkEnd w:id="35"/>
    <w:p>
      <w:pPr>
        <w:adjustRightInd w:val="0"/>
        <w:snapToGrid w:val="0"/>
        <w:spacing w:line="440" w:lineRule="exact"/>
        <w:ind w:firstLine="523" w:firstLineChars="218"/>
        <w:rPr>
          <w:rFonts w:ascii="仿宋" w:hAnsi="仿宋" w:eastAsia="仿宋" w:cs="仿宋"/>
          <w:color w:val="auto"/>
          <w:sz w:val="24"/>
          <w:highlight w:val="none"/>
        </w:rPr>
      </w:pPr>
      <w:bookmarkStart w:id="36" w:name="_Hlt68057669"/>
      <w:bookmarkEnd w:id="36"/>
      <w:bookmarkStart w:id="37" w:name="_Hlt74707468"/>
      <w:bookmarkEnd w:id="37"/>
      <w:bookmarkStart w:id="38" w:name="_Hlt68072990"/>
      <w:bookmarkEnd w:id="38"/>
      <w:bookmarkStart w:id="39" w:name="_Hlt74729768"/>
      <w:bookmarkEnd w:id="39"/>
      <w:bookmarkStart w:id="40" w:name="_Hlt75236290"/>
      <w:bookmarkEnd w:id="40"/>
      <w:bookmarkStart w:id="41" w:name="_Toc91899879"/>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招标投标有关的语言使用中文。</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外文专用术语应附有中文注释。招投标文件及相关往来文件中有外文资料的（如质疑函、进口产品厂商授权书等），资料提供方应当将其翻译为中文，注明翻译人员姓名、工作单位、联系方式等信息，并对译文的完整性、客观性、真实性负责。</w:t>
      </w:r>
    </w:p>
    <w:p>
      <w:pPr>
        <w:adjustRightInd w:val="0"/>
        <w:snapToGrid w:val="0"/>
        <w:spacing w:line="440" w:lineRule="exact"/>
        <w:rPr>
          <w:rFonts w:ascii="仿宋" w:hAnsi="仿宋" w:eastAsia="仿宋" w:cs="仿宋"/>
          <w:color w:val="auto"/>
          <w:sz w:val="24"/>
          <w:highlight w:val="none"/>
        </w:rPr>
      </w:pPr>
      <w:r>
        <w:rPr>
          <w:rFonts w:hint="eastAsia" w:ascii="仿宋" w:hAnsi="仿宋" w:eastAsia="仿宋" w:cs="仿宋"/>
          <w:b/>
          <w:color w:val="auto"/>
          <w:sz w:val="24"/>
          <w:highlight w:val="none"/>
        </w:rPr>
        <w:t>（六）计量单位</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招标文件有明确规定的，适用招标文件规定的计量单位；招标文件没有规定的，应采用中华人民共和国法定计量单位，否则视同未响应。</w:t>
      </w:r>
    </w:p>
    <w:p>
      <w:pPr>
        <w:adjustRightInd w:val="0"/>
        <w:snapToGrid w:val="0"/>
        <w:spacing w:line="440" w:lineRule="exact"/>
        <w:rPr>
          <w:rFonts w:ascii="仿宋" w:hAnsi="仿宋" w:eastAsia="仿宋" w:cs="仿宋"/>
          <w:color w:val="auto"/>
          <w:sz w:val="24"/>
          <w:highlight w:val="none"/>
        </w:rPr>
      </w:pPr>
      <w:r>
        <w:rPr>
          <w:rFonts w:hint="eastAsia" w:ascii="仿宋" w:hAnsi="仿宋" w:eastAsia="仿宋" w:cs="仿宋"/>
          <w:b/>
          <w:color w:val="auto"/>
          <w:sz w:val="24"/>
          <w:highlight w:val="none"/>
        </w:rPr>
        <w:t>（七）转包与分包</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本项目不允许转包。本须知“前附表”规定允许分包的，投标人应当在投标文件载明分包的具体情况，应符合招标人在本须知“前附表”规定的分包内容、分包金额和接受分包的第三人资质要求等限制条件。</w:t>
      </w:r>
    </w:p>
    <w:p>
      <w:pPr>
        <w:adjustRightInd w:val="0"/>
        <w:snapToGrid w:val="0"/>
        <w:spacing w:line="440" w:lineRule="exact"/>
        <w:ind w:firstLine="523" w:firstLineChars="218"/>
        <w:rPr>
          <w:rFonts w:ascii="仿宋" w:hAnsi="仿宋" w:eastAsia="仿宋" w:cs="仿宋"/>
          <w:color w:val="auto"/>
          <w:sz w:val="24"/>
          <w:highlight w:val="none"/>
        </w:rPr>
      </w:pP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（八）踏勘现场</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若本须知“前附表”规定统一组织的，投标人应按规定的时间、地点准时出席，否则将不予单独安排；</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投标人踏勘现场发生的费用自理。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除招标人的原因外，投标人自行负责在踏勘现场中可能发生的人员伤亡和财产损失。</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招标人在踏勘现场中介绍的场地和相关的周边环境情况，投标人在编制投标文件时参考，招标人不对投标人据此作出的判断和决策负责。</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（九）投标预备会（答疑会）</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若本须知“前附表”规定召开答疑会的，招标人将按规定的时间、地点准时召开答疑会，澄清投标人提出的问题，投标人应按规定准时出席，否则将不予单独安排答疑。</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投标人应在答疑会时间的前一天，以书面形式将提出的问题送达招标人，以便招标人在会议期间澄清。</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答疑会后，招标人将按规定对投标人所提问题进行书面澄清答复。</w:t>
      </w:r>
    </w:p>
    <w:p>
      <w:pPr>
        <w:adjustRightInd w:val="0"/>
        <w:snapToGrid w:val="0"/>
        <w:spacing w:line="440" w:lineRule="exact"/>
        <w:rPr>
          <w:rFonts w:ascii="仿宋" w:hAnsi="仿宋" w:eastAsia="仿宋" w:cs="仿宋"/>
          <w:color w:val="auto"/>
          <w:sz w:val="24"/>
          <w:highlight w:val="none"/>
        </w:rPr>
      </w:pPr>
      <w:r>
        <w:rPr>
          <w:rFonts w:hint="eastAsia" w:ascii="仿宋" w:hAnsi="仿宋" w:eastAsia="仿宋" w:cs="仿宋"/>
          <w:b/>
          <w:color w:val="auto"/>
          <w:sz w:val="24"/>
          <w:highlight w:val="none"/>
        </w:rPr>
        <w:t>（十）对投标人的限制</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单位负责人（指法定代表人或者法律、行政法规规定代表单位行使职权的主要负责人）为同一人或者存在直接控股、管理关系的不同投标人不得分别参加同一合同项下的采购活动。违反本条规定的，相关投标均无效；</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为本项目提供过整体设计、规范编制或者项目管理、监理、检测等服务的投标人，不得再参加该采购项目的其他采购活动（不包括为该项目提供整体设计、规范编制或者项目管理、监理、检测等服务）；</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以联合体形式参加政府采购活动的，联合体各方不得再单独参加或者与其他投标人另外组成联合体参加同一合同项下的政府采购活动；</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为证明投标人拥有的业绩、荣誉、知识产权、项目案例等而在投标文件中提供的证明材料必须为投标人自身所有。不同法人、其他组织的资料与投标人无关。</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投标人之间的利害关系：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（1）法定代表人或负责人或实际控制人是夫妻关系；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（2）法定代表人或负责人或实际控制人是直系血亲关系；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（3）法定代表人或负责人或实际控制人存在三代以内旁系血亲关系；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（4）法定代表人或负责人或实际控制人存在近姻亲关系；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（5）法定代表人或负责人或实际控制人存在股份控制或实际控制关系；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（6）存在共同直接或间接投资设立子公司、联营企业和合营企业情况；</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（7）存在分级代理或代销关系、同一生产制造商关系、管理关系、重要业务（占主营业务收入 50%以 上）或重要财务往来关系（如融资）等其他实质性控制关系； 如投标人之间存在以上利害关系并且存在影响政府采购公平竞争的行为的相关投标人的投标均无效。 </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招标公告中明确专门面向中小微企业采购的项目，只能由中小企业或微型企业参加。</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投标截止前被“信用中国”网站(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仿宋" w:hAnsi="仿宋" w:eastAsia="仿宋" w:cs="仿宋"/>
          <w:color w:val="auto"/>
          <w:sz w:val="24"/>
          <w:highlight w:val="none"/>
        </w:rPr>
        <w:t>www.creditchina.gov.cn</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)列入失信被执行人、重大税收违法案件当事人名单或被“中国政府采购网”(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仿宋" w:hAnsi="仿宋" w:eastAsia="仿宋" w:cs="仿宋"/>
          <w:color w:val="auto"/>
          <w:sz w:val="24"/>
          <w:highlight w:val="none"/>
        </w:rPr>
        <w:t>www.ccgp.gov.cn</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)列入政府采购严重违法失信行为记录名单等存在不良信用记录的投标人将被拒绝参加本项目采购活动。具体以投标截止当日招标代理机构在上述两个网站上查询到的信息为准。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两个以上的自然人、法人或者其他组织组成一个联合体，以一个投标人的身份共同参加政府采购活动的，将对所有联合体成员进行信用记录查询，联合体成员存在不良信用记录的，视同联合体存在不良信用记录。</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（十一）质疑与投诉</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认为招标文件、招标过程或中标结果使自己的合法权益受到损害的，应当在知道或者应知其权益受到损害之日起七个工作日内，以书面形式向招标人、招标代理机构提出质疑，逾期提出的，招标人与招标代理机构可以不予受理、答复。“知道或者应知其权益受到损害之日”是指：</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（1）对招标文件提出质疑的，为招标公告期限届满之日（公告期限为公告发布后5个工作日，不含发布当日）；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（2）对采购过程提出质疑的，为各招标程序环节结束之日；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（3）对评标结果提出质疑的，为中标结果公告期限届满之日（公告期限为公告发布后1个工作日，不含发布当日）。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质疑、投诉应当采用书面形式，其中质疑书、投诉书均应当明确阐述招标文件、招标过程或者中标结果中使自己合法权益受到损害的实质性内容，并提供相关事实、依据和证据及其来源或线索，便于有关单位调查、答复和处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质疑（投诉）函应载明质疑（投诉）人全称、地址、邮编、传真、联系人、联系电话，电子邮箱；联系人必须为投标人的在职职工，须提供法定代表人授权文件、法定代表人及联系人的身份证复印件、以及投标人为该联系人缴纳的社保凭证，联系人为法定代表人的须提供法定代表人资格证明及身份证复印件；质疑（投诉）函必须有联系人署名且加盖公章，否则不予受理（一式三份）。</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质疑、投诉函以电子邮件或传真形式提交的，还须在提交后以邮寄的方式提交质疑书纸质原件，以实际收到原件之日作为收到质疑之日。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未按上述要求提供的质疑（投诉）函，采购组织机构有权不予受理。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质疑投标人对招标人、招标代理机构的答复不满意或者招标人、招标代理机构未在规定时间内作出答复的，可以在答复期满后十五个工作日内向同级采购监管部门投诉。</w:t>
      </w:r>
    </w:p>
    <w:p>
      <w:pPr>
        <w:adjustRightInd w:val="0"/>
        <w:snapToGrid w:val="0"/>
        <w:spacing w:line="440" w:lineRule="exact"/>
        <w:rPr>
          <w:rFonts w:ascii="仿宋" w:hAnsi="仿宋" w:eastAsia="仿宋" w:cs="仿宋"/>
          <w:color w:val="auto"/>
          <w:sz w:val="24"/>
          <w:highlight w:val="none"/>
        </w:rPr>
      </w:pPr>
      <w:r>
        <w:rPr>
          <w:rFonts w:hint="eastAsia" w:ascii="仿宋" w:hAnsi="仿宋" w:eastAsia="仿宋" w:cs="仿宋"/>
          <w:b/>
          <w:color w:val="auto"/>
          <w:sz w:val="24"/>
          <w:highlight w:val="none"/>
        </w:rPr>
        <w:t>（十二）其他注意事项</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见本须知“前附表”，同时还需注意以下事项：</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法定代表人授权代表须为投标人</w:t>
      </w:r>
      <w:r>
        <w:rPr>
          <w:rFonts w:hint="eastAsia" w:ascii="仿宋" w:hAnsi="仿宋" w:eastAsia="仿宋" w:cs="仿宋"/>
          <w:b/>
          <w:color w:val="auto"/>
          <w:sz w:val="24"/>
          <w:highlight w:val="none"/>
        </w:rPr>
        <w:t>在职职工</w:t>
      </w:r>
      <w:r>
        <w:rPr>
          <w:rFonts w:hint="eastAsia" w:ascii="仿宋" w:hAnsi="仿宋" w:eastAsia="仿宋" w:cs="仿宋"/>
          <w:color w:val="auto"/>
          <w:sz w:val="24"/>
          <w:highlight w:val="none"/>
        </w:rPr>
        <w:t>，投标人须在投标文件中提供附有该授权代表为投标人</w:t>
      </w:r>
      <w:r>
        <w:rPr>
          <w:rFonts w:hint="eastAsia" w:ascii="仿宋" w:hAnsi="仿宋" w:eastAsia="仿宋" w:cs="仿宋"/>
          <w:b/>
          <w:color w:val="auto"/>
          <w:sz w:val="24"/>
          <w:highlight w:val="none"/>
        </w:rPr>
        <w:t>在职员工相关证明文件（如投标人为该员工缴纳的社保记录或劳务合同等）</w:t>
      </w:r>
      <w:r>
        <w:rPr>
          <w:rFonts w:hint="eastAsia" w:ascii="仿宋" w:hAnsi="仿宋" w:eastAsia="仿宋" w:cs="仿宋"/>
          <w:color w:val="auto"/>
          <w:sz w:val="24"/>
          <w:highlight w:val="none"/>
        </w:rPr>
        <w:t>的《法定代表人授权书》。</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▲投标人对所投标项内的采购内容必须全部进行投标。</w:t>
      </w:r>
    </w:p>
    <w:p>
      <w:pPr>
        <w:adjustRightInd w:val="0"/>
        <w:snapToGrid w:val="0"/>
        <w:spacing w:line="440" w:lineRule="exact"/>
        <w:ind w:firstLine="523" w:firstLineChars="218"/>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不论招标人、招标代理机构向投标人发送的资料文件，还是投标人提出的问题，均采用书面形式，任何口头提问及答复一律无效。</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（十三）保密</w:t>
      </w:r>
    </w:p>
    <w:p>
      <w:pPr>
        <w:pStyle w:val="46"/>
        <w:adjustRightInd w:val="0"/>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参与招标投标活动的各方应对招标文件和投标文件中的商业和技术等秘密保密，违者应对此造成的后果承担法律责任。</w:t>
      </w:r>
    </w:p>
    <w:bookmarkEnd w:id="41"/>
    <w:p>
      <w:pPr>
        <w:adjustRightInd w:val="0"/>
        <w:snapToGrid w:val="0"/>
        <w:spacing w:line="440" w:lineRule="exact"/>
        <w:jc w:val="center"/>
        <w:outlineLvl w:val="1"/>
        <w:rPr>
          <w:rFonts w:ascii="仿宋" w:hAnsi="仿宋" w:eastAsia="仿宋" w:cs="仿宋"/>
          <w:b/>
          <w:color w:val="auto"/>
          <w:sz w:val="32"/>
          <w:highlight w:val="none"/>
        </w:rPr>
      </w:pPr>
      <w:bookmarkStart w:id="42" w:name="_Toc9352"/>
      <w:bookmarkStart w:id="43" w:name="_Toc233618973"/>
      <w:bookmarkStart w:id="44" w:name="_Toc522530042"/>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二、招标文件</w:t>
      </w:r>
      <w:bookmarkEnd w:id="42"/>
      <w:bookmarkEnd w:id="43"/>
      <w:bookmarkEnd w:id="44"/>
    </w:p>
    <w:p>
      <w:pPr>
        <w:pStyle w:val="46"/>
        <w:adjustRightInd w:val="0"/>
        <w:snapToGrid w:val="0"/>
        <w:spacing w:line="440" w:lineRule="exact"/>
        <w:rPr>
          <w:rFonts w:ascii="仿宋" w:hAnsi="仿宋" w:eastAsia="仿宋" w:cs="仿宋"/>
          <w:b/>
          <w:color w:val="auto"/>
          <w:sz w:val="24"/>
          <w:highlight w:val="none"/>
        </w:rPr>
      </w:pPr>
      <w:bookmarkStart w:id="45" w:name="_Toc91899880"/>
      <w:bookmarkStart w:id="46" w:name="_Hlt74730307"/>
      <w:r>
        <w:rPr>
          <w:rFonts w:hint="eastAsia" w:ascii="仿宋" w:hAnsi="仿宋" w:eastAsia="仿宋" w:cs="仿宋"/>
          <w:b/>
          <w:color w:val="auto"/>
          <w:sz w:val="24"/>
          <w:highlight w:val="none"/>
        </w:rPr>
        <w:t>（一）招标文件的</w:t>
      </w:r>
      <w:bookmarkEnd w:id="45"/>
      <w:r>
        <w:rPr>
          <w:rFonts w:hint="eastAsia" w:ascii="仿宋" w:hAnsi="仿宋" w:eastAsia="仿宋" w:cs="仿宋"/>
          <w:b/>
          <w:color w:val="auto"/>
          <w:sz w:val="24"/>
          <w:highlight w:val="none"/>
        </w:rPr>
        <w:t>组成</w:t>
      </w:r>
    </w:p>
    <w:bookmarkEnd w:id="46"/>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招标文件包括下列文件及附件</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第一部分  招标公告</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第二部分  投标人须知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第三部分  采购内容及需求</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第四部分  合同文本</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第五部分  投标文件部分格式文件</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第六部分  评分办法</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补充文件（如果有，包括相关的补充、更正、澄清公告和文件）</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其他附件（如果有，如图纸等）</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投标人应认真审阅上述招标文件组成中所有的内容。如果投标人编制的投标文件没有从实质上响应招标文件的要求，其投标文件将被拒绝。</w:t>
      </w:r>
    </w:p>
    <w:p>
      <w:pPr>
        <w:pStyle w:val="46"/>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（二）招标文件的解释</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投标人一旦参与本次招标活动，即被视为接受了本招标文件的所有内容，如有任何异议，均应在答疑截止时间前提出。</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招标文件澄清、答复、修改、补充等书面内容均作为招标文件的补充文件，是招标文件的组成部分，将以传真、网上公告、电子邮件等形式书面告知所有购买招标文件的投标人，并对所有投标人均有约束力。当招标文件与补充文件就同一内容的表述不一致时，以最后发出的书面文件为准。</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招标文件的解释权归招标人、招标代理机构所有。</w:t>
      </w:r>
    </w:p>
    <w:p>
      <w:pPr>
        <w:tabs>
          <w:tab w:val="left" w:pos="3780"/>
        </w:tabs>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（三）招标文件的澄清</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对招标文件如有疑问要求澄清，或认为有必要与招标人、招标代理机构进行技术交流的，投标人需将书面资料（《（项目名称）询问函》）在招标公告规定的询问截止时间前（对补充文件如有疑问要求澄清的，应在 24 小时内）以书面形式送达至招标代理机构，并与招标代理机构进行确认。招标代理机构有权对逾期收到疑问将不予受理、答复。</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投标人要求澄清的资料应写明投标人全称、地址、邮编、传真、联系人、联系电话、电子邮箱、询疑日期并加盖投标人公章。</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 xml:space="preserve"> 如有必要，招标人和招标代理机构对投标人所有要求澄清的问题都予以书面解答，澄清答复的文件为招标补充文件，作为招标文件的组成部分。</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 xml:space="preserve"> 投标人在招标文件规定的询疑截止时间前内未对招标文件提出疑问的，招标代理机构将视其对招标文件无异议。</w:t>
      </w:r>
    </w:p>
    <w:p>
      <w:pPr>
        <w:pStyle w:val="46"/>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（四）招标文件的修改</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由于各种原因招标人可能在投标截止时间前以澄清、答复、修改、补充文件的形式修改完善招标文件。</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澄清、答复、修改、补充文件发出后，原则上不改变招标文件规定的投标截止时间及开标时间。投标人如认为澄清、答复、修改、补充文件内容影响投标文件编制，须延长投标截止时间的，必须在收到澄清、答复、修改、补充文件后 24 小时内将意见和理由以书面形式向招标代理机构提出，否则，招标代理机构视投标人完全接受并有足够的时间编制投标文件且按规定时间进行投标。</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投标人在收到澄清、答复、修改、补充文件后，应在 24 小时内以书面形式向招标代理机构确认已收到该澄清、答复、修改、补充文件，逾期未确认的招标代理机构有权视其已收到。对澄清、答复、修改、补充文件如有疑问要求澄清，应在 24 小时内将书面送达招标代理机构，并与招标代理机构进行确认，逾期提出的，招标代理机构可不予受理。如有必要，招标代理机构将以书面形式回复询疑人。</w:t>
      </w:r>
    </w:p>
    <w:p>
      <w:pPr>
        <w:adjustRightInd w:val="0"/>
        <w:snapToGrid w:val="0"/>
        <w:spacing w:line="440" w:lineRule="exact"/>
        <w:jc w:val="center"/>
        <w:outlineLvl w:val="1"/>
        <w:rPr>
          <w:rFonts w:ascii="仿宋" w:hAnsi="仿宋" w:eastAsia="仿宋" w:cs="仿宋"/>
          <w:b/>
          <w:color w:val="auto"/>
          <w:sz w:val="32"/>
          <w:highlight w:val="none"/>
        </w:rPr>
      </w:pPr>
      <w:bookmarkStart w:id="47" w:name="_Toc522530043"/>
      <w:bookmarkStart w:id="48" w:name="_Toc233618974"/>
      <w:bookmarkStart w:id="49" w:name="_Toc91899884"/>
      <w:bookmarkStart w:id="50" w:name="_Toc20674"/>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三、投标文件</w:t>
      </w:r>
      <w:bookmarkEnd w:id="47"/>
      <w:bookmarkEnd w:id="48"/>
      <w:bookmarkEnd w:id="49"/>
      <w:bookmarkEnd w:id="50"/>
    </w:p>
    <w:p>
      <w:pPr>
        <w:pStyle w:val="310"/>
        <w:adjustRightInd w:val="0"/>
        <w:snapToGrid w:val="0"/>
        <w:spacing w:before="0" w:line="440" w:lineRule="exact"/>
        <w:ind w:firstLine="0" w:firstLineChars="0"/>
        <w:rPr>
          <w:rFonts w:ascii="仿宋" w:hAnsi="仿宋" w:eastAsia="仿宋" w:cs="仿宋"/>
          <w:color w:val="auto"/>
          <w:kern w:val="0"/>
          <w:highlight w:val="none"/>
          <w:lang w:val="zh-CN"/>
        </w:rPr>
      </w:pPr>
      <w:r>
        <w:rPr>
          <w:rFonts w:hint="eastAsia" w:ascii="仿宋" w:hAnsi="仿宋" w:eastAsia="仿宋" w:cs="仿宋"/>
          <w:b/>
          <w:color w:val="auto"/>
          <w:highlight w:val="none"/>
        </w:rPr>
        <w:t>（一）投标文件的编制</w:t>
      </w:r>
    </w:p>
    <w:p>
      <w:pPr>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kern w:val="0"/>
          <w:sz w:val="24"/>
          <w:highlight w:val="none"/>
        </w:rPr>
        <w:t>1</w:t>
      </w:r>
      <w:r>
        <w:rPr>
          <w:rFonts w:hint="eastAsia" w:ascii="仿宋" w:hAnsi="仿宋" w:eastAsia="仿宋" w:cs="仿宋"/>
          <w:b/>
          <w:color w:val="auto"/>
          <w:kern w:val="0"/>
          <w:sz w:val="24"/>
          <w:highlight w:val="none"/>
          <w:lang w:val="en-US" w:eastAsia="zh-CN"/>
        </w:rPr>
        <w:t>.</w:t>
      </w:r>
      <w:r>
        <w:rPr>
          <w:rFonts w:hint="eastAsia" w:ascii="仿宋" w:hAnsi="仿宋" w:eastAsia="仿宋" w:cs="仿宋"/>
          <w:b/>
          <w:color w:val="auto"/>
          <w:sz w:val="24"/>
          <w:highlight w:val="none"/>
        </w:rPr>
        <w:t>本项目通过“政府采购云平台（www.zcygov.cn）”实行在线投标响应（电子投标）。投标人应通过“政采云电子交易客户端”，并按照本招标文件和“政府采购云平台”的要求编制并加密投标文件并进行关联定位。</w:t>
      </w:r>
    </w:p>
    <w:p>
      <w:pPr>
        <w:spacing w:line="440" w:lineRule="exact"/>
        <w:ind w:firstLine="422" w:firstLineChars="175"/>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2、投标人应当按照本章节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440" w:lineRule="exact"/>
        <w:ind w:firstLine="422" w:firstLineChars="175"/>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本文件《第五部分  投标文件部分格式文件》中有提供格式的，投标人须参照格式进行编制（格式中要求提供相关证明材料的还需后附相关证明材料），并按格式要求在指定位置根据要求进行签章，否则视为未提供；本文件《第五部分  投标文件部分格式文件》未提供格式的，请各投标单位自行拟定格式，并加盖单位公章并由法定代表人或其授权代表签署（签字或盖章），否则视为未提供。</w:t>
      </w:r>
    </w:p>
    <w:p>
      <w:pPr>
        <w:spacing w:line="440" w:lineRule="exact"/>
        <w:ind w:firstLine="420" w:firstLineChars="175"/>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《投标文件》内容不完整、编排混乱导致《投标文件》被误读、漏读或者查找不到相关内容的，是投标人的责任。</w:t>
      </w:r>
    </w:p>
    <w:p>
      <w:pPr>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《投标文件》因字迹潦草或表达不清所引起的后果由投标人负责。</w:t>
      </w:r>
    </w:p>
    <w:p>
      <w:pPr>
        <w:tabs>
          <w:tab w:val="left" w:pos="3780"/>
        </w:tabs>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投标人没有按照本章节 “投标文件组成”要求提供全部资料，或者没有仔细阅读招标文件，或者没有对招标文件在各方面的要求作出实质性响应是投标人的风险，由此造成的一切后果由投标人自行承担。</w:t>
      </w:r>
    </w:p>
    <w:p>
      <w:pPr>
        <w:tabs>
          <w:tab w:val="left" w:pos="3780"/>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投标文件必须按招标文件提供的格式签字或盖章。授权代表签字的，投标文件应附法定代表人签署的授权委托书。</w:t>
      </w:r>
    </w:p>
    <w:p>
      <w:pPr>
        <w:pStyle w:val="5"/>
        <w:spacing w:before="0" w:after="0" w:line="440" w:lineRule="exact"/>
        <w:ind w:left="378" w:hanging="378" w:hangingChars="157"/>
        <w:jc w:val="both"/>
        <w:rPr>
          <w:rFonts w:ascii="仿宋" w:hAnsi="仿宋" w:eastAsia="仿宋" w:cs="仿宋"/>
          <w:color w:val="auto"/>
          <w:sz w:val="24"/>
          <w:szCs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z w:val="24"/>
          <w:szCs w:val="24"/>
          <w:highlight w:val="none"/>
        </w:rPr>
        <w:t>投标文件的签章</w:t>
      </w:r>
    </w:p>
    <w:p>
      <w:pPr>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1</w:t>
      </w:r>
      <w:r>
        <w:rPr>
          <w:rFonts w:hint="eastAsia" w:ascii="仿宋" w:hAnsi="仿宋" w:eastAsia="仿宋" w:cs="仿宋"/>
          <w:b/>
          <w:color w:val="auto"/>
          <w:sz w:val="24"/>
          <w:szCs w:val="22"/>
          <w:highlight w:val="none"/>
          <w:lang w:val="en-US" w:eastAsia="zh-CN"/>
        </w:rPr>
        <w:t>.</w:t>
      </w:r>
      <w:r>
        <w:rPr>
          <w:rFonts w:hint="eastAsia" w:ascii="仿宋" w:hAnsi="仿宋" w:eastAsia="仿宋" w:cs="仿宋"/>
          <w:b/>
          <w:color w:val="auto"/>
          <w:sz w:val="24"/>
          <w:szCs w:val="22"/>
          <w:highlight w:val="none"/>
        </w:rPr>
        <w:t>《投标文件》的签章：见《前附表》；</w:t>
      </w:r>
    </w:p>
    <w:p>
      <w:pPr>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2</w:t>
      </w:r>
      <w:r>
        <w:rPr>
          <w:rFonts w:hint="eastAsia" w:ascii="仿宋" w:hAnsi="仿宋" w:eastAsia="仿宋" w:cs="仿宋"/>
          <w:b/>
          <w:color w:val="auto"/>
          <w:sz w:val="24"/>
          <w:szCs w:val="22"/>
          <w:highlight w:val="none"/>
          <w:lang w:val="en-US" w:eastAsia="zh-CN"/>
        </w:rPr>
        <w:t>.</w:t>
      </w:r>
      <w:r>
        <w:rPr>
          <w:rFonts w:hint="eastAsia" w:ascii="仿宋" w:hAnsi="仿宋" w:eastAsia="仿宋" w:cs="仿宋"/>
          <w:b/>
          <w:color w:val="auto"/>
          <w:sz w:val="24"/>
          <w:szCs w:val="22"/>
          <w:highlight w:val="none"/>
        </w:rPr>
        <w:t>《投标文件》应由投标人法定代表人或其授权代表签字（或盖章），并时加盖投标人公章。</w:t>
      </w:r>
    </w:p>
    <w:p>
      <w:pPr>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3</w:t>
      </w:r>
      <w:r>
        <w:rPr>
          <w:rFonts w:hint="eastAsia" w:ascii="仿宋" w:hAnsi="仿宋" w:eastAsia="仿宋" w:cs="仿宋"/>
          <w:b/>
          <w:color w:val="auto"/>
          <w:sz w:val="24"/>
          <w:szCs w:val="22"/>
          <w:highlight w:val="none"/>
          <w:lang w:val="en-US" w:eastAsia="zh-CN"/>
        </w:rPr>
        <w:t>.</w:t>
      </w:r>
      <w:r>
        <w:rPr>
          <w:rFonts w:hint="eastAsia" w:ascii="仿宋" w:hAnsi="仿宋" w:eastAsia="仿宋" w:cs="仿宋"/>
          <w:b/>
          <w:color w:val="auto"/>
          <w:sz w:val="24"/>
          <w:szCs w:val="22"/>
          <w:highlight w:val="none"/>
        </w:rPr>
        <w:t>电子签章操作指南详见采购公告附件《供应商项目采购-电子招投标操作指南》。</w:t>
      </w:r>
    </w:p>
    <w:p>
      <w:pPr>
        <w:pStyle w:val="46"/>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（三）各标项投标文件的组成</w:t>
      </w:r>
    </w:p>
    <w:p>
      <w:pPr>
        <w:pStyle w:val="46"/>
        <w:adjustRightInd w:val="0"/>
        <w:snapToGrid w:val="0"/>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资格文件</w:t>
      </w:r>
    </w:p>
    <w:p>
      <w:pPr>
        <w:tabs>
          <w:tab w:val="left" w:pos="3780"/>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2"/>
          <w:highlight w:val="none"/>
        </w:rPr>
        <w:t>资格审查材料（按第五部分格式一要求提供）；</w:t>
      </w:r>
    </w:p>
    <w:p>
      <w:pPr>
        <w:pStyle w:val="46"/>
        <w:adjustRightInd w:val="0"/>
        <w:snapToGrid w:val="0"/>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商务技术文件</w:t>
      </w:r>
    </w:p>
    <w:p>
      <w:pPr>
        <w:pStyle w:val="46"/>
        <w:adjustRightInd w:val="0"/>
        <w:snapToGrid w:val="0"/>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【商务技术文件】根据评分标准自行编制，</w:t>
      </w:r>
      <w:r>
        <w:rPr>
          <w:rFonts w:hint="eastAsia" w:ascii="仿宋" w:hAnsi="仿宋" w:eastAsia="仿宋" w:cs="仿宋"/>
          <w:b/>
          <w:color w:val="auto"/>
          <w:sz w:val="24"/>
          <w:highlight w:val="none"/>
          <w:lang w:val="zh-CN"/>
        </w:rPr>
        <w:t>至少应包括以下内容：</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（1）投标声明函（格式见第五部分格式二）。</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（2）法定代表人身份证明或附有法定代表人身份证明及授权代表为投标人在职员工的证明文件（投标人为其缴纳的社保记录或劳务合同等）的授权委托书（格式见第五部分格式三）。</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（3）商务评分中所需的材料（如有，详见评标办法，资信获奖、认证体系证明材料等）。</w:t>
      </w:r>
    </w:p>
    <w:p>
      <w:pPr>
        <w:tabs>
          <w:tab w:val="left" w:pos="3780"/>
        </w:tabs>
        <w:spacing w:line="440" w:lineRule="exact"/>
        <w:ind w:firstLine="458" w:firstLineChars="191"/>
        <w:jc w:val="left"/>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（4）以往业绩情况（如有，具体要求见评标办法，并按第五部分格式四要求编排）</w:t>
      </w:r>
    </w:p>
    <w:p>
      <w:pPr>
        <w:tabs>
          <w:tab w:val="left" w:pos="3780"/>
        </w:tabs>
        <w:spacing w:line="440" w:lineRule="exact"/>
        <w:ind w:firstLine="458" w:firstLineChars="191"/>
        <w:jc w:val="left"/>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（5）拟投入本项目团队人员情况表（如有，具体要求见评标办法，并按第五部分格式五要求编排）。</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（6）商务/技术偏离表（格式见第五部分格式六）。</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（8）技术部分（具体要求见评标办法）</w:t>
      </w:r>
      <w:r>
        <w:rPr>
          <w:rFonts w:hint="eastAsia" w:ascii="仿宋" w:hAnsi="仿宋" w:eastAsia="仿宋" w:cs="仿宋"/>
          <w:color w:val="auto"/>
          <w:sz w:val="24"/>
          <w:szCs w:val="22"/>
          <w:highlight w:val="none"/>
          <w:lang w:val="en-GB"/>
        </w:rPr>
        <w:t>。</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（9）投标人需要说明的其他内容。</w:t>
      </w:r>
    </w:p>
    <w:p>
      <w:pPr>
        <w:pStyle w:val="46"/>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报价文件</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2"/>
          <w:highlight w:val="none"/>
        </w:rPr>
        <w:t>开标一览表（格式见第五部分格式七）。</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2"/>
          <w:highlight w:val="none"/>
        </w:rPr>
        <w:t>交纳采购代理服务费承诺书（格式见第五部分格式八）。</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）投标人认为需要的其他资料。</w:t>
      </w:r>
    </w:p>
    <w:p>
      <w:pPr>
        <w:pStyle w:val="310"/>
        <w:adjustRightInd w:val="0"/>
        <w:snapToGrid w:val="0"/>
        <w:spacing w:before="0" w:line="440" w:lineRule="exact"/>
        <w:ind w:firstLine="0" w:firstLineChars="0"/>
        <w:rPr>
          <w:rFonts w:ascii="仿宋" w:hAnsi="仿宋" w:eastAsia="仿宋" w:cs="仿宋"/>
          <w:b/>
          <w:color w:val="auto"/>
          <w:highlight w:val="none"/>
        </w:rPr>
      </w:pPr>
      <w:r>
        <w:rPr>
          <w:rFonts w:hint="eastAsia" w:ascii="仿宋" w:hAnsi="仿宋" w:eastAsia="仿宋" w:cs="仿宋"/>
          <w:b/>
          <w:color w:val="auto"/>
          <w:highlight w:val="none"/>
        </w:rPr>
        <w:t>（三）投标报价</w:t>
      </w:r>
    </w:p>
    <w:p>
      <w:pPr>
        <w:pStyle w:val="52"/>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本项目投标总价指完成本项目所需的所有费用，包括但不限于</w:t>
      </w:r>
      <w:r>
        <w:rPr>
          <w:rFonts w:hint="eastAsia" w:ascii="仿宋" w:hAnsi="仿宋" w:eastAsia="仿宋" w:cs="仿宋"/>
          <w:color w:val="auto"/>
          <w:sz w:val="24"/>
          <w:highlight w:val="none"/>
          <w:lang w:val="en-US" w:eastAsia="zh-CN"/>
        </w:rPr>
        <w:t>分类收集设施建设（每个投放口须配备垃圾桶）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供货及运输、安装调试、系统集成、项目验收、质保期限及运维期限内的运行维护、以及人工工资、社会保险费、劳保用品、员工住宿交通差旅费用、机械及工具费、技术支持、宣传、培训、税金、管理费、企业利润、政策性文件规定及合同包含的所有风险、责任等各项应有费用，供应商在合同服务期间内不得违反国家相关政策规定。</w:t>
      </w:r>
    </w:p>
    <w:p>
      <w:pPr>
        <w:pStyle w:val="52"/>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供应商认为为完成本采购文件规定的项目承包内容所发生的直接成本、间接成本、利润、税金、政策性文件规定的费用、设备进出场费、原材料价格变化风险等一切费用均应计入投标报价，凡未列入的将被认为均已包含在投标总价中，今后不得以任何理由追加或调整。</w:t>
      </w:r>
    </w:p>
    <w:p>
      <w:pPr>
        <w:pStyle w:val="52"/>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供应商必须按第六部分附件中的《开标一览表》填写报价。</w:t>
      </w:r>
    </w:p>
    <w:p>
      <w:pPr>
        <w:pStyle w:val="52"/>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采购人不接受任何选择报价，只允许一个报价。</w:t>
      </w:r>
    </w:p>
    <w:p>
      <w:pPr>
        <w:pStyle w:val="310"/>
        <w:adjustRightInd w:val="0"/>
        <w:snapToGrid w:val="0"/>
        <w:spacing w:before="0" w:line="440" w:lineRule="exact"/>
        <w:ind w:firstLine="0" w:firstLineChars="0"/>
        <w:rPr>
          <w:rFonts w:ascii="仿宋" w:hAnsi="仿宋" w:eastAsia="仿宋" w:cs="仿宋"/>
          <w:b/>
          <w:color w:val="auto"/>
          <w:highlight w:val="none"/>
        </w:rPr>
      </w:pPr>
      <w:bookmarkStart w:id="51" w:name="_Toc91899887"/>
      <w:r>
        <w:rPr>
          <w:rFonts w:hint="eastAsia" w:ascii="仿宋" w:hAnsi="仿宋" w:eastAsia="仿宋" w:cs="仿宋"/>
          <w:b/>
          <w:color w:val="auto"/>
          <w:highlight w:val="none"/>
        </w:rPr>
        <w:t>（四）投标有效期</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投标文件合格投递后，自投标截止日期起，至前附表规定的日期内有效。合同签订后，投标文件作为合同附件，投标文件有效期同合同有效期。</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招标人如因故推迟投标截止时间，将以书面形式通知所有投标人。在这种情况下，招标人与投标人以前在投标截止期方面的全部权利、责任和义务，将适用于延长至新的投标截止期。</w:t>
      </w:r>
    </w:p>
    <w:p>
      <w:pPr>
        <w:tabs>
          <w:tab w:val="left" w:pos="3780"/>
        </w:tabs>
        <w:spacing w:line="440" w:lineRule="exact"/>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投标人可拒绝接受延期要求。同意延长有效期的投标人不能修改投标文件。</w:t>
      </w:r>
    </w:p>
    <w:p>
      <w:pPr>
        <w:tabs>
          <w:tab w:val="left" w:pos="3780"/>
        </w:tabs>
        <w:spacing w:line="440" w:lineRule="exact"/>
        <w:ind w:firstLine="480" w:firstLineChars="200"/>
        <w:rPr>
          <w:color w:val="auto"/>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投标截止后，在投标有效期内，投标人不能撤销投标文件。投标人强行撤销投标文件的，应按采购预算金额的2%赔偿对采购组织机构造成的损失。</w:t>
      </w:r>
    </w:p>
    <w:bookmarkEnd w:id="51"/>
    <w:p>
      <w:pPr>
        <w:adjustRightInd w:val="0"/>
        <w:snapToGrid w:val="0"/>
        <w:spacing w:line="440" w:lineRule="exact"/>
        <w:jc w:val="center"/>
        <w:outlineLvl w:val="1"/>
        <w:rPr>
          <w:rFonts w:ascii="仿宋" w:hAnsi="仿宋" w:eastAsia="仿宋" w:cs="仿宋"/>
          <w:b/>
          <w:color w:val="auto"/>
          <w:sz w:val="32"/>
          <w:highlight w:val="none"/>
        </w:rPr>
      </w:pPr>
      <w:bookmarkStart w:id="52" w:name="_Toc19525"/>
      <w:bookmarkStart w:id="53" w:name="_Toc522530044"/>
      <w:bookmarkStart w:id="54" w:name="_Toc91899892"/>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四、投 标</w:t>
      </w:r>
      <w:bookmarkEnd w:id="52"/>
      <w:bookmarkEnd w:id="53"/>
    </w:p>
    <w:p>
      <w:pPr>
        <w:pStyle w:val="310"/>
        <w:adjustRightInd w:val="0"/>
        <w:snapToGrid w:val="0"/>
        <w:spacing w:before="0" w:line="440" w:lineRule="exact"/>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t>（一）投标文件的上传和递交</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“电子加密投标文件”的上传、递交：</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1）</w:t>
      </w:r>
      <w:r>
        <w:rPr>
          <w:rFonts w:hint="eastAsia" w:ascii="仿宋" w:hAnsi="仿宋" w:eastAsia="仿宋" w:cs="仿宋"/>
          <w:color w:val="auto"/>
          <w:sz w:val="24"/>
          <w:szCs w:val="22"/>
          <w:highlight w:val="none"/>
        </w:rPr>
        <w:t>投标人应在投标截止时间前将“电子加密投标文件”成功上传递交至“政府采购云平台”，否则投标无效。</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rPr>
        <w:t>“电子加密投标文件”成功上传递交后，投标人可自行打印投标文件接收回执。</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“备份投标文件”的密封包装、递交：</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1）</w:t>
      </w:r>
      <w:r>
        <w:rPr>
          <w:rFonts w:hint="eastAsia" w:ascii="仿宋" w:hAnsi="仿宋" w:eastAsia="仿宋" w:cs="仿宋"/>
          <w:color w:val="auto"/>
          <w:sz w:val="24"/>
          <w:szCs w:val="22"/>
          <w:highlight w:val="none"/>
        </w:rPr>
        <w:t>投标人在“政府采购云平台”完成“电子加密投标文件”的上传递交后，还可以（建议顺丰邮寄形式）在投标截止时间前递交以介质（U盘）存储的 “备份投标文件”（一份）；</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rPr>
        <w:t>“备份投标文件”应当密封包装，并在包装上标注投标项目名称、投标单位名称并加盖公章。没有密封包装或者逾期邮寄送达至投标地点的“备份投标文件”将不予接收；</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4）</w:t>
      </w:r>
      <w:r>
        <w:rPr>
          <w:rFonts w:hint="eastAsia" w:ascii="仿宋" w:hAnsi="仿宋" w:eastAsia="仿宋" w:cs="仿宋"/>
          <w:color w:val="auto"/>
          <w:sz w:val="24"/>
          <w:szCs w:val="22"/>
          <w:highlight w:val="none"/>
        </w:rPr>
        <w:t>电子备份投标文件，由投标人决定是否递交，并自行承担不递交电子备份投标文件的风险。</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招标人如因故推迟投标截止时间，将以书面形式通知所有投标人。在这种情况下，招标人与投标人以前在投标截止期方面的全部权利、责任和义务，将适用于延长至新的投标截止期。</w:t>
      </w:r>
    </w:p>
    <w:p>
      <w:pPr>
        <w:pStyle w:val="310"/>
        <w:adjustRightInd w:val="0"/>
        <w:snapToGrid w:val="0"/>
        <w:spacing w:before="0" w:line="440" w:lineRule="exact"/>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t>（二）“电子加密投标文件”解密和异常情况处理</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val="en-US" w:eastAsia="zh-CN"/>
        </w:rPr>
        <w:t>1.</w:t>
      </w:r>
      <w:r>
        <w:rPr>
          <w:rFonts w:hint="eastAsia" w:ascii="仿宋" w:hAnsi="仿宋" w:eastAsia="仿宋" w:cs="仿宋"/>
          <w:color w:val="auto"/>
          <w:sz w:val="24"/>
          <w:szCs w:val="22"/>
          <w:highlight w:val="none"/>
        </w:rPr>
        <w:t>开标后，采购组织机构将向各投标人发出“电子加密投标文件”的解密通知，各投标人代表应当在接到解密通知后30分钟内自行完成“电子加密投标文件”的在线解密。</w:t>
      </w:r>
    </w:p>
    <w:p>
      <w:pPr>
        <w:tabs>
          <w:tab w:val="left" w:pos="3780"/>
        </w:tabs>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rPr>
        <w:t>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tabs>
          <w:tab w:val="left" w:pos="3780"/>
        </w:tabs>
        <w:spacing w:line="440" w:lineRule="exact"/>
        <w:ind w:firstLine="480" w:firstLineChars="200"/>
        <w:rPr>
          <w:rFonts w:ascii="仿宋" w:hAnsi="仿宋" w:eastAsia="仿宋" w:cs="仿宋"/>
          <w:b/>
          <w:bCs/>
          <w:color w:val="auto"/>
          <w:sz w:val="24"/>
          <w:szCs w:val="22"/>
          <w:highlight w:val="none"/>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投标截止时间前，投标人仅递交了“备份投标文件”而未将电子加密投标文件上传至“政府采购云平台”的，投标无效。</w:t>
      </w:r>
    </w:p>
    <w:p>
      <w:pPr>
        <w:pStyle w:val="310"/>
        <w:adjustRightInd w:val="0"/>
        <w:snapToGrid w:val="0"/>
        <w:spacing w:before="0" w:line="440" w:lineRule="exact"/>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t>（三）投标文件的修改与撤回</w:t>
      </w:r>
    </w:p>
    <w:p>
      <w:pPr>
        <w:tabs>
          <w:tab w:val="left" w:pos="3780"/>
        </w:tabs>
        <w:spacing w:line="440" w:lineRule="exact"/>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tabs>
          <w:tab w:val="left" w:pos="3780"/>
        </w:tabs>
        <w:spacing w:line="440" w:lineRule="exact"/>
        <w:ind w:firstLine="480" w:firstLineChars="200"/>
        <w:rPr>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投标截止时间后，投标人不得撤回、修改《投标文件》。</w:t>
      </w:r>
    </w:p>
    <w:bookmarkEnd w:id="54"/>
    <w:p>
      <w:pPr>
        <w:adjustRightInd w:val="0"/>
        <w:snapToGrid w:val="0"/>
        <w:spacing w:line="440" w:lineRule="exact"/>
        <w:jc w:val="center"/>
        <w:outlineLvl w:val="1"/>
        <w:rPr>
          <w:rFonts w:ascii="仿宋" w:hAnsi="仿宋" w:eastAsia="仿宋" w:cs="仿宋"/>
          <w:b/>
          <w:color w:val="auto"/>
          <w:sz w:val="32"/>
          <w:highlight w:val="none"/>
        </w:rPr>
      </w:pPr>
      <w:bookmarkStart w:id="55" w:name="_Toc6430"/>
      <w:bookmarkStart w:id="56" w:name="_Toc522530045"/>
      <w:bookmarkStart w:id="57" w:name="_Toc91899897"/>
      <w:bookmarkStart w:id="58" w:name="_Toc233618976"/>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五、开 标</w:t>
      </w:r>
      <w:bookmarkEnd w:id="55"/>
      <w:bookmarkEnd w:id="56"/>
      <w:bookmarkEnd w:id="57"/>
      <w:bookmarkEnd w:id="58"/>
    </w:p>
    <w:p>
      <w:pPr>
        <w:pStyle w:val="5"/>
        <w:spacing w:before="0" w:after="0" w:line="440" w:lineRule="exact"/>
        <w:ind w:left="378" w:hanging="378" w:hangingChars="157"/>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（一）开标形式</w:t>
      </w:r>
    </w:p>
    <w:p>
      <w:pPr>
        <w:spacing w:line="440" w:lineRule="exact"/>
        <w:ind w:firstLine="426" w:firstLineChars="177"/>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采购组织机构将按照招标文件规定的时间通过“政府采购云平台”组织开标、开启投标文件，所有投标人均应当准时在线参加。</w:t>
      </w:r>
    </w:p>
    <w:p>
      <w:pPr>
        <w:pStyle w:val="5"/>
        <w:spacing w:before="0" w:after="0" w:line="440" w:lineRule="exact"/>
        <w:ind w:left="378" w:hanging="378" w:hangingChars="157"/>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（二）开标准备</w:t>
      </w:r>
    </w:p>
    <w:p>
      <w:pPr>
        <w:spacing w:line="440" w:lineRule="exact"/>
        <w:ind w:firstLine="422" w:firstLineChars="1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开标的准备工作由采购组织机构负责落实；</w:t>
      </w:r>
    </w:p>
    <w:p>
      <w:pPr>
        <w:spacing w:line="440" w:lineRule="exact"/>
        <w:ind w:firstLine="422" w:firstLineChars="1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w:t>
      </w:r>
      <w:r>
        <w:rPr>
          <w:rFonts w:hint="eastAsia" w:ascii="仿宋" w:hAnsi="仿宋" w:eastAsia="仿宋" w:cs="仿宋"/>
          <w:b/>
          <w:color w:val="auto"/>
          <w:sz w:val="24"/>
          <w:highlight w:val="none"/>
        </w:rPr>
        <w:t>采购组织机构将按照招标文件规定的时间通过“政府采购云平台”组织开标、开启投标文件，所有投标人均应当准时在线参加。</w:t>
      </w:r>
      <w:r>
        <w:rPr>
          <w:rFonts w:hint="eastAsia" w:ascii="仿宋" w:hAnsi="仿宋" w:eastAsia="仿宋" w:cs="仿宋"/>
          <w:b/>
          <w:color w:val="auto"/>
          <w:kern w:val="0"/>
          <w:sz w:val="24"/>
          <w:highlight w:val="none"/>
        </w:rPr>
        <w:t>投标人如不参加开标大会的，视同认可开标结果，事后不得对采购相关人员、开标过程和开标结果提出异议，同时投标人因未在线参加开标而导致投标文件无法按时解密等一切后果由投标人自己承担。</w:t>
      </w:r>
    </w:p>
    <w:p>
      <w:pPr>
        <w:pStyle w:val="5"/>
        <w:spacing w:before="0" w:after="0" w:line="440" w:lineRule="exact"/>
        <w:ind w:left="378" w:hanging="378" w:hangingChars="157"/>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（三）开标流程（两阶段）</w:t>
      </w:r>
    </w:p>
    <w:p>
      <w:pPr>
        <w:spacing w:line="440" w:lineRule="exact"/>
        <w:ind w:firstLine="426" w:firstLineChars="177"/>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w:t>
      </w:r>
      <w:r>
        <w:rPr>
          <w:rFonts w:hint="eastAsia" w:ascii="仿宋" w:hAnsi="仿宋" w:eastAsia="仿宋" w:cs="仿宋"/>
          <w:b/>
          <w:color w:val="auto"/>
          <w:kern w:val="0"/>
          <w:sz w:val="24"/>
          <w:highlight w:val="none"/>
          <w:lang w:val="en-US" w:eastAsia="zh-CN"/>
        </w:rPr>
        <w:t>.</w:t>
      </w:r>
      <w:r>
        <w:rPr>
          <w:rFonts w:hint="eastAsia" w:ascii="仿宋" w:hAnsi="仿宋" w:eastAsia="仿宋" w:cs="仿宋"/>
          <w:b/>
          <w:color w:val="auto"/>
          <w:kern w:val="0"/>
          <w:sz w:val="24"/>
          <w:highlight w:val="none"/>
        </w:rPr>
        <w:t>开标第一阶段</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b/>
          <w:bCs/>
          <w:color w:val="auto"/>
          <w:kern w:val="0"/>
          <w:sz w:val="24"/>
          <w:highlight w:val="none"/>
        </w:rPr>
        <w:t>投标文件解密结束，通过邮件形式发送各投标人组织签署《政府采购活动现场确认声明书》；</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（3）开启投标文件，进入资格审查；</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（4）开启资格审查通过的投标人的商务技术文件进入符合性审查、商务技术评审；</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（5）第一阶段开标结束。</w:t>
      </w:r>
    </w:p>
    <w:p>
      <w:pPr>
        <w:spacing w:line="440" w:lineRule="exact"/>
        <w:ind w:firstLine="426" w:firstLineChars="177"/>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备注：开标大会的第一阶段结束后，采购人或采购代理机构将对依法对投标人的资格进行审查，资格审查结束后进入符合性审查和商务技术的评审工作，具体见本章节“投标人资格审查”相关规定。</w:t>
      </w:r>
    </w:p>
    <w:p>
      <w:pPr>
        <w:spacing w:line="440" w:lineRule="exact"/>
        <w:ind w:firstLine="426" w:firstLineChars="177"/>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w:t>
      </w:r>
      <w:r>
        <w:rPr>
          <w:rFonts w:hint="eastAsia" w:ascii="仿宋" w:hAnsi="仿宋" w:eastAsia="仿宋" w:cs="仿宋"/>
          <w:b/>
          <w:color w:val="auto"/>
          <w:kern w:val="0"/>
          <w:sz w:val="24"/>
          <w:highlight w:val="none"/>
          <w:lang w:val="en-US" w:eastAsia="zh-CN"/>
        </w:rPr>
        <w:t>.</w:t>
      </w:r>
      <w:r>
        <w:rPr>
          <w:rFonts w:hint="eastAsia" w:ascii="仿宋" w:hAnsi="仿宋" w:eastAsia="仿宋" w:cs="仿宋"/>
          <w:b/>
          <w:color w:val="auto"/>
          <w:kern w:val="0"/>
          <w:sz w:val="24"/>
          <w:highlight w:val="none"/>
        </w:rPr>
        <w:t>开标大会第二阶段</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符合性审查、商务技术评审结束后，举行开标大会第二阶段会议。首先通过发送邮件形式公布符合性审查、商务技术评审无效投标人名称及理由；公布经商务技术评审后有效投标人的名单，同时公布其商务技术部分得分情况。</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开启符合性审查、商务技术评审有效投标人的《报价文件》，通过发送邮件形式公布开标一览表有关内容，同时当场制作开标记录表，投标人通过发送邮件形式签字确认（不予确认的应说明理由，否则视为无异议）。唱标结束后，由评标委员会对报价的合理性、准确性等进行审查核实。</w:t>
      </w:r>
    </w:p>
    <w:p>
      <w:pPr>
        <w:spacing w:line="440" w:lineRule="exact"/>
        <w:ind w:firstLine="424" w:firstLineChars="177"/>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（3）评审结束后，通过发送邮件形式公布中标候选人名单，及采购人最终确定中标人名单的时间和公告方式等。</w:t>
      </w:r>
    </w:p>
    <w:p>
      <w:pPr>
        <w:spacing w:line="440" w:lineRule="exact"/>
        <w:ind w:firstLine="426" w:firstLineChars="177"/>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特别说明：如遇“政府采购云平台”电子化开标或评审程序调整的，按调整后程序执行。</w:t>
      </w:r>
    </w:p>
    <w:p>
      <w:pPr>
        <w:pStyle w:val="4"/>
        <w:spacing w:line="440" w:lineRule="exact"/>
        <w:ind w:left="0" w:firstLine="0"/>
        <w:rPr>
          <w:rFonts w:ascii="仿宋" w:hAnsi="仿宋" w:eastAsia="仿宋" w:cs="仿宋"/>
          <w:color w:val="auto"/>
          <w:sz w:val="24"/>
          <w:szCs w:val="24"/>
          <w:highlight w:val="none"/>
        </w:rPr>
      </w:pPr>
      <w:bookmarkStart w:id="59" w:name="_Toc33194393"/>
      <w:bookmarkStart w:id="60" w:name="_Toc24550037"/>
      <w:r>
        <w:rPr>
          <w:rFonts w:hint="eastAsia" w:ascii="仿宋" w:hAnsi="仿宋" w:eastAsia="仿宋" w:cs="仿宋"/>
          <w:color w:val="auto"/>
          <w:sz w:val="24"/>
          <w:szCs w:val="24"/>
          <w:highlight w:val="none"/>
        </w:rPr>
        <w:t>（四）投标人资格审查</w:t>
      </w:r>
      <w:bookmarkEnd w:id="59"/>
      <w:bookmarkEnd w:id="60"/>
    </w:p>
    <w:p>
      <w:pPr>
        <w:spacing w:line="440" w:lineRule="exact"/>
        <w:ind w:firstLine="426" w:firstLineChars="177"/>
        <w:rPr>
          <w:rFonts w:ascii="仿宋" w:hAnsi="仿宋" w:eastAsia="仿宋" w:cs="仿宋"/>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开标大会第一阶段结束后，采购人或采购代理机构首先依法对各投标人的资格进行审查，审查各投标人的资格是否满足招标文件的要求。</w:t>
      </w:r>
      <w:r>
        <w:rPr>
          <w:rFonts w:hint="eastAsia" w:ascii="仿宋" w:hAnsi="仿宋" w:eastAsia="仿宋" w:cs="仿宋"/>
          <w:color w:val="auto"/>
          <w:sz w:val="24"/>
          <w:highlight w:val="none"/>
        </w:rPr>
        <w:t>采购人或采购代理机构对投标人所提交的资格证明材料仅负审核的责任。如发现投标人所提交的资格证明材料不合法或与事实不符，采购人可取消其中标资格并追究投标人的法律责任。</w:t>
      </w:r>
    </w:p>
    <w:p>
      <w:pPr>
        <w:spacing w:line="440" w:lineRule="exact"/>
        <w:ind w:firstLine="426" w:firstLineChars="177"/>
        <w:rPr>
          <w:rFonts w:ascii="仿宋" w:hAnsi="仿宋" w:eastAsia="仿宋" w:cs="仿宋"/>
          <w:b/>
          <w:color w:val="auto"/>
          <w:kern w:val="0"/>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投标人提交的资格证明材料无法证明其符合招标文件规定的“投标人资格要求”的，采购人或采购代理机构</w:t>
      </w:r>
      <w:r>
        <w:rPr>
          <w:rFonts w:hint="eastAsia" w:ascii="仿宋" w:hAnsi="仿宋" w:eastAsia="仿宋" w:cs="仿宋"/>
          <w:b/>
          <w:color w:val="auto"/>
          <w:kern w:val="0"/>
          <w:sz w:val="24"/>
          <w:highlight w:val="none"/>
        </w:rPr>
        <w:t>将对其作资格审查不通过处理（无效投标），并不再将其投标提交评标委员会进行后续评审。</w:t>
      </w:r>
    </w:p>
    <w:p>
      <w:pPr>
        <w:spacing w:line="440" w:lineRule="exact"/>
        <w:ind w:firstLine="426" w:firstLineChars="177"/>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w:t>
      </w:r>
      <w:r>
        <w:rPr>
          <w:rFonts w:hint="eastAsia" w:ascii="仿宋" w:hAnsi="仿宋" w:eastAsia="仿宋" w:cs="仿宋"/>
          <w:b/>
          <w:color w:val="auto"/>
          <w:kern w:val="0"/>
          <w:sz w:val="24"/>
          <w:highlight w:val="none"/>
          <w:lang w:val="en-US" w:eastAsia="zh-CN"/>
        </w:rPr>
        <w:t>.</w:t>
      </w:r>
      <w:r>
        <w:rPr>
          <w:rFonts w:hint="eastAsia" w:ascii="仿宋" w:hAnsi="仿宋" w:eastAsia="仿宋" w:cs="仿宋"/>
          <w:b/>
          <w:color w:val="auto"/>
          <w:kern w:val="0"/>
          <w:sz w:val="24"/>
          <w:highlight w:val="none"/>
        </w:rPr>
        <w:t>单位负责人为同一人或者存在直接控股、管理关系的不同投标人参加同一合同项下的政府采购活动的，相关投标人均作资格无效处理。</w:t>
      </w:r>
    </w:p>
    <w:p>
      <w:pPr>
        <w:adjustRightInd w:val="0"/>
        <w:snapToGrid w:val="0"/>
        <w:spacing w:line="440" w:lineRule="exact"/>
        <w:jc w:val="center"/>
        <w:outlineLvl w:val="1"/>
        <w:rPr>
          <w:rFonts w:ascii="仿宋" w:hAnsi="仿宋" w:eastAsia="仿宋" w:cs="仿宋"/>
          <w:b/>
          <w:color w:val="auto"/>
          <w:sz w:val="32"/>
          <w:highlight w:val="none"/>
        </w:rPr>
      </w:pPr>
      <w:bookmarkStart w:id="61" w:name="_Hlt75236101"/>
      <w:bookmarkEnd w:id="61"/>
      <w:bookmarkStart w:id="62" w:name="_Toc522530046"/>
      <w:bookmarkStart w:id="63" w:name="_Toc91899902"/>
      <w:bookmarkStart w:id="64" w:name="_Toc233618977"/>
      <w:bookmarkStart w:id="65" w:name="_Toc29851"/>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六、评 标</w:t>
      </w:r>
      <w:bookmarkEnd w:id="62"/>
      <w:bookmarkEnd w:id="63"/>
      <w:bookmarkEnd w:id="64"/>
      <w:bookmarkEnd w:id="65"/>
    </w:p>
    <w:p>
      <w:pPr>
        <w:pStyle w:val="46"/>
        <w:adjustRightInd w:val="0"/>
        <w:snapToGrid w:val="0"/>
        <w:spacing w:line="440" w:lineRule="exact"/>
        <w:rPr>
          <w:rFonts w:ascii="仿宋" w:hAnsi="仿宋" w:eastAsia="仿宋" w:cs="仿宋"/>
          <w:b/>
          <w:color w:val="auto"/>
          <w:sz w:val="24"/>
          <w:highlight w:val="none"/>
        </w:rPr>
      </w:pPr>
      <w:bookmarkStart w:id="66" w:name="_Toc91899903"/>
      <w:r>
        <w:rPr>
          <w:rFonts w:hint="eastAsia" w:ascii="仿宋" w:hAnsi="仿宋" w:eastAsia="仿宋" w:cs="仿宋"/>
          <w:b/>
          <w:color w:val="auto"/>
          <w:sz w:val="24"/>
          <w:highlight w:val="none"/>
        </w:rPr>
        <w:t>（一）评标组织</w:t>
      </w:r>
    </w:p>
    <w:p>
      <w:pPr>
        <w:adjustRightInd w:val="0"/>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本项目评标委员会由5人(含)以上单数的人员组成，负责对投标文件进行审查、质询、评审和比较等。评标委员会由采购人代表和评审专家组成，其中评审专家人数不少于成员总数的三分之二。</w:t>
      </w:r>
      <w:r>
        <w:rPr>
          <w:rFonts w:hint="eastAsia" w:ascii="仿宋" w:hAnsi="仿宋" w:eastAsia="仿宋" w:cs="仿宋"/>
          <w:color w:val="auto"/>
          <w:kern w:val="0"/>
          <w:sz w:val="24"/>
          <w:highlight w:val="none"/>
        </w:rPr>
        <w:t>评标委员会成员名单在评审结果（采购结果）公告前保密。</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（二）评标原则</w:t>
      </w:r>
    </w:p>
    <w:p>
      <w:pPr>
        <w:pStyle w:val="46"/>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竞争优选；</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公平、公正、科学合理</w:t>
      </w:r>
      <w:r>
        <w:rPr>
          <w:rFonts w:hint="eastAsia" w:ascii="仿宋" w:hAnsi="仿宋" w:eastAsia="仿宋" w:cs="仿宋"/>
          <w:color w:val="auto"/>
          <w:sz w:val="24"/>
          <w:highlight w:val="none"/>
          <w:lang w:val="zh-CN"/>
        </w:rPr>
        <w:t>；</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价格合理，方案、产品先进可行；</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反对不正当竞争。</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（三）评标纪律</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评标委员会成员要严格遵守评标纪律、保密、回避等相关规定，依法独立履行评标职责，客观、公正、审慎参与评标工作；</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严格遵守评标时间，因突发情况确实不能按时参加评标的，应事先告知招标组织机构；</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服从招标组织机构的现场管理，主动出示身份证明，进入评标区域后应主动寄存移动通讯工具，按要求佩戴工作牌；</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与投标人或评标委员会其他成员存在利害关系的，要主动回避，自觉签订《政府采购评审人员廉洁自律承诺书》；</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保持评标现场安静，不在评标现场随意走动，因发生不可预见情况确需与外界联系或暂时离开评标现场的，应向现场监督员说明情况，征得同意后在监控区域内进行相关活动，并应接受相关工作人员的监督；</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自觉遵守职业道德，尊重招标人代表和投标人代表，配合招标组织机构回答投标人代表提出的有关异议；</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不得将评标过程、结果和投标人的商业秘密透露给任何单位和个人。未公告评标结果前不准泄露评标结果，不准将评标资料带出会场；</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评标过程中，涉及到相关法律法规不清楚之处的，由招标人监管部门或请示权威部门作出法定解释，涉及到招标文件的由编制招标文件的机构和部门负责解释；</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如实行暗标评审的，其投标文件和产品样品的评审编号和编号保管，由监督人员负责；在评标委员评分完成后，再将投标人的投标文件和提供的产品样品编号交评委。</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（四） 评标程序</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在评标专家中推选评标委员会组长，优先推选资深专家为组长；</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评标委员会组长召集成员认真阅读招标文件以及相关补充、质疑、答复文件、项目书面说明等材料，熟悉招标项目的基本概况、质量要求、数量、主要技术标准或服务需求，合同主要条款，投标文件无效情形，评标方法、评标依据、评标标准等；</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b/>
          <w:color w:val="auto"/>
          <w:sz w:val="24"/>
          <w:highlight w:val="none"/>
          <w:u w:val="single"/>
        </w:rPr>
        <w:t>资格审查</w:t>
      </w:r>
      <w:r>
        <w:rPr>
          <w:rFonts w:hint="eastAsia" w:ascii="仿宋" w:hAnsi="仿宋" w:eastAsia="仿宋" w:cs="仿宋"/>
          <w:color w:val="auto"/>
          <w:sz w:val="24"/>
          <w:highlight w:val="none"/>
        </w:rPr>
        <w:t>，经其书面授权的招标人代表或经其书面授权的招标代理机构代表采购代理机构按照招标文件要求对投标人逐一进行资格审查；</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b/>
          <w:color w:val="auto"/>
          <w:sz w:val="24"/>
          <w:highlight w:val="none"/>
          <w:u w:val="single"/>
        </w:rPr>
        <w:t>商务技术文件的符合性审查</w:t>
      </w:r>
      <w:r>
        <w:rPr>
          <w:rFonts w:hint="eastAsia" w:ascii="仿宋" w:hAnsi="仿宋" w:eastAsia="仿宋" w:cs="仿宋"/>
          <w:color w:val="auto"/>
          <w:sz w:val="24"/>
          <w:highlight w:val="none"/>
        </w:rPr>
        <w:t>，评标人员对通过资格审查的各投标文件商务、技术部分的有效性、完整性和响应程度等进行审查，确定是否对招标文件作出实质性响应；</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b/>
          <w:color w:val="auto"/>
          <w:sz w:val="24"/>
          <w:highlight w:val="none"/>
          <w:u w:val="single"/>
        </w:rPr>
        <w:t>商务技术评分</w:t>
      </w:r>
      <w:r>
        <w:rPr>
          <w:rFonts w:hint="eastAsia" w:ascii="仿宋" w:hAnsi="仿宋" w:eastAsia="仿宋" w:cs="仿宋"/>
          <w:color w:val="auto"/>
          <w:sz w:val="24"/>
          <w:highlight w:val="none"/>
        </w:rPr>
        <w:t>，评标人员按招标文件规定的评标方法和评标标准，依法独立对投标文件商务、技术部分进行评估、比较，并给予评价或打分，不受任何单位和个人的干预；</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评标人员对各投标文件非实质性内容有疑议或异议，或者审查发现明显的文字或计算错误等，及时向评标委员会组长提出。经评标委员会商议认为需要投标人作出必要澄清或说明的，应通知该投标人代表以书面</w:t>
      </w:r>
      <w:r>
        <w:rPr>
          <w:rFonts w:hint="eastAsia" w:ascii="仿宋" w:hAnsi="仿宋" w:eastAsia="仿宋" w:cs="仿宋"/>
          <w:color w:val="auto"/>
          <w:kern w:val="0"/>
          <w:sz w:val="24"/>
          <w:highlight w:val="none"/>
        </w:rPr>
        <w:t>（或通过“政府采购云平台”在线答复）</w:t>
      </w:r>
      <w:r>
        <w:rPr>
          <w:rFonts w:hint="eastAsia" w:ascii="仿宋" w:hAnsi="仿宋" w:eastAsia="仿宋" w:cs="仿宋"/>
          <w:color w:val="auto"/>
          <w:sz w:val="24"/>
          <w:highlight w:val="none"/>
        </w:rPr>
        <w:t>形式作出澄清或说明，</w:t>
      </w:r>
      <w:r>
        <w:rPr>
          <w:rFonts w:hint="eastAsia" w:ascii="仿宋" w:hAnsi="仿宋" w:eastAsia="仿宋" w:cs="仿宋"/>
          <w:color w:val="auto"/>
          <w:kern w:val="0"/>
          <w:sz w:val="24"/>
          <w:highlight w:val="none"/>
        </w:rPr>
        <w:t>投标人的澄清、说明或者补正不得超出投标文件的范围或者改变投标文件的实质性内容</w:t>
      </w:r>
      <w:r>
        <w:rPr>
          <w:rFonts w:hint="eastAsia" w:ascii="仿宋" w:hAnsi="仿宋" w:eastAsia="仿宋" w:cs="仿宋"/>
          <w:color w:val="auto"/>
          <w:sz w:val="24"/>
          <w:highlight w:val="none"/>
        </w:rPr>
        <w:t>；</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评标人员对商务、技术部分评审结果进行确认，现场监督员对评审结果签署监督意见。如发现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w:t>
      </w:r>
      <w:r>
        <w:rPr>
          <w:rFonts w:hint="eastAsia" w:ascii="仿宋" w:hAnsi="仿宋" w:eastAsia="仿宋" w:cs="仿宋"/>
          <w:b/>
          <w:color w:val="auto"/>
          <w:sz w:val="24"/>
          <w:highlight w:val="none"/>
          <w:u w:val="single"/>
        </w:rPr>
        <w:t>报价文件的符合性审查</w:t>
      </w:r>
      <w:r>
        <w:rPr>
          <w:rFonts w:hint="eastAsia" w:ascii="仿宋" w:hAnsi="仿宋" w:eastAsia="仿宋" w:cs="仿宋"/>
          <w:color w:val="auto"/>
          <w:sz w:val="24"/>
          <w:highlight w:val="none"/>
        </w:rPr>
        <w:t>，对开启的投标文件报价部分的进行有效性、完整性和响应程度等进行审查，确定是否对招标文件作出实质性响应。</w:t>
      </w:r>
    </w:p>
    <w:p>
      <w:pPr>
        <w:adjustRightInd w:val="0"/>
        <w:snapToGrid w:val="0"/>
        <w:spacing w:line="440" w:lineRule="exact"/>
        <w:rPr>
          <w:rFonts w:ascii="仿宋" w:hAnsi="仿宋" w:eastAsia="仿宋" w:cs="仿宋"/>
          <w:b/>
          <w:color w:val="auto"/>
          <w:sz w:val="24"/>
          <w:highlight w:val="none"/>
          <w:lang w:val="zh-CN"/>
        </w:rPr>
      </w:pPr>
      <w:r>
        <w:rPr>
          <w:rFonts w:hint="eastAsia" w:ascii="仿宋" w:hAnsi="仿宋" w:eastAsia="仿宋" w:cs="仿宋"/>
          <w:b/>
          <w:color w:val="auto"/>
          <w:sz w:val="24"/>
          <w:highlight w:val="none"/>
        </w:rPr>
        <w:t>（五）</w:t>
      </w:r>
      <w:r>
        <w:rPr>
          <w:rFonts w:hint="eastAsia" w:ascii="仿宋" w:hAnsi="仿宋" w:eastAsia="仿宋" w:cs="仿宋"/>
          <w:b/>
          <w:color w:val="auto"/>
          <w:sz w:val="24"/>
          <w:highlight w:val="none"/>
          <w:lang w:val="zh-CN"/>
        </w:rPr>
        <w:t>投标文件的鉴定</w:t>
      </w:r>
    </w:p>
    <w:p>
      <w:pPr>
        <w:adjustRightInd w:val="0"/>
        <w:snapToGrid w:val="0"/>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CN"/>
        </w:rPr>
        <w:t>评标委员会将审查每份投标文件是否实质上响应了招标文件的要求。重大偏离和保留、细微偏离由评标委员会鉴定。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Style w:val="46"/>
        <w:adjustRightInd w:val="0"/>
        <w:snapToGrid w:val="0"/>
        <w:spacing w:line="440" w:lineRule="exact"/>
        <w:ind w:firstLine="482" w:firstLineChars="200"/>
        <w:jc w:val="left"/>
        <w:rPr>
          <w:rFonts w:ascii="仿宋" w:hAnsi="仿宋" w:eastAsia="仿宋" w:cs="仿宋"/>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无效标情形</w:t>
      </w:r>
    </w:p>
    <w:p>
      <w:pPr>
        <w:adjustRightInd w:val="0"/>
        <w:snapToGrid w:val="0"/>
        <w:spacing w:line="440" w:lineRule="exact"/>
        <w:ind w:firstLine="480" w:firstLineChars="200"/>
        <w:rPr>
          <w:rFonts w:ascii="仿宋" w:hAnsi="仿宋" w:eastAsia="仿宋" w:cs="仿宋"/>
          <w:color w:val="auto"/>
          <w:sz w:val="24"/>
          <w:szCs w:val="22"/>
          <w:highlight w:val="none"/>
        </w:rPr>
      </w:pPr>
      <w:bookmarkStart w:id="67" w:name="_Hlk33211013"/>
      <w:r>
        <w:rPr>
          <w:rFonts w:hint="eastAsia" w:ascii="仿宋" w:hAnsi="仿宋" w:eastAsia="仿宋" w:cs="仿宋"/>
          <w:color w:val="auto"/>
          <w:sz w:val="24"/>
          <w:szCs w:val="22"/>
          <w:highlight w:val="none"/>
        </w:rPr>
        <w:t>（一）商务、技术文件符合性审查中，存在下列情形之一的，经评标委员会按少数服从多数原则认定后作无效标处理：</w:t>
      </w:r>
    </w:p>
    <w:p>
      <w:pPr>
        <w:adjustRightInd w:val="0"/>
        <w:snapToGrid w:val="0"/>
        <w:spacing w:line="440" w:lineRule="exact"/>
        <w:ind w:firstLine="480" w:firstLineChars="200"/>
        <w:rPr>
          <w:rFonts w:ascii="仿宋" w:hAnsi="仿宋" w:eastAsia="仿宋" w:cs="仿宋"/>
          <w:color w:val="auto"/>
          <w:sz w:val="24"/>
          <w:szCs w:val="22"/>
          <w:highlight w:val="none"/>
        </w:rPr>
      </w:pPr>
      <w:bookmarkStart w:id="68" w:name="_Toc33194396"/>
      <w:r>
        <w:rPr>
          <w:rFonts w:hint="eastAsia" w:ascii="仿宋" w:hAnsi="仿宋" w:eastAsia="仿宋" w:cs="仿宋"/>
          <w:color w:val="auto"/>
          <w:sz w:val="24"/>
          <w:szCs w:val="22"/>
          <w:highlight w:val="none"/>
        </w:rPr>
        <w:t>（1）投标文件未有效授权，法定代表人授权委托书等填写不完整或有涂改的；</w:t>
      </w:r>
      <w:bookmarkEnd w:id="68"/>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（2）投标文件没有对本招标文件作出实质性响应的，或不满足（不响应）本招标文件中标注“▲”的实质性要求条款的，或存在招标文件中明确规定的其他无效标情形的；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（3）投标文件存在一个或一个以上备选（替代）投标方案的；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（4）仅提交“备份投标文件”的；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（5）文件组成内容不齐全，本招标文件规定必须提供而未提供的（属于资格审查范围的除外）；</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（6）投标文件标注的响应或偏离情况与事实不符，或提供了虚假材料的；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（7）不响应或擅自改变本招标文件要求或投标文件有采购人不能接受的附加条件的；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（8）参加同一合同项下政府采购活动的不同投标人之间存在利害关系并且存在影响政府采购公平竞争行为的；</w:t>
      </w:r>
    </w:p>
    <w:p>
      <w:pPr>
        <w:adjustRightInd w:val="0"/>
        <w:snapToGrid w:val="0"/>
        <w:spacing w:line="440" w:lineRule="exact"/>
        <w:ind w:firstLine="480" w:firstLineChars="200"/>
        <w:rPr>
          <w:rFonts w:ascii="仿宋" w:hAnsi="仿宋" w:eastAsia="仿宋" w:cs="仿宋"/>
          <w:color w:val="auto"/>
          <w:sz w:val="24"/>
          <w:szCs w:val="22"/>
          <w:highlight w:val="none"/>
        </w:rPr>
      </w:pPr>
      <w:bookmarkStart w:id="69" w:name="_Toc33194397"/>
      <w:r>
        <w:rPr>
          <w:rFonts w:hint="eastAsia" w:ascii="仿宋" w:hAnsi="仿宋" w:eastAsia="仿宋" w:cs="仿宋"/>
          <w:color w:val="auto"/>
          <w:sz w:val="24"/>
          <w:szCs w:val="22"/>
          <w:highlight w:val="none"/>
        </w:rPr>
        <w:t>（9）</w:t>
      </w:r>
      <w:bookmarkEnd w:id="69"/>
      <w:r>
        <w:rPr>
          <w:rFonts w:hint="eastAsia" w:ascii="仿宋" w:hAnsi="仿宋" w:eastAsia="仿宋" w:cs="仿宋"/>
          <w:color w:val="auto"/>
          <w:sz w:val="24"/>
          <w:szCs w:val="22"/>
          <w:highlight w:val="none"/>
        </w:rPr>
        <w:t>违反国家或政府部门相关法律、法规、文件规定的。</w:t>
      </w:r>
      <w:bookmarkEnd w:id="67"/>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（二）报价文件符合性审查中，存在下列情形之一的，经评标委员会认定后作无效标处理：</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（1）投标文件没有对本招标文件作出实质性响应的，或不满足（不响应）本招标文件中标注“▲”的实质性要求条款的，或存在招标文件中明确规定的其他无效标情形的；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（2）投标文件存在一个或一个以上备选（替代）投标方案的；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（3）未按照招标文件标明的币种报价的，或者投标报价涵盖的内容不符合招标文件要求的；       </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（4）投标报价具有选择性，唱标价格与《投标文件》承诺的优惠（折扣）后价格不一致的；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5</w:t>
      </w:r>
      <w:r>
        <w:rPr>
          <w:rFonts w:hint="eastAsia" w:ascii="仿宋" w:hAnsi="仿宋" w:eastAsia="仿宋" w:cs="仿宋"/>
          <w:color w:val="auto"/>
          <w:sz w:val="24"/>
          <w:szCs w:val="22"/>
          <w:highlight w:val="none"/>
        </w:rPr>
        <w:t>）投标报价超过采购预算（或最高限价）的；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6</w:t>
      </w:r>
      <w:r>
        <w:rPr>
          <w:rFonts w:hint="eastAsia" w:ascii="仿宋" w:hAnsi="仿宋" w:eastAsia="仿宋" w:cs="仿宋"/>
          <w:color w:val="auto"/>
          <w:sz w:val="24"/>
          <w:szCs w:val="22"/>
          <w:highlight w:val="none"/>
        </w:rPr>
        <w:t>）仅提交“备份投标文件”的；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7</w:t>
      </w:r>
      <w:r>
        <w:rPr>
          <w:rFonts w:hint="eastAsia" w:ascii="仿宋" w:hAnsi="仿宋" w:eastAsia="仿宋" w:cs="仿宋"/>
          <w:color w:val="auto"/>
          <w:sz w:val="24"/>
          <w:szCs w:val="22"/>
          <w:highlight w:val="none"/>
        </w:rPr>
        <w:t>）投标文件组成内容不齐全，本招标文件规定必须提供而未提供的（属于资格审查范围的除外）；</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8</w:t>
      </w:r>
      <w:r>
        <w:rPr>
          <w:rFonts w:hint="eastAsia" w:ascii="仿宋" w:hAnsi="仿宋" w:eastAsia="仿宋" w:cs="仿宋"/>
          <w:color w:val="auto"/>
          <w:sz w:val="24"/>
          <w:szCs w:val="22"/>
          <w:highlight w:val="none"/>
        </w:rPr>
        <w:t>）投标文件标注的响应或偏离情况与事实不符，或提供了虚假材料的；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9</w:t>
      </w:r>
      <w:r>
        <w:rPr>
          <w:rFonts w:hint="eastAsia" w:ascii="仿宋" w:hAnsi="仿宋" w:eastAsia="仿宋" w:cs="仿宋"/>
          <w:color w:val="auto"/>
          <w:sz w:val="24"/>
          <w:szCs w:val="22"/>
          <w:highlight w:val="none"/>
        </w:rPr>
        <w:t>）不响应或擅自改变本招标文件要求或投标文件有采购人不能接受的附加条件的；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0</w:t>
      </w:r>
      <w:r>
        <w:rPr>
          <w:rFonts w:hint="eastAsia" w:ascii="仿宋" w:hAnsi="仿宋" w:eastAsia="仿宋" w:cs="仿宋"/>
          <w:color w:val="auto"/>
          <w:sz w:val="24"/>
          <w:szCs w:val="22"/>
          <w:highlight w:val="none"/>
        </w:rPr>
        <w:t>）评审委员会认为投标人报价明显低于其他合格投标人的报价，有可能影响产品质量或者不能诚信履约的，应当要求其在合理时间内提供书面说明，必要时提供相关证明材料；投标人不能证明其报价合理性的；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1</w:t>
      </w:r>
      <w:r>
        <w:rPr>
          <w:rFonts w:hint="eastAsia" w:ascii="仿宋" w:hAnsi="仿宋" w:eastAsia="仿宋" w:cs="仿宋"/>
          <w:color w:val="auto"/>
          <w:sz w:val="24"/>
          <w:szCs w:val="22"/>
          <w:highlight w:val="none"/>
        </w:rPr>
        <w:t>）违反国家或政府部门相关法律、法规、文件规定的。</w:t>
      </w:r>
    </w:p>
    <w:p>
      <w:pPr>
        <w:adjustRightInd w:val="0"/>
        <w:snapToGrid w:val="0"/>
        <w:spacing w:line="440" w:lineRule="exact"/>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投标报价的错误修正</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评标委员会将对确定为实质上响应招标文件要求的投标文件报价部分进行校核，看其在投标报价方面是否有计算、累计或表达上的错误，修正错误的原则及顺序如下：</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（1）投标文件中开标一览表(报价表)内容与投标文件中明细表内容不一致的，以开标一览表为准；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（2）投标文件的大写金额和小写金额不一致的，以大写金额为准；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（3）如分项价格或单价有遗报，应视作已含在投标总价中；其投标总价不予调整。其分项价或单价由评标委员会在投标总价不变的前提下根据合理的原则对其予以确定；</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（4）如有多报、重报，其投标总价在评标过程中不予调整。如其中标，其合同价按其投标单价予以调整；</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（5）单价金额小数点有明显错位的，应以总价为准，并修改单价。</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按上述修正错误的原则，调整或修正投标文件的投标报价。经投标人确认后，调整后的投标报价对投标人起约束作用。如果投标人不接受或者投标人在评标结束之前不能到场确认的，评标委员会将把调整或修正后的投标报价作为该投标人的投标报价，进入商务报价评标，但不接受修正的投标人最终将丧失其中标候选人资格。</w:t>
      </w:r>
    </w:p>
    <w:p>
      <w:pPr>
        <w:adjustRightInd w:val="0"/>
        <w:snapToGrid w:val="0"/>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4</w:t>
      </w:r>
      <w:r>
        <w:rPr>
          <w:rFonts w:hint="eastAsia" w:ascii="仿宋" w:hAnsi="仿宋" w:eastAsia="仿宋" w:cs="仿宋"/>
          <w:b/>
          <w:color w:val="auto"/>
          <w:sz w:val="24"/>
          <w:szCs w:val="22"/>
          <w:highlight w:val="none"/>
          <w:lang w:val="en-US" w:eastAsia="zh-CN"/>
        </w:rPr>
        <w:t>.</w:t>
      </w:r>
      <w:r>
        <w:rPr>
          <w:rFonts w:hint="eastAsia" w:ascii="仿宋" w:hAnsi="仿宋" w:eastAsia="仿宋" w:cs="仿宋"/>
          <w:b/>
          <w:color w:val="auto"/>
          <w:sz w:val="24"/>
          <w:szCs w:val="22"/>
          <w:highlight w:val="none"/>
        </w:rPr>
        <w:t>废标</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在招标采购中，出现下列情形之一的，本项目废标：</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（1）符合专业条件的投标人或者对招标文件作实质响应的投标人不足三家的；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（2）出现影响采购公正的违法、违规行为的；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（3）投标人的报价均超过了采购预算，采购人不能支付的；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（4）因重大变故，采购任务取消的。</w:t>
      </w:r>
    </w:p>
    <w:p>
      <w:pPr>
        <w:adjustRightInd w:val="0"/>
        <w:snapToGrid w:val="0"/>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5</w:t>
      </w:r>
      <w:r>
        <w:rPr>
          <w:rFonts w:hint="eastAsia" w:ascii="仿宋" w:hAnsi="仿宋" w:eastAsia="仿宋" w:cs="仿宋"/>
          <w:b/>
          <w:color w:val="auto"/>
          <w:sz w:val="24"/>
          <w:szCs w:val="22"/>
          <w:highlight w:val="none"/>
          <w:lang w:val="en-US" w:eastAsia="zh-CN"/>
        </w:rPr>
        <w:t>.</w:t>
      </w:r>
      <w:r>
        <w:rPr>
          <w:rFonts w:hint="eastAsia" w:ascii="仿宋" w:hAnsi="仿宋" w:eastAsia="仿宋" w:cs="仿宋"/>
          <w:b/>
          <w:color w:val="auto"/>
          <w:sz w:val="24"/>
          <w:szCs w:val="22"/>
          <w:highlight w:val="none"/>
        </w:rPr>
        <w:t>可中止电子交易活动的情形</w:t>
      </w:r>
    </w:p>
    <w:p>
      <w:pPr>
        <w:adjustRightInd w:val="0"/>
        <w:snapToGrid w:val="0"/>
        <w:spacing w:line="440" w:lineRule="exact"/>
        <w:ind w:firstLine="482" w:firstLineChars="200"/>
        <w:rPr>
          <w:rFonts w:ascii="仿宋" w:hAnsi="仿宋" w:eastAsia="仿宋" w:cs="仿宋"/>
          <w:b/>
          <w:bCs/>
          <w:color w:val="auto"/>
          <w:sz w:val="24"/>
          <w:szCs w:val="22"/>
          <w:highlight w:val="none"/>
        </w:rPr>
      </w:pPr>
      <w:r>
        <w:rPr>
          <w:rFonts w:hint="eastAsia" w:ascii="仿宋" w:hAnsi="仿宋" w:eastAsia="仿宋" w:cs="仿宋"/>
          <w:b/>
          <w:bCs/>
          <w:color w:val="auto"/>
          <w:sz w:val="24"/>
          <w:szCs w:val="22"/>
          <w:highlight w:val="none"/>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（1）电子交易平台发生故障而无法登录访问的；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（2）电子交易平台应用或数据库出现错误，不能进行正常操作的；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（3）电子交易平台发现严重安全漏洞，有潜在泄密危险的；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（4）病毒发作导致不能进行正常操作的；</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（5）其他无法保证电子交易的公平、公正和安全的情况。</w:t>
      </w:r>
    </w:p>
    <w:p>
      <w:pPr>
        <w:adjustRightInd w:val="0"/>
        <w:snapToGrid w:val="0"/>
        <w:spacing w:line="44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sz w:val="24"/>
          <w:szCs w:val="22"/>
          <w:highlight w:val="none"/>
        </w:rPr>
        <w:t>出现前款规定情形，不影响采购公平、公正性的，采购组织机构可以待上述情形消除后继续组织电子交易活动；影响或可能影响采购公平、公正性的，应当重新采购。</w:t>
      </w:r>
    </w:p>
    <w:p>
      <w:pPr>
        <w:pStyle w:val="310"/>
        <w:adjustRightInd w:val="0"/>
        <w:snapToGrid w:val="0"/>
        <w:spacing w:before="0" w:line="440" w:lineRule="exact"/>
        <w:ind w:firstLine="241" w:firstLineChars="100"/>
        <w:rPr>
          <w:rFonts w:ascii="仿宋" w:hAnsi="仿宋" w:eastAsia="仿宋" w:cs="仿宋"/>
          <w:color w:val="auto"/>
          <w:szCs w:val="24"/>
          <w:highlight w:val="none"/>
        </w:rPr>
      </w:pPr>
      <w:r>
        <w:rPr>
          <w:rFonts w:hint="eastAsia" w:ascii="仿宋" w:hAnsi="仿宋" w:eastAsia="仿宋" w:cs="仿宋"/>
          <w:b/>
          <w:color w:val="auto"/>
          <w:highlight w:val="none"/>
        </w:rPr>
        <w:t>（六）投标文件的澄清、说明或补正</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时间为30分钟。</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投标人的澄清、说明或者补正应当采用书面（或通过“政府采购云平台”在线答复）形式提交，并加盖公章，或者由法定代表人或其授权的代表签字。投标人的澄清、说明或者补正不得超出投标文件的范围或者改变投标文件的实质性内容。</w:t>
      </w:r>
    </w:p>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（七）评标办法</w:t>
      </w:r>
    </w:p>
    <w:bookmarkEnd w:id="66"/>
    <w:p>
      <w:pPr>
        <w:adjustRightInd w:val="0"/>
        <w:snapToGrid w:val="0"/>
        <w:spacing w:line="440" w:lineRule="exact"/>
        <w:ind w:firstLine="480" w:firstLineChars="200"/>
        <w:rPr>
          <w:rFonts w:ascii="仿宋" w:hAnsi="仿宋" w:eastAsia="仿宋" w:cs="仿宋"/>
          <w:color w:val="auto"/>
          <w:sz w:val="24"/>
          <w:highlight w:val="none"/>
        </w:rPr>
      </w:pPr>
      <w:bookmarkStart w:id="70" w:name="_Toc86216994"/>
      <w:r>
        <w:rPr>
          <w:rFonts w:hint="eastAsia" w:ascii="仿宋" w:hAnsi="仿宋" w:eastAsia="仿宋" w:cs="仿宋"/>
          <w:color w:val="auto"/>
          <w:sz w:val="24"/>
          <w:highlight w:val="none"/>
        </w:rPr>
        <w:t>详见“第六部分  评标办法”。</w:t>
      </w:r>
    </w:p>
    <w:p>
      <w:pPr>
        <w:pStyle w:val="310"/>
        <w:adjustRightInd w:val="0"/>
        <w:snapToGrid w:val="0"/>
        <w:spacing w:before="0" w:line="440" w:lineRule="exact"/>
        <w:ind w:firstLine="0" w:firstLineChars="0"/>
        <w:rPr>
          <w:rFonts w:ascii="仿宋" w:hAnsi="仿宋" w:eastAsia="仿宋" w:cs="仿宋"/>
          <w:b/>
          <w:color w:val="auto"/>
          <w:highlight w:val="none"/>
        </w:rPr>
      </w:pPr>
      <w:r>
        <w:rPr>
          <w:rFonts w:hint="eastAsia" w:ascii="仿宋" w:hAnsi="仿宋" w:eastAsia="仿宋" w:cs="仿宋"/>
          <w:b/>
          <w:color w:val="auto"/>
          <w:highlight w:val="none"/>
        </w:rPr>
        <w:t>（八）评标内容的保密</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公开开标后，直到公告中标单位止，凡属于审查、澄清、评价和比较投标的所有资料，都不向投标人或与评标无关的其他人泄露。</w:t>
      </w:r>
    </w:p>
    <w:p>
      <w:pPr>
        <w:adjustRightInd w:val="0"/>
        <w:snapToGrid w:val="0"/>
        <w:spacing w:line="440" w:lineRule="exact"/>
        <w:ind w:firstLine="480" w:firstLineChars="200"/>
        <w:rPr>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在投标文件的审查、澄清、评价和比较以及确定中标人过程中，投标人对招标人、招标代理机构和评标委员会施加影响的任何行为，都将导致取消资格。</w:t>
      </w:r>
    </w:p>
    <w:p>
      <w:pPr>
        <w:adjustRightInd w:val="0"/>
        <w:snapToGrid w:val="0"/>
        <w:spacing w:line="440" w:lineRule="exact"/>
        <w:jc w:val="center"/>
        <w:outlineLvl w:val="1"/>
        <w:rPr>
          <w:rFonts w:ascii="仿宋" w:hAnsi="仿宋" w:eastAsia="仿宋" w:cs="仿宋"/>
          <w:b/>
          <w:color w:val="auto"/>
          <w:sz w:val="32"/>
          <w:highlight w:val="none"/>
        </w:rPr>
      </w:pPr>
      <w:bookmarkStart w:id="71" w:name="_Toc23416"/>
      <w:bookmarkStart w:id="72" w:name="_Toc233618978"/>
      <w:bookmarkStart w:id="73" w:name="_Toc522530047"/>
    </w:p>
    <w:p>
      <w:pPr>
        <w:adjustRightInd w:val="0"/>
        <w:snapToGrid w:val="0"/>
        <w:spacing w:line="440" w:lineRule="exact"/>
        <w:jc w:val="center"/>
        <w:outlineLvl w:val="1"/>
        <w:rPr>
          <w:rFonts w:ascii="仿宋" w:hAnsi="仿宋" w:eastAsia="仿宋" w:cs="仿宋"/>
          <w:b/>
          <w:color w:val="auto"/>
          <w:sz w:val="32"/>
          <w:highlight w:val="none"/>
        </w:rPr>
      </w:pPr>
      <w:r>
        <w:rPr>
          <w:rFonts w:hint="eastAsia" w:ascii="仿宋" w:hAnsi="仿宋" w:eastAsia="仿宋" w:cs="仿宋"/>
          <w:b/>
          <w:color w:val="auto"/>
          <w:sz w:val="32"/>
          <w:highlight w:val="none"/>
        </w:rPr>
        <w:t>七、定 标</w:t>
      </w:r>
      <w:bookmarkEnd w:id="70"/>
      <w:bookmarkEnd w:id="71"/>
      <w:bookmarkEnd w:id="72"/>
      <w:bookmarkEnd w:id="73"/>
    </w:p>
    <w:p>
      <w:pPr>
        <w:pStyle w:val="35"/>
        <w:tabs>
          <w:tab w:val="left" w:pos="1440"/>
        </w:tabs>
        <w:adjustRightInd w:val="0"/>
        <w:snapToGrid w:val="0"/>
        <w:spacing w:after="0" w:line="440" w:lineRule="exact"/>
        <w:ind w:left="0" w:leftChars="0"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（一）定标</w:t>
      </w:r>
      <w:r>
        <w:rPr>
          <w:rFonts w:hint="eastAsia" w:ascii="仿宋" w:hAnsi="仿宋" w:eastAsia="仿宋" w:cs="仿宋"/>
          <w:b/>
          <w:color w:val="auto"/>
          <w:sz w:val="24"/>
          <w:highlight w:val="none"/>
        </w:rPr>
        <w:tab/>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评标委员会根据以下规定确定投标人排名并推荐中标候选人。</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评标委员会根据各投标人的综合得分（商务技术分与报价得分之和）从高到低依次进行排名排序。特殊情形按以下原则处理：</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（1）综合得分相同的，按投标报价低的优先原则确定排名；</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（2）综合得分和投标报价均相同的，按商务技术中的商务部分得分从高到低确定排名</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（3）综合得分、投标报价和商务技术中的商务部分得分均相同的，则抽签确定排名。</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2</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根据最终得分排序，通过书面评审报告的形式，向采购人推荐排名第一的投标人为中标候选人。</w:t>
      </w:r>
    </w:p>
    <w:p>
      <w:pPr>
        <w:adjustRightInd w:val="0"/>
        <w:snapToGrid w:val="0"/>
        <w:spacing w:line="440" w:lineRule="exact"/>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3</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35"/>
        <w:tabs>
          <w:tab w:val="left" w:pos="1440"/>
        </w:tabs>
        <w:adjustRightInd w:val="0"/>
        <w:snapToGrid w:val="0"/>
        <w:spacing w:after="0" w:line="440" w:lineRule="exact"/>
        <w:ind w:left="0" w:leftChars="0"/>
        <w:rPr>
          <w:rFonts w:ascii="仿宋" w:hAnsi="仿宋" w:eastAsia="仿宋" w:cs="仿宋"/>
          <w:b/>
          <w:color w:val="auto"/>
          <w:sz w:val="24"/>
          <w:highlight w:val="none"/>
        </w:rPr>
      </w:pPr>
      <w:r>
        <w:rPr>
          <w:rFonts w:hint="eastAsia" w:ascii="仿宋" w:hAnsi="仿宋" w:eastAsia="仿宋" w:cs="仿宋"/>
          <w:b/>
          <w:color w:val="auto"/>
          <w:sz w:val="24"/>
          <w:highlight w:val="none"/>
        </w:rPr>
        <w:t>（二）招标结果公告</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在招标人确认招标结果后招标代理机构按相关政府采购规定将招标结果发布在原招标公告发布媒体。公告有效期为1个工作日。招标人、招标代理机构及评标委员会对未中标的投标人不作落标原因解释。</w:t>
      </w:r>
    </w:p>
    <w:p>
      <w:pPr>
        <w:pStyle w:val="35"/>
        <w:tabs>
          <w:tab w:val="left" w:pos="1440"/>
        </w:tabs>
        <w:adjustRightInd w:val="0"/>
        <w:snapToGrid w:val="0"/>
        <w:spacing w:after="0" w:line="440" w:lineRule="exact"/>
        <w:ind w:left="0" w:leftChars="0"/>
        <w:rPr>
          <w:rFonts w:ascii="仿宋" w:hAnsi="仿宋" w:eastAsia="仿宋" w:cs="仿宋"/>
          <w:b/>
          <w:color w:val="auto"/>
          <w:sz w:val="24"/>
          <w:highlight w:val="none"/>
        </w:rPr>
      </w:pPr>
      <w:bookmarkStart w:id="74" w:name="_Hlt75236103"/>
      <w:bookmarkEnd w:id="74"/>
      <w:bookmarkStart w:id="75" w:name="_Toc86216995"/>
      <w:bookmarkStart w:id="76" w:name="_Toc91899910"/>
      <w:r>
        <w:rPr>
          <w:rFonts w:hint="eastAsia" w:ascii="仿宋" w:hAnsi="仿宋" w:eastAsia="仿宋" w:cs="仿宋"/>
          <w:b/>
          <w:color w:val="auto"/>
          <w:sz w:val="24"/>
          <w:highlight w:val="none"/>
        </w:rPr>
        <w:t>（三）中标通知书</w:t>
      </w:r>
      <w:r>
        <w:rPr>
          <w:rFonts w:hint="eastAsia" w:ascii="仿宋" w:hAnsi="仿宋" w:eastAsia="仿宋" w:cs="仿宋"/>
          <w:b/>
          <w:color w:val="auto"/>
          <w:sz w:val="24"/>
          <w:highlight w:val="none"/>
        </w:rPr>
        <w:tab/>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在公告中标结果的同时，招标人或者招标代理机构应当向中标人发出中标通知书。</w:t>
      </w:r>
    </w:p>
    <w:p>
      <w:pPr>
        <w:pStyle w:val="35"/>
        <w:ind w:left="560"/>
        <w:rPr>
          <w:color w:val="auto"/>
          <w:highlight w:val="none"/>
        </w:rPr>
      </w:pPr>
    </w:p>
    <w:p>
      <w:pPr>
        <w:adjustRightInd w:val="0"/>
        <w:snapToGrid w:val="0"/>
        <w:spacing w:line="440" w:lineRule="exact"/>
        <w:jc w:val="center"/>
        <w:outlineLvl w:val="1"/>
        <w:rPr>
          <w:rFonts w:ascii="仿宋" w:hAnsi="仿宋" w:eastAsia="仿宋" w:cs="仿宋"/>
          <w:b/>
          <w:color w:val="auto"/>
          <w:sz w:val="32"/>
          <w:highlight w:val="none"/>
        </w:rPr>
      </w:pPr>
      <w:bookmarkStart w:id="77" w:name="_Toc233618979"/>
      <w:bookmarkStart w:id="78" w:name="_Toc15506"/>
      <w:bookmarkStart w:id="79" w:name="_Toc522530048"/>
      <w:r>
        <w:rPr>
          <w:rFonts w:hint="eastAsia" w:ascii="仿宋" w:hAnsi="仿宋" w:eastAsia="仿宋" w:cs="仿宋"/>
          <w:b/>
          <w:color w:val="auto"/>
          <w:sz w:val="32"/>
          <w:highlight w:val="none"/>
        </w:rPr>
        <w:t>八、</w:t>
      </w:r>
      <w:bookmarkEnd w:id="75"/>
      <w:r>
        <w:rPr>
          <w:rFonts w:hint="eastAsia" w:ascii="仿宋" w:hAnsi="仿宋" w:eastAsia="仿宋" w:cs="仿宋"/>
          <w:b/>
          <w:color w:val="auto"/>
          <w:sz w:val="32"/>
          <w:highlight w:val="none"/>
        </w:rPr>
        <w:t>合同签订及其他</w:t>
      </w:r>
      <w:bookmarkEnd w:id="77"/>
      <w:bookmarkEnd w:id="78"/>
      <w:bookmarkEnd w:id="79"/>
    </w:p>
    <w:bookmarkEnd w:id="76"/>
    <w:p>
      <w:pPr>
        <w:adjustRightInd w:val="0"/>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（一）合同的签订</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中标人接到中标通知书后按规定的日期、时间、地点，由法定代表人或其授权代表与招标人代表按照“第四部分 合同文本”内容签订《采购合同》。</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所签订的合同不得对招标文件和中标人投标文件作实质性修改。招标人不得向中标投标人提出任何不合理的要求，作为签订合同的条件，不得与中标人私下订立背离合同实质性内容的协议。</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招标文件及补充文件、中标人的投标文件及投标修改文件、评标过程中有关澄清文件和中标通知书均作为合同附件。</w:t>
      </w:r>
    </w:p>
    <w:p>
      <w:pPr>
        <w:tabs>
          <w:tab w:val="left" w:pos="3780"/>
        </w:tabs>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中标后，投标人拒绝签订合同的，采购人可以按照评审报告推荐的中标或者成交候选人名单排序，确定下一候选人为中标或者成交投标人，也可以重新开展政府采购活动。投标人中标或者成交后拒绝签订合同的，应按采购预算金额的2%对采购人进行赔偿；赔偿金额不足以弥补采购人损失的，投标人应继续承担超过部分的损失。</w:t>
      </w:r>
    </w:p>
    <w:p>
      <w:pPr>
        <w:tabs>
          <w:tab w:val="left" w:pos="3780"/>
        </w:tabs>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存在下列行为的，采购代理机构将其失信行为上报政府采购主管部门，由主管部门按有关规定对其违法失信行为记录进行公开：</w:t>
      </w:r>
    </w:p>
    <w:p>
      <w:pPr>
        <w:tabs>
          <w:tab w:val="left" w:pos="3780"/>
        </w:tabs>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（1）中标或者成交后，拒绝签订政府采购合同的；</w:t>
      </w:r>
    </w:p>
    <w:p>
      <w:pPr>
        <w:tabs>
          <w:tab w:val="left" w:pos="3780"/>
        </w:tabs>
        <w:spacing w:line="440" w:lineRule="exact"/>
        <w:ind w:firstLine="482" w:firstLineChars="200"/>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（2）投标有效期内撤销投标文件的。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如签订合同并生效后，投标人无故拒绝或延期合格交货的，除按照合同条款处罚外，列入不良行为记录一次，并给予通报。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中标人因制造商原因无法供货导致无法签订合同的视为“中标后无正当理由不与招标人签订合同”。 </w:t>
      </w:r>
    </w:p>
    <w:p>
      <w:pPr>
        <w:tabs>
          <w:tab w:val="left" w:pos="0"/>
        </w:tabs>
        <w:spacing w:line="440" w:lineRule="exact"/>
        <w:ind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（二）售后服务考核</w:t>
      </w:r>
    </w:p>
    <w:p>
      <w:pPr>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将参照有关法律法规，对投标人进行考核，发现弄虚作假，偷工减料，以次充好，达不到国家、行业有关标准和技术文件规定的，一经查实，招标人将视情况终止合同。</w:t>
      </w:r>
    </w:p>
    <w:p>
      <w:pPr>
        <w:pStyle w:val="36"/>
        <w:ind w:left="560" w:firstLine="480"/>
        <w:rPr>
          <w:rFonts w:ascii="仿宋" w:hAnsi="仿宋" w:eastAsia="仿宋" w:cs="仿宋"/>
          <w:color w:val="auto"/>
          <w:sz w:val="24"/>
          <w:highlight w:val="none"/>
        </w:rPr>
      </w:pPr>
    </w:p>
    <w:p>
      <w:pPr>
        <w:rPr>
          <w:rFonts w:ascii="仿宋" w:hAnsi="仿宋" w:eastAsia="仿宋" w:cs="仿宋"/>
          <w:color w:val="auto"/>
          <w:highlight w:val="none"/>
        </w:rPr>
        <w:sectPr>
          <w:pgSz w:w="11906" w:h="16838"/>
          <w:pgMar w:top="1440" w:right="1440" w:bottom="1440" w:left="1440" w:header="851" w:footer="851" w:gutter="0"/>
          <w:cols w:space="720" w:num="1"/>
          <w:titlePg/>
          <w:docGrid w:linePitch="381" w:charSpace="0"/>
        </w:sectPr>
      </w:pPr>
    </w:p>
    <w:p>
      <w:pPr>
        <w:pStyle w:val="310"/>
        <w:numPr>
          <w:ilvl w:val="0"/>
          <w:numId w:val="3"/>
        </w:numPr>
        <w:spacing w:before="0" w:line="276" w:lineRule="auto"/>
        <w:ind w:firstLine="0" w:firstLineChars="0"/>
        <w:jc w:val="center"/>
        <w:outlineLvl w:val="0"/>
        <w:rPr>
          <w:rFonts w:ascii="仿宋" w:hAnsi="仿宋" w:eastAsia="仿宋" w:cs="仿宋"/>
          <w:b/>
          <w:color w:val="auto"/>
          <w:sz w:val="36"/>
          <w:highlight w:val="none"/>
        </w:rPr>
      </w:pPr>
      <w:bookmarkStart w:id="80" w:name="_Toc4895"/>
      <w:r>
        <w:rPr>
          <w:rFonts w:hint="eastAsia" w:ascii="仿宋" w:hAnsi="仿宋" w:eastAsia="仿宋" w:cs="仿宋"/>
          <w:b/>
          <w:color w:val="auto"/>
          <w:sz w:val="36"/>
          <w:highlight w:val="none"/>
        </w:rPr>
        <w:t>采购内容及需求</w:t>
      </w:r>
      <w:bookmarkEnd w:id="80"/>
    </w:p>
    <w:p>
      <w:pPr>
        <w:pStyle w:val="4"/>
        <w:pageBreakBefore w:val="0"/>
        <w:widowControl w:val="0"/>
        <w:numPr>
          <w:ilvl w:val="1"/>
          <w:numId w:val="0"/>
        </w:numPr>
        <w:kinsoku/>
        <w:wordWrap/>
        <w:overflowPunct/>
        <w:topLinePunct w:val="0"/>
        <w:autoSpaceDE/>
        <w:autoSpaceDN/>
        <w:bidi w:val="0"/>
        <w:adjustRightInd/>
        <w:snapToGrid/>
        <w:spacing w:line="500" w:lineRule="exact"/>
        <w:ind w:firstLine="402"/>
        <w:textAlignment w:val="auto"/>
        <w:rPr>
          <w:rFonts w:ascii="仿宋" w:hAnsi="仿宋" w:eastAsia="仿宋" w:cs="仿宋"/>
          <w:color w:val="auto"/>
          <w:sz w:val="24"/>
          <w:szCs w:val="24"/>
          <w:highlight w:val="none"/>
        </w:rPr>
      </w:pPr>
      <w:bookmarkStart w:id="81" w:name="_Toc454364282"/>
      <w:bookmarkStart w:id="82" w:name="_Toc1203"/>
      <w:bookmarkStart w:id="83" w:name="_Toc492733886"/>
      <w:bookmarkStart w:id="84" w:name="_Toc233618986"/>
      <w:bookmarkStart w:id="85" w:name="_Toc86217003"/>
      <w:r>
        <w:rPr>
          <w:rFonts w:hint="eastAsia" w:ascii="仿宋" w:hAnsi="仿宋" w:eastAsia="仿宋" w:cs="仿宋"/>
          <w:bCs/>
          <w:color w:val="auto"/>
          <w:sz w:val="24"/>
          <w:szCs w:val="24"/>
          <w:highlight w:val="none"/>
        </w:rPr>
        <w:t>一、</w:t>
      </w:r>
      <w:r>
        <w:rPr>
          <w:rFonts w:hint="eastAsia" w:ascii="仿宋" w:hAnsi="仿宋" w:eastAsia="仿宋" w:cs="仿宋"/>
          <w:color w:val="auto"/>
          <w:sz w:val="24"/>
          <w:szCs w:val="24"/>
          <w:highlight w:val="none"/>
        </w:rPr>
        <w:t>项目内容</w:t>
      </w:r>
    </w:p>
    <w:p>
      <w:pPr>
        <w:pageBreakBefore w:val="0"/>
        <w:widowControl w:val="0"/>
        <w:kinsoku/>
        <w:wordWrap/>
        <w:overflowPunct/>
        <w:topLinePunct w:val="0"/>
        <w:autoSpaceDE/>
        <w:autoSpaceDN/>
        <w:bidi w:val="0"/>
        <w:adjustRightInd/>
        <w:snapToGrid/>
        <w:spacing w:line="500" w:lineRule="exact"/>
        <w:ind w:firstLine="475" w:firstLineChars="198"/>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在衢江区樟潭街道、浮石街道、东港街道3个街道所辖的52个住宅小区内建设95个“定点减桶”分类收集设施（每个</w:t>
      </w:r>
      <w:r>
        <w:rPr>
          <w:rFonts w:hint="eastAsia" w:ascii="仿宋" w:hAnsi="仿宋" w:eastAsia="仿宋" w:cs="仿宋"/>
          <w:color w:val="auto"/>
          <w:sz w:val="24"/>
          <w:szCs w:val="24"/>
          <w:highlight w:val="none"/>
          <w:lang w:val="en-US" w:eastAsia="zh-CN"/>
        </w:rPr>
        <w:t>投放口须配备垃圾桶</w:t>
      </w:r>
      <w:r>
        <w:rPr>
          <w:rFonts w:hint="eastAsia" w:ascii="仿宋" w:hAnsi="仿宋" w:eastAsia="仿宋" w:cs="仿宋"/>
          <w:color w:val="auto"/>
          <w:sz w:val="24"/>
          <w:szCs w:val="24"/>
          <w:highlight w:val="none"/>
        </w:rPr>
        <w:t>），其中80个标准型，15个引领型，样式需采购人</w:t>
      </w:r>
      <w:r>
        <w:rPr>
          <w:rFonts w:hint="eastAsia" w:ascii="仿宋" w:hAnsi="仿宋" w:eastAsia="仿宋" w:cs="仿宋"/>
          <w:color w:val="auto"/>
          <w:sz w:val="24"/>
          <w:szCs w:val="24"/>
          <w:highlight w:val="none"/>
          <w:lang w:val="en-US" w:eastAsia="zh-CN"/>
        </w:rPr>
        <w:t>确认</w:t>
      </w:r>
      <w:r>
        <w:rPr>
          <w:rFonts w:hint="eastAsia" w:ascii="仿宋" w:hAnsi="仿宋" w:eastAsia="仿宋" w:cs="仿宋"/>
          <w:color w:val="auto"/>
          <w:sz w:val="24"/>
          <w:szCs w:val="24"/>
          <w:highlight w:val="none"/>
        </w:rPr>
        <w:t>。并负责相关垃圾分类运维工作，包括分类收集设施的巡检、维修，有害垃圾的</w:t>
      </w:r>
      <w:r>
        <w:rPr>
          <w:rFonts w:hint="eastAsia" w:ascii="仿宋" w:hAnsi="仿宋" w:eastAsia="仿宋" w:cs="仿宋"/>
          <w:color w:val="auto"/>
          <w:sz w:val="24"/>
          <w:szCs w:val="24"/>
          <w:highlight w:val="none"/>
          <w:lang w:val="en-US" w:eastAsia="zh-CN"/>
        </w:rPr>
        <w:t>分类</w:t>
      </w:r>
      <w:r>
        <w:rPr>
          <w:rFonts w:hint="eastAsia" w:ascii="仿宋" w:hAnsi="仿宋" w:eastAsia="仿宋" w:cs="仿宋"/>
          <w:color w:val="auto"/>
          <w:sz w:val="24"/>
          <w:szCs w:val="24"/>
          <w:highlight w:val="none"/>
        </w:rPr>
        <w:t>收运，垃圾分类宣传培训，数字化管理平台建设及运维等。</w:t>
      </w:r>
    </w:p>
    <w:p>
      <w:pPr>
        <w:pStyle w:val="4"/>
        <w:pageBreakBefore w:val="0"/>
        <w:widowControl w:val="0"/>
        <w:numPr>
          <w:ilvl w:val="1"/>
          <w:numId w:val="0"/>
        </w:numPr>
        <w:kinsoku/>
        <w:wordWrap/>
        <w:overflowPunct/>
        <w:topLinePunct w:val="0"/>
        <w:autoSpaceDE/>
        <w:autoSpaceDN/>
        <w:bidi w:val="0"/>
        <w:adjustRightInd/>
        <w:snapToGrid/>
        <w:spacing w:line="500" w:lineRule="exact"/>
        <w:ind w:firstLine="402"/>
        <w:textAlignment w:val="auto"/>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二、</w:t>
      </w:r>
      <w:r>
        <w:rPr>
          <w:rFonts w:hint="eastAsia" w:ascii="仿宋" w:hAnsi="仿宋" w:eastAsia="仿宋" w:cs="仿宋"/>
          <w:color w:val="auto"/>
          <w:sz w:val="24"/>
          <w:szCs w:val="24"/>
          <w:highlight w:val="none"/>
        </w:rPr>
        <w:t>项目范围</w:t>
      </w:r>
    </w:p>
    <w:tbl>
      <w:tblPr>
        <w:tblStyle w:val="88"/>
        <w:tblW w:w="9100" w:type="dxa"/>
        <w:tblInd w:w="91" w:type="dxa"/>
        <w:tblLayout w:type="fixed"/>
        <w:tblCellMar>
          <w:top w:w="0" w:type="dxa"/>
          <w:left w:w="108" w:type="dxa"/>
          <w:bottom w:w="0" w:type="dxa"/>
          <w:right w:w="108" w:type="dxa"/>
        </w:tblCellMar>
      </w:tblPr>
      <w:tblGrid>
        <w:gridCol w:w="1320"/>
        <w:gridCol w:w="2034"/>
        <w:gridCol w:w="3353"/>
        <w:gridCol w:w="2393"/>
      </w:tblGrid>
      <w:tr>
        <w:tblPrEx>
          <w:tblCellMar>
            <w:top w:w="0" w:type="dxa"/>
            <w:left w:w="108" w:type="dxa"/>
            <w:bottom w:w="0" w:type="dxa"/>
            <w:right w:w="108" w:type="dxa"/>
          </w:tblCellMar>
        </w:tblPrEx>
        <w:trPr>
          <w:trHeight w:val="510" w:hRule="exact"/>
        </w:trPr>
        <w:tc>
          <w:tcPr>
            <w:tcW w:w="91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Style w:val="270"/>
                <w:rFonts w:hint="default"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rPr>
              <w:t>“定点减桶”分类收集设施建设点位明细表</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0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所属街道</w:t>
            </w: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所属社区</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建设数量（个）</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34" w:type="dxa"/>
            <w:vMerge w:val="restart"/>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樟潭</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街道</w:t>
            </w: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通浦社区</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古埠社区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新屋里社区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通江社区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临江社区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霞飞社区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百灵社区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府前社区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034"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霓虹社区</w:t>
            </w:r>
          </w:p>
        </w:tc>
        <w:tc>
          <w:tcPr>
            <w:tcW w:w="2393"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034" w:type="dxa"/>
            <w:vMerge w:val="continue"/>
            <w:tcBorders>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安新社区</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r>
      <w:tr>
        <w:tblPrEx>
          <w:tblCellMar>
            <w:top w:w="0" w:type="dxa"/>
            <w:left w:w="108" w:type="dxa"/>
            <w:bottom w:w="0" w:type="dxa"/>
            <w:right w:w="108" w:type="dxa"/>
          </w:tblCellMar>
        </w:tblPrEx>
        <w:trPr>
          <w:trHeight w:val="510" w:hRule="exact"/>
        </w:trPr>
        <w:tc>
          <w:tcPr>
            <w:tcW w:w="1320" w:type="dxa"/>
            <w:vMerge w:val="restart"/>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034"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浮石</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街道</w:t>
            </w:r>
          </w:p>
        </w:tc>
        <w:tc>
          <w:tcPr>
            <w:tcW w:w="335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春江社区</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r>
      <w:tr>
        <w:tblPrEx>
          <w:tblCellMar>
            <w:top w:w="0" w:type="dxa"/>
            <w:left w:w="108" w:type="dxa"/>
            <w:bottom w:w="0" w:type="dxa"/>
            <w:right w:w="108" w:type="dxa"/>
          </w:tblCellMar>
        </w:tblPrEx>
        <w:trPr>
          <w:trHeight w:val="510" w:hRule="exact"/>
        </w:trPr>
        <w:tc>
          <w:tcPr>
            <w:tcW w:w="1320" w:type="dxa"/>
            <w:vMerge w:val="continue"/>
            <w:tcBorders>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p>
        </w:tc>
        <w:tc>
          <w:tcPr>
            <w:tcW w:w="203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东升社区</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034" w:type="dxa"/>
            <w:vMerge w:val="restart"/>
            <w:tcBorders>
              <w:top w:val="single" w:color="auto" w:sz="4" w:space="0"/>
              <w:left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东港</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街道</w:t>
            </w:r>
          </w:p>
        </w:tc>
        <w:tc>
          <w:tcPr>
            <w:tcW w:w="3353" w:type="dxa"/>
            <w:tcBorders>
              <w:top w:val="single" w:color="auto" w:sz="4" w:space="0"/>
              <w:left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凤凰社区</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034" w:type="dxa"/>
            <w:vMerge w:val="continue"/>
            <w:tcBorders>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p>
        </w:tc>
        <w:tc>
          <w:tcPr>
            <w:tcW w:w="335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新港社区</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CellMar>
            <w:top w:w="0" w:type="dxa"/>
            <w:left w:w="108" w:type="dxa"/>
            <w:bottom w:w="0" w:type="dxa"/>
            <w:right w:w="108" w:type="dxa"/>
          </w:tblCellMar>
        </w:tblPrEx>
        <w:trPr>
          <w:trHeight w:val="510" w:hRule="exact"/>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5387"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2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p>
        </w:tc>
      </w:tr>
    </w:tbl>
    <w:p>
      <w:pPr>
        <w:pStyle w:val="4"/>
        <w:pageBreakBefore w:val="0"/>
        <w:widowControl w:val="0"/>
        <w:numPr>
          <w:ilvl w:val="1"/>
          <w:numId w:val="0"/>
        </w:numPr>
        <w:kinsoku/>
        <w:wordWrap/>
        <w:overflowPunct/>
        <w:topLinePunct w:val="0"/>
        <w:autoSpaceDE/>
        <w:autoSpaceDN/>
        <w:bidi w:val="0"/>
        <w:spacing w:line="500" w:lineRule="exact"/>
        <w:ind w:left="0" w:leftChars="0" w:firstLine="482" w:firstLineChars="200"/>
        <w:textAlignment w:val="auto"/>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注：分类收集设施建设点位按采购人需求合理调整。</w:t>
      </w:r>
    </w:p>
    <w:p>
      <w:pPr>
        <w:pStyle w:val="4"/>
        <w:pageBreakBefore w:val="0"/>
        <w:widowControl w:val="0"/>
        <w:numPr>
          <w:ilvl w:val="0"/>
          <w:numId w:val="4"/>
        </w:numPr>
        <w:kinsoku/>
        <w:wordWrap/>
        <w:overflowPunct/>
        <w:topLinePunct w:val="0"/>
        <w:autoSpaceDE/>
        <w:autoSpaceDN/>
        <w:bidi w:val="0"/>
        <w:spacing w:line="500" w:lineRule="exact"/>
        <w:ind w:left="0" w:leftChars="0" w:firstLine="482" w:firstLineChars="200"/>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服务期：</w:t>
      </w:r>
      <w:r>
        <w:rPr>
          <w:rFonts w:hint="eastAsia" w:ascii="仿宋" w:hAnsi="仿宋" w:eastAsia="仿宋" w:cs="仿宋"/>
          <w:b w:val="0"/>
          <w:bCs w:val="0"/>
          <w:color w:val="auto"/>
          <w:sz w:val="24"/>
          <w:szCs w:val="24"/>
          <w:highlight w:val="none"/>
          <w:lang w:val="en-US" w:eastAsia="zh-CN"/>
        </w:rPr>
        <w:t>二年，其中合同签订之日起90日历天内完成分类收集设施建设及安装调试（实际政策处理存在问题的情况除外）。</w:t>
      </w:r>
    </w:p>
    <w:p>
      <w:pPr>
        <w:pStyle w:val="4"/>
        <w:pageBreakBefore w:val="0"/>
        <w:widowControl w:val="0"/>
        <w:numPr>
          <w:ilvl w:val="0"/>
          <w:numId w:val="0"/>
        </w:numPr>
        <w:kinsoku/>
        <w:wordWrap/>
        <w:overflowPunct/>
        <w:topLinePunct w:val="0"/>
        <w:autoSpaceDE/>
        <w:autoSpaceDN/>
        <w:bidi w:val="0"/>
        <w:spacing w:line="500" w:lineRule="exact"/>
        <w:ind w:left="0" w:leftChars="0"/>
        <w:textAlignment w:val="auto"/>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四、</w:t>
      </w:r>
      <w:r>
        <w:rPr>
          <w:rFonts w:hint="eastAsia" w:ascii="仿宋" w:hAnsi="仿宋" w:eastAsia="仿宋" w:cs="仿宋"/>
          <w:color w:val="auto"/>
          <w:sz w:val="24"/>
          <w:szCs w:val="24"/>
          <w:highlight w:val="none"/>
        </w:rPr>
        <w:t>运行维护要求</w:t>
      </w:r>
    </w:p>
    <w:p>
      <w:pPr>
        <w:pStyle w:val="74"/>
        <w:pageBreakBefore w:val="0"/>
        <w:widowControl w:val="0"/>
        <w:tabs>
          <w:tab w:val="left" w:pos="1270"/>
        </w:tabs>
        <w:kinsoku/>
        <w:wordWrap/>
        <w:overflowPunct/>
        <w:topLinePunct w:val="0"/>
        <w:autoSpaceDE/>
        <w:autoSpaceDN/>
        <w:bidi w:val="0"/>
        <w:spacing w:line="500" w:lineRule="exact"/>
        <w:ind w:left="0" w:leftChars="0" w:firstLine="482" w:firstLineChars="200"/>
        <w:textAlignment w:val="auto"/>
        <w:rPr>
          <w:rFonts w:ascii="仿宋" w:hAnsi="仿宋" w:eastAsia="仿宋" w:cs="仿宋"/>
          <w:b/>
          <w:smallCaps w:val="0"/>
          <w:color w:val="auto"/>
          <w:sz w:val="24"/>
          <w:szCs w:val="24"/>
          <w:highlight w:val="none"/>
        </w:rPr>
      </w:pPr>
      <w:r>
        <w:rPr>
          <w:rFonts w:hint="eastAsia" w:ascii="仿宋" w:hAnsi="仿宋" w:eastAsia="仿宋" w:cs="仿宋"/>
          <w:b/>
          <w:smallCaps w:val="0"/>
          <w:color w:val="auto"/>
          <w:sz w:val="24"/>
          <w:szCs w:val="24"/>
          <w:highlight w:val="none"/>
        </w:rPr>
        <w:t>1</w:t>
      </w:r>
      <w:r>
        <w:rPr>
          <w:rFonts w:hint="eastAsia" w:ascii="仿宋" w:hAnsi="仿宋" w:eastAsia="仿宋" w:cs="仿宋"/>
          <w:b/>
          <w:smallCaps w:val="0"/>
          <w:color w:val="auto"/>
          <w:sz w:val="24"/>
          <w:szCs w:val="24"/>
          <w:highlight w:val="none"/>
          <w:lang w:val="en-US" w:eastAsia="zh-CN"/>
        </w:rPr>
        <w:t>.</w:t>
      </w:r>
      <w:r>
        <w:rPr>
          <w:rFonts w:hint="eastAsia" w:ascii="仿宋" w:hAnsi="仿宋" w:eastAsia="仿宋" w:cs="仿宋"/>
          <w:b/>
          <w:smallCaps w:val="0"/>
          <w:color w:val="auto"/>
          <w:sz w:val="24"/>
          <w:szCs w:val="24"/>
          <w:highlight w:val="none"/>
        </w:rPr>
        <w:t>前期指导及宣教工作：</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eastAsia="仿宋"/>
          <w:bCs/>
          <w:color w:val="auto"/>
          <w:highlight w:val="none"/>
        </w:rPr>
      </w:pPr>
      <w:r>
        <w:rPr>
          <w:rFonts w:hint="eastAsia" w:ascii="仿宋" w:hAnsi="仿宋" w:eastAsia="仿宋" w:cs="仿宋"/>
          <w:bCs/>
          <w:color w:val="auto"/>
          <w:sz w:val="24"/>
          <w:szCs w:val="24"/>
          <w:highlight w:val="none"/>
        </w:rPr>
        <w:t>（1）中标人需配合属地做好政策处理及民意疏通等相关工作。</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（2）中标人应免费为采购人提供设施设备、数字化系统的操作、使用及维护的技术培训服务。投标人应将所有培训费用（含培训教材费）计入投标总价。</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（3）培训目标：通过培训，使项目所涉及的街道、社区、物业等相关管理员能知晓并正确使用分类收集设施和系统操作。</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（4）定期做好垃圾分类知识普及宣传工作，每月至少发布2次微信公众号推文。</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（5）每月按区域进行至少4次垃圾分类宣教活动，对小区物业及居民的疑问进行解答和指导。</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定期</w:t>
      </w:r>
      <w:r>
        <w:rPr>
          <w:rFonts w:hint="eastAsia" w:ascii="仿宋" w:hAnsi="仿宋" w:eastAsia="仿宋" w:cs="仿宋"/>
          <w:color w:val="auto"/>
          <w:sz w:val="24"/>
          <w:szCs w:val="24"/>
          <w:highlight w:val="none"/>
        </w:rPr>
        <w:t>推送居民垃圾分类投放结果给街道、社区相关管理员，为其提供准确的督导依据，每月对居民垃圾分类投放情况进行数据分析。</w:t>
      </w:r>
    </w:p>
    <w:p>
      <w:pPr>
        <w:pStyle w:val="74"/>
        <w:pageBreakBefore w:val="0"/>
        <w:widowControl w:val="0"/>
        <w:tabs>
          <w:tab w:val="left" w:pos="1270"/>
        </w:tabs>
        <w:kinsoku/>
        <w:wordWrap/>
        <w:overflowPunct/>
        <w:topLinePunct w:val="0"/>
        <w:autoSpaceDE/>
        <w:autoSpaceDN/>
        <w:bidi w:val="0"/>
        <w:spacing w:line="500" w:lineRule="exact"/>
        <w:ind w:left="0" w:leftChars="0" w:firstLine="482" w:firstLineChars="200"/>
        <w:textAlignment w:val="auto"/>
        <w:rPr>
          <w:rFonts w:ascii="仿宋" w:hAnsi="仿宋" w:eastAsia="仿宋" w:cs="仿宋"/>
          <w:b/>
          <w:smallCaps w:val="0"/>
          <w:color w:val="auto"/>
          <w:sz w:val="24"/>
          <w:szCs w:val="24"/>
          <w:highlight w:val="none"/>
        </w:rPr>
      </w:pPr>
      <w:r>
        <w:rPr>
          <w:rFonts w:hint="eastAsia" w:ascii="仿宋" w:hAnsi="仿宋" w:eastAsia="仿宋" w:cs="仿宋"/>
          <w:b/>
          <w:smallCaps w:val="0"/>
          <w:color w:val="auto"/>
          <w:sz w:val="24"/>
          <w:szCs w:val="24"/>
          <w:highlight w:val="none"/>
        </w:rPr>
        <w:t>2</w:t>
      </w:r>
      <w:r>
        <w:rPr>
          <w:rFonts w:hint="eastAsia" w:ascii="仿宋" w:hAnsi="仿宋" w:eastAsia="仿宋" w:cs="仿宋"/>
          <w:b/>
          <w:smallCaps w:val="0"/>
          <w:color w:val="auto"/>
          <w:sz w:val="24"/>
          <w:szCs w:val="24"/>
          <w:highlight w:val="none"/>
          <w:lang w:val="en-US" w:eastAsia="zh-CN"/>
        </w:rPr>
        <w:t>.</w:t>
      </w:r>
      <w:r>
        <w:rPr>
          <w:rFonts w:hint="eastAsia" w:ascii="仿宋" w:hAnsi="仿宋" w:eastAsia="仿宋" w:cs="仿宋"/>
          <w:b/>
          <w:smallCaps w:val="0"/>
          <w:color w:val="auto"/>
          <w:sz w:val="24"/>
          <w:szCs w:val="24"/>
          <w:highlight w:val="none"/>
        </w:rPr>
        <w:t>人员配备、分拣中心、数字化平台建设：</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（1）本项目宣传培训员配备：运维前期（一年内）宣传培训</w:t>
      </w:r>
      <w:r>
        <w:rPr>
          <w:rFonts w:hint="eastAsia" w:ascii="仿宋" w:hAnsi="仿宋" w:eastAsia="仿宋" w:cs="仿宋"/>
          <w:color w:val="auto"/>
          <w:sz w:val="24"/>
          <w:szCs w:val="24"/>
          <w:highlight w:val="none"/>
          <w:lang w:val="en-US" w:eastAsia="zh-CN"/>
        </w:rPr>
        <w:t>人员</w:t>
      </w:r>
      <w:r>
        <w:rPr>
          <w:rFonts w:hint="eastAsia" w:ascii="仿宋" w:hAnsi="仿宋" w:eastAsia="仿宋" w:cs="仿宋"/>
          <w:color w:val="auto"/>
          <w:sz w:val="24"/>
          <w:szCs w:val="24"/>
          <w:highlight w:val="none"/>
        </w:rPr>
        <w:t>不少于10人，运维期（一年后）宣传培训</w:t>
      </w:r>
      <w:r>
        <w:rPr>
          <w:rFonts w:hint="eastAsia" w:ascii="仿宋" w:hAnsi="仿宋" w:eastAsia="仿宋" w:cs="仿宋"/>
          <w:color w:val="auto"/>
          <w:sz w:val="24"/>
          <w:szCs w:val="24"/>
          <w:highlight w:val="none"/>
          <w:lang w:val="en-US" w:eastAsia="zh-CN"/>
        </w:rPr>
        <w:t>人员</w:t>
      </w:r>
      <w:r>
        <w:rPr>
          <w:rFonts w:hint="eastAsia" w:ascii="仿宋" w:hAnsi="仿宋" w:eastAsia="仿宋" w:cs="仿宋"/>
          <w:color w:val="auto"/>
          <w:sz w:val="24"/>
          <w:szCs w:val="24"/>
          <w:highlight w:val="none"/>
        </w:rPr>
        <w:t>不少于5人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须在中标通知书签发后7天内到位</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（2）本项目维护周期内</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rPr>
        <w:t>在本地组建运维管理团队，管理人员不少于5名，</w:t>
      </w:r>
      <w:r>
        <w:rPr>
          <w:rFonts w:hint="eastAsia" w:ascii="仿宋" w:hAnsi="仿宋" w:eastAsia="仿宋" w:cs="仿宋"/>
          <w:color w:val="auto"/>
          <w:sz w:val="24"/>
          <w:szCs w:val="24"/>
          <w:highlight w:val="none"/>
          <w:lang w:val="en-US" w:eastAsia="zh-CN"/>
        </w:rPr>
        <w:t>须在中标通知书签发后15天内到位</w:t>
      </w:r>
      <w:r>
        <w:rPr>
          <w:rFonts w:hint="eastAsia" w:ascii="仿宋" w:hAnsi="仿宋" w:eastAsia="仿宋" w:cs="仿宋"/>
          <w:color w:val="auto"/>
          <w:sz w:val="24"/>
          <w:szCs w:val="24"/>
          <w:highlight w:val="none"/>
        </w:rPr>
        <w:t>。本地化运维工具及场所由</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自行承担。</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（3）负责分类收集设施内有害垃圾的分类收运，</w:t>
      </w:r>
      <w:r>
        <w:rPr>
          <w:rFonts w:hint="eastAsia" w:ascii="仿宋" w:hAnsi="仿宋" w:eastAsia="仿宋" w:cs="仿宋"/>
          <w:color w:val="auto"/>
          <w:sz w:val="24"/>
          <w:szCs w:val="24"/>
          <w:highlight w:val="none"/>
          <w:lang w:val="en-US" w:eastAsia="zh-CN"/>
        </w:rPr>
        <w:t>分类</w:t>
      </w:r>
      <w:r>
        <w:rPr>
          <w:rFonts w:hint="eastAsia" w:ascii="仿宋" w:hAnsi="仿宋" w:eastAsia="仿宋" w:cs="仿宋"/>
          <w:color w:val="auto"/>
          <w:sz w:val="24"/>
          <w:szCs w:val="24"/>
          <w:highlight w:val="none"/>
        </w:rPr>
        <w:t>收运车辆配备不少于2辆，同时在本地具备不小于</w:t>
      </w:r>
      <w:r>
        <w:rPr>
          <w:rFonts w:hint="eastAsia" w:ascii="仿宋" w:hAnsi="仿宋" w:eastAsia="仿宋" w:cs="仿宋"/>
          <w:color w:val="auto"/>
          <w:sz w:val="24"/>
          <w:szCs w:val="24"/>
          <w:highlight w:val="none"/>
          <w:lang w:val="en-US" w:eastAsia="zh-CN"/>
        </w:rPr>
        <w:t>200平方米</w:t>
      </w:r>
      <w:r>
        <w:rPr>
          <w:rFonts w:hint="eastAsia" w:ascii="仿宋" w:hAnsi="仿宋" w:eastAsia="仿宋" w:cs="仿宋"/>
          <w:color w:val="auto"/>
          <w:sz w:val="24"/>
          <w:szCs w:val="24"/>
          <w:highlight w:val="none"/>
        </w:rPr>
        <w:t>的分拣</w:t>
      </w:r>
      <w:r>
        <w:rPr>
          <w:rFonts w:hint="eastAsia" w:ascii="仿宋" w:hAnsi="仿宋" w:eastAsia="仿宋" w:cs="仿宋"/>
          <w:color w:val="auto"/>
          <w:sz w:val="24"/>
          <w:szCs w:val="24"/>
          <w:highlight w:val="none"/>
          <w:lang w:val="en-US" w:eastAsia="zh-CN"/>
        </w:rPr>
        <w:t>暂存</w:t>
      </w:r>
      <w:r>
        <w:rPr>
          <w:rFonts w:hint="eastAsia" w:ascii="仿宋" w:hAnsi="仿宋" w:eastAsia="仿宋" w:cs="仿宋"/>
          <w:color w:val="auto"/>
          <w:sz w:val="24"/>
          <w:szCs w:val="24"/>
          <w:highlight w:val="none"/>
        </w:rPr>
        <w:t>场所，人员不少于2人，</w:t>
      </w:r>
      <w:r>
        <w:rPr>
          <w:rFonts w:hint="eastAsia" w:ascii="仿宋" w:hAnsi="仿宋" w:eastAsia="仿宋" w:cs="仿宋"/>
          <w:color w:val="auto"/>
          <w:sz w:val="24"/>
          <w:szCs w:val="24"/>
          <w:highlight w:val="none"/>
          <w:lang w:val="en-US" w:eastAsia="zh-CN"/>
        </w:rPr>
        <w:t>须在中标通知书签发后30天</w:t>
      </w:r>
      <w:r>
        <w:rPr>
          <w:rFonts w:hint="eastAsia" w:ascii="仿宋" w:hAnsi="仿宋" w:eastAsia="仿宋" w:cs="仿宋"/>
          <w:color w:val="auto"/>
          <w:sz w:val="24"/>
          <w:szCs w:val="24"/>
          <w:highlight w:val="none"/>
        </w:rPr>
        <w:t>内到位。</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（4）分类收集设施建成后，</w:t>
      </w:r>
      <w:r>
        <w:rPr>
          <w:rFonts w:hint="eastAsia" w:ascii="仿宋" w:hAnsi="仿宋" w:eastAsia="仿宋" w:cs="仿宋"/>
          <w:color w:val="auto"/>
          <w:sz w:val="24"/>
          <w:szCs w:val="24"/>
          <w:highlight w:val="none"/>
          <w:lang w:val="en-US" w:eastAsia="zh-CN"/>
        </w:rPr>
        <w:t>投标人须</w:t>
      </w:r>
      <w:r>
        <w:rPr>
          <w:rFonts w:hint="eastAsia" w:ascii="仿宋" w:hAnsi="仿宋" w:eastAsia="仿宋" w:cs="仿宋"/>
          <w:color w:val="auto"/>
          <w:sz w:val="24"/>
          <w:szCs w:val="24"/>
          <w:highlight w:val="none"/>
        </w:rPr>
        <w:t>建设一个垃圾分类数字化管理平台，平台功能</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rPr>
        <w:t>能够满足垃圾分类溯源机制建设，安排专人负责日常维护，并提供给采购人使用。</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（5）垃圾分类数字化平台</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rPr>
        <w:t>安排专人负责日常运维，并将相关数据录入系统平台，后期如有需要接入市、区垃圾分类平台提供接口。</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6）投标人如未在衢江区注册的，须在中标通知书签发后15日历天内，在衢江区注册成立分公司，并设立办公场所。</w:t>
      </w:r>
    </w:p>
    <w:p>
      <w:pPr>
        <w:pageBreakBefore w:val="0"/>
        <w:widowControl w:val="0"/>
        <w:kinsoku/>
        <w:wordWrap/>
        <w:overflowPunct/>
        <w:topLinePunct w:val="0"/>
        <w:autoSpaceDE/>
        <w:autoSpaceDN/>
        <w:bidi w:val="0"/>
        <w:spacing w:line="500" w:lineRule="exact"/>
        <w:ind w:left="0" w:leftChars="0" w:firstLine="482" w:firstLineChars="200"/>
        <w:textAlignment w:val="auto"/>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lang w:val="zh-CN"/>
        </w:rPr>
        <w:t>根据以上要求视自身及现场情况在确定人员</w:t>
      </w:r>
      <w:r>
        <w:rPr>
          <w:rFonts w:hint="eastAsia" w:ascii="仿宋" w:hAnsi="仿宋" w:eastAsia="仿宋" w:cs="仿宋"/>
          <w:b/>
          <w:bCs/>
          <w:color w:val="auto"/>
          <w:sz w:val="24"/>
          <w:szCs w:val="24"/>
          <w:highlight w:val="none"/>
        </w:rPr>
        <w:t>与相应设备</w:t>
      </w:r>
      <w:r>
        <w:rPr>
          <w:rFonts w:hint="eastAsia" w:ascii="仿宋" w:hAnsi="仿宋" w:eastAsia="仿宋" w:cs="仿宋"/>
          <w:b/>
          <w:bCs/>
          <w:color w:val="auto"/>
          <w:sz w:val="24"/>
          <w:szCs w:val="24"/>
          <w:highlight w:val="none"/>
          <w:lang w:val="zh-CN"/>
        </w:rPr>
        <w:t>数量，人员</w:t>
      </w:r>
      <w:r>
        <w:rPr>
          <w:rFonts w:hint="eastAsia" w:ascii="仿宋" w:hAnsi="仿宋" w:eastAsia="仿宋" w:cs="仿宋"/>
          <w:b/>
          <w:bCs/>
          <w:color w:val="auto"/>
          <w:sz w:val="24"/>
          <w:szCs w:val="24"/>
          <w:highlight w:val="none"/>
        </w:rPr>
        <w:t>与相应设备</w:t>
      </w:r>
      <w:r>
        <w:rPr>
          <w:rFonts w:hint="eastAsia" w:ascii="仿宋" w:hAnsi="仿宋" w:eastAsia="仿宋" w:cs="仿宋"/>
          <w:b/>
          <w:bCs/>
          <w:color w:val="auto"/>
          <w:sz w:val="24"/>
          <w:szCs w:val="24"/>
          <w:highlight w:val="none"/>
          <w:lang w:val="zh-CN"/>
        </w:rPr>
        <w:t>数量不得少于</w:t>
      </w:r>
      <w:r>
        <w:rPr>
          <w:rFonts w:hint="eastAsia" w:ascii="仿宋" w:hAnsi="仿宋" w:eastAsia="仿宋" w:cs="仿宋"/>
          <w:b/>
          <w:bCs/>
          <w:color w:val="auto"/>
          <w:sz w:val="24"/>
          <w:szCs w:val="24"/>
          <w:highlight w:val="none"/>
        </w:rPr>
        <w:t>采购</w:t>
      </w:r>
      <w:r>
        <w:rPr>
          <w:rFonts w:hint="eastAsia" w:ascii="仿宋" w:hAnsi="仿宋" w:eastAsia="仿宋" w:cs="仿宋"/>
          <w:b/>
          <w:bCs/>
          <w:color w:val="auto"/>
          <w:sz w:val="24"/>
          <w:szCs w:val="24"/>
          <w:highlight w:val="none"/>
          <w:lang w:val="zh-CN"/>
        </w:rPr>
        <w:t>文件的规定，中标后必须满足工作要求，否则</w:t>
      </w:r>
      <w:r>
        <w:rPr>
          <w:rFonts w:hint="eastAsia" w:ascii="仿宋" w:hAnsi="仿宋" w:eastAsia="仿宋" w:cs="仿宋"/>
          <w:b/>
          <w:bCs/>
          <w:color w:val="auto"/>
          <w:sz w:val="24"/>
          <w:szCs w:val="24"/>
          <w:highlight w:val="none"/>
          <w:lang w:val="en-US" w:eastAsia="zh-CN"/>
        </w:rPr>
        <w:t>采购人</w:t>
      </w:r>
      <w:r>
        <w:rPr>
          <w:rFonts w:hint="eastAsia" w:ascii="仿宋" w:hAnsi="仿宋" w:eastAsia="仿宋" w:cs="仿宋"/>
          <w:b/>
          <w:bCs/>
          <w:color w:val="auto"/>
          <w:sz w:val="24"/>
          <w:szCs w:val="24"/>
          <w:highlight w:val="none"/>
          <w:lang w:val="zh-CN"/>
        </w:rPr>
        <w:t>有权单方取消中标</w:t>
      </w:r>
      <w:r>
        <w:rPr>
          <w:rFonts w:hint="eastAsia" w:ascii="仿宋" w:hAnsi="仿宋" w:eastAsia="仿宋" w:cs="仿宋"/>
          <w:b/>
          <w:bCs/>
          <w:color w:val="auto"/>
          <w:sz w:val="24"/>
          <w:szCs w:val="24"/>
          <w:highlight w:val="none"/>
          <w:lang w:eastAsia="zh-CN"/>
        </w:rPr>
        <w:t>人</w:t>
      </w:r>
      <w:r>
        <w:rPr>
          <w:rFonts w:hint="eastAsia" w:ascii="仿宋" w:hAnsi="仿宋" w:eastAsia="仿宋" w:cs="仿宋"/>
          <w:b/>
          <w:bCs/>
          <w:color w:val="auto"/>
          <w:sz w:val="24"/>
          <w:szCs w:val="24"/>
          <w:highlight w:val="none"/>
          <w:lang w:val="zh-CN"/>
        </w:rPr>
        <w:t>的中标资格或解除合同。</w:t>
      </w:r>
    </w:p>
    <w:p>
      <w:pPr>
        <w:pageBreakBefore w:val="0"/>
        <w:widowControl w:val="0"/>
        <w:kinsoku/>
        <w:wordWrap/>
        <w:overflowPunct/>
        <w:topLinePunct w:val="0"/>
        <w:autoSpaceDE/>
        <w:autoSpaceDN/>
        <w:bidi w:val="0"/>
        <w:spacing w:line="500" w:lineRule="exact"/>
        <w:ind w:left="0" w:leftChars="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【采购人将对</w:t>
      </w:r>
      <w:r>
        <w:rPr>
          <w:rFonts w:hint="eastAsia" w:ascii="仿宋" w:hAnsi="仿宋" w:eastAsia="仿宋" w:cs="仿宋"/>
          <w:b/>
          <w:bCs/>
          <w:color w:val="auto"/>
          <w:sz w:val="24"/>
          <w:szCs w:val="24"/>
          <w:highlight w:val="none"/>
          <w:lang w:eastAsia="zh-CN"/>
        </w:rPr>
        <w:t>中标人</w:t>
      </w:r>
      <w:r>
        <w:rPr>
          <w:rFonts w:hint="eastAsia" w:ascii="仿宋" w:hAnsi="仿宋" w:eastAsia="仿宋" w:cs="仿宋"/>
          <w:b/>
          <w:bCs/>
          <w:color w:val="auto"/>
          <w:sz w:val="24"/>
          <w:szCs w:val="24"/>
          <w:highlight w:val="none"/>
        </w:rPr>
        <w:t>的场地、设备及人员进行核查，如</w:t>
      </w:r>
      <w:r>
        <w:rPr>
          <w:rFonts w:hint="eastAsia" w:ascii="仿宋" w:hAnsi="仿宋" w:eastAsia="仿宋" w:cs="仿宋"/>
          <w:b/>
          <w:bCs/>
          <w:color w:val="auto"/>
          <w:sz w:val="24"/>
          <w:szCs w:val="24"/>
          <w:highlight w:val="none"/>
          <w:lang w:eastAsia="zh-CN"/>
        </w:rPr>
        <w:t>达不到人员、设备及场地要求的，采购人有权</w:t>
      </w:r>
      <w:r>
        <w:rPr>
          <w:rFonts w:hint="eastAsia" w:ascii="仿宋" w:hAnsi="仿宋" w:eastAsia="仿宋" w:cs="仿宋"/>
          <w:b/>
          <w:bCs/>
          <w:color w:val="auto"/>
          <w:sz w:val="24"/>
          <w:szCs w:val="24"/>
          <w:highlight w:val="none"/>
        </w:rPr>
        <w:t>取消</w:t>
      </w:r>
      <w:r>
        <w:rPr>
          <w:rFonts w:hint="eastAsia" w:ascii="仿宋" w:hAnsi="仿宋" w:eastAsia="仿宋" w:cs="仿宋"/>
          <w:b/>
          <w:bCs/>
          <w:color w:val="auto"/>
          <w:sz w:val="24"/>
          <w:szCs w:val="24"/>
          <w:highlight w:val="none"/>
          <w:lang w:eastAsia="zh-CN"/>
        </w:rPr>
        <w:t>中标人</w:t>
      </w:r>
      <w:r>
        <w:rPr>
          <w:rFonts w:hint="eastAsia" w:ascii="仿宋" w:hAnsi="仿宋" w:eastAsia="仿宋" w:cs="仿宋"/>
          <w:b/>
          <w:bCs/>
          <w:color w:val="auto"/>
          <w:sz w:val="24"/>
          <w:szCs w:val="24"/>
          <w:highlight w:val="none"/>
        </w:rPr>
        <w:t>资格。】</w:t>
      </w:r>
    </w:p>
    <w:p>
      <w:pPr>
        <w:pageBreakBefore w:val="0"/>
        <w:widowControl w:val="0"/>
        <w:kinsoku/>
        <w:wordWrap/>
        <w:overflowPunct/>
        <w:topLinePunct w:val="0"/>
        <w:autoSpaceDE/>
        <w:autoSpaceDN/>
        <w:bidi w:val="0"/>
        <w:spacing w:line="500" w:lineRule="exact"/>
        <w:ind w:left="0" w:leftChars="0" w:firstLine="482" w:firstLineChars="200"/>
        <w:textAlignment w:val="auto"/>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设施管理要求：</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（1）每月对分类收集设施进行巡检、维护，保障设备运作正常进行，发现问题及时检修和排除故障。</w:t>
      </w:r>
    </w:p>
    <w:p>
      <w:pPr>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（2）制作设备常见故障排除操作流程表，做好智能分类相关设备、后台管理的故障巡检及抢修机制。</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bCs/>
          <w:color w:val="auto"/>
          <w:sz w:val="24"/>
          <w:szCs w:val="24"/>
          <w:highlight w:val="none"/>
        </w:rPr>
        <w:t>团队能够提供完善可靠的技术支持，当出现故障</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小时响应，现场服务能在</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小时内到达，24小时解决问题。</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（4）运维期间采购人进行组织重大活动时，</w:t>
      </w:r>
      <w:r>
        <w:rPr>
          <w:rFonts w:hint="eastAsia" w:ascii="仿宋" w:hAnsi="仿宋" w:eastAsia="仿宋" w:cs="仿宋"/>
          <w:bCs/>
          <w:color w:val="auto"/>
          <w:sz w:val="24"/>
          <w:szCs w:val="24"/>
          <w:highlight w:val="none"/>
          <w:lang w:val="en-US" w:eastAsia="zh-CN"/>
        </w:rPr>
        <w:t>投标人</w:t>
      </w:r>
      <w:r>
        <w:rPr>
          <w:rFonts w:hint="eastAsia" w:ascii="仿宋" w:hAnsi="仿宋" w:eastAsia="仿宋" w:cs="仿宋"/>
          <w:bCs/>
          <w:color w:val="auto"/>
          <w:sz w:val="24"/>
          <w:szCs w:val="24"/>
          <w:highlight w:val="none"/>
        </w:rPr>
        <w:t>必须安排现场技术人员支持，保障活动正常有序的进行。</w:t>
      </w:r>
    </w:p>
    <w:p>
      <w:pPr>
        <w:pageBreakBefore w:val="0"/>
        <w:widowControl w:val="0"/>
        <w:kinsoku/>
        <w:wordWrap/>
        <w:overflowPunct/>
        <w:topLinePunct w:val="0"/>
        <w:autoSpaceDE/>
        <w:autoSpaceDN/>
        <w:bidi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b/>
          <w:bCs/>
          <w:color w:val="auto"/>
          <w:sz w:val="24"/>
          <w:szCs w:val="24"/>
          <w:highlight w:val="none"/>
        </w:rPr>
        <w:t>建设的95个分类收集设施质保期2年，质保期内</w:t>
      </w:r>
      <w:r>
        <w:rPr>
          <w:rFonts w:hint="eastAsia" w:ascii="仿宋" w:hAnsi="仿宋" w:eastAsia="仿宋" w:cs="仿宋"/>
          <w:b/>
          <w:bCs/>
          <w:color w:val="auto"/>
          <w:sz w:val="24"/>
          <w:szCs w:val="24"/>
          <w:highlight w:val="none"/>
          <w:lang w:val="en-US" w:eastAsia="zh-CN"/>
        </w:rPr>
        <w:t>投标人须</w:t>
      </w:r>
      <w:r>
        <w:rPr>
          <w:rFonts w:hint="eastAsia" w:ascii="仿宋" w:hAnsi="仿宋" w:eastAsia="仿宋" w:cs="仿宋"/>
          <w:b/>
          <w:bCs/>
          <w:color w:val="auto"/>
          <w:sz w:val="24"/>
          <w:szCs w:val="24"/>
          <w:highlight w:val="none"/>
        </w:rPr>
        <w:t>提供免费维修。</w:t>
      </w:r>
    </w:p>
    <w:p>
      <w:pPr>
        <w:pStyle w:val="4"/>
        <w:pageBreakBefore w:val="0"/>
        <w:widowControl w:val="0"/>
        <w:numPr>
          <w:ilvl w:val="1"/>
          <w:numId w:val="0"/>
        </w:numPr>
        <w:kinsoku/>
        <w:wordWrap/>
        <w:overflowPunct/>
        <w:topLinePunct w:val="0"/>
        <w:autoSpaceDE/>
        <w:autoSpaceDN/>
        <w:bidi w:val="0"/>
        <w:spacing w:line="500" w:lineRule="exact"/>
        <w:ind w:left="0" w:leftChars="0" w:firstLine="482" w:firstLineChars="200"/>
        <w:jc w:val="left"/>
        <w:textAlignment w:val="auto"/>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五</w:t>
      </w:r>
      <w:r>
        <w:rPr>
          <w:rFonts w:hint="eastAsia" w:ascii="仿宋" w:hAnsi="仿宋" w:eastAsia="仿宋" w:cs="仿宋"/>
          <w:bCs/>
          <w:color w:val="auto"/>
          <w:sz w:val="24"/>
          <w:szCs w:val="24"/>
          <w:highlight w:val="none"/>
        </w:rPr>
        <w:t>、分类收集设施</w:t>
      </w:r>
      <w:r>
        <w:rPr>
          <w:rFonts w:hint="eastAsia" w:ascii="仿宋" w:hAnsi="仿宋" w:eastAsia="仿宋" w:cs="仿宋"/>
          <w:color w:val="auto"/>
          <w:sz w:val="24"/>
          <w:szCs w:val="24"/>
          <w:highlight w:val="none"/>
        </w:rPr>
        <w:t>技术参数要求</w:t>
      </w:r>
    </w:p>
    <w:p>
      <w:pPr>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住房和城乡建设部印发《“十四五”建筑业发展规划》“大力推广应用装配式建筑，加快智能建造与新型建筑工业化协同发展”的要求，提高分类收集设施的使用年限，以及耐磨损、耐腐蚀、热效好、防火性佳、安全系数等，本项目分类收集设施需采用装配式工艺结构。</w:t>
      </w:r>
    </w:p>
    <w:p>
      <w:pPr>
        <w:pageBreakBefore w:val="0"/>
        <w:widowControl w:val="0"/>
        <w:kinsoku/>
        <w:wordWrap/>
        <w:overflowPunct/>
        <w:topLinePunct w:val="0"/>
        <w:autoSpaceDE/>
        <w:autoSpaceDN/>
        <w:bidi w:val="0"/>
        <w:spacing w:line="500" w:lineRule="exact"/>
        <w:ind w:left="0" w:leftChars="0" w:firstLine="482" w:firstLineChars="200"/>
        <w:jc w:val="left"/>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建设类型及数量</w:t>
      </w:r>
    </w:p>
    <w:tbl>
      <w:tblPr>
        <w:tblStyle w:val="89"/>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3043"/>
        <w:gridCol w:w="3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0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类型</w:t>
            </w:r>
          </w:p>
        </w:tc>
        <w:tc>
          <w:tcPr>
            <w:tcW w:w="3951"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0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引领型</w:t>
            </w:r>
          </w:p>
        </w:tc>
        <w:tc>
          <w:tcPr>
            <w:tcW w:w="3951"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0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标准型</w:t>
            </w:r>
          </w:p>
        </w:tc>
        <w:tc>
          <w:tcPr>
            <w:tcW w:w="3951"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207" w:type="dxa"/>
            <w:gridSpan w:val="2"/>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3951"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p>
        </w:tc>
      </w:tr>
    </w:tbl>
    <w:p>
      <w:pPr>
        <w:rPr>
          <w:rFonts w:eastAsia="仿宋"/>
          <w:color w:val="auto"/>
          <w:highlight w:val="none"/>
        </w:rPr>
      </w:pPr>
      <w:r>
        <w:rPr>
          <w:rFonts w:eastAsia="仿宋"/>
          <w:color w:val="auto"/>
          <w:highlight w:val="none"/>
        </w:rPr>
        <w:br w:type="page"/>
      </w:r>
    </w:p>
    <w:p>
      <w:pPr>
        <w:numPr>
          <w:ilvl w:val="0"/>
          <w:numId w:val="0"/>
        </w:numPr>
        <w:spacing w:before="120" w:beforeLines="50" w:after="120" w:afterLines="50" w:line="440" w:lineRule="exact"/>
        <w:ind w:firstLine="482" w:firstLineChars="200"/>
        <w:jc w:val="left"/>
        <w:rPr>
          <w:rFonts w:ascii="仿宋" w:hAnsi="仿宋" w:eastAsia="仿宋" w:cs="仿宋"/>
          <w:b/>
          <w:color w:val="auto"/>
          <w:sz w:val="24"/>
          <w:szCs w:val="24"/>
          <w:highlight w:val="none"/>
        </w:rPr>
      </w:pPr>
      <w:r>
        <w:rPr>
          <w:rFonts w:ascii="仿宋" w:hAnsi="仿宋" w:eastAsia="仿宋" w:cs="仿宋"/>
          <w:b/>
          <w:color w:val="auto"/>
          <w:kern w:val="2"/>
          <w:sz w:val="24"/>
          <w:szCs w:val="24"/>
          <w:highlight w:val="none"/>
          <w:lang w:val="en-US" w:eastAsia="zh-CN" w:bidi="ar-SA"/>
        </w:rPr>
        <w:t>2</w:t>
      </w:r>
      <w:r>
        <w:rPr>
          <w:rFonts w:hint="eastAsia" w:ascii="仿宋" w:hAnsi="仿宋" w:eastAsia="仿宋" w:cs="仿宋"/>
          <w:b/>
          <w:color w:val="auto"/>
          <w:kern w:val="2"/>
          <w:sz w:val="24"/>
          <w:szCs w:val="24"/>
          <w:highlight w:val="none"/>
          <w:lang w:val="en-US" w:eastAsia="zh-CN" w:bidi="ar-SA"/>
        </w:rPr>
        <w:t>.</w:t>
      </w:r>
      <w:r>
        <w:rPr>
          <w:rFonts w:hint="eastAsia" w:ascii="仿宋" w:hAnsi="仿宋" w:eastAsia="仿宋" w:cs="仿宋"/>
          <w:b/>
          <w:color w:val="auto"/>
          <w:sz w:val="24"/>
          <w:szCs w:val="24"/>
          <w:highlight w:val="none"/>
        </w:rPr>
        <w:t>引领型技术参数及要求</w:t>
      </w:r>
    </w:p>
    <w:tbl>
      <w:tblPr>
        <w:tblStyle w:val="89"/>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77"/>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10" w:type="dxa"/>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8106" w:type="dxa"/>
            <w:gridSpan w:val="2"/>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主体结构-技术参数及要求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810"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▲主体结构</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采用整体装配式混凝土结构或全预制装配式混凝土结构。</w:t>
            </w:r>
          </w:p>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混凝土等级为C30，主筋采用HRB400钢筋。构件类型包括地基地坪、墙板、屋面板等。构件运往场地后，通过干作业拼装方式组合成垃圾房，能尽量减少对原有环境的干扰。</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rPr>
              <w:t>满足整体吊装运输，可多次移动的使用需求。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投口</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每个分类收集设施不少于4个投口，每个投放口须配备垃圾桶，喷涂分类标识。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垃圾房外墙面、屋面</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弹性涂料；防水性能</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rPr>
              <w:t>满足要求</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垃圾房内</w:t>
            </w:r>
          </w:p>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墙面</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清水混凝土墙面</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地面、绿化修复</w:t>
            </w:r>
          </w:p>
        </w:tc>
        <w:tc>
          <w:tcPr>
            <w:tcW w:w="6629"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填方材料品种：开挖符合回填要求的原土，并进行绿化修复</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废料处理</w:t>
            </w:r>
          </w:p>
        </w:tc>
        <w:tc>
          <w:tcPr>
            <w:tcW w:w="6629"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种类：原土；运距：投标人自行勘测；含渣土消纳等</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地面铺设</w:t>
            </w:r>
          </w:p>
        </w:tc>
        <w:tc>
          <w:tcPr>
            <w:tcW w:w="6629"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用材：面层抹20mm厚水泥砂浆，抹平、压光</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门、窗</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钢制卷帘门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电路系统</w:t>
            </w:r>
          </w:p>
        </w:tc>
        <w:tc>
          <w:tcPr>
            <w:tcW w:w="6629" w:type="dxa"/>
            <w:vAlign w:val="center"/>
          </w:tcPr>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配电箱，进线断路器3P/25A；</w:t>
            </w:r>
          </w:p>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入户10平方电缆、插座2.5平方导线、照明2.5平方导线；</w:t>
            </w:r>
          </w:p>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二三孔单相插座4个；净化装置插座1个；（均带防护盖板）</w:t>
            </w:r>
          </w:p>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单控开关1个（采用防水型）；</w:t>
            </w:r>
          </w:p>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灯具（LED光源）2*21W灯具1个；</w:t>
            </w:r>
          </w:p>
          <w:p>
            <w:pPr>
              <w:keepNext w:val="0"/>
              <w:keepLines w:val="0"/>
              <w:pageBreakBefore w:val="0"/>
              <w:numPr>
                <w:ilvl w:val="0"/>
                <w:numId w:val="5"/>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电子式电表1副（根据管理需要自行采购）</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给排水系统</w:t>
            </w:r>
          </w:p>
        </w:tc>
        <w:tc>
          <w:tcPr>
            <w:tcW w:w="6629" w:type="dxa"/>
            <w:vAlign w:val="center"/>
          </w:tcPr>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UPVC50、UPVC75、UPVC160排水管；（根据地面实际使用）</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水泥地面开槽，排水管道；</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PPR给水管；</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水龙头1个,带压力型真空破坏器水龙头1个；</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截止阀1个；</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水表1副；</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排水沟（规格为300*300mm）；</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De160网框地漏1个；</w:t>
            </w:r>
          </w:p>
          <w:p>
            <w:pPr>
              <w:keepNext w:val="0"/>
              <w:keepLines w:val="0"/>
              <w:pageBreakBefore w:val="0"/>
              <w:numPr>
                <w:ilvl w:val="0"/>
                <w:numId w:val="6"/>
              </w:numPr>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DN75 87型雨水斗1个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灭火装置</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配置灭火器≥1个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壁式轴流</w:t>
            </w:r>
          </w:p>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风机</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壁式轴流风机（排风）2个，壁式轴流风机（进风）1个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纳米光子除臭装置</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纳米光子除臭装置1个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Merge w:val="continue"/>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标识牌</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外立面设置宣示栏≥3处</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77"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场地平整、硬化</w:t>
            </w:r>
          </w:p>
        </w:tc>
        <w:tc>
          <w:tcPr>
            <w:tcW w:w="6629"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地面硬化：≥150mm厚C30混凝土。</w:t>
            </w:r>
          </w:p>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以投放屋地脚线为基准左右两侧各外延0.8米，正面延伸至路基，转角处外延0.8米为范围进行开挖、回填、硬化等。并负责原场地绿化处理、地表物拆除，安装施工过程中产生的垃圾须按各相关部门垃圾清运要求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77" w:type="dxa"/>
            <w:vAlign w:val="center"/>
          </w:tcPr>
          <w:p>
            <w:pPr>
              <w:pStyle w:val="82"/>
              <w:keepNext w:val="0"/>
              <w:keepLines w:val="0"/>
              <w:pageBreakBefore w:val="0"/>
              <w:kinsoku/>
              <w:wordWrap/>
              <w:overflowPunct/>
              <w:topLinePunct w:val="0"/>
              <w:autoSpaceDE/>
              <w:autoSpaceDN/>
              <w:bidi w:val="0"/>
              <w:adjustRightInd/>
              <w:snapToGrid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管道预埋</w:t>
            </w:r>
          </w:p>
        </w:tc>
        <w:tc>
          <w:tcPr>
            <w:tcW w:w="6629" w:type="dxa"/>
            <w:vAlign w:val="center"/>
          </w:tcPr>
          <w:p>
            <w:pPr>
              <w:pStyle w:val="82"/>
              <w:keepNext w:val="0"/>
              <w:keepLines w:val="0"/>
              <w:pageBreakBefore w:val="0"/>
              <w:kinsoku/>
              <w:wordWrap/>
              <w:overflowPunct/>
              <w:topLinePunct w:val="0"/>
              <w:autoSpaceDE/>
              <w:autoSpaceDN/>
              <w:bidi w:val="0"/>
              <w:adjustRightInd/>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给水管及保温：DN25 PP-R给水管，接口预留至室外1.5m；污水管：DN 110 PVC管，接口预留至室外1.5m；强弱电管道及手孔井：DN32  PVC穿线管，预留接口；</w:t>
            </w:r>
          </w:p>
          <w:p>
            <w:pPr>
              <w:pStyle w:val="82"/>
              <w:keepNext w:val="0"/>
              <w:keepLines w:val="0"/>
              <w:pageBreakBefore w:val="0"/>
              <w:kinsoku/>
              <w:wordWrap/>
              <w:overflowPunct/>
              <w:topLinePunct w:val="0"/>
              <w:autoSpaceDE/>
              <w:autoSpaceDN/>
              <w:bidi w:val="0"/>
              <w:adjustRightInd/>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所有给、排水管及强弱电线路必须预留适宜的接水、接电点位，确保通水、通电、排污纳管。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区域配置</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满足“六标配”：配备视频监控、照明、通风、除臭、给排水、洗手池等，具备洗手区、投放区、清洗区、空桶区、满桶区和工具间等不同的功能分区。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adjustRightInd/>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建筑面积</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不小于7㎡</w:t>
            </w:r>
            <w:r>
              <w:rPr>
                <w:rFonts w:hint="eastAsia" w:ascii="仿宋" w:hAnsi="仿宋" w:eastAsia="仿宋" w:cs="仿宋"/>
                <w:color w:val="auto"/>
                <w:sz w:val="24"/>
                <w:szCs w:val="24"/>
                <w:highlight w:val="none"/>
                <w:lang w:eastAsia="zh-CN"/>
              </w:rPr>
              <w:t>。</w:t>
            </w:r>
          </w:p>
        </w:tc>
      </w:tr>
    </w:tbl>
    <w:p>
      <w:pPr>
        <w:spacing w:before="120" w:beforeLines="50" w:after="120" w:afterLines="50" w:line="440" w:lineRule="exact"/>
        <w:jc w:val="left"/>
        <w:rPr>
          <w:rFonts w:ascii="仿宋" w:hAnsi="仿宋" w:eastAsia="仿宋" w:cs="仿宋"/>
          <w:b/>
          <w:color w:val="auto"/>
          <w:sz w:val="24"/>
          <w:szCs w:val="24"/>
          <w:highlight w:val="none"/>
        </w:rPr>
      </w:pPr>
    </w:p>
    <w:tbl>
      <w:tblPr>
        <w:tblStyle w:val="89"/>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6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01"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序号</w:t>
            </w:r>
          </w:p>
        </w:tc>
        <w:tc>
          <w:tcPr>
            <w:tcW w:w="7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功能配置-技术参数及要求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▲基础功能</w:t>
            </w:r>
          </w:p>
        </w:tc>
        <w:tc>
          <w:tcPr>
            <w:tcW w:w="6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自动开启投口</w:t>
            </w:r>
            <w:r>
              <w:rPr>
                <w:rFonts w:hint="eastAsia" w:ascii="仿宋" w:hAnsi="仿宋" w:eastAsia="仿宋" w:cs="仿宋"/>
                <w:color w:val="auto"/>
                <w:sz w:val="24"/>
                <w:szCs w:val="24"/>
                <w:highlight w:val="none"/>
                <w:lang w:eastAsia="zh-CN"/>
              </w:rPr>
              <w:t>:当人靠近时自动开启垃圾投放口;</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垃圾托盘功能</w:t>
            </w:r>
            <w:r>
              <w:rPr>
                <w:rFonts w:hint="eastAsia" w:ascii="仿宋" w:hAnsi="仿宋" w:eastAsia="仿宋" w:cs="仿宋"/>
                <w:color w:val="auto"/>
                <w:sz w:val="24"/>
                <w:szCs w:val="24"/>
                <w:highlight w:val="none"/>
                <w:lang w:eastAsia="zh-CN"/>
              </w:rPr>
              <w:t>:垃圾投口内有托盘,可以方便解开垃圾袋;</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托盘照明功能</w:t>
            </w:r>
            <w:r>
              <w:rPr>
                <w:rFonts w:hint="eastAsia" w:ascii="仿宋" w:hAnsi="仿宋" w:eastAsia="仿宋" w:cs="仿宋"/>
                <w:color w:val="auto"/>
                <w:sz w:val="24"/>
                <w:szCs w:val="24"/>
                <w:highlight w:val="none"/>
                <w:lang w:eastAsia="zh-CN"/>
              </w:rPr>
              <w:t>:托盘带照明功能,可以方便晚上投递垃圾时看不清;</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垃圾识别功能</w:t>
            </w:r>
            <w:r>
              <w:rPr>
                <w:rFonts w:hint="eastAsia" w:ascii="仿宋" w:hAnsi="仿宋" w:eastAsia="仿宋" w:cs="仿宋"/>
                <w:color w:val="auto"/>
                <w:sz w:val="24"/>
                <w:szCs w:val="24"/>
                <w:highlight w:val="none"/>
                <w:lang w:eastAsia="zh-CN"/>
              </w:rPr>
              <w:t>:投递后垃圾能自动分层识别,配合人脸识别功能,加强垃圾分类管理;</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人脸拍照功能</w:t>
            </w:r>
            <w:r>
              <w:rPr>
                <w:rFonts w:hint="eastAsia" w:ascii="仿宋" w:hAnsi="仿宋" w:eastAsia="仿宋" w:cs="仿宋"/>
                <w:color w:val="auto"/>
                <w:sz w:val="24"/>
                <w:szCs w:val="24"/>
                <w:highlight w:val="none"/>
                <w:lang w:eastAsia="zh-CN"/>
              </w:rPr>
              <w:t>:能拍摄垃圾投递者的照片,方便后台管理及积分处理;</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垃圾称重功能</w:t>
            </w:r>
            <w:r>
              <w:rPr>
                <w:rFonts w:hint="eastAsia" w:ascii="仿宋" w:hAnsi="仿宋" w:eastAsia="仿宋" w:cs="仿宋"/>
                <w:color w:val="auto"/>
                <w:sz w:val="24"/>
                <w:szCs w:val="24"/>
                <w:highlight w:val="none"/>
                <w:lang w:eastAsia="zh-CN"/>
              </w:rPr>
              <w:t>:每次投递垃圾都有重量,方便后台统计垃圾数据;</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满溢报警功能</w:t>
            </w:r>
            <w:r>
              <w:rPr>
                <w:rFonts w:hint="eastAsia" w:ascii="仿宋" w:hAnsi="仿宋" w:eastAsia="仿宋" w:cs="仿宋"/>
                <w:color w:val="auto"/>
                <w:sz w:val="24"/>
                <w:szCs w:val="24"/>
                <w:highlight w:val="none"/>
                <w:lang w:eastAsia="zh-CN"/>
              </w:rPr>
              <w:t>:每个投口都带垃圾桶满溢报警功能,方便运维人员及时清理垃圾;</w:t>
            </w:r>
          </w:p>
          <w:p>
            <w:pPr>
              <w:pStyle w:val="100"/>
              <w:keepNext w:val="0"/>
              <w:keepLines w:val="0"/>
              <w:pageBreakBefore w:val="0"/>
              <w:widowControl/>
              <w:numPr>
                <w:ilvl w:val="0"/>
                <w:numId w:val="7"/>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语音播报功能</w:t>
            </w:r>
            <w:r>
              <w:rPr>
                <w:rFonts w:hint="eastAsia" w:ascii="仿宋" w:hAnsi="仿宋" w:eastAsia="仿宋" w:cs="仿宋"/>
                <w:color w:val="auto"/>
                <w:sz w:val="24"/>
                <w:szCs w:val="24"/>
                <w:highlight w:val="none"/>
                <w:lang w:eastAsia="zh-CN"/>
              </w:rPr>
              <w:t>:用于投递提醒,公益信息播报。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其他参数</w:t>
            </w:r>
          </w:p>
        </w:tc>
        <w:tc>
          <w:tcPr>
            <w:tcW w:w="6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投口感应开门距离:≤60cm</w:t>
            </w:r>
          </w:p>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投口感应开门时间:≥0.8s</w:t>
            </w:r>
          </w:p>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投口最长保持打开时间:≈15s</w:t>
            </w:r>
          </w:p>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垃圾桶硬件满溢报警值:≈95%</w:t>
            </w:r>
          </w:p>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垃圾桶硬件满溢清除后恢复运行时间:≈5s</w:t>
            </w:r>
          </w:p>
          <w:p>
            <w:pPr>
              <w:pStyle w:val="100"/>
              <w:keepNext w:val="0"/>
              <w:keepLines w:val="0"/>
              <w:pageBreakBefore w:val="0"/>
              <w:widowControl/>
              <w:numPr>
                <w:ilvl w:val="0"/>
                <w:numId w:val="8"/>
              </w:numPr>
              <w:kinsoku/>
              <w:wordWrap/>
              <w:overflowPunct/>
              <w:topLinePunct w:val="0"/>
              <w:autoSpaceDE/>
              <w:autoSpaceDN/>
              <w:bidi w:val="0"/>
              <w:adjustRightInd/>
              <w:spacing w:line="380" w:lineRule="exact"/>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投口关闭后运行处理时间(到下次能投递的状态):≈9s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00"/>
              <w:keepNext w:val="0"/>
              <w:keepLines w:val="0"/>
              <w:pageBreakBefore w:val="0"/>
              <w:widowControl/>
              <w:kinsoku/>
              <w:wordWrap/>
              <w:overflowPunct/>
              <w:topLinePunct w:val="0"/>
              <w:autoSpaceDE/>
              <w:autoSpaceDN/>
              <w:bidi w:val="0"/>
              <w:adjustRightInd/>
              <w:spacing w:line="38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▲工控机</w:t>
            </w:r>
          </w:p>
        </w:tc>
        <w:tc>
          <w:tcPr>
            <w:tcW w:w="6923" w:type="dxa"/>
            <w:tcBorders>
              <w:top w:val="single" w:color="000000" w:sz="4" w:space="0"/>
              <w:left w:val="single" w:color="000000" w:sz="4" w:space="0"/>
              <w:bottom w:val="single" w:color="000000" w:sz="4" w:space="0"/>
              <w:right w:val="single" w:color="000000" w:sz="4" w:space="0"/>
            </w:tcBorders>
            <w:shd w:val="clear" w:color="auto" w:fill="FFFFFF"/>
          </w:tcPr>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符合3C/CE/FCC认证</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符合工业级温度标准</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电源适应恶劣供电要求(AC90V~AC264V; 49Hz~51Hz)</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平均无故障:100W小时</w:t>
            </w:r>
          </w:p>
          <w:p>
            <w:pPr>
              <w:pStyle w:val="100"/>
              <w:keepNext w:val="0"/>
              <w:keepLines w:val="0"/>
              <w:pageBreakBefore w:val="0"/>
              <w:widowControl/>
              <w:numPr>
                <w:ilvl w:val="0"/>
                <w:numId w:val="10"/>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依据GB/T9813-2000《微型计算机通用规范》</w:t>
            </w:r>
          </w:p>
          <w:p>
            <w:pPr>
              <w:pStyle w:val="100"/>
              <w:keepNext w:val="0"/>
              <w:keepLines w:val="0"/>
              <w:pageBreakBefore w:val="0"/>
              <w:widowControl/>
              <w:numPr>
                <w:ilvl w:val="0"/>
                <w:numId w:val="10"/>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依据GB/T5080.7-1986《设备可靠性试验 恒定失效率假设下的失效率与平均无故障时间的验证试验方案》</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防火 </w:t>
            </w:r>
          </w:p>
          <w:p>
            <w:pPr>
              <w:pStyle w:val="100"/>
              <w:keepNext w:val="0"/>
              <w:keepLines w:val="0"/>
              <w:pageBreakBefore w:val="0"/>
              <w:widowControl/>
              <w:numPr>
                <w:ilvl w:val="0"/>
                <w:numId w:val="11"/>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 4943.1-2011《信息技术设备 安全 第一部分:通用要求》中 4.7(防火)</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防尘及防腐</w:t>
            </w:r>
          </w:p>
          <w:p>
            <w:pPr>
              <w:pStyle w:val="100"/>
              <w:keepNext w:val="0"/>
              <w:keepLines w:val="0"/>
              <w:pageBreakBefore w:val="0"/>
              <w:widowControl/>
              <w:numPr>
                <w:ilvl w:val="0"/>
                <w:numId w:val="11"/>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依据GB/T 4208-2017 《外壳防护等级 (IP 代码)》</w:t>
            </w:r>
          </w:p>
          <w:p>
            <w:pPr>
              <w:pStyle w:val="100"/>
              <w:keepNext w:val="0"/>
              <w:keepLines w:val="0"/>
              <w:pageBreakBefore w:val="0"/>
              <w:widowControl/>
              <w:numPr>
                <w:ilvl w:val="0"/>
                <w:numId w:val="11"/>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依据GB/T6461-2002《金属基体上金属和其他无机覆盖层经腐蚀试验后的试样和试件的评级》</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盐雾测试</w:t>
            </w:r>
          </w:p>
          <w:p>
            <w:pPr>
              <w:pStyle w:val="100"/>
              <w:keepNext w:val="0"/>
              <w:keepLines w:val="0"/>
              <w:pageBreakBefore w:val="0"/>
              <w:widowControl/>
              <w:numPr>
                <w:ilvl w:val="0"/>
                <w:numId w:val="12"/>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 GB/T 2423.17-2008 《电工电子产品环境试验第 2 部分:盐雾》</w:t>
            </w:r>
          </w:p>
          <w:p>
            <w:pPr>
              <w:pStyle w:val="100"/>
              <w:keepNext w:val="0"/>
              <w:keepLines w:val="0"/>
              <w:pageBreakBefore w:val="0"/>
              <w:widowControl/>
              <w:numPr>
                <w:ilvl w:val="0"/>
                <w:numId w:val="13"/>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浓度为 (5±1) %氯化钠, PH值: 6.5~7.2, 温度: (35±2)℃,连续喷雾 4h;</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辐射骚扰</w:t>
            </w:r>
          </w:p>
          <w:p>
            <w:pPr>
              <w:pStyle w:val="100"/>
              <w:keepNext w:val="0"/>
              <w:keepLines w:val="0"/>
              <w:pageBreakBefore w:val="0"/>
              <w:widowControl/>
              <w:numPr>
                <w:ilvl w:val="0"/>
                <w:numId w:val="12"/>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 GB/T 9254-2008《信息技术设备的无线电骚扰限值和测量方法》标准的B级要求</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电磁兼容</w:t>
            </w:r>
          </w:p>
          <w:p>
            <w:pPr>
              <w:pStyle w:val="100"/>
              <w:keepNext w:val="0"/>
              <w:keepLines w:val="0"/>
              <w:pageBreakBefore w:val="0"/>
              <w:widowControl/>
              <w:numPr>
                <w:ilvl w:val="0"/>
                <w:numId w:val="12"/>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 GB/T 17626.2-2018 《电磁兼容 试验和测量技术 静电放电抗扰度试验》</w:t>
            </w:r>
          </w:p>
          <w:p>
            <w:pPr>
              <w:pStyle w:val="100"/>
              <w:keepNext w:val="0"/>
              <w:keepLines w:val="0"/>
              <w:pageBreakBefore w:val="0"/>
              <w:widowControl/>
              <w:numPr>
                <w:ilvl w:val="0"/>
                <w:numId w:val="14"/>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依据GB/T 17626.5-2019《电磁兼容 试验和测试技术浪涌(冲击) 抗扰度试验》 标准;</w:t>
            </w:r>
          </w:p>
          <w:p>
            <w:pPr>
              <w:pStyle w:val="100"/>
              <w:keepNext w:val="0"/>
              <w:keepLines w:val="0"/>
              <w:pageBreakBefore w:val="0"/>
              <w:widowControl/>
              <w:numPr>
                <w:ilvl w:val="0"/>
                <w:numId w:val="14"/>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静电放电抗扰度: 接触放电8kV, 空气放电15kV</w:t>
            </w:r>
          </w:p>
          <w:p>
            <w:pPr>
              <w:pStyle w:val="100"/>
              <w:keepNext w:val="0"/>
              <w:keepLines w:val="0"/>
              <w:pageBreakBefore w:val="0"/>
              <w:widowControl/>
              <w:numPr>
                <w:ilvl w:val="0"/>
                <w:numId w:val="14"/>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浪涌(冲击) 抗扰度: 电源端口试验电压:线-线2kV, 线-地4kV</w:t>
            </w:r>
          </w:p>
          <w:p>
            <w:pPr>
              <w:pStyle w:val="100"/>
              <w:keepNext w:val="0"/>
              <w:keepLines w:val="0"/>
              <w:pageBreakBefore w:val="0"/>
              <w:widowControl/>
              <w:numPr>
                <w:ilvl w:val="0"/>
                <w:numId w:val="9"/>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防雷</w:t>
            </w:r>
          </w:p>
          <w:p>
            <w:pPr>
              <w:pStyle w:val="100"/>
              <w:keepNext w:val="0"/>
              <w:keepLines w:val="0"/>
              <w:pageBreakBefore w:val="0"/>
              <w:widowControl/>
              <w:numPr>
                <w:ilvl w:val="0"/>
                <w:numId w:val="15"/>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依据 YD/T 993-2016《电信终端设备防雷技术要求及试验方法》标准</w:t>
            </w:r>
          </w:p>
          <w:p>
            <w:pPr>
              <w:pStyle w:val="100"/>
              <w:keepNext w:val="0"/>
              <w:keepLines w:val="0"/>
              <w:pageBreakBefore w:val="0"/>
              <w:widowControl/>
              <w:numPr>
                <w:ilvl w:val="0"/>
                <w:numId w:val="15"/>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 xml:space="preserve">电源端口: 横向2.5kV, 端口对地2.5kV; </w:t>
            </w:r>
          </w:p>
          <w:p>
            <w:pPr>
              <w:pStyle w:val="100"/>
              <w:keepNext w:val="0"/>
              <w:keepLines w:val="0"/>
              <w:pageBreakBefore w:val="0"/>
              <w:widowControl/>
              <w:numPr>
                <w:ilvl w:val="0"/>
                <w:numId w:val="15"/>
              </w:numPr>
              <w:kinsoku/>
              <w:wordWrap/>
              <w:overflowPunct/>
              <w:topLinePunct w:val="0"/>
              <w:autoSpaceDE/>
              <w:autoSpaceDN/>
              <w:bidi w:val="0"/>
              <w:adjustRightInd/>
              <w:snapToGrid w:val="0"/>
              <w:spacing w:line="380" w:lineRule="exact"/>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网口: 横向1.5kV, 端口对地1.5kV。</w:t>
            </w:r>
          </w:p>
        </w:tc>
      </w:tr>
    </w:tbl>
    <w:p>
      <w:pPr>
        <w:numPr>
          <w:ilvl w:val="0"/>
          <w:numId w:val="0"/>
        </w:numPr>
        <w:spacing w:before="120" w:beforeLines="50" w:after="120" w:afterLines="50" w:line="440" w:lineRule="exact"/>
        <w:ind w:firstLine="482" w:firstLineChars="200"/>
        <w:jc w:val="left"/>
        <w:rPr>
          <w:rFonts w:ascii="仿宋" w:hAnsi="仿宋" w:eastAsia="仿宋" w:cs="仿宋"/>
          <w:b/>
          <w:color w:val="auto"/>
          <w:sz w:val="24"/>
          <w:szCs w:val="24"/>
          <w:highlight w:val="none"/>
        </w:rPr>
      </w:pPr>
      <w:r>
        <w:rPr>
          <w:rFonts w:ascii="仿宋" w:hAnsi="仿宋" w:eastAsia="仿宋" w:cs="仿宋"/>
          <w:b/>
          <w:color w:val="auto"/>
          <w:kern w:val="2"/>
          <w:sz w:val="24"/>
          <w:szCs w:val="24"/>
          <w:highlight w:val="none"/>
          <w:lang w:val="en-US" w:eastAsia="zh-CN" w:bidi="ar-SA"/>
        </w:rPr>
        <w:t>3、</w:t>
      </w:r>
      <w:r>
        <w:rPr>
          <w:rFonts w:hint="eastAsia" w:ascii="仿宋" w:hAnsi="仿宋" w:eastAsia="仿宋" w:cs="仿宋"/>
          <w:b/>
          <w:color w:val="auto"/>
          <w:sz w:val="24"/>
          <w:szCs w:val="24"/>
          <w:highlight w:val="none"/>
        </w:rPr>
        <w:t>标准型技术参数及要求</w:t>
      </w:r>
    </w:p>
    <w:tbl>
      <w:tblPr>
        <w:tblStyle w:val="89"/>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77"/>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10"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8106" w:type="dxa"/>
            <w:gridSpan w:val="2"/>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主体结构-技术参数及要求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810" w:type="dxa"/>
            <w:vMerge w:val="restart"/>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▲主体结构</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采用整体装配式混凝土结构或全预制装配式混凝土结构。</w:t>
            </w:r>
          </w:p>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混凝土等级为C30，主筋采用HRB400钢筋。构件类型包括地基地坪、墙板、屋面板等。构件运往场地后，通过干作业拼装方式组合成垃圾房，能尽量减少对原有环境的干扰。需满足整体吊装运输，可多次移动的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投口</w:t>
            </w:r>
          </w:p>
        </w:tc>
        <w:tc>
          <w:tcPr>
            <w:tcW w:w="6629" w:type="dxa"/>
            <w:vAlign w:val="center"/>
          </w:tcPr>
          <w:p>
            <w:pPr>
              <w:keepNext w:val="0"/>
              <w:keepLines w:val="0"/>
              <w:pageBreakBefore w:val="0"/>
              <w:kinsoku/>
              <w:wordWrap/>
              <w:overflowPunct/>
              <w:topLinePunct w:val="0"/>
              <w:autoSpaceDE/>
              <w:autoSpaceDN/>
              <w:bidi w:val="0"/>
              <w:adjustRightInd/>
              <w:snapToGrid w:val="0"/>
              <w:spacing w:beforeAutospacing="0" w:afterAutospacing="0" w:line="38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每个分类收集设施不少于4个投口，每个投放口须配备垃圾桶，喷涂分类标识。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垃圾房外墙面、屋面</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弹性涂料；防水性能需满足要求</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垃圾房内</w:t>
            </w:r>
          </w:p>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墙面</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清水混凝土墙面</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地面、绿化修复</w:t>
            </w:r>
          </w:p>
        </w:tc>
        <w:tc>
          <w:tcPr>
            <w:tcW w:w="6629"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填方材料品种：开挖符合回填要求的原土，绿化修复</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废料处理</w:t>
            </w:r>
          </w:p>
        </w:tc>
        <w:tc>
          <w:tcPr>
            <w:tcW w:w="6629"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种类：原土；运距：投标人自行勘测；含渣土消纳等</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地面铺设</w:t>
            </w:r>
          </w:p>
        </w:tc>
        <w:tc>
          <w:tcPr>
            <w:tcW w:w="6629"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用材：面层抹20mm厚水泥砂浆，抹平、压光</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门、窗</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钢制卷帘门</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电路系统</w:t>
            </w:r>
          </w:p>
        </w:tc>
        <w:tc>
          <w:tcPr>
            <w:tcW w:w="6629" w:type="dxa"/>
            <w:vAlign w:val="center"/>
          </w:tcPr>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配电箱，进线断路器3P/25A；</w:t>
            </w:r>
          </w:p>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入户10平方电缆、插座2.5平方导线、照明2.5平方导线；</w:t>
            </w:r>
          </w:p>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二三孔单相插座4个；净化装置插座1个；（均带防护盖板）</w:t>
            </w:r>
          </w:p>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单控开关1个（采用防水型）；</w:t>
            </w:r>
          </w:p>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灯具（LED光源）2*21W灯具1个；</w:t>
            </w:r>
          </w:p>
          <w:p>
            <w:pPr>
              <w:keepNext w:val="0"/>
              <w:keepLines w:val="0"/>
              <w:pageBreakBefore w:val="0"/>
              <w:numPr>
                <w:ilvl w:val="0"/>
                <w:numId w:val="5"/>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电子式电表1副（根据管理需要自行采购）；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给排水系统</w:t>
            </w:r>
          </w:p>
        </w:tc>
        <w:tc>
          <w:tcPr>
            <w:tcW w:w="6629" w:type="dxa"/>
            <w:vAlign w:val="center"/>
          </w:tcPr>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UPVC50、UPVC75、UPVC160排水管；（根据地面实际使用）</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水泥地面开槽，排水管道；</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PPR给水管；</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水龙头1个,带压力型真空破坏器水龙头1个；</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截止阀1个；</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水表1副；</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排水沟（规格为300*300mm）；</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De160网框地漏1个；</w:t>
            </w:r>
          </w:p>
          <w:p>
            <w:pPr>
              <w:keepNext w:val="0"/>
              <w:keepLines w:val="0"/>
              <w:pageBreakBefore w:val="0"/>
              <w:numPr>
                <w:ilvl w:val="0"/>
                <w:numId w:val="6"/>
              </w:numPr>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DN75 87型雨水斗1个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灭火装置</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配置灭火器≥1个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壁式轴流</w:t>
            </w:r>
          </w:p>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风机</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壁式轴流风机（排风）2个，壁式轴流风机（进风）1个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纳米光子除臭装置</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纳米光子除臭装置1个</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0" w:type="dxa"/>
            <w:vMerge w:val="continue"/>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标识牌</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外立面设置宣示栏≥3处</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77"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场地平整、硬化</w:t>
            </w:r>
          </w:p>
        </w:tc>
        <w:tc>
          <w:tcPr>
            <w:tcW w:w="6629" w:type="dxa"/>
            <w:vAlign w:val="center"/>
          </w:tcPr>
          <w:p>
            <w:pPr>
              <w:pStyle w:val="82"/>
              <w:keepNext w:val="0"/>
              <w:keepLines w:val="0"/>
              <w:pageBreakBefore w:val="0"/>
              <w:kinsoku/>
              <w:wordWrap/>
              <w:overflowPunct/>
              <w:topLinePunct w:val="0"/>
              <w:autoSpaceDE/>
              <w:autoSpaceDN/>
              <w:bidi w:val="0"/>
              <w:snapToGrid w:val="0"/>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地面硬化：≥150mm厚C30混凝土。</w:t>
            </w:r>
          </w:p>
          <w:p>
            <w:pPr>
              <w:pStyle w:val="82"/>
              <w:keepNext w:val="0"/>
              <w:keepLines w:val="0"/>
              <w:pageBreakBefore w:val="0"/>
              <w:kinsoku/>
              <w:wordWrap/>
              <w:overflowPunct/>
              <w:topLinePunct w:val="0"/>
              <w:autoSpaceDE/>
              <w:autoSpaceDN/>
              <w:bidi w:val="0"/>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以投放屋地脚线为基准左右两侧各外延0.8米，正面延伸至路基，转角处外延0.8米为范围进行开挖、回填、硬化等。并负责原场地绿化处理、地表物拆除，安装施工过程中产生的垃圾须按各相关部门垃圾清运要求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77"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管道预埋</w:t>
            </w:r>
          </w:p>
        </w:tc>
        <w:tc>
          <w:tcPr>
            <w:tcW w:w="6629" w:type="dxa"/>
            <w:vAlign w:val="center"/>
          </w:tcPr>
          <w:p>
            <w:pPr>
              <w:pStyle w:val="82"/>
              <w:keepNext w:val="0"/>
              <w:keepLines w:val="0"/>
              <w:pageBreakBefore w:val="0"/>
              <w:kinsoku/>
              <w:wordWrap/>
              <w:overflowPunct/>
              <w:topLinePunct w:val="0"/>
              <w:autoSpaceDE/>
              <w:autoSpaceDN/>
              <w:bidi w:val="0"/>
              <w:spacing w:before="0" w:beforeAutospacing="0" w:after="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给水管及保温：DN25 PP-R给水管，接口预留至室外1.5m；污水管：DN 110 PVC管，接口预留至室外1.5m；强弱电管道及手孔井：DN32  PVC穿线管，预留接口；所有给、排水管及强弱电线路必须预留适宜的接水、接电点位，确保通水、通电、排污纳管。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区域配置</w:t>
            </w:r>
          </w:p>
        </w:tc>
        <w:tc>
          <w:tcPr>
            <w:tcW w:w="6629"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满足“六标配”：配备视频监控、照明、通风、除臭、给排水、洗手池等，具备洗手区、投放区、清洗区、空桶区、满桶区和工具间等不同的功能分区。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0"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77" w:type="dxa"/>
            <w:vAlign w:val="center"/>
          </w:tcPr>
          <w:p>
            <w:pPr>
              <w:keepNext w:val="0"/>
              <w:keepLines w:val="0"/>
              <w:pageBreakBefore w:val="0"/>
              <w:kinsoku/>
              <w:wordWrap/>
              <w:overflowPunct/>
              <w:topLinePunct w:val="0"/>
              <w:autoSpaceDE/>
              <w:autoSpaceDN/>
              <w:bidi w:val="0"/>
              <w:spacing w:beforeAutospacing="0" w:afterAutospacing="0" w:line="38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建筑面积</w:t>
            </w:r>
          </w:p>
        </w:tc>
        <w:tc>
          <w:tcPr>
            <w:tcW w:w="6629" w:type="dxa"/>
            <w:vAlign w:val="center"/>
          </w:tcPr>
          <w:p>
            <w:pPr>
              <w:keepNext w:val="0"/>
              <w:keepLines w:val="0"/>
              <w:pageBreakBefore w:val="0"/>
              <w:kinsoku/>
              <w:wordWrap/>
              <w:overflowPunct/>
              <w:topLinePunct w:val="0"/>
              <w:autoSpaceDE/>
              <w:autoSpaceDN/>
              <w:bidi w:val="0"/>
              <w:spacing w:beforeAutospacing="0" w:afterAutospacing="0" w:line="38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不小于7㎡</w:t>
            </w:r>
            <w:r>
              <w:rPr>
                <w:rFonts w:hint="eastAsia" w:ascii="仿宋" w:hAnsi="仿宋" w:eastAsia="仿宋" w:cs="仿宋"/>
                <w:color w:val="auto"/>
                <w:sz w:val="24"/>
                <w:szCs w:val="24"/>
                <w:highlight w:val="none"/>
                <w:lang w:eastAsia="zh-CN"/>
              </w:rPr>
              <w:t>。</w:t>
            </w:r>
          </w:p>
        </w:tc>
      </w:tr>
    </w:tbl>
    <w:p>
      <w:pPr>
        <w:rPr>
          <w:color w:val="auto"/>
          <w:highlight w:val="none"/>
        </w:rPr>
      </w:pPr>
    </w:p>
    <w:p>
      <w:pPr>
        <w:keepNext w:val="0"/>
        <w:keepLines w:val="0"/>
        <w:pageBreakBefore w:val="0"/>
        <w:widowControl w:val="0"/>
        <w:kinsoku/>
        <w:wordWrap/>
        <w:overflowPunct/>
        <w:topLinePunct w:val="0"/>
        <w:autoSpaceDE/>
        <w:autoSpaceDN/>
        <w:bidi w:val="0"/>
        <w:adjustRightInd w:val="0"/>
        <w:snapToGrid/>
        <w:spacing w:line="500" w:lineRule="exact"/>
        <w:ind w:firstLine="482" w:firstLineChars="200"/>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其他技术要求（以下技术要求引领型及标准型都需满足且具备）</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工作内容为：</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垃圾房主体结构需采用全预制装配式混凝土结构设计与施工，满足装配式混凝土结构技术规程等相关规范要求，预制构件相关资料及检测报告应齐全完整，包括钢筋产品质量证明书、混凝土抗压强度检测报告、钢筋检测报告、预制构件产品合格书。</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2）构件生产工艺要求满足如下流程：</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①</w:t>
      </w:r>
      <w:r>
        <w:rPr>
          <w:rFonts w:hint="eastAsia" w:ascii="仿宋" w:hAnsi="仿宋" w:eastAsia="仿宋" w:cs="仿宋"/>
          <w:color w:val="auto"/>
          <w:sz w:val="24"/>
          <w:szCs w:val="24"/>
          <w:highlight w:val="none"/>
        </w:rPr>
        <w:t>根据构件外形制作模具</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②</w:t>
      </w:r>
      <w:r>
        <w:rPr>
          <w:rFonts w:hint="eastAsia" w:ascii="仿宋" w:hAnsi="仿宋" w:eastAsia="仿宋" w:cs="仿宋"/>
          <w:color w:val="auto"/>
          <w:sz w:val="24"/>
          <w:szCs w:val="24"/>
          <w:highlight w:val="none"/>
        </w:rPr>
        <w:t>在预制钢筋混凝土构件生产线上，清理模台和边模</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③</w:t>
      </w:r>
      <w:r>
        <w:rPr>
          <w:rFonts w:hint="eastAsia" w:ascii="仿宋" w:hAnsi="仿宋" w:eastAsia="仿宋" w:cs="仿宋"/>
          <w:color w:val="auto"/>
          <w:sz w:val="24"/>
          <w:szCs w:val="24"/>
          <w:highlight w:val="none"/>
        </w:rPr>
        <w:t>喷涂脱膜剂</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④</w:t>
      </w:r>
      <w:r>
        <w:rPr>
          <w:rFonts w:hint="eastAsia" w:ascii="仿宋" w:hAnsi="仿宋" w:eastAsia="仿宋" w:cs="仿宋"/>
          <w:color w:val="auto"/>
          <w:sz w:val="24"/>
          <w:szCs w:val="24"/>
          <w:highlight w:val="none"/>
        </w:rPr>
        <w:t>边模组装</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⑤</w:t>
      </w:r>
      <w:r>
        <w:rPr>
          <w:rFonts w:hint="eastAsia" w:ascii="仿宋" w:hAnsi="仿宋" w:eastAsia="仿宋" w:cs="仿宋"/>
          <w:color w:val="auto"/>
          <w:sz w:val="24"/>
          <w:szCs w:val="24"/>
          <w:highlight w:val="none"/>
        </w:rPr>
        <w:t>绑扎钢筋、埋件固定</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⑥</w:t>
      </w:r>
      <w:r>
        <w:rPr>
          <w:rFonts w:hint="eastAsia" w:ascii="仿宋" w:hAnsi="仿宋" w:eastAsia="仿宋" w:cs="仿宋"/>
          <w:color w:val="auto"/>
          <w:sz w:val="24"/>
          <w:szCs w:val="24"/>
          <w:highlight w:val="none"/>
        </w:rPr>
        <w:t>在振捣台上浇筑混凝土</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firstLine="51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⑦</w:t>
      </w:r>
      <w:r>
        <w:rPr>
          <w:rFonts w:hint="eastAsia" w:ascii="仿宋" w:hAnsi="仿宋" w:eastAsia="仿宋" w:cs="仿宋"/>
          <w:color w:val="auto"/>
          <w:sz w:val="24"/>
          <w:szCs w:val="24"/>
          <w:highlight w:val="none"/>
        </w:rPr>
        <w:t>预养护</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3）投标人具备自有或租赁堆放预制构件场地，储存量在 2000（含）立方以上。</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其他设计和施工的要求：</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①</w:t>
      </w:r>
      <w:r>
        <w:rPr>
          <w:rFonts w:hint="eastAsia" w:ascii="仿宋" w:hAnsi="仿宋" w:eastAsia="仿宋" w:cs="仿宋"/>
          <w:color w:val="auto"/>
          <w:sz w:val="24"/>
          <w:szCs w:val="24"/>
          <w:highlight w:val="none"/>
        </w:rPr>
        <w:t>建设方案必须满足预制建筑设计标准的功能性要求及消防安全要求。</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②</w:t>
      </w:r>
      <w:r>
        <w:rPr>
          <w:rFonts w:hint="eastAsia" w:ascii="仿宋" w:hAnsi="仿宋" w:eastAsia="仿宋" w:cs="仿宋"/>
          <w:color w:val="auto"/>
          <w:sz w:val="24"/>
          <w:szCs w:val="24"/>
          <w:highlight w:val="none"/>
        </w:rPr>
        <w:t>环保要求：本项目所有采用的材料均需符合国家环保标准。</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③</w:t>
      </w:r>
      <w:r>
        <w:rPr>
          <w:rFonts w:hint="eastAsia" w:ascii="仿宋" w:hAnsi="仿宋" w:eastAsia="仿宋" w:cs="仿宋"/>
          <w:color w:val="auto"/>
          <w:sz w:val="24"/>
          <w:szCs w:val="24"/>
          <w:highlight w:val="none"/>
        </w:rPr>
        <w:t>质量要求：本项目所有采用的材料均需符合国家相关标准，涉及消防要求的均需符合国家消防标准。</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质量要求：</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kern w:val="2"/>
          <w:sz w:val="24"/>
          <w:szCs w:val="24"/>
          <w:highlight w:val="none"/>
          <w:lang w:val="en-US" w:eastAsia="zh-CN" w:bidi="ar-SA"/>
        </w:rPr>
        <w:t>①</w:t>
      </w:r>
      <w:r>
        <w:rPr>
          <w:rFonts w:hint="eastAsia" w:ascii="仿宋" w:hAnsi="仿宋" w:eastAsia="仿宋" w:cs="仿宋"/>
          <w:b/>
          <w:bCs/>
          <w:color w:val="auto"/>
          <w:sz w:val="24"/>
          <w:szCs w:val="24"/>
          <w:highlight w:val="none"/>
        </w:rPr>
        <w:t>本项目质量目标为通过甲方验收合格，并在投标文件中对质量目标进行承诺。</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②投标</w:t>
      </w:r>
      <w:r>
        <w:rPr>
          <w:rFonts w:hint="eastAsia" w:ascii="仿宋" w:hAnsi="仿宋" w:eastAsia="仿宋" w:cs="仿宋"/>
          <w:color w:val="auto"/>
          <w:sz w:val="24"/>
          <w:szCs w:val="24"/>
          <w:highlight w:val="none"/>
        </w:rPr>
        <w:t>人制作及施工完成的展项必须达到或高于</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人在响应文件中所作出的展示效果的承诺，若不能达到，在采购人允许的一定时间内进行修改、完善，使其达到对展示效果的承诺，所涉及的费用由</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人负责。若经修改、完善后仍不能达到要求，则采购人有权要求中标人给予一定的经济赔偿，同时要求其承担相关责任。</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③</w:t>
      </w:r>
      <w:r>
        <w:rPr>
          <w:rFonts w:hint="eastAsia" w:ascii="仿宋" w:hAnsi="仿宋" w:eastAsia="仿宋" w:cs="仿宋"/>
          <w:color w:val="auto"/>
          <w:sz w:val="24"/>
          <w:szCs w:val="24"/>
          <w:highlight w:val="none"/>
        </w:rPr>
        <w:t>未涉及的技术条件及要求均按国家标准和行业标准执行。</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验收：验收按国家有关规范标准（国家无验收规范标准的按双方合同规定的要求）进行。</w:t>
      </w:r>
    </w:p>
    <w:p>
      <w:pPr>
        <w:rPr>
          <w:color w:val="auto"/>
          <w:highlight w:val="none"/>
        </w:rPr>
      </w:pPr>
    </w:p>
    <w:bookmarkEnd w:id="81"/>
    <w:p>
      <w:pPr>
        <w:pStyle w:val="46"/>
        <w:snapToGrid w:val="0"/>
        <w:spacing w:line="380" w:lineRule="exact"/>
        <w:ind w:firstLine="723" w:firstLineChars="200"/>
        <w:jc w:val="center"/>
        <w:rPr>
          <w:rFonts w:ascii="仿宋" w:hAnsi="仿宋" w:eastAsia="仿宋" w:cs="仿宋"/>
          <w:b/>
          <w:color w:val="auto"/>
          <w:sz w:val="36"/>
          <w:highlight w:val="none"/>
        </w:rPr>
        <w:sectPr>
          <w:pgSz w:w="11906" w:h="16838"/>
          <w:pgMar w:top="1440" w:right="1440" w:bottom="1440" w:left="1440" w:header="851" w:footer="851" w:gutter="0"/>
          <w:cols w:space="720" w:num="1"/>
          <w:titlePg/>
          <w:docGrid w:linePitch="381" w:charSpace="0"/>
        </w:sectPr>
      </w:pPr>
    </w:p>
    <w:p>
      <w:pPr>
        <w:pStyle w:val="46"/>
        <w:snapToGrid w:val="0"/>
        <w:spacing w:line="380" w:lineRule="exact"/>
        <w:ind w:firstLine="723" w:firstLineChars="200"/>
        <w:jc w:val="center"/>
        <w:rPr>
          <w:rFonts w:ascii="仿宋" w:hAnsi="仿宋" w:eastAsia="仿宋" w:cs="仿宋"/>
          <w:b/>
          <w:color w:val="auto"/>
          <w:sz w:val="36"/>
          <w:highlight w:val="none"/>
        </w:rPr>
      </w:pPr>
    </w:p>
    <w:p>
      <w:pPr>
        <w:pStyle w:val="46"/>
        <w:snapToGrid w:val="0"/>
        <w:spacing w:line="380" w:lineRule="exact"/>
        <w:ind w:firstLine="723" w:firstLineChars="200"/>
        <w:jc w:val="center"/>
        <w:rPr>
          <w:rFonts w:ascii="仿宋" w:hAnsi="仿宋" w:eastAsia="仿宋" w:cs="仿宋"/>
          <w:b/>
          <w:color w:val="auto"/>
          <w:sz w:val="36"/>
          <w:highlight w:val="none"/>
        </w:rPr>
      </w:pPr>
      <w:r>
        <w:rPr>
          <w:rFonts w:hint="eastAsia" w:ascii="仿宋" w:hAnsi="仿宋" w:eastAsia="仿宋" w:cs="仿宋"/>
          <w:b/>
          <w:color w:val="auto"/>
          <w:sz w:val="36"/>
          <w:highlight w:val="none"/>
        </w:rPr>
        <w:t>第四部分  合同文本</w:t>
      </w:r>
      <w:bookmarkEnd w:id="82"/>
      <w:bookmarkEnd w:id="83"/>
    </w:p>
    <w:p>
      <w:pPr>
        <w:jc w:val="center"/>
        <w:outlineLvl w:val="0"/>
        <w:rPr>
          <w:rFonts w:ascii="仿宋" w:hAnsi="仿宋" w:eastAsia="仿宋" w:cs="仿宋"/>
          <w:color w:val="auto"/>
          <w:sz w:val="24"/>
          <w:szCs w:val="24"/>
          <w:highlight w:val="none"/>
        </w:rPr>
      </w:pPr>
      <w:bookmarkStart w:id="86" w:name="_Toc18798"/>
      <w:bookmarkStart w:id="87" w:name="_Toc202085295"/>
      <w:bookmarkStart w:id="88" w:name="_Toc195502495"/>
      <w:bookmarkStart w:id="89" w:name="_Toc440380879"/>
      <w:bookmarkStart w:id="90" w:name="_Toc195502585"/>
    </w:p>
    <w:p>
      <w:pPr>
        <w:jc w:val="center"/>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（本合同仅作示范文本，具体以双方签订的正式合同为准）</w:t>
      </w:r>
      <w:bookmarkEnd w:id="86"/>
    </w:p>
    <w:p>
      <w:pPr>
        <w:snapToGrid w:val="0"/>
        <w:spacing w:line="300" w:lineRule="auto"/>
        <w:jc w:val="center"/>
        <w:rPr>
          <w:rFonts w:ascii="仿宋" w:hAnsi="仿宋" w:eastAsia="仿宋" w:cs="仿宋"/>
          <w:b/>
          <w:color w:val="auto"/>
          <w:sz w:val="44"/>
          <w:szCs w:val="44"/>
          <w:highlight w:val="none"/>
        </w:rPr>
      </w:pPr>
    </w:p>
    <w:p>
      <w:pPr>
        <w:snapToGrid w:val="0"/>
        <w:spacing w:line="300" w:lineRule="auto"/>
        <w:jc w:val="center"/>
        <w:rPr>
          <w:rFonts w:ascii="仿宋" w:hAnsi="仿宋" w:eastAsia="仿宋" w:cs="仿宋"/>
          <w:color w:val="auto"/>
          <w:sz w:val="44"/>
          <w:szCs w:val="44"/>
          <w:highlight w:val="none"/>
        </w:rPr>
      </w:pPr>
      <w:r>
        <w:rPr>
          <w:rFonts w:hint="eastAsia" w:ascii="仿宋" w:hAnsi="仿宋" w:eastAsia="仿宋" w:cs="仿宋"/>
          <w:b/>
          <w:color w:val="auto"/>
          <w:sz w:val="44"/>
          <w:szCs w:val="44"/>
          <w:highlight w:val="none"/>
        </w:rPr>
        <w:t>采 购 合 同</w:t>
      </w:r>
    </w:p>
    <w:p>
      <w:pPr>
        <w:pStyle w:val="4"/>
        <w:rPr>
          <w:rFonts w:ascii="仿宋" w:hAnsi="仿宋" w:eastAsia="仿宋" w:cs="仿宋"/>
          <w:color w:val="auto"/>
          <w:highlight w:val="none"/>
        </w:rPr>
      </w:pPr>
    </w:p>
    <w:p>
      <w:pPr>
        <w:spacing w:line="440" w:lineRule="exact"/>
        <w:ind w:firstLine="720" w:firstLineChars="200"/>
        <w:rPr>
          <w:rFonts w:ascii="仿宋" w:hAnsi="仿宋" w:eastAsia="仿宋" w:cs="仿宋"/>
          <w:color w:val="auto"/>
          <w:sz w:val="36"/>
          <w:szCs w:val="36"/>
          <w:highlight w:val="none"/>
        </w:rPr>
      </w:pPr>
    </w:p>
    <w:p>
      <w:pPr>
        <w:spacing w:line="440" w:lineRule="exact"/>
        <w:ind w:firstLine="720" w:firstLineChars="20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项目名称：衢江区小区生活垃圾分类提升项目</w:t>
      </w:r>
    </w:p>
    <w:p>
      <w:pPr>
        <w:spacing w:line="440" w:lineRule="exact"/>
        <w:ind w:firstLine="880" w:firstLineChars="200"/>
        <w:rPr>
          <w:rFonts w:ascii="仿宋" w:hAnsi="仿宋" w:eastAsia="仿宋" w:cs="仿宋"/>
          <w:color w:val="auto"/>
          <w:sz w:val="44"/>
          <w:szCs w:val="44"/>
          <w:highlight w:val="none"/>
        </w:rPr>
      </w:pPr>
    </w:p>
    <w:p>
      <w:pPr>
        <w:spacing w:line="440" w:lineRule="exact"/>
        <w:ind w:firstLine="880" w:firstLineChars="200"/>
        <w:rPr>
          <w:rFonts w:ascii="仿宋" w:hAnsi="仿宋" w:eastAsia="仿宋" w:cs="仿宋"/>
          <w:color w:val="auto"/>
          <w:sz w:val="44"/>
          <w:szCs w:val="44"/>
          <w:highlight w:val="none"/>
        </w:rPr>
      </w:pPr>
    </w:p>
    <w:p>
      <w:pPr>
        <w:spacing w:line="440" w:lineRule="exact"/>
        <w:ind w:firstLine="880" w:firstLineChars="200"/>
        <w:rPr>
          <w:rFonts w:ascii="仿宋" w:hAnsi="仿宋" w:eastAsia="仿宋" w:cs="仿宋"/>
          <w:color w:val="auto"/>
          <w:sz w:val="44"/>
          <w:szCs w:val="44"/>
          <w:highlight w:val="none"/>
        </w:rPr>
      </w:pPr>
    </w:p>
    <w:p>
      <w:pPr>
        <w:snapToGrid w:val="0"/>
        <w:spacing w:line="480" w:lineRule="auto"/>
        <w:ind w:firstLine="960" w:firstLineChars="300"/>
        <w:rPr>
          <w:rFonts w:ascii="仿宋" w:hAnsi="仿宋" w:eastAsia="仿宋" w:cs="仿宋"/>
          <w:color w:val="auto"/>
          <w:sz w:val="32"/>
          <w:szCs w:val="32"/>
          <w:highlight w:val="none"/>
        </w:rPr>
      </w:pPr>
    </w:p>
    <w:p>
      <w:pPr>
        <w:snapToGrid w:val="0"/>
        <w:spacing w:line="480" w:lineRule="auto"/>
        <w:ind w:firstLine="960" w:firstLineChars="300"/>
        <w:rPr>
          <w:rFonts w:ascii="仿宋" w:hAnsi="仿宋" w:eastAsia="仿宋" w:cs="仿宋"/>
          <w:color w:val="auto"/>
          <w:sz w:val="32"/>
          <w:szCs w:val="32"/>
          <w:highlight w:val="none"/>
        </w:rPr>
      </w:pPr>
    </w:p>
    <w:p>
      <w:pPr>
        <w:snapToGrid w:val="0"/>
        <w:spacing w:line="480" w:lineRule="auto"/>
        <w:ind w:firstLine="960" w:firstLineChars="300"/>
        <w:rPr>
          <w:rFonts w:ascii="仿宋" w:hAnsi="仿宋" w:eastAsia="仿宋" w:cs="仿宋"/>
          <w:color w:val="auto"/>
          <w:sz w:val="32"/>
          <w:szCs w:val="32"/>
          <w:highlight w:val="none"/>
        </w:rPr>
      </w:pPr>
    </w:p>
    <w:p>
      <w:pPr>
        <w:snapToGrid w:val="0"/>
        <w:spacing w:line="480" w:lineRule="auto"/>
        <w:ind w:firstLine="960" w:firstLineChars="300"/>
        <w:rPr>
          <w:rFonts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甲方：</w:t>
      </w:r>
      <w:r>
        <w:rPr>
          <w:rFonts w:hint="eastAsia" w:ascii="仿宋" w:hAnsi="仿宋" w:eastAsia="仿宋" w:cs="仿宋"/>
          <w:color w:val="auto"/>
          <w:sz w:val="32"/>
          <w:szCs w:val="32"/>
          <w:highlight w:val="none"/>
          <w:u w:val="single"/>
        </w:rPr>
        <w:t>衢州市衢江区住房和城乡建设局</w:t>
      </w:r>
    </w:p>
    <w:p>
      <w:pPr>
        <w:snapToGrid w:val="0"/>
        <w:spacing w:line="480" w:lineRule="auto"/>
        <w:ind w:firstLine="960" w:firstLineChars="3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乙方：</w:t>
      </w:r>
      <w:r>
        <w:rPr>
          <w:rFonts w:hint="eastAsia" w:ascii="仿宋" w:hAnsi="仿宋" w:eastAsia="仿宋" w:cs="仿宋"/>
          <w:color w:val="auto"/>
          <w:sz w:val="32"/>
          <w:szCs w:val="32"/>
          <w:highlight w:val="none"/>
          <w:u w:val="single"/>
        </w:rPr>
        <w:t xml:space="preserve">                             </w:t>
      </w:r>
    </w:p>
    <w:p>
      <w:pPr>
        <w:pStyle w:val="4"/>
        <w:rPr>
          <w:rFonts w:ascii="仿宋" w:hAnsi="仿宋" w:eastAsia="仿宋" w:cs="仿宋"/>
          <w:color w:val="auto"/>
          <w:sz w:val="32"/>
          <w:szCs w:val="32"/>
          <w:highlight w:val="none"/>
        </w:rPr>
      </w:pPr>
    </w:p>
    <w:p>
      <w:pPr>
        <w:snapToGrid w:val="0"/>
        <w:rPr>
          <w:rFonts w:ascii="仿宋" w:hAnsi="仿宋" w:eastAsia="仿宋" w:cs="仿宋"/>
          <w:color w:val="auto"/>
          <w:sz w:val="32"/>
          <w:szCs w:val="32"/>
          <w:highlight w:val="none"/>
        </w:rPr>
      </w:pPr>
    </w:p>
    <w:p>
      <w:pPr>
        <w:pStyle w:val="4"/>
        <w:rPr>
          <w:rFonts w:ascii="仿宋" w:hAnsi="仿宋" w:eastAsia="仿宋" w:cs="仿宋"/>
          <w:color w:val="auto"/>
          <w:highlight w:val="none"/>
        </w:rPr>
      </w:pPr>
    </w:p>
    <w:p>
      <w:pPr>
        <w:snapToGrid w:val="0"/>
        <w:spacing w:line="300" w:lineRule="auto"/>
        <w:ind w:firstLine="640" w:firstLineChars="200"/>
        <w:rPr>
          <w:rFonts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签署日期：</w:t>
      </w:r>
      <w:r>
        <w:rPr>
          <w:rFonts w:hint="eastAsia" w:ascii="仿宋" w:hAnsi="仿宋" w:eastAsia="仿宋" w:cs="仿宋"/>
          <w:color w:val="auto"/>
          <w:sz w:val="32"/>
          <w:szCs w:val="32"/>
          <w:highlight w:val="none"/>
          <w:u w:val="single"/>
        </w:rPr>
        <w:t>2023年【  】月【  】日</w:t>
      </w:r>
    </w:p>
    <w:p>
      <w:pPr>
        <w:snapToGrid w:val="0"/>
        <w:spacing w:line="30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签署地点：</w:t>
      </w:r>
      <w:r>
        <w:rPr>
          <w:rFonts w:hint="eastAsia" w:ascii="仿宋" w:hAnsi="仿宋" w:eastAsia="仿宋" w:cs="仿宋"/>
          <w:color w:val="auto"/>
          <w:sz w:val="32"/>
          <w:szCs w:val="32"/>
          <w:highlight w:val="none"/>
          <w:u w:val="single"/>
        </w:rPr>
        <w:t>【                    】</w:t>
      </w:r>
    </w:p>
    <w:p>
      <w:pPr>
        <w:snapToGrid w:val="0"/>
        <w:spacing w:line="300" w:lineRule="auto"/>
        <w:rPr>
          <w:rFonts w:ascii="仿宋" w:hAnsi="仿宋" w:eastAsia="仿宋" w:cs="仿宋"/>
          <w:b/>
          <w:color w:val="auto"/>
          <w:highlight w:val="none"/>
        </w:rPr>
      </w:pPr>
    </w:p>
    <w:p>
      <w:pPr>
        <w:snapToGrid w:val="0"/>
        <w:spacing w:line="300" w:lineRule="auto"/>
        <w:rPr>
          <w:rFonts w:ascii="仿宋" w:hAnsi="仿宋" w:eastAsia="仿宋" w:cs="仿宋"/>
          <w:b/>
          <w:bCs/>
          <w:color w:val="auto"/>
          <w:szCs w:val="28"/>
          <w:highlight w:val="none"/>
        </w:rPr>
      </w:pPr>
      <w:bookmarkStart w:id="91" w:name="fd_ContractName"/>
      <w:bookmarkStart w:id="92" w:name="fdContractTitle"/>
    </w:p>
    <w:p>
      <w:pPr>
        <w:snapToGrid w:val="0"/>
        <w:spacing w:line="530" w:lineRule="exact"/>
        <w:jc w:val="center"/>
        <w:rPr>
          <w:rFonts w:ascii="仿宋" w:hAnsi="仿宋" w:eastAsia="仿宋" w:cs="仿宋"/>
          <w:b/>
          <w:bCs/>
          <w:color w:val="auto"/>
          <w:sz w:val="32"/>
          <w:szCs w:val="32"/>
          <w:highlight w:val="none"/>
        </w:rPr>
      </w:pPr>
    </w:p>
    <w:p>
      <w:pPr>
        <w:pStyle w:val="35"/>
        <w:ind w:left="560"/>
        <w:rPr>
          <w:color w:val="auto"/>
          <w:highlight w:val="none"/>
        </w:rPr>
      </w:pPr>
    </w:p>
    <w:p>
      <w:pPr>
        <w:snapToGrid w:val="0"/>
        <w:spacing w:line="53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政府采购合同</w:t>
      </w:r>
      <w:bookmarkEnd w:id="91"/>
      <w:bookmarkEnd w:id="92"/>
    </w:p>
    <w:p>
      <w:pPr>
        <w:snapToGrid w:val="0"/>
        <w:spacing w:line="440" w:lineRule="exact"/>
        <w:ind w:firstLine="480" w:firstLineChars="200"/>
        <w:rPr>
          <w:rFonts w:ascii="仿宋" w:hAnsi="仿宋" w:eastAsia="仿宋" w:cs="仿宋"/>
          <w:color w:val="auto"/>
          <w:sz w:val="24"/>
          <w:szCs w:val="24"/>
          <w:highlight w:val="none"/>
        </w:rPr>
      </w:pP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甲方：衢州市衢江区住房和城乡建设局</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住所地：衢州市衢江区仙岩路32号</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r>
        <w:rPr>
          <w:rFonts w:hint="eastAsia" w:ascii="仿宋" w:hAnsi="仿宋" w:eastAsia="仿宋" w:cs="仿宋"/>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住所地：</w:t>
      </w:r>
      <w:r>
        <w:rPr>
          <w:rFonts w:hint="eastAsia" w:ascii="仿宋" w:hAnsi="仿宋" w:eastAsia="仿宋" w:cs="仿宋"/>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甲、乙双方根据《中华人民共和国民法典》等有关法律规定，在平等、自愿的基础上，经充分协商，就</w:t>
      </w:r>
      <w:r>
        <w:rPr>
          <w:rFonts w:hint="eastAsia" w:ascii="仿宋" w:hAnsi="仿宋" w:eastAsia="仿宋" w:cs="仿宋"/>
          <w:color w:val="auto"/>
          <w:sz w:val="24"/>
          <w:szCs w:val="24"/>
          <w:highlight w:val="none"/>
          <w:u w:val="single"/>
        </w:rPr>
        <w:t>衢江区小区生活垃圾分类提升项目</w:t>
      </w:r>
      <w:r>
        <w:rPr>
          <w:rFonts w:hint="eastAsia" w:ascii="仿宋" w:hAnsi="仿宋" w:eastAsia="仿宋" w:cs="仿宋"/>
          <w:color w:val="auto"/>
          <w:sz w:val="24"/>
          <w:szCs w:val="24"/>
          <w:highlight w:val="none"/>
        </w:rPr>
        <w:t>政府采购结果达成以下条款。</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第一条 合同概况</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合同总金额（人民币，大写）：</w:t>
      </w:r>
      <w:r>
        <w:rPr>
          <w:rFonts w:hint="eastAsia" w:ascii="仿宋" w:hAnsi="仿宋" w:eastAsia="仿宋" w:cs="仿宋"/>
          <w:color w:val="auto"/>
          <w:sz w:val="24"/>
          <w:szCs w:val="24"/>
          <w:highlight w:val="none"/>
          <w:u w:val="single"/>
        </w:rPr>
        <w:t>【          】，小写：【￥           元】</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第二条 </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设备质量、技术标准</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质量、技术标准除本合同第一条中约定的规格外，双方可另行以合同附件形式对该标准予以补充约定，如果双方没有提及适用标准，则应符合中国国家的强制性标准或行业标准，如无国家或行业标准，则应符合甲方认可的标准。</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第三条 </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设备包装</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1.乙方应提供</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设备所必需的包装，该包装应符合国家包装、储运指示标志的规定，适合于运输、防潮、防震、防锈、搬运等要求，确保</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设备交付前完好无损。</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2.甲方对</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设备的包装、标记和包装箱内外的单据等有特殊要求的，则另行书面约定作为本合同的附件。</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第四条 合同实施时间及实施地点</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1.服务期：二年，其中合同签订之日起90日历天内完成分类收集设施建设及安装调试（实际政策处理存在问题的情况除外）。</w:t>
      </w:r>
    </w:p>
    <w:p>
      <w:pPr>
        <w:pageBreakBefore w:val="0"/>
        <w:widowControl w:val="0"/>
        <w:numPr>
          <w:ilvl w:val="0"/>
          <w:numId w:val="0"/>
        </w:numPr>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2.实施地点：</w:t>
      </w:r>
      <w:r>
        <w:rPr>
          <w:rFonts w:hint="eastAsia" w:ascii="仿宋" w:hAnsi="仿宋" w:eastAsia="仿宋" w:cs="仿宋"/>
          <w:color w:val="auto"/>
          <w:sz w:val="24"/>
          <w:szCs w:val="24"/>
          <w:highlight w:val="none"/>
          <w:u w:val="none"/>
        </w:rPr>
        <w:t>甲方指定地点。</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第五条 设备验收</w:t>
      </w:r>
    </w:p>
    <w:p>
      <w:pPr>
        <w:pageBreakBefore w:val="0"/>
        <w:widowControl w:val="0"/>
        <w:tabs>
          <w:tab w:val="left" w:pos="720"/>
        </w:tabs>
        <w:kinsoku/>
        <w:wordWrap/>
        <w:overflowPunct/>
        <w:topLinePunct w:val="0"/>
        <w:autoSpaceDE w:val="0"/>
        <w:autoSpaceDN w:val="0"/>
        <w:bidi w:val="0"/>
        <w:snapToGrid w:val="0"/>
        <w:spacing w:line="460" w:lineRule="exact"/>
        <w:ind w:left="0" w:leftChars="0" w:right="0" w:rightChars="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设备采用以下验收方式：</w:t>
      </w:r>
    </w:p>
    <w:p>
      <w:pPr>
        <w:pageBreakBefore w:val="0"/>
        <w:widowControl w:val="0"/>
        <w:tabs>
          <w:tab w:val="left" w:pos="720"/>
        </w:tabs>
        <w:kinsoku/>
        <w:wordWrap/>
        <w:overflowPunct/>
        <w:topLinePunct w:val="0"/>
        <w:autoSpaceDE w:val="0"/>
        <w:autoSpaceDN w:val="0"/>
        <w:bidi w:val="0"/>
        <w:snapToGrid w:val="0"/>
        <w:spacing w:line="460" w:lineRule="exact"/>
        <w:ind w:left="0" w:leftChars="0" w:right="0" w:rightChars="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（1）交付。甲方应在交付时对</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设备进行验收，以确认</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设备的数量、型号、规格等是否符合合同要求。</w:t>
      </w:r>
    </w:p>
    <w:p>
      <w:pPr>
        <w:pageBreakBefore w:val="0"/>
        <w:widowControl w:val="0"/>
        <w:tabs>
          <w:tab w:val="left" w:pos="720"/>
        </w:tabs>
        <w:kinsoku/>
        <w:wordWrap/>
        <w:overflowPunct/>
        <w:topLinePunct w:val="0"/>
        <w:autoSpaceDE w:val="0"/>
        <w:autoSpaceDN w:val="0"/>
        <w:bidi w:val="0"/>
        <w:snapToGrid w:val="0"/>
        <w:spacing w:line="460" w:lineRule="exact"/>
        <w:ind w:left="0" w:leftChars="0" w:right="0" w:rightChars="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设备经安装、调试、运行后最终验收。乙方应在</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设备到货并经开箱初验合格后完成</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设备安装、调试、运行的所有工作，甲方应在</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设备安装调试完成，并经正常运行后进行最终验收，以确认</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设备是否符合合同要求。</w:t>
      </w:r>
    </w:p>
    <w:p>
      <w:pPr>
        <w:pageBreakBefore w:val="0"/>
        <w:widowControl w:val="0"/>
        <w:tabs>
          <w:tab w:val="left" w:pos="720"/>
        </w:tabs>
        <w:kinsoku/>
        <w:wordWrap/>
        <w:overflowPunct/>
        <w:topLinePunct w:val="0"/>
        <w:autoSpaceDE w:val="0"/>
        <w:autoSpaceDN w:val="0"/>
        <w:bidi w:val="0"/>
        <w:snapToGrid w:val="0"/>
        <w:spacing w:line="460" w:lineRule="exact"/>
        <w:ind w:left="0" w:leftChars="0" w:right="0" w:rightChars="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2.验收时乙方应派人参加，否则甲方有权单方面验收，并以该验收结果为准。</w:t>
      </w:r>
    </w:p>
    <w:p>
      <w:pPr>
        <w:pageBreakBefore w:val="0"/>
        <w:widowControl w:val="0"/>
        <w:tabs>
          <w:tab w:val="left" w:pos="720"/>
        </w:tabs>
        <w:kinsoku/>
        <w:wordWrap/>
        <w:overflowPunct/>
        <w:topLinePunct w:val="0"/>
        <w:autoSpaceDE w:val="0"/>
        <w:autoSpaceDN w:val="0"/>
        <w:bidi w:val="0"/>
        <w:snapToGrid w:val="0"/>
        <w:spacing w:line="460" w:lineRule="exact"/>
        <w:ind w:left="0" w:leftChars="0" w:right="0" w:rightChars="0"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3.甲方验收合格前，</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设备的一切风险（包括但不限于</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设备的毁损、灭失及可能的侵权等），均由乙方承担。</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第六条 合同价款及结算方式</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1.本合同价款包括完成本项目所需的所有费用，包括但不限于</w:t>
      </w:r>
      <w:r>
        <w:rPr>
          <w:rFonts w:hint="eastAsia" w:ascii="仿宋" w:hAnsi="仿宋" w:eastAsia="仿宋" w:cs="仿宋"/>
          <w:color w:val="auto"/>
          <w:sz w:val="24"/>
          <w:szCs w:val="24"/>
          <w:highlight w:val="none"/>
          <w:lang w:val="en-US" w:eastAsia="zh-CN"/>
        </w:rPr>
        <w:t>分类收集设施建设（每个投放口须配备垃圾桶）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货及运输、安装调试、系统集成、项目验收、质保期限及运维期限内的运行维护、以及人工工资、社会保险费、劳保用品、员工住宿交通差旅费用、机械及工具费、技术支持、宣传、培训、税金、管理费、企业利润、政策性文件规定及合同包含的所有风险、责任等各项应有费用。对在合同实施过程中可能发生的其它费用（如：增加耗材、材料涨价、人工、运输成本增加等因素），甲方概不负责。</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注：在服务期内因实施生活垃圾分类产生的设备设施维修、更换费及其他可能发生的完成本项目所需的全部费用均由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承担。</w:t>
      </w:r>
    </w:p>
    <w:p>
      <w:pPr>
        <w:pageBreakBefore w:val="0"/>
        <w:widowControl w:val="0"/>
        <w:numPr>
          <w:ilvl w:val="0"/>
          <w:numId w:val="16"/>
        </w:numPr>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bl>
      <w:tblPr>
        <w:tblStyle w:val="88"/>
        <w:tblW w:w="9420"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45"/>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vAlign w:val="center"/>
          </w:tcPr>
          <w:p>
            <w:pPr>
              <w:pageBreakBefore w:val="0"/>
              <w:widowControl w:val="0"/>
              <w:kinsoku/>
              <w:wordWrap/>
              <w:overflowPunct/>
              <w:topLinePunct w:val="0"/>
              <w:bidi w:val="0"/>
              <w:adjustRightInd w:val="0"/>
              <w:snapToGrid w:val="0"/>
              <w:spacing w:line="460" w:lineRule="exact"/>
              <w:ind w:left="0" w:leftChars="0" w:right="0" w:right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545" w:type="dxa"/>
            <w:vAlign w:val="center"/>
          </w:tcPr>
          <w:p>
            <w:pPr>
              <w:pageBreakBefore w:val="0"/>
              <w:widowControl w:val="0"/>
              <w:kinsoku/>
              <w:wordWrap/>
              <w:overflowPunct/>
              <w:topLinePunct w:val="0"/>
              <w:bidi w:val="0"/>
              <w:adjustRightInd w:val="0"/>
              <w:snapToGrid w:val="0"/>
              <w:spacing w:line="460" w:lineRule="exact"/>
              <w:ind w:left="0" w:leftChars="0" w:right="0" w:right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款项</w:t>
            </w:r>
          </w:p>
        </w:tc>
        <w:tc>
          <w:tcPr>
            <w:tcW w:w="6990" w:type="dxa"/>
            <w:vAlign w:val="center"/>
          </w:tcPr>
          <w:p>
            <w:pPr>
              <w:pageBreakBefore w:val="0"/>
              <w:widowControl w:val="0"/>
              <w:kinsoku/>
              <w:wordWrap/>
              <w:overflowPunct/>
              <w:topLinePunct w:val="0"/>
              <w:bidi w:val="0"/>
              <w:adjustRightInd w:val="0"/>
              <w:snapToGrid w:val="0"/>
              <w:spacing w:line="460" w:lineRule="exact"/>
              <w:ind w:left="0" w:leftChars="0" w:right="0" w:right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约定支付条件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85" w:type="dxa"/>
            <w:vAlign w:val="center"/>
          </w:tcPr>
          <w:p>
            <w:pPr>
              <w:pageBreakBefore w:val="0"/>
              <w:widowControl w:val="0"/>
              <w:kinsoku/>
              <w:wordWrap/>
              <w:overflowPunct/>
              <w:topLinePunct w:val="0"/>
              <w:bidi w:val="0"/>
              <w:adjustRightInd w:val="0"/>
              <w:snapToGrid w:val="0"/>
              <w:spacing w:line="460" w:lineRule="exact"/>
              <w:ind w:left="0" w:leftChars="0" w:right="0" w:right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545" w:type="dxa"/>
            <w:vAlign w:val="center"/>
          </w:tcPr>
          <w:p>
            <w:pPr>
              <w:pageBreakBefore w:val="0"/>
              <w:widowControl w:val="0"/>
              <w:kinsoku/>
              <w:wordWrap/>
              <w:overflowPunct/>
              <w:topLinePunct w:val="0"/>
              <w:bidi w:val="0"/>
              <w:snapToGrid w:val="0"/>
              <w:spacing w:line="460" w:lineRule="exact"/>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w:t>
            </w:r>
          </w:p>
        </w:tc>
        <w:tc>
          <w:tcPr>
            <w:tcW w:w="6990" w:type="dxa"/>
            <w:vAlign w:val="center"/>
          </w:tcPr>
          <w:p>
            <w:pPr>
              <w:pageBreakBefore w:val="0"/>
              <w:widowControl w:val="0"/>
              <w:kinsoku/>
              <w:wordWrap/>
              <w:overflowPunct/>
              <w:topLinePunct w:val="0"/>
              <w:bidi w:val="0"/>
              <w:adjustRightInd w:val="0"/>
              <w:snapToGrid w:val="0"/>
              <w:spacing w:line="460" w:lineRule="exact"/>
              <w:ind w:left="0" w:leftChars="0" w:right="0" w:rightChars="0"/>
              <w:rPr>
                <w:rFonts w:hint="eastAsia" w:ascii="仿宋" w:hAnsi="仿宋" w:eastAsia="仿宋" w:cs="仿宋"/>
                <w:color w:val="auto"/>
                <w:kern w:val="0"/>
                <w:sz w:val="24"/>
                <w:szCs w:val="24"/>
                <w:highlight w:val="none"/>
                <w:lang w:eastAsia="zh-CN"/>
              </w:rPr>
            </w:pPr>
            <w:r>
              <w:rPr>
                <w:rFonts w:hint="eastAsia" w:ascii="仿宋" w:hAnsi="仿宋" w:eastAsia="仿宋" w:cs="仿宋"/>
                <w:snapToGrid w:val="0"/>
                <w:color w:val="auto"/>
                <w:sz w:val="24"/>
                <w:szCs w:val="24"/>
                <w:highlight w:val="none"/>
              </w:rPr>
              <w:t>合同生效以及具备实施条件后，</w:t>
            </w:r>
            <w:r>
              <w:rPr>
                <w:rFonts w:hint="eastAsia" w:ascii="仿宋" w:hAnsi="仿宋" w:eastAsia="仿宋" w:cs="仿宋"/>
                <w:color w:val="auto"/>
                <w:sz w:val="24"/>
                <w:szCs w:val="24"/>
                <w:highlight w:val="none"/>
                <w:lang w:val="en-US" w:eastAsia="zh-CN"/>
              </w:rPr>
              <w:t>乙方提交支付申请，甲方审核无误并收到乙方开具的</w:t>
            </w:r>
            <w:r>
              <w:rPr>
                <w:rFonts w:hint="eastAsia" w:ascii="仿宋" w:hAnsi="仿宋" w:eastAsia="仿宋" w:cs="仿宋"/>
                <w:color w:val="auto"/>
                <w:sz w:val="24"/>
                <w:szCs w:val="24"/>
                <w:highlight w:val="none"/>
                <w:lang w:val="zh-CN" w:eastAsia="zh-CN"/>
              </w:rPr>
              <w:t>增值税发票</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支付合同价</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40%</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vAlign w:val="center"/>
          </w:tcPr>
          <w:p>
            <w:pPr>
              <w:pageBreakBefore w:val="0"/>
              <w:widowControl w:val="0"/>
              <w:kinsoku/>
              <w:wordWrap/>
              <w:overflowPunct/>
              <w:topLinePunct w:val="0"/>
              <w:bidi w:val="0"/>
              <w:adjustRightInd w:val="0"/>
              <w:snapToGrid w:val="0"/>
              <w:spacing w:line="460" w:lineRule="exact"/>
              <w:ind w:left="0" w:leftChars="0" w:right="0" w:right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545" w:type="dxa"/>
            <w:vAlign w:val="center"/>
          </w:tcPr>
          <w:p>
            <w:pPr>
              <w:pageBreakBefore w:val="0"/>
              <w:widowControl w:val="0"/>
              <w:kinsoku/>
              <w:wordWrap/>
              <w:overflowPunct/>
              <w:topLinePunct w:val="0"/>
              <w:bidi w:val="0"/>
              <w:snapToGrid w:val="0"/>
              <w:spacing w:line="460" w:lineRule="exact"/>
              <w:ind w:right="0" w:rightChars="0"/>
              <w:jc w:val="center"/>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rPr>
              <w:t>剩余款</w:t>
            </w:r>
            <w:r>
              <w:rPr>
                <w:rFonts w:hint="eastAsia" w:ascii="仿宋" w:hAnsi="仿宋" w:eastAsia="仿宋" w:cs="仿宋"/>
                <w:snapToGrid w:val="0"/>
                <w:color w:val="auto"/>
                <w:sz w:val="24"/>
                <w:szCs w:val="24"/>
                <w:highlight w:val="none"/>
                <w:lang w:val="en-US" w:eastAsia="zh-CN"/>
              </w:rPr>
              <w:t>项</w:t>
            </w:r>
          </w:p>
        </w:tc>
        <w:tc>
          <w:tcPr>
            <w:tcW w:w="6990" w:type="dxa"/>
            <w:vAlign w:val="center"/>
          </w:tcPr>
          <w:p>
            <w:pPr>
              <w:pageBreakBefore w:val="0"/>
              <w:widowControl w:val="0"/>
              <w:kinsoku/>
              <w:wordWrap/>
              <w:overflowPunct/>
              <w:topLinePunct w:val="0"/>
              <w:bidi w:val="0"/>
              <w:adjustRightInd w:val="0"/>
              <w:snapToGrid w:val="0"/>
              <w:spacing w:line="460" w:lineRule="exact"/>
              <w:ind w:left="0" w:leftChars="0"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运维期内，运维服务费实行先做后付方式，</w:t>
            </w:r>
            <w:r>
              <w:rPr>
                <w:rFonts w:hint="eastAsia" w:ascii="仿宋" w:hAnsi="仿宋" w:eastAsia="仿宋" w:cs="仿宋"/>
                <w:color w:val="auto"/>
                <w:sz w:val="24"/>
                <w:szCs w:val="24"/>
                <w:highlight w:val="none"/>
                <w:lang w:val="en-US" w:eastAsia="zh-CN"/>
              </w:rPr>
              <w:t>合同价</w:t>
            </w:r>
            <w:r>
              <w:rPr>
                <w:rFonts w:hint="eastAsia" w:ascii="仿宋" w:hAnsi="仿宋" w:eastAsia="仿宋" w:cs="仿宋"/>
                <w:color w:val="auto"/>
                <w:sz w:val="24"/>
                <w:szCs w:val="24"/>
                <w:highlight w:val="none"/>
              </w:rPr>
              <w:t>扣除预付款后剩余部分按季</w:t>
            </w:r>
            <w:r>
              <w:rPr>
                <w:rFonts w:hint="eastAsia" w:ascii="仿宋" w:hAnsi="仿宋" w:eastAsia="仿宋" w:cs="仿宋"/>
                <w:color w:val="auto"/>
                <w:sz w:val="24"/>
                <w:szCs w:val="24"/>
                <w:highlight w:val="none"/>
                <w:lang w:val="en-US" w:eastAsia="zh-CN"/>
              </w:rPr>
              <w:t>度</w:t>
            </w:r>
            <w:r>
              <w:rPr>
                <w:rFonts w:hint="eastAsia" w:ascii="仿宋" w:hAnsi="仿宋" w:eastAsia="仿宋" w:cs="仿宋"/>
                <w:color w:val="auto"/>
                <w:sz w:val="24"/>
                <w:szCs w:val="24"/>
                <w:highlight w:val="none"/>
              </w:rPr>
              <w:t>平摊支付，</w:t>
            </w:r>
            <w:r>
              <w:rPr>
                <w:rFonts w:hint="eastAsia" w:ascii="仿宋" w:hAnsi="仿宋" w:eastAsia="仿宋" w:cs="仿宋"/>
                <w:color w:val="auto"/>
                <w:sz w:val="24"/>
                <w:szCs w:val="24"/>
                <w:highlight w:val="none"/>
                <w:lang w:val="en-US" w:eastAsia="zh-CN"/>
              </w:rPr>
              <w:t>每季度首月支付前一季度</w:t>
            </w:r>
            <w:r>
              <w:rPr>
                <w:rFonts w:hint="eastAsia" w:ascii="仿宋" w:hAnsi="仿宋" w:eastAsia="仿宋" w:cs="仿宋"/>
                <w:color w:val="auto"/>
                <w:sz w:val="24"/>
                <w:szCs w:val="24"/>
                <w:highlight w:val="none"/>
              </w:rPr>
              <w:t>运维服务费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乙方提交支付申请，甲方审核无误并收到乙方</w:t>
            </w:r>
            <w:r>
              <w:rPr>
                <w:rFonts w:hint="eastAsia" w:ascii="仿宋" w:hAnsi="仿宋" w:eastAsia="仿宋" w:cs="仿宋"/>
                <w:color w:val="auto"/>
                <w:sz w:val="24"/>
                <w:szCs w:val="24"/>
                <w:highlight w:val="none"/>
                <w:lang w:val="zh-CN" w:eastAsia="zh-CN"/>
              </w:rPr>
              <w:t>开具</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lang w:val="zh-CN" w:eastAsia="zh-CN"/>
              </w:rPr>
              <w:t>增值税发票</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lang w:eastAsia="zh-CN"/>
              </w:rPr>
              <w:t>支付。</w:t>
            </w:r>
          </w:p>
        </w:tc>
      </w:tr>
    </w:tbl>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3.甲方在收到乙方提供的相应面额的正规有效</w:t>
      </w:r>
      <w:r>
        <w:rPr>
          <w:rFonts w:hint="eastAsia" w:ascii="仿宋" w:hAnsi="仿宋" w:eastAsia="仿宋" w:cs="仿宋"/>
          <w:color w:val="auto"/>
          <w:sz w:val="24"/>
          <w:szCs w:val="24"/>
          <w:highlight w:val="none"/>
          <w:lang w:val="zh-CN" w:eastAsia="zh-CN"/>
        </w:rPr>
        <w:t>增值税发票后</w:t>
      </w:r>
      <w:r>
        <w:rPr>
          <w:rFonts w:hint="eastAsia" w:ascii="仿宋" w:hAnsi="仿宋" w:eastAsia="仿宋" w:cs="仿宋"/>
          <w:color w:val="auto"/>
          <w:sz w:val="24"/>
          <w:szCs w:val="24"/>
          <w:highlight w:val="none"/>
        </w:rPr>
        <w:t>，按照乙方指定的以下账号付款：</w:t>
      </w:r>
    </w:p>
    <w:p>
      <w:pPr>
        <w:pageBreakBefore w:val="0"/>
        <w:widowControl w:val="0"/>
        <w:kinsoku/>
        <w:wordWrap/>
        <w:overflowPunct/>
        <w:topLinePunct w:val="0"/>
        <w:bidi w:val="0"/>
        <w:snapToGrid w:val="0"/>
        <w:spacing w:line="460" w:lineRule="exact"/>
        <w:ind w:left="0" w:leftChars="0" w:right="0" w:rightChars="0" w:firstLine="480" w:firstLineChars="200"/>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户名：</w:t>
      </w:r>
      <w:r>
        <w:rPr>
          <w:rFonts w:hint="eastAsia" w:ascii="仿宋" w:hAnsi="仿宋" w:eastAsia="仿宋" w:cs="仿宋"/>
          <w:b/>
          <w:bCs/>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统一社会信用代码</w:t>
      </w:r>
      <w:r>
        <w:rPr>
          <w:rFonts w:hint="eastAsia" w:ascii="仿宋" w:hAnsi="仿宋" w:eastAsia="仿宋" w:cs="仿宋"/>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u w:val="single"/>
        </w:rPr>
        <w:t xml:space="preserve">                   </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乙方须在甲方付款前，提供符合甲方要求的合法有效</w:t>
      </w:r>
      <w:r>
        <w:rPr>
          <w:rFonts w:hint="eastAsia" w:ascii="仿宋" w:hAnsi="仿宋" w:eastAsia="仿宋" w:cs="仿宋"/>
          <w:color w:val="auto"/>
          <w:sz w:val="24"/>
          <w:szCs w:val="24"/>
          <w:highlight w:val="none"/>
          <w:lang w:val="zh-CN" w:eastAsia="zh-CN"/>
        </w:rPr>
        <w:t>增值税发票后</w:t>
      </w:r>
      <w:r>
        <w:rPr>
          <w:rFonts w:hint="eastAsia" w:ascii="仿宋" w:hAnsi="仿宋" w:eastAsia="仿宋" w:cs="仿宋"/>
          <w:color w:val="auto"/>
          <w:sz w:val="24"/>
          <w:szCs w:val="24"/>
          <w:highlight w:val="none"/>
        </w:rPr>
        <w:t>，否则甲方有权拒绝付款且不视为违约。</w:t>
      </w:r>
    </w:p>
    <w:p>
      <w:pPr>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第七条 履约保证金</w:t>
      </w:r>
    </w:p>
    <w:p>
      <w:pPr>
        <w:pageBreakBefore w:val="0"/>
        <w:widowControl w:val="0"/>
        <w:kinsoku/>
        <w:wordWrap/>
        <w:overflowPunct/>
        <w:topLinePunct w:val="0"/>
        <w:bidi w:val="0"/>
        <w:adjustRightInd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1.乙方应在合同签订前通过电汇、转账、银行或保险公司出具履约保函向甲方交纳成交金额1%的履约保证金，即人民币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元整）。</w:t>
      </w:r>
    </w:p>
    <w:p>
      <w:pPr>
        <w:pageBreakBefore w:val="0"/>
        <w:widowControl w:val="0"/>
        <w:kinsoku/>
        <w:wordWrap/>
        <w:overflowPunct/>
        <w:topLinePunct w:val="0"/>
        <w:bidi w:val="0"/>
        <w:adjustRightInd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2.履约保证金用于补偿甲方因乙方不能履行其合同义务而蒙受的损失。</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3.履约保证金在乙方按合同完成所有服务内容后，无息退还给乙方。</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第八条 品质承诺</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1.乙方提供的</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设备应符合合同要求，不因设计、材料、工艺等原因而有任何瑕疵和缺陷。</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2.乙方提交的技术文件应完整、准确、配套，满足甲方对设备运行、管理、维护等需要。</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3.乙方保证，因其提供</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设备的知识产权引发的纠纷给甲方造成损失的，由乙方负责赔偿甲方的全部损失。</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4.本合同的质保期限为</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年，自</w:t>
      </w:r>
      <w:r>
        <w:rPr>
          <w:rFonts w:hint="eastAsia" w:ascii="仿宋" w:hAnsi="仿宋" w:eastAsia="仿宋" w:cs="仿宋"/>
          <w:color w:val="auto"/>
          <w:sz w:val="24"/>
          <w:szCs w:val="24"/>
          <w:highlight w:val="none"/>
          <w:u w:val="single"/>
        </w:rPr>
        <w:t xml:space="preserve"> 最终验收合格 </w:t>
      </w:r>
      <w:r>
        <w:rPr>
          <w:rFonts w:hint="eastAsia" w:ascii="仿宋" w:hAnsi="仿宋" w:eastAsia="仿宋" w:cs="仿宋"/>
          <w:color w:val="auto"/>
          <w:sz w:val="24"/>
          <w:szCs w:val="24"/>
          <w:highlight w:val="none"/>
        </w:rPr>
        <w:t>之日起算，在此期间，乙方应保证对</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设备进行质量维护，使</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设备符合合同要求。</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5.质保期限和运维服务期内，乙方免收一切维修及材料费用。质保期限和运维服务期内，如</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设备出现问题，乙方接到甲方通知后</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分钟内响应，</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分钟内到达现场解决问题，垃圾分类投放点投放</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设备在</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小时内修复，如不能及时修复，先开放垃圾投口，确保居民投递垃圾正常进行，未按要求及时修复的每次扣款1000元。对经</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次维修仍达不到使用要求的，甲方有权退货，乙方应退还甲方支付的相应合同款项，同时承担因退货产生的一切费用。</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6.乙方人员为甲方服务时造成自身及他人的人身、财产等损失，由乙方承担全部责任，与甲方无涉；若因此给甲方造成损失的，乙方还须赔偿甲方全部损失。</w:t>
      </w:r>
    </w:p>
    <w:p>
      <w:pPr>
        <w:pageBreakBefore w:val="0"/>
        <w:widowControl w:val="0"/>
        <w:kinsoku/>
        <w:wordWrap/>
        <w:overflowPunct/>
        <w:topLinePunct w:val="0"/>
        <w:bidi w:val="0"/>
        <w:snapToGrid w:val="0"/>
        <w:spacing w:line="460" w:lineRule="exact"/>
        <w:ind w:left="0" w:leftChars="0" w:right="0" w:rightChars="0"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7.甲方检查过程中发现有害垃圾未进行分类清运，每次处罚乙方1000元。</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第九条 违约责任</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1.如果乙方在合同约定的期限内不能完成安装调试的</w:t>
      </w:r>
      <w:r>
        <w:rPr>
          <w:rFonts w:hint="eastAsia" w:ascii="仿宋" w:hAnsi="仿宋" w:eastAsia="仿宋" w:cs="仿宋"/>
          <w:b w:val="0"/>
          <w:bCs w:val="0"/>
          <w:color w:val="auto"/>
          <w:sz w:val="24"/>
          <w:szCs w:val="24"/>
          <w:highlight w:val="none"/>
          <w:lang w:val="en-US" w:eastAsia="zh-CN"/>
        </w:rPr>
        <w:t>（实际政策处理存在问题的情况除外）</w:t>
      </w:r>
      <w:r>
        <w:rPr>
          <w:rFonts w:hint="eastAsia" w:ascii="仿宋" w:hAnsi="仿宋" w:eastAsia="仿宋" w:cs="仿宋"/>
          <w:color w:val="auto"/>
          <w:sz w:val="24"/>
          <w:szCs w:val="24"/>
          <w:highlight w:val="none"/>
        </w:rPr>
        <w:t>，每逾期一天，按照合同总金额的千分之五计算承担违约金，如超过30天仍不能交货或因乙方逾期导致甲方合同目的不能实现的，甲方有权解除合同，并要求乙方按照合同总金额的 5 %支付违约金。</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2.如乙方交付的</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设备不能通过甲方验收的，甲方有权</w:t>
      </w:r>
      <w:r>
        <w:rPr>
          <w:rFonts w:hint="eastAsia" w:ascii="仿宋" w:hAnsi="仿宋" w:eastAsia="仿宋" w:cs="仿宋"/>
          <w:color w:val="auto"/>
          <w:sz w:val="24"/>
          <w:szCs w:val="24"/>
          <w:highlight w:val="none"/>
          <w:lang w:val="en-US" w:eastAsia="zh-CN"/>
        </w:rPr>
        <w:t>乙方整改</w:t>
      </w:r>
      <w:r>
        <w:rPr>
          <w:rFonts w:hint="eastAsia" w:ascii="仿宋" w:hAnsi="仿宋" w:eastAsia="仿宋" w:cs="仿宋"/>
          <w:color w:val="auto"/>
          <w:sz w:val="24"/>
          <w:szCs w:val="24"/>
          <w:highlight w:val="none"/>
        </w:rPr>
        <w:t>直至验收合格或解除合同，并要求乙方按照合同总金额</w:t>
      </w:r>
      <w:r>
        <w:rPr>
          <w:rFonts w:hint="eastAsia" w:ascii="仿宋" w:hAnsi="仿宋" w:eastAsia="仿宋" w:cs="仿宋"/>
          <w:color w:val="auto"/>
          <w:sz w:val="24"/>
          <w:szCs w:val="24"/>
          <w:highlight w:val="none"/>
          <w:u w:val="single"/>
        </w:rPr>
        <w:t xml:space="preserve"> 5 </w:t>
      </w:r>
      <w:r>
        <w:rPr>
          <w:rFonts w:hint="eastAsia" w:ascii="仿宋" w:hAnsi="仿宋" w:eastAsia="仿宋" w:cs="仿宋"/>
          <w:color w:val="auto"/>
          <w:sz w:val="24"/>
          <w:szCs w:val="24"/>
          <w:highlight w:val="none"/>
        </w:rPr>
        <w:t>%支付违约金。</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3.如乙方不配合进行退、换货的，</w:t>
      </w:r>
      <w:r>
        <w:rPr>
          <w:rFonts w:hint="eastAsia" w:ascii="仿宋" w:hAnsi="仿宋" w:eastAsia="仿宋" w:cs="仿宋"/>
          <w:color w:val="auto"/>
          <w:sz w:val="24"/>
          <w:szCs w:val="24"/>
          <w:highlight w:val="none"/>
          <w:lang w:val="en-US" w:eastAsia="zh-CN"/>
        </w:rPr>
        <w:t>设施</w:t>
      </w:r>
      <w:r>
        <w:rPr>
          <w:rFonts w:hint="eastAsia" w:ascii="仿宋" w:hAnsi="仿宋" w:eastAsia="仿宋" w:cs="仿宋"/>
          <w:color w:val="auto"/>
          <w:sz w:val="24"/>
          <w:szCs w:val="24"/>
          <w:highlight w:val="none"/>
        </w:rPr>
        <w:t>设备毁损、灭失等风险由乙方自行承担，由此给甲方造成损失的，乙方应予赔偿。</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4.甲方解除合同的，合同于甲方发出的书面解除合同通知书送达乙方之日起解除，乙方应在合同解除后</w:t>
      </w:r>
      <w:r>
        <w:rPr>
          <w:rFonts w:hint="eastAsia" w:ascii="仿宋" w:hAnsi="仿宋" w:eastAsia="仿宋" w:cs="仿宋"/>
          <w:color w:val="auto"/>
          <w:sz w:val="24"/>
          <w:szCs w:val="24"/>
          <w:highlight w:val="none"/>
          <w:u w:val="single"/>
        </w:rPr>
        <w:t xml:space="preserve"> 10 </w:t>
      </w:r>
      <w:r>
        <w:rPr>
          <w:rFonts w:hint="eastAsia" w:ascii="仿宋" w:hAnsi="仿宋" w:eastAsia="仿宋" w:cs="仿宋"/>
          <w:color w:val="auto"/>
          <w:sz w:val="24"/>
          <w:szCs w:val="24"/>
          <w:highlight w:val="none"/>
        </w:rPr>
        <w:t>日内退还甲方已支付的货款，逾期退还货款的，每日按未退金额的</w:t>
      </w:r>
      <w:r>
        <w:rPr>
          <w:rFonts w:hint="eastAsia" w:ascii="仿宋" w:hAnsi="仿宋" w:eastAsia="仿宋" w:cs="仿宋"/>
          <w:color w:val="auto"/>
          <w:sz w:val="24"/>
          <w:szCs w:val="24"/>
          <w:highlight w:val="none"/>
          <w:u w:val="single"/>
        </w:rPr>
        <w:t xml:space="preserve"> 0.1 </w:t>
      </w:r>
      <w:r>
        <w:rPr>
          <w:rFonts w:hint="eastAsia" w:ascii="仿宋" w:hAnsi="仿宋" w:eastAsia="仿宋" w:cs="仿宋"/>
          <w:color w:val="auto"/>
          <w:sz w:val="24"/>
          <w:szCs w:val="24"/>
          <w:highlight w:val="none"/>
        </w:rPr>
        <w:t>%支付违约金。</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第十条 不可抗力</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不可抗力因素，影响合同执行时，双方均有权解除合同。受不可抗力影响的一方应尽快将所发生的不可抗力事故情况以书面方式通知另一方，并在事件发生之日起15日内以特快专递方式将有关部门出具的证明文件提交给另一方审阅确认。</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条 争议的解决</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因执行本合同而引起的一切争议，由双方通过友好协商解决；协商不成时，应向甲方所在地有管辖权的人民法院提起诉讼。</w:t>
      </w:r>
    </w:p>
    <w:p>
      <w:pPr>
        <w:pStyle w:val="35"/>
        <w:pageBreakBefore w:val="0"/>
        <w:widowControl w:val="0"/>
        <w:kinsoku/>
        <w:wordWrap/>
        <w:overflowPunct/>
        <w:topLinePunct w:val="0"/>
        <w:bidi w:val="0"/>
        <w:snapToGrid w:val="0"/>
        <w:spacing w:after="0"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由于乙方违约行为导致诉讼的，乙方应当承担甲方因维护合法权益产生的一切费用，包括但不限于诉讼费、律师费、公证费等。</w:t>
      </w:r>
    </w:p>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条 其他</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1.本合同附件目录：</w:t>
      </w:r>
      <w:bookmarkStart w:id="93" w:name="fdStrsAppendexFiles"/>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（1）采购文件</w:t>
      </w:r>
    </w:p>
    <w:p>
      <w:pPr>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（2）响应文件</w:t>
      </w:r>
    </w:p>
    <w:bookmarkEnd w:id="93"/>
    <w:p>
      <w:pPr>
        <w:pStyle w:val="4"/>
        <w:pageBreakBefore w:val="0"/>
        <w:widowControl w:val="0"/>
        <w:kinsoku/>
        <w:wordWrap/>
        <w:overflowPunct/>
        <w:topLinePunct w:val="0"/>
        <w:bidi w:val="0"/>
        <w:snapToGrid w:val="0"/>
        <w:spacing w:line="460" w:lineRule="exact"/>
        <w:ind w:left="0" w:leftChars="0" w:right="0" w:rightChars="0" w:firstLine="482" w:firstLineChars="200"/>
        <w:rPr>
          <w:rFonts w:hint="eastAsia" w:ascii="仿宋" w:hAnsi="仿宋" w:eastAsia="仿宋" w:cs="仿宋"/>
          <w:color w:val="auto"/>
          <w:sz w:val="24"/>
          <w:szCs w:val="24"/>
          <w:highlight w:val="none"/>
        </w:rPr>
      </w:pPr>
      <w:bookmarkStart w:id="94" w:name="_Toc14118"/>
      <w:r>
        <w:rPr>
          <w:rFonts w:hint="eastAsia" w:ascii="仿宋" w:hAnsi="仿宋" w:eastAsia="仿宋" w:cs="仿宋"/>
          <w:color w:val="auto"/>
          <w:sz w:val="24"/>
          <w:szCs w:val="24"/>
          <w:highlight w:val="none"/>
        </w:rPr>
        <w:t>第十三条 合同生效及其它</w:t>
      </w:r>
      <w:bookmarkEnd w:id="94"/>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1.合同经双方法定代表人或授权代表签字并加盖单位公章，经衢江区财政局备案后生效。</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2.合同执行中涉及采购资金和采购内容修改或补充的，须经相关部门备案同意，方可作为主合同不可分割的一部分。</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3.本合同未尽事宜，遵照《民法典》有关条文执行。</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4.本合同一式伍份，具有同等法律效力，甲乙双方各执贰份，代理公司备案壹份。</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                          地址：</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法定代表人</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（签字或盖章）：                （签字或盖章）：</w:t>
      </w:r>
    </w:p>
    <w:p>
      <w:pPr>
        <w:pStyle w:val="46"/>
        <w:pageBreakBefore w:val="0"/>
        <w:widowControl w:val="0"/>
        <w:kinsoku/>
        <w:wordWrap/>
        <w:overflowPunct/>
        <w:topLinePunct w:val="0"/>
        <w:bidi w:val="0"/>
        <w:snapToGrid w:val="0"/>
        <w:spacing w:line="460" w:lineRule="exact"/>
        <w:ind w:left="0" w:leftChars="0"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                    年   月   日</w:t>
      </w:r>
    </w:p>
    <w:bookmarkEnd w:id="87"/>
    <w:bookmarkEnd w:id="88"/>
    <w:bookmarkEnd w:id="89"/>
    <w:bookmarkEnd w:id="90"/>
    <w:p>
      <w:pPr>
        <w:pStyle w:val="46"/>
        <w:snapToGrid w:val="0"/>
        <w:spacing w:line="380" w:lineRule="exact"/>
        <w:ind w:firstLine="723" w:firstLineChars="200"/>
        <w:jc w:val="center"/>
        <w:rPr>
          <w:rFonts w:ascii="仿宋" w:hAnsi="仿宋" w:eastAsia="仿宋" w:cs="仿宋"/>
          <w:b/>
          <w:color w:val="auto"/>
          <w:sz w:val="36"/>
          <w:highlight w:val="none"/>
        </w:rPr>
      </w:pPr>
    </w:p>
    <w:p>
      <w:pPr>
        <w:pStyle w:val="46"/>
        <w:snapToGrid w:val="0"/>
        <w:spacing w:line="380" w:lineRule="exact"/>
        <w:ind w:firstLine="723" w:firstLineChars="200"/>
        <w:jc w:val="center"/>
        <w:rPr>
          <w:rFonts w:ascii="仿宋" w:hAnsi="仿宋" w:eastAsia="仿宋" w:cs="仿宋"/>
          <w:b/>
          <w:color w:val="auto"/>
          <w:sz w:val="24"/>
          <w:highlight w:val="none"/>
        </w:rPr>
      </w:pPr>
      <w:r>
        <w:rPr>
          <w:rFonts w:hint="eastAsia" w:ascii="仿宋" w:hAnsi="仿宋" w:eastAsia="仿宋" w:cs="仿宋"/>
          <w:b/>
          <w:color w:val="auto"/>
          <w:sz w:val="36"/>
          <w:highlight w:val="none"/>
        </w:rPr>
        <w:t xml:space="preserve">第五部分 </w:t>
      </w:r>
      <w:bookmarkEnd w:id="84"/>
      <w:bookmarkEnd w:id="85"/>
      <w:r>
        <w:rPr>
          <w:rFonts w:hint="eastAsia" w:ascii="仿宋" w:hAnsi="仿宋" w:eastAsia="仿宋" w:cs="仿宋"/>
          <w:b/>
          <w:color w:val="auto"/>
          <w:sz w:val="36"/>
          <w:highlight w:val="none"/>
        </w:rPr>
        <w:t>投标文件部分格式文件</w:t>
      </w:r>
    </w:p>
    <w:p>
      <w:pPr>
        <w:pStyle w:val="46"/>
        <w:adjustRightInd w:val="0"/>
        <w:snapToGrid w:val="0"/>
        <w:spacing w:line="360" w:lineRule="auto"/>
        <w:jc w:val="center"/>
        <w:outlineLvl w:val="1"/>
        <w:rPr>
          <w:rFonts w:ascii="仿宋" w:hAnsi="仿宋" w:eastAsia="仿宋" w:cs="仿宋"/>
          <w:b/>
          <w:color w:val="auto"/>
          <w:sz w:val="28"/>
          <w:highlight w:val="none"/>
          <w:lang w:val="zh-CN"/>
        </w:rPr>
      </w:pPr>
      <w:bookmarkStart w:id="95" w:name="_Toc2553"/>
      <w:bookmarkStart w:id="96" w:name="_Toc519670202"/>
      <w:bookmarkStart w:id="97" w:name="_Toc522530052"/>
      <w:bookmarkStart w:id="98" w:name="_Toc233618990"/>
      <w:bookmarkStart w:id="99" w:name="_Toc233618989"/>
    </w:p>
    <w:p>
      <w:pPr>
        <w:pStyle w:val="46"/>
        <w:adjustRightInd w:val="0"/>
        <w:snapToGrid w:val="0"/>
        <w:spacing w:line="360" w:lineRule="auto"/>
        <w:jc w:val="center"/>
        <w:outlineLvl w:val="1"/>
        <w:rPr>
          <w:rFonts w:ascii="仿宋" w:hAnsi="仿宋" w:eastAsia="仿宋" w:cs="仿宋"/>
          <w:b/>
          <w:color w:val="auto"/>
          <w:sz w:val="28"/>
          <w:highlight w:val="none"/>
        </w:rPr>
      </w:pPr>
      <w:r>
        <w:rPr>
          <w:rFonts w:hint="eastAsia" w:ascii="仿宋" w:hAnsi="仿宋" w:eastAsia="仿宋" w:cs="仿宋"/>
          <w:b/>
          <w:color w:val="auto"/>
          <w:sz w:val="28"/>
          <w:highlight w:val="none"/>
          <w:lang w:val="zh-CN"/>
        </w:rPr>
        <w:t>格式</w:t>
      </w:r>
      <w:r>
        <w:rPr>
          <w:rFonts w:hint="eastAsia" w:ascii="仿宋" w:hAnsi="仿宋" w:eastAsia="仿宋" w:cs="仿宋"/>
          <w:b/>
          <w:color w:val="auto"/>
          <w:sz w:val="28"/>
          <w:highlight w:val="none"/>
        </w:rPr>
        <w:t>一：资格审查资料</w:t>
      </w:r>
      <w:bookmarkEnd w:id="95"/>
    </w:p>
    <w:p>
      <w:pPr>
        <w:spacing w:line="500" w:lineRule="exact"/>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资格审查资料</w:t>
      </w:r>
    </w:p>
    <w:p>
      <w:pPr>
        <w:autoSpaceDE w:val="0"/>
        <w:autoSpaceDN w:val="0"/>
        <w:adjustRightInd w:val="0"/>
        <w:snapToGrid w:val="0"/>
        <w:spacing w:line="300" w:lineRule="auto"/>
        <w:ind w:firstLine="560" w:firstLineChars="200"/>
        <w:jc w:val="left"/>
        <w:rPr>
          <w:rFonts w:ascii="仿宋" w:hAnsi="仿宋" w:eastAsia="仿宋" w:cs="仿宋"/>
          <w:color w:val="auto"/>
          <w:kern w:val="0"/>
          <w:szCs w:val="21"/>
          <w:highlight w:val="none"/>
        </w:rPr>
      </w:pP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（一）资格审查须知</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1、投标人必须认真填写招标文件规定的所有表格，并对其真实性负责，采购人有权对其进行调查核实和要求澄清。</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（二）资格审查资料格式</w:t>
      </w:r>
    </w:p>
    <w:bookmarkEnd w:id="96"/>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表1 强制性资格条件</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表2 具有履行合同所必需的专业服务（技术）能力的承诺函</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表3 没有重大违法记录承诺函</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表4 无违法失信的声明函</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表5 与其他供应商无利害关系的声明函表</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表6 《中小企业声明函》或《残疾人福利性单位声明函》或《监狱企业声明函》或分包承诺书</w:t>
      </w:r>
    </w:p>
    <w:p>
      <w:pPr>
        <w:pStyle w:val="46"/>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表7 非联合体的声明函</w:t>
      </w:r>
    </w:p>
    <w:p>
      <w:pPr>
        <w:pStyle w:val="46"/>
        <w:snapToGrid w:val="0"/>
        <w:spacing w:line="400" w:lineRule="exact"/>
        <w:ind w:firstLine="480" w:firstLineChars="200"/>
        <w:rPr>
          <w:rFonts w:ascii="仿宋" w:hAnsi="仿宋" w:eastAsia="仿宋" w:cs="仿宋"/>
          <w:color w:val="auto"/>
          <w:sz w:val="24"/>
          <w:szCs w:val="24"/>
          <w:highlight w:val="none"/>
        </w:rPr>
      </w:pPr>
    </w:p>
    <w:p>
      <w:pPr>
        <w:spacing w:line="500" w:lineRule="exact"/>
        <w:rPr>
          <w:rFonts w:ascii="仿宋" w:hAnsi="仿宋" w:eastAsia="仿宋" w:cs="仿宋"/>
          <w:b/>
          <w:color w:val="auto"/>
          <w:sz w:val="30"/>
          <w:szCs w:val="30"/>
          <w:highlight w:val="none"/>
        </w:rPr>
      </w:pPr>
    </w:p>
    <w:p>
      <w:pP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br w:type="page"/>
      </w:r>
    </w:p>
    <w:p>
      <w:pPr>
        <w:spacing w:line="340" w:lineRule="exact"/>
        <w:rPr>
          <w:rFonts w:ascii="仿宋" w:hAnsi="仿宋" w:eastAsia="仿宋" w:cs="仿宋"/>
          <w:color w:val="auto"/>
          <w:highlight w:val="none"/>
        </w:rPr>
      </w:pPr>
      <w:r>
        <w:rPr>
          <w:rFonts w:hint="eastAsia" w:ascii="仿宋" w:hAnsi="仿宋" w:eastAsia="仿宋" w:cs="仿宋"/>
          <w:b/>
          <w:color w:val="auto"/>
          <w:sz w:val="30"/>
          <w:szCs w:val="30"/>
          <w:highlight w:val="none"/>
        </w:rPr>
        <w:t>表1：强制性资格条件</w:t>
      </w:r>
    </w:p>
    <w:p>
      <w:pPr>
        <w:spacing w:line="340" w:lineRule="exact"/>
        <w:jc w:val="center"/>
        <w:rPr>
          <w:rFonts w:ascii="仿宋" w:hAnsi="仿宋" w:eastAsia="仿宋" w:cs="仿宋"/>
          <w:color w:val="auto"/>
          <w:kern w:val="0"/>
          <w:highlight w:val="none"/>
        </w:rPr>
      </w:pPr>
      <w:r>
        <w:rPr>
          <w:rFonts w:hint="eastAsia" w:ascii="仿宋" w:hAnsi="仿宋" w:eastAsia="仿宋" w:cs="仿宋"/>
          <w:b/>
          <w:color w:val="auto"/>
          <w:sz w:val="30"/>
          <w:szCs w:val="30"/>
          <w:highlight w:val="none"/>
        </w:rPr>
        <w:t>强制性资格条件表</w:t>
      </w:r>
    </w:p>
    <w:tbl>
      <w:tblPr>
        <w:tblStyle w:val="88"/>
        <w:tblW w:w="9605" w:type="dxa"/>
        <w:tblInd w:w="-246"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661"/>
        <w:gridCol w:w="2175"/>
        <w:gridCol w:w="3449"/>
        <w:gridCol w:w="3320"/>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627" w:hRule="atLeast"/>
        </w:trPr>
        <w:tc>
          <w:tcPr>
            <w:tcW w:w="661" w:type="dxa"/>
            <w:vAlign w:val="center"/>
          </w:tcPr>
          <w:p>
            <w:pPr>
              <w:jc w:val="center"/>
              <w:rPr>
                <w:rFonts w:ascii="仿宋" w:hAnsi="仿宋" w:eastAsia="仿宋" w:cs="仿宋"/>
                <w:b/>
                <w:color w:val="auto"/>
                <w:sz w:val="20"/>
                <w:highlight w:val="none"/>
              </w:rPr>
            </w:pPr>
            <w:r>
              <w:rPr>
                <w:rFonts w:hint="eastAsia" w:ascii="仿宋" w:hAnsi="仿宋" w:eastAsia="仿宋" w:cs="仿宋"/>
                <w:b/>
                <w:color w:val="auto"/>
                <w:sz w:val="20"/>
                <w:highlight w:val="none"/>
              </w:rPr>
              <w:t>序号</w:t>
            </w:r>
          </w:p>
        </w:tc>
        <w:tc>
          <w:tcPr>
            <w:tcW w:w="2175" w:type="dxa"/>
            <w:vAlign w:val="center"/>
          </w:tcPr>
          <w:p>
            <w:pPr>
              <w:jc w:val="center"/>
              <w:rPr>
                <w:rFonts w:ascii="仿宋" w:hAnsi="仿宋" w:eastAsia="仿宋" w:cs="仿宋"/>
                <w:b/>
                <w:color w:val="auto"/>
                <w:sz w:val="20"/>
                <w:highlight w:val="none"/>
              </w:rPr>
            </w:pPr>
            <w:r>
              <w:rPr>
                <w:rFonts w:hint="eastAsia" w:ascii="仿宋" w:hAnsi="仿宋" w:eastAsia="仿宋" w:cs="仿宋"/>
                <w:b/>
                <w:color w:val="auto"/>
                <w:sz w:val="20"/>
                <w:highlight w:val="none"/>
              </w:rPr>
              <w:t>资格条件要求</w:t>
            </w:r>
          </w:p>
        </w:tc>
        <w:tc>
          <w:tcPr>
            <w:tcW w:w="6769" w:type="dxa"/>
            <w:gridSpan w:val="2"/>
            <w:vAlign w:val="center"/>
          </w:tcPr>
          <w:p>
            <w:pPr>
              <w:jc w:val="center"/>
              <w:rPr>
                <w:rFonts w:ascii="仿宋" w:hAnsi="仿宋" w:eastAsia="仿宋" w:cs="仿宋"/>
                <w:b/>
                <w:color w:val="auto"/>
                <w:sz w:val="20"/>
                <w:highlight w:val="none"/>
              </w:rPr>
            </w:pPr>
            <w:r>
              <w:rPr>
                <w:rFonts w:hint="eastAsia" w:ascii="仿宋" w:hAnsi="仿宋" w:eastAsia="仿宋" w:cs="仿宋"/>
                <w:b/>
                <w:color w:val="auto"/>
                <w:sz w:val="20"/>
                <w:highlight w:val="none"/>
              </w:rPr>
              <w:t>要求提供的证明材料</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1828"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1</w:t>
            </w:r>
          </w:p>
        </w:tc>
        <w:tc>
          <w:tcPr>
            <w:tcW w:w="2175"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具有独立承担民事责任的能力</w:t>
            </w:r>
          </w:p>
        </w:tc>
        <w:tc>
          <w:tcPr>
            <w:tcW w:w="6769" w:type="dxa"/>
            <w:gridSpan w:val="2"/>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1）如</w:t>
            </w:r>
            <w:r>
              <w:rPr>
                <w:rFonts w:hint="eastAsia" w:ascii="仿宋" w:hAnsi="仿宋" w:eastAsia="仿宋" w:cs="仿宋"/>
                <w:color w:val="auto"/>
                <w:sz w:val="20"/>
                <w:highlight w:val="none"/>
              </w:rPr>
              <w:t>投标</w:t>
            </w:r>
            <w:r>
              <w:rPr>
                <w:rFonts w:hint="eastAsia" w:ascii="仿宋" w:hAnsi="仿宋" w:eastAsia="仿宋" w:cs="仿宋"/>
                <w:color w:val="auto"/>
                <w:sz w:val="20"/>
                <w:highlight w:val="none"/>
                <w:lang w:val="zh-CN"/>
              </w:rPr>
              <w:t>人是企业（包括合伙企业），提供在工商部门注册的有效“企业法人营业执照”或“营业执照”；</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2）如</w:t>
            </w:r>
            <w:r>
              <w:rPr>
                <w:rFonts w:hint="eastAsia" w:ascii="仿宋" w:hAnsi="仿宋" w:eastAsia="仿宋" w:cs="仿宋"/>
                <w:color w:val="auto"/>
                <w:sz w:val="20"/>
                <w:highlight w:val="none"/>
              </w:rPr>
              <w:t>投标</w:t>
            </w:r>
            <w:r>
              <w:rPr>
                <w:rFonts w:hint="eastAsia" w:ascii="仿宋" w:hAnsi="仿宋" w:eastAsia="仿宋" w:cs="仿宋"/>
                <w:color w:val="auto"/>
                <w:sz w:val="20"/>
                <w:highlight w:val="none"/>
                <w:lang w:val="zh-CN"/>
              </w:rPr>
              <w:t>人是事业单位，提供有效的“事业单位法人证书”；</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3）如</w:t>
            </w:r>
            <w:r>
              <w:rPr>
                <w:rFonts w:hint="eastAsia" w:ascii="仿宋" w:hAnsi="仿宋" w:eastAsia="仿宋" w:cs="仿宋"/>
                <w:color w:val="auto"/>
                <w:sz w:val="20"/>
                <w:highlight w:val="none"/>
              </w:rPr>
              <w:t>投标</w:t>
            </w:r>
            <w:r>
              <w:rPr>
                <w:rFonts w:hint="eastAsia" w:ascii="仿宋" w:hAnsi="仿宋" w:eastAsia="仿宋" w:cs="仿宋"/>
                <w:color w:val="auto"/>
                <w:sz w:val="20"/>
                <w:highlight w:val="none"/>
                <w:lang w:val="zh-CN"/>
              </w:rPr>
              <w:t>人是非企业专业服务机构的，提供执业许可证等证明文件；</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4）如</w:t>
            </w:r>
            <w:r>
              <w:rPr>
                <w:rFonts w:hint="eastAsia" w:ascii="仿宋" w:hAnsi="仿宋" w:eastAsia="仿宋" w:cs="仿宋"/>
                <w:color w:val="auto"/>
                <w:sz w:val="20"/>
                <w:highlight w:val="none"/>
              </w:rPr>
              <w:t>投标</w:t>
            </w:r>
            <w:r>
              <w:rPr>
                <w:rFonts w:hint="eastAsia" w:ascii="仿宋" w:hAnsi="仿宋" w:eastAsia="仿宋" w:cs="仿宋"/>
                <w:color w:val="auto"/>
                <w:sz w:val="20"/>
                <w:highlight w:val="none"/>
                <w:lang w:val="zh-CN"/>
              </w:rPr>
              <w:t>人是个体工商户，提供有效的“个体工商户营业执照”；</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5）如</w:t>
            </w:r>
            <w:r>
              <w:rPr>
                <w:rFonts w:hint="eastAsia" w:ascii="仿宋" w:hAnsi="仿宋" w:eastAsia="仿宋" w:cs="仿宋"/>
                <w:color w:val="auto"/>
                <w:sz w:val="20"/>
                <w:highlight w:val="none"/>
              </w:rPr>
              <w:t>投标</w:t>
            </w:r>
            <w:r>
              <w:rPr>
                <w:rFonts w:hint="eastAsia" w:ascii="仿宋" w:hAnsi="仿宋" w:eastAsia="仿宋" w:cs="仿宋"/>
                <w:color w:val="auto"/>
                <w:sz w:val="20"/>
                <w:highlight w:val="none"/>
                <w:lang w:val="zh-CN"/>
              </w:rPr>
              <w:t>人是自然人，提供有效的自然人身份证明。</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 xml:space="preserve">注：具体资格要求详见“第一部分 </w:t>
            </w:r>
            <w:r>
              <w:rPr>
                <w:rFonts w:hint="eastAsia" w:ascii="仿宋" w:hAnsi="仿宋" w:eastAsia="仿宋" w:cs="仿宋"/>
                <w:color w:val="auto"/>
                <w:sz w:val="20"/>
                <w:highlight w:val="none"/>
              </w:rPr>
              <w:t>招标</w:t>
            </w:r>
            <w:r>
              <w:rPr>
                <w:rFonts w:hint="eastAsia" w:ascii="仿宋" w:hAnsi="仿宋" w:eastAsia="仿宋" w:cs="仿宋"/>
                <w:color w:val="auto"/>
                <w:sz w:val="20"/>
                <w:highlight w:val="none"/>
                <w:lang w:val="zh-CN"/>
              </w:rPr>
              <w:t>公告”中“四、投标人资格要求”。</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2828"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2</w:t>
            </w:r>
          </w:p>
        </w:tc>
        <w:tc>
          <w:tcPr>
            <w:tcW w:w="2175"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具有良好的商业信誉和健全的财务会计制度</w:t>
            </w:r>
          </w:p>
        </w:tc>
        <w:tc>
          <w:tcPr>
            <w:tcW w:w="6769" w:type="dxa"/>
            <w:gridSpan w:val="2"/>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1）投标人是法人的，应提供上一年度经第三方审计的财务报告或投标人出具的财务报告（表）（若投标时间为1-6月，上一年度财务审计报告还未完成的，须提供再上一年度的财务审计报告或财务报告（表））或开标前三个月内其基本开户银行出具的资信证明并加盖公章，或财政部门认可的采购专业担保机构出具的投标担保函；未经审计的，提供资产负债表、利润表或开标前三个月内其基本开户银行出具的资信证明并加盖公章。</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2）部分其他组织和自然人没有财务状况报告的，可以提供银行出具的资信证明；</w:t>
            </w:r>
          </w:p>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3）银行资信证明应能说明投标人与银行之间业务往来正常，企业信誉良好等，</w:t>
            </w:r>
            <w:r>
              <w:rPr>
                <w:rFonts w:hint="eastAsia" w:ascii="仿宋" w:hAnsi="仿宋" w:eastAsia="仿宋" w:cs="仿宋"/>
                <w:b/>
                <w:color w:val="auto"/>
                <w:sz w:val="20"/>
                <w:highlight w:val="none"/>
                <w:lang w:val="zh-CN"/>
              </w:rPr>
              <w:t>银行出具的存款证明不能替代银行资信证明。</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3</w:t>
            </w:r>
          </w:p>
        </w:tc>
        <w:tc>
          <w:tcPr>
            <w:tcW w:w="2175"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具有履行合同所必需的设备和专业技术能力</w:t>
            </w:r>
          </w:p>
        </w:tc>
        <w:tc>
          <w:tcPr>
            <w:tcW w:w="6769" w:type="dxa"/>
            <w:gridSpan w:val="2"/>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具有履行合同所必需的设备和专业技术能力的承诺函，</w:t>
            </w:r>
            <w:r>
              <w:rPr>
                <w:rFonts w:hint="eastAsia" w:ascii="仿宋" w:hAnsi="仿宋" w:eastAsia="仿宋" w:cs="仿宋"/>
                <w:color w:val="auto"/>
                <w:sz w:val="20"/>
                <w:highlight w:val="none"/>
              </w:rPr>
              <w:t>详见表2。</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2720"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4</w:t>
            </w:r>
          </w:p>
        </w:tc>
        <w:tc>
          <w:tcPr>
            <w:tcW w:w="2175"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rPr>
              <w:t>有依法缴纳税收和社会保障资金的良好记录</w:t>
            </w:r>
          </w:p>
        </w:tc>
        <w:tc>
          <w:tcPr>
            <w:tcW w:w="6769" w:type="dxa"/>
            <w:gridSpan w:val="2"/>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1）最近六个月任意一月</w:t>
            </w:r>
            <w:r>
              <w:rPr>
                <w:rFonts w:hint="eastAsia" w:ascii="仿宋" w:hAnsi="仿宋" w:eastAsia="仿宋" w:cs="仿宋"/>
                <w:b/>
                <w:color w:val="auto"/>
                <w:sz w:val="20"/>
                <w:highlight w:val="none"/>
                <w:lang w:val="zh-CN"/>
              </w:rPr>
              <w:t>依法缴纳税收的证明材料</w:t>
            </w:r>
            <w:r>
              <w:rPr>
                <w:rFonts w:hint="eastAsia" w:ascii="仿宋" w:hAnsi="仿宋" w:eastAsia="仿宋" w:cs="仿宋"/>
                <w:color w:val="auto"/>
                <w:sz w:val="20"/>
                <w:highlight w:val="none"/>
                <w:lang w:val="zh-CN"/>
              </w:rPr>
              <w:t>指投标人参加政府采购活动前最近六个月任意一月内依法缴纳税收的凭据（完税证明或纳税证明或银行电子缴税付款凭证等）；</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2）依法免税的投标人，应提供相应文件证明其依法免税；</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3）最近六个月任意一月</w:t>
            </w:r>
            <w:r>
              <w:rPr>
                <w:rFonts w:hint="eastAsia" w:ascii="仿宋" w:hAnsi="仿宋" w:eastAsia="仿宋" w:cs="仿宋"/>
                <w:b/>
                <w:color w:val="auto"/>
                <w:sz w:val="20"/>
                <w:highlight w:val="none"/>
                <w:lang w:val="zh-CN"/>
              </w:rPr>
              <w:t>依法缴纳社会保障资金的证明材料</w:t>
            </w:r>
            <w:r>
              <w:rPr>
                <w:rFonts w:hint="eastAsia" w:ascii="仿宋" w:hAnsi="仿宋" w:eastAsia="仿宋" w:cs="仿宋"/>
                <w:color w:val="auto"/>
                <w:sz w:val="20"/>
                <w:highlight w:val="none"/>
                <w:lang w:val="zh-CN"/>
              </w:rPr>
              <w:t>指投标人参加政府采购活动前最近六个月任意一月内依法缴纳社会保险的凭据（社保缴费专用收据或银行电子缴税付款凭证或社会保险缴纳清单等）；</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4）依法不需要缴纳社会保障资金的投标人，应提供相应文件证明其依法不需要缴纳社会保障资金；</w:t>
            </w:r>
          </w:p>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5）投标人因新注册成立等原因无法提供相关材料的，应在投标文件中提交如实的情况说明。</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5</w:t>
            </w:r>
          </w:p>
        </w:tc>
        <w:tc>
          <w:tcPr>
            <w:tcW w:w="5624" w:type="dxa"/>
            <w:gridSpan w:val="2"/>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参加政府采购活动前三年内（新成立不满三年的公司自成立之日起算）在经营活动中没有重大违法记录</w:t>
            </w:r>
          </w:p>
        </w:tc>
        <w:tc>
          <w:tcPr>
            <w:tcW w:w="3320"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rPr>
              <w:t>没有重大违法记录承诺函，详见表3。</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1061"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6</w:t>
            </w:r>
          </w:p>
        </w:tc>
        <w:tc>
          <w:tcPr>
            <w:tcW w:w="5624" w:type="dxa"/>
            <w:gridSpan w:val="2"/>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参加政府采购活动前</w:t>
            </w:r>
            <w:r>
              <w:rPr>
                <w:rFonts w:hint="eastAsia" w:ascii="仿宋" w:hAnsi="仿宋" w:eastAsia="仿宋" w:cs="仿宋"/>
                <w:color w:val="auto"/>
                <w:sz w:val="20"/>
                <w:highlight w:val="none"/>
              </w:rPr>
              <w:t>未被“信用中国”网站(www.creditchina.gov.cn)列入失信被执行人、重大税收违法案件当事人名单；未被“中国政府采购网”(www.ccgp.gov.cn)列入政府采购严重违法失信行为记录名单。</w:t>
            </w:r>
          </w:p>
        </w:tc>
        <w:tc>
          <w:tcPr>
            <w:tcW w:w="3320" w:type="dxa"/>
            <w:vAlign w:val="center"/>
          </w:tcPr>
          <w:p>
            <w:pPr>
              <w:widowControl/>
              <w:jc w:val="left"/>
              <w:rPr>
                <w:rFonts w:ascii="仿宋" w:hAnsi="仿宋" w:eastAsia="仿宋" w:cs="仿宋"/>
                <w:color w:val="auto"/>
                <w:highlight w:val="none"/>
              </w:rPr>
            </w:pPr>
            <w:r>
              <w:rPr>
                <w:rFonts w:hint="eastAsia" w:ascii="仿宋" w:hAnsi="仿宋" w:eastAsia="仿宋" w:cs="仿宋"/>
                <w:color w:val="auto"/>
                <w:kern w:val="0"/>
                <w:sz w:val="20"/>
                <w:highlight w:val="none"/>
              </w:rPr>
              <w:t>无违法失信的声明函，</w:t>
            </w:r>
            <w:r>
              <w:rPr>
                <w:rFonts w:hint="eastAsia" w:ascii="仿宋" w:hAnsi="仿宋" w:eastAsia="仿宋" w:cs="仿宋"/>
                <w:color w:val="auto"/>
                <w:sz w:val="20"/>
                <w:highlight w:val="none"/>
              </w:rPr>
              <w:t>详见表4。</w:t>
            </w:r>
          </w:p>
          <w:p>
            <w:pPr>
              <w:rPr>
                <w:rFonts w:ascii="仿宋" w:hAnsi="仿宋" w:eastAsia="仿宋" w:cs="仿宋"/>
                <w:color w:val="auto"/>
                <w:sz w:val="20"/>
                <w:highlight w:val="none"/>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571"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7</w:t>
            </w:r>
          </w:p>
        </w:tc>
        <w:tc>
          <w:tcPr>
            <w:tcW w:w="5624" w:type="dxa"/>
            <w:gridSpan w:val="2"/>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单位负责人为同一人或者存在直接控股、管理关系的不同供应商，不得参加同一合同项下的政府采购活动。</w:t>
            </w:r>
          </w:p>
        </w:tc>
        <w:tc>
          <w:tcPr>
            <w:tcW w:w="3320" w:type="dxa"/>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与其他供应商无利害关系的声明函，详见表</w:t>
            </w:r>
            <w:r>
              <w:rPr>
                <w:rFonts w:hint="eastAsia" w:ascii="仿宋" w:hAnsi="仿宋" w:eastAsia="仿宋" w:cs="仿宋"/>
                <w:color w:val="auto"/>
                <w:sz w:val="20"/>
                <w:highlight w:val="none"/>
              </w:rPr>
              <w:t>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571"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8</w:t>
            </w:r>
          </w:p>
        </w:tc>
        <w:tc>
          <w:tcPr>
            <w:tcW w:w="5624" w:type="dxa"/>
            <w:gridSpan w:val="2"/>
            <w:vAlign w:val="center"/>
          </w:tcPr>
          <w:p>
            <w:pPr>
              <w:rPr>
                <w:rFonts w:ascii="仿宋" w:hAnsi="仿宋" w:eastAsia="仿宋" w:cs="仿宋"/>
                <w:color w:val="auto"/>
                <w:sz w:val="20"/>
                <w:szCs w:val="22"/>
                <w:highlight w:val="none"/>
                <w:lang w:val="zh-CN"/>
              </w:rPr>
            </w:pPr>
            <w:r>
              <w:rPr>
                <w:rFonts w:hint="eastAsia" w:ascii="仿宋" w:hAnsi="仿宋" w:eastAsia="仿宋" w:cs="仿宋"/>
                <w:color w:val="auto"/>
                <w:sz w:val="20"/>
                <w:szCs w:val="22"/>
                <w:highlight w:val="none"/>
                <w:lang w:val="zh-CN"/>
              </w:rPr>
              <w:t>本项目为专门面向中小企业采购，投标供应商非中小企业的，资格审查不通过；符合上述条件的中小微型企业应按照磋商文件附件的格式要求在资格证明文件中提供《中小企业声明函》。</w:t>
            </w:r>
          </w:p>
        </w:tc>
        <w:tc>
          <w:tcPr>
            <w:tcW w:w="3320" w:type="dxa"/>
            <w:vAlign w:val="center"/>
          </w:tcPr>
          <w:p>
            <w:pPr>
              <w:rPr>
                <w:rFonts w:ascii="仿宋" w:hAnsi="仿宋" w:eastAsia="仿宋" w:cs="仿宋"/>
                <w:color w:val="auto"/>
                <w:sz w:val="20"/>
                <w:highlight w:val="none"/>
              </w:rPr>
            </w:pPr>
            <w:r>
              <w:rPr>
                <w:rFonts w:hint="eastAsia" w:ascii="仿宋" w:hAnsi="仿宋" w:eastAsia="仿宋" w:cs="仿宋"/>
                <w:color w:val="auto"/>
                <w:sz w:val="20"/>
                <w:highlight w:val="none"/>
                <w:lang w:val="zh-CN"/>
              </w:rPr>
              <w:t>中小企业声明函</w:t>
            </w:r>
            <w:r>
              <w:rPr>
                <w:rFonts w:hint="eastAsia" w:ascii="仿宋" w:hAnsi="仿宋" w:eastAsia="仿宋" w:cs="仿宋"/>
                <w:color w:val="auto"/>
                <w:kern w:val="0"/>
                <w:sz w:val="20"/>
                <w:highlight w:val="none"/>
              </w:rPr>
              <w:t>，</w:t>
            </w:r>
            <w:r>
              <w:rPr>
                <w:rFonts w:hint="eastAsia" w:ascii="仿宋" w:hAnsi="仿宋" w:eastAsia="仿宋" w:cs="仿宋"/>
                <w:color w:val="auto"/>
                <w:sz w:val="20"/>
                <w:highlight w:val="none"/>
              </w:rPr>
              <w:t>详见表6。</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571"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9</w:t>
            </w:r>
          </w:p>
        </w:tc>
        <w:tc>
          <w:tcPr>
            <w:tcW w:w="5624" w:type="dxa"/>
            <w:gridSpan w:val="2"/>
            <w:vAlign w:val="center"/>
          </w:tcPr>
          <w:p>
            <w:pPr>
              <w:widowControl/>
              <w:jc w:val="left"/>
              <w:rPr>
                <w:rFonts w:ascii="仿宋" w:hAnsi="仿宋" w:eastAsia="仿宋" w:cs="仿宋"/>
                <w:color w:val="auto"/>
                <w:kern w:val="0"/>
                <w:sz w:val="20"/>
                <w:highlight w:val="none"/>
                <w:lang w:val="zh-CN"/>
              </w:rPr>
            </w:pPr>
            <w:r>
              <w:rPr>
                <w:rFonts w:hint="eastAsia" w:ascii="仿宋" w:hAnsi="仿宋" w:eastAsia="仿宋" w:cs="仿宋"/>
                <w:color w:val="auto"/>
                <w:kern w:val="0"/>
                <w:sz w:val="20"/>
                <w:highlight w:val="none"/>
              </w:rPr>
              <w:t>本项目不接受联合体投标</w:t>
            </w:r>
          </w:p>
        </w:tc>
        <w:tc>
          <w:tcPr>
            <w:tcW w:w="3320" w:type="dxa"/>
            <w:vAlign w:val="center"/>
          </w:tcPr>
          <w:p>
            <w:pPr>
              <w:widowControl/>
              <w:jc w:val="left"/>
              <w:rPr>
                <w:rFonts w:ascii="仿宋" w:hAnsi="仿宋" w:eastAsia="仿宋" w:cs="仿宋"/>
                <w:color w:val="auto"/>
                <w:kern w:val="0"/>
                <w:sz w:val="20"/>
                <w:highlight w:val="none"/>
                <w:lang w:val="zh-CN"/>
              </w:rPr>
            </w:pPr>
            <w:r>
              <w:rPr>
                <w:rFonts w:hint="eastAsia" w:ascii="仿宋" w:hAnsi="仿宋" w:eastAsia="仿宋" w:cs="仿宋"/>
                <w:color w:val="auto"/>
                <w:kern w:val="0"/>
                <w:sz w:val="20"/>
                <w:highlight w:val="none"/>
              </w:rPr>
              <w:t>非联合体的声明函，</w:t>
            </w:r>
            <w:r>
              <w:rPr>
                <w:rFonts w:hint="eastAsia" w:ascii="仿宋" w:hAnsi="仿宋" w:eastAsia="仿宋" w:cs="仿宋"/>
                <w:color w:val="auto"/>
                <w:sz w:val="20"/>
                <w:highlight w:val="none"/>
              </w:rPr>
              <w:t xml:space="preserve">详见表7。   </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571" w:hRule="atLeast"/>
        </w:trPr>
        <w:tc>
          <w:tcPr>
            <w:tcW w:w="661" w:type="dxa"/>
            <w:vAlign w:val="center"/>
          </w:tcPr>
          <w:p>
            <w:pPr>
              <w:jc w:val="center"/>
              <w:rPr>
                <w:rFonts w:ascii="仿宋" w:hAnsi="仿宋" w:eastAsia="仿宋" w:cs="仿宋"/>
                <w:color w:val="auto"/>
                <w:sz w:val="20"/>
                <w:highlight w:val="none"/>
              </w:rPr>
            </w:pPr>
            <w:r>
              <w:rPr>
                <w:rFonts w:hint="eastAsia" w:ascii="仿宋" w:hAnsi="仿宋" w:eastAsia="仿宋" w:cs="仿宋"/>
                <w:color w:val="auto"/>
                <w:sz w:val="20"/>
                <w:highlight w:val="none"/>
              </w:rPr>
              <w:t>10</w:t>
            </w:r>
          </w:p>
        </w:tc>
        <w:tc>
          <w:tcPr>
            <w:tcW w:w="5624" w:type="dxa"/>
            <w:gridSpan w:val="2"/>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投标人须具有主管部门颁发的城市生活垃圾经营性清扫、收集、运输服务许可证。</w:t>
            </w:r>
          </w:p>
        </w:tc>
        <w:tc>
          <w:tcPr>
            <w:tcW w:w="3320" w:type="dxa"/>
            <w:vAlign w:val="center"/>
          </w:tcPr>
          <w:p>
            <w:pPr>
              <w:rPr>
                <w:rFonts w:ascii="仿宋" w:hAnsi="仿宋" w:eastAsia="仿宋" w:cs="仿宋"/>
                <w:color w:val="auto"/>
                <w:sz w:val="20"/>
                <w:highlight w:val="none"/>
                <w:lang w:val="zh-CN"/>
              </w:rPr>
            </w:pPr>
            <w:r>
              <w:rPr>
                <w:rFonts w:hint="eastAsia" w:ascii="仿宋" w:hAnsi="仿宋" w:eastAsia="仿宋" w:cs="仿宋"/>
                <w:color w:val="auto"/>
                <w:sz w:val="20"/>
                <w:highlight w:val="none"/>
                <w:lang w:val="zh-CN"/>
              </w:rPr>
              <w:t>提供有效的许可证。</w:t>
            </w:r>
          </w:p>
        </w:tc>
      </w:tr>
    </w:tbl>
    <w:p>
      <w:pPr>
        <w:rPr>
          <w:rFonts w:ascii="仿宋" w:hAnsi="仿宋" w:eastAsia="仿宋" w:cs="仿宋"/>
          <w:color w:val="auto"/>
          <w:sz w:val="24"/>
          <w:highlight w:val="none"/>
        </w:rPr>
      </w:pPr>
      <w:r>
        <w:rPr>
          <w:rFonts w:hint="eastAsia" w:ascii="仿宋" w:hAnsi="仿宋" w:eastAsia="仿宋" w:cs="仿宋"/>
          <w:color w:val="auto"/>
          <w:sz w:val="24"/>
          <w:highlight w:val="none"/>
        </w:rPr>
        <w:t>表2：具有履行合同所必需的专业服务（技术）能力的承诺函</w:t>
      </w:r>
    </w:p>
    <w:p>
      <w:pPr>
        <w:adjustRightInd w:val="0"/>
        <w:snapToGrid w:val="0"/>
        <w:spacing w:line="360" w:lineRule="auto"/>
        <w:rPr>
          <w:rFonts w:ascii="仿宋" w:hAnsi="仿宋" w:eastAsia="仿宋" w:cs="仿宋"/>
          <w:b/>
          <w:bCs/>
          <w:color w:val="auto"/>
          <w:sz w:val="24"/>
          <w:szCs w:val="24"/>
          <w:highlight w:val="none"/>
        </w:rPr>
      </w:pPr>
    </w:p>
    <w:p>
      <w:pPr>
        <w:jc w:val="center"/>
        <w:rPr>
          <w:rFonts w:ascii="仿宋" w:hAnsi="仿宋" w:eastAsia="仿宋" w:cs="仿宋"/>
          <w:b/>
          <w:color w:val="auto"/>
          <w:sz w:val="32"/>
          <w:highlight w:val="none"/>
        </w:rPr>
      </w:pPr>
      <w:bookmarkStart w:id="100" w:name="_Toc21481"/>
      <w:r>
        <w:rPr>
          <w:rFonts w:hint="eastAsia" w:ascii="仿宋" w:hAnsi="仿宋" w:eastAsia="仿宋" w:cs="仿宋"/>
          <w:b/>
          <w:color w:val="auto"/>
          <w:sz w:val="32"/>
          <w:highlight w:val="none"/>
        </w:rPr>
        <w:t>具有履行合同所必需的专业服务（技术）能力的承诺函</w:t>
      </w:r>
      <w:bookmarkEnd w:id="100"/>
    </w:p>
    <w:p>
      <w:pPr>
        <w:spacing w:line="360" w:lineRule="auto"/>
        <w:rPr>
          <w:rFonts w:ascii="仿宋" w:hAnsi="仿宋" w:eastAsia="仿宋" w:cs="仿宋"/>
          <w:color w:val="auto"/>
          <w:highlight w:val="none"/>
        </w:rPr>
      </w:pPr>
    </w:p>
    <w:p>
      <w:pPr>
        <w:widowControl/>
        <w:adjustRightInd w:val="0"/>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u w:val="single"/>
        </w:rPr>
        <w:t xml:space="preserve">（采购人）                   </w:t>
      </w:r>
      <w:r>
        <w:rPr>
          <w:rFonts w:hint="eastAsia" w:ascii="仿宋" w:hAnsi="仿宋" w:eastAsia="仿宋" w:cs="仿宋"/>
          <w:color w:val="auto"/>
          <w:kern w:val="0"/>
          <w:sz w:val="24"/>
          <w:highlight w:val="none"/>
        </w:rPr>
        <w:t>：</w:t>
      </w:r>
    </w:p>
    <w:p>
      <w:pPr>
        <w:widowControl/>
        <w:adjustRightInd w:val="0"/>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我方</w:t>
      </w:r>
      <w:r>
        <w:rPr>
          <w:rFonts w:hint="eastAsia" w:ascii="仿宋" w:hAnsi="仿宋" w:eastAsia="仿宋" w:cs="仿宋"/>
          <w:color w:val="auto"/>
          <w:kern w:val="0"/>
          <w:sz w:val="24"/>
          <w:highlight w:val="none"/>
          <w:u w:val="single"/>
        </w:rPr>
        <w:t xml:space="preserve"> （投标人）          </w:t>
      </w:r>
      <w:r>
        <w:rPr>
          <w:rFonts w:hint="eastAsia" w:ascii="仿宋" w:hAnsi="仿宋" w:eastAsia="仿宋" w:cs="仿宋"/>
          <w:color w:val="auto"/>
          <w:kern w:val="0"/>
          <w:sz w:val="24"/>
          <w:highlight w:val="none"/>
        </w:rPr>
        <w:t>承诺具有履行合同所必需的专业服务（技术）能力。如有虚假，采购人可取消我方任何资格（投标/中标/签订合同），我方对此无任何异议。</w:t>
      </w:r>
    </w:p>
    <w:p>
      <w:pPr>
        <w:widowControl/>
        <w:adjustRightInd w:val="0"/>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特此承诺！</w:t>
      </w:r>
    </w:p>
    <w:p>
      <w:pPr>
        <w:widowControl/>
        <w:adjustRightInd w:val="0"/>
        <w:snapToGrid w:val="0"/>
        <w:spacing w:line="360" w:lineRule="auto"/>
        <w:ind w:firstLine="480" w:firstLineChars="200"/>
        <w:jc w:val="left"/>
        <w:rPr>
          <w:rFonts w:ascii="仿宋" w:hAnsi="仿宋" w:eastAsia="仿宋" w:cs="仿宋"/>
          <w:color w:val="auto"/>
          <w:kern w:val="0"/>
          <w:sz w:val="24"/>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sz w:val="24"/>
          <w:szCs w:val="24"/>
          <w:highlight w:val="none"/>
        </w:rPr>
        <w:t>2023 年  月  日</w:t>
      </w:r>
    </w:p>
    <w:p>
      <w:pPr>
        <w:adjustRightInd w:val="0"/>
        <w:snapToGrid w:val="0"/>
        <w:spacing w:line="360" w:lineRule="auto"/>
        <w:rPr>
          <w:rFonts w:ascii="仿宋" w:hAnsi="仿宋" w:eastAsia="仿宋" w:cs="仿宋"/>
          <w:b/>
          <w:bCs/>
          <w:color w:val="auto"/>
          <w:sz w:val="24"/>
          <w:szCs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表3：没有重大违法记录承诺函 </w:t>
      </w:r>
    </w:p>
    <w:p>
      <w:pPr>
        <w:jc w:val="center"/>
        <w:rPr>
          <w:rFonts w:ascii="仿宋" w:hAnsi="仿宋" w:eastAsia="仿宋" w:cs="仿宋"/>
          <w:b/>
          <w:color w:val="auto"/>
          <w:sz w:val="32"/>
          <w:highlight w:val="none"/>
        </w:rPr>
      </w:pPr>
    </w:p>
    <w:p>
      <w:pPr>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没有重大违法记录承诺函</w:t>
      </w:r>
    </w:p>
    <w:p>
      <w:pPr>
        <w:spacing w:line="360" w:lineRule="auto"/>
        <w:rPr>
          <w:rFonts w:ascii="仿宋" w:hAnsi="仿宋" w:eastAsia="仿宋" w:cs="仿宋"/>
          <w:color w:val="auto"/>
          <w:sz w:val="24"/>
          <w:szCs w:val="24"/>
          <w:highlight w:val="none"/>
          <w:u w:val="single"/>
        </w:rPr>
      </w:pP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（采购人）</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我方</w:t>
      </w:r>
      <w:r>
        <w:rPr>
          <w:rFonts w:hint="eastAsia" w:ascii="仿宋" w:hAnsi="仿宋" w:eastAsia="仿宋" w:cs="仿宋"/>
          <w:color w:val="auto"/>
          <w:sz w:val="24"/>
          <w:szCs w:val="24"/>
          <w:highlight w:val="none"/>
          <w:u w:val="single"/>
        </w:rPr>
        <w:t xml:space="preserve">（投标人）            </w:t>
      </w:r>
      <w:r>
        <w:rPr>
          <w:rFonts w:hint="eastAsia" w:ascii="仿宋" w:hAnsi="仿宋" w:eastAsia="仿宋" w:cs="仿宋"/>
          <w:color w:val="auto"/>
          <w:sz w:val="24"/>
          <w:szCs w:val="24"/>
          <w:highlight w:val="none"/>
        </w:rPr>
        <w:t xml:space="preserve">具有良好的商业信誉，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 </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特此承诺！ </w:t>
      </w:r>
    </w:p>
    <w:p>
      <w:pPr>
        <w:spacing w:line="360" w:lineRule="auto"/>
        <w:rPr>
          <w:rFonts w:ascii="仿宋" w:hAnsi="仿宋" w:eastAsia="仿宋" w:cs="仿宋"/>
          <w:color w:val="auto"/>
          <w:sz w:val="24"/>
          <w:szCs w:val="24"/>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b/>
          <w:color w:val="auto"/>
          <w:sz w:val="30"/>
          <w:szCs w:val="30"/>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szCs w:val="24"/>
          <w:highlight w:val="none"/>
        </w:rPr>
        <w:t>2023 年  月  日</w:t>
      </w:r>
    </w:p>
    <w:p>
      <w:pPr>
        <w:widowControl/>
        <w:spacing w:line="312" w:lineRule="auto"/>
        <w:jc w:val="left"/>
        <w:rPr>
          <w:rFonts w:ascii="仿宋" w:hAnsi="仿宋" w:eastAsia="仿宋" w:cs="仿宋"/>
          <w:color w:val="auto"/>
          <w:sz w:val="24"/>
          <w:szCs w:val="22"/>
          <w:highlight w:val="none"/>
        </w:rPr>
      </w:pPr>
      <w:bookmarkStart w:id="101" w:name="_Toc8165"/>
      <w:r>
        <w:rPr>
          <w:rFonts w:hint="eastAsia" w:ascii="仿宋" w:hAnsi="仿宋" w:eastAsia="仿宋" w:cs="仿宋"/>
          <w:color w:val="auto"/>
          <w:sz w:val="24"/>
          <w:highlight w:val="none"/>
        </w:rPr>
        <w:t>表4：</w:t>
      </w:r>
      <w:r>
        <w:rPr>
          <w:rFonts w:hint="eastAsia" w:ascii="仿宋" w:hAnsi="仿宋" w:eastAsia="仿宋" w:cs="仿宋"/>
          <w:color w:val="auto"/>
          <w:sz w:val="24"/>
          <w:szCs w:val="22"/>
          <w:highlight w:val="none"/>
        </w:rPr>
        <w:t>无违法失信的声明函</w:t>
      </w:r>
    </w:p>
    <w:p>
      <w:pPr>
        <w:spacing w:line="312" w:lineRule="auto"/>
        <w:jc w:val="center"/>
        <w:rPr>
          <w:rFonts w:ascii="仿宋" w:hAnsi="仿宋" w:eastAsia="仿宋" w:cs="仿宋"/>
          <w:b/>
          <w:color w:val="auto"/>
          <w:sz w:val="32"/>
          <w:szCs w:val="22"/>
          <w:highlight w:val="none"/>
        </w:rPr>
      </w:pPr>
      <w:r>
        <w:rPr>
          <w:rFonts w:hint="eastAsia" w:ascii="仿宋" w:hAnsi="仿宋" w:eastAsia="仿宋" w:cs="仿宋"/>
          <w:b/>
          <w:color w:val="auto"/>
          <w:sz w:val="32"/>
          <w:szCs w:val="22"/>
          <w:highlight w:val="none"/>
        </w:rPr>
        <w:t xml:space="preserve">无违法失信的声明函 </w:t>
      </w:r>
    </w:p>
    <w:p>
      <w:pPr>
        <w:spacing w:line="312" w:lineRule="auto"/>
        <w:rPr>
          <w:rFonts w:ascii="仿宋" w:hAnsi="仿宋" w:eastAsia="仿宋" w:cs="仿宋"/>
          <w:color w:val="auto"/>
          <w:highlight w:val="none"/>
        </w:rPr>
      </w:pPr>
      <w:r>
        <w:rPr>
          <w:rFonts w:hint="eastAsia" w:ascii="仿宋" w:hAnsi="仿宋" w:eastAsia="仿宋" w:cs="仿宋"/>
          <w:color w:val="auto"/>
          <w:sz w:val="24"/>
          <w:szCs w:val="24"/>
          <w:highlight w:val="none"/>
          <w:u w:val="single"/>
        </w:rPr>
        <w:t>（采购人）</w:t>
      </w:r>
      <w:r>
        <w:rPr>
          <w:rFonts w:hint="eastAsia" w:ascii="仿宋" w:hAnsi="仿宋" w:eastAsia="仿宋" w:cs="仿宋"/>
          <w:color w:val="auto"/>
          <w:sz w:val="24"/>
          <w:szCs w:val="24"/>
          <w:highlight w:val="none"/>
        </w:rPr>
        <w:t>：</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截至</w:t>
      </w:r>
      <w:r>
        <w:rPr>
          <w:rFonts w:hint="eastAsia" w:ascii="仿宋" w:hAnsi="仿宋" w:eastAsia="仿宋" w:cs="仿宋"/>
          <w:color w:val="auto"/>
          <w:sz w:val="24"/>
          <w:highlight w:val="none"/>
          <w:u w:val="single"/>
        </w:rPr>
        <w:t xml:space="preserve">（项目名称）   </w:t>
      </w:r>
      <w:r>
        <w:rPr>
          <w:rFonts w:hint="eastAsia" w:ascii="仿宋" w:hAnsi="仿宋" w:eastAsia="仿宋" w:cs="仿宋"/>
          <w:color w:val="auto"/>
          <w:sz w:val="24"/>
          <w:szCs w:val="24"/>
          <w:highlight w:val="none"/>
          <w:u w:val="single"/>
        </w:rPr>
        <w:t>（项目编号:</w:t>
      </w:r>
      <w:r>
        <w:rPr>
          <w:rFonts w:hint="eastAsia" w:ascii="仿宋" w:hAnsi="仿宋" w:eastAsia="仿宋" w:cs="仿宋"/>
          <w:color w:val="auto"/>
          <w:sz w:val="24"/>
          <w:szCs w:val="24"/>
          <w:highlight w:val="none"/>
          <w:u w:val="single"/>
          <w:lang w:eastAsia="zh-CN"/>
        </w:rPr>
        <w:t>ZZCG2023082</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 xml:space="preserve">的响应文件提交截止时间，往前追溯三年，期间未被列入失信被执行人名单、重大税收违法案件当事人名单、政府采购严重违法失信行为记录名单。 </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本公司对上述声明的真实性负责。如有虚假，愿意承担相应责任，对此无任何异议。 </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特此声明！ </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供应商全称： </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（盖单位公章） </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日期：2022 年  月  日</w:t>
      </w:r>
    </w:p>
    <w:p>
      <w:pPr>
        <w:widowControl/>
        <w:spacing w:line="312" w:lineRule="auto"/>
        <w:jc w:val="left"/>
        <w:rPr>
          <w:rFonts w:ascii="仿宋" w:hAnsi="仿宋" w:eastAsia="仿宋" w:cs="仿宋"/>
          <w:color w:val="auto"/>
          <w:sz w:val="24"/>
          <w:highlight w:val="none"/>
        </w:rPr>
      </w:pPr>
    </w:p>
    <w:p>
      <w:pPr>
        <w:widowControl/>
        <w:spacing w:line="312" w:lineRule="auto"/>
        <w:jc w:val="left"/>
        <w:rPr>
          <w:rFonts w:ascii="仿宋" w:hAnsi="仿宋" w:eastAsia="仿宋" w:cs="仿宋"/>
          <w:color w:val="auto"/>
          <w:sz w:val="24"/>
          <w:highlight w:val="none"/>
        </w:rPr>
      </w:pPr>
    </w:p>
    <w:p>
      <w:pPr>
        <w:widowControl/>
        <w:spacing w:line="312" w:lineRule="auto"/>
        <w:jc w:val="left"/>
        <w:rPr>
          <w:rFonts w:ascii="仿宋" w:hAnsi="仿宋" w:eastAsia="仿宋" w:cs="仿宋"/>
          <w:color w:val="auto"/>
          <w:sz w:val="24"/>
          <w:highlight w:val="none"/>
        </w:rPr>
      </w:pPr>
    </w:p>
    <w:p>
      <w:pPr>
        <w:pStyle w:val="7"/>
        <w:ind w:firstLine="0"/>
        <w:rPr>
          <w:rFonts w:ascii="仿宋" w:hAnsi="仿宋" w:eastAsia="仿宋" w:cs="仿宋"/>
          <w:color w:val="auto"/>
          <w:highlight w:val="none"/>
        </w:rPr>
      </w:pPr>
    </w:p>
    <w:p>
      <w:pPr>
        <w:pStyle w:val="7"/>
        <w:ind w:firstLine="0"/>
        <w:rPr>
          <w:rFonts w:ascii="仿宋" w:hAnsi="仿宋" w:eastAsia="仿宋" w:cs="仿宋"/>
          <w:color w:val="auto"/>
          <w:highlight w:val="none"/>
        </w:rPr>
      </w:pPr>
      <w:r>
        <w:rPr>
          <w:rFonts w:hint="eastAsia" w:ascii="仿宋" w:hAnsi="仿宋" w:eastAsia="仿宋" w:cs="仿宋"/>
          <w:color w:val="auto"/>
          <w:highlight w:val="none"/>
        </w:rPr>
        <w:t>表5：与其他供应商无利害关系的声明函</w:t>
      </w:r>
    </w:p>
    <w:p>
      <w:pPr>
        <w:rPr>
          <w:rFonts w:ascii="仿宋" w:hAnsi="仿宋" w:eastAsia="仿宋" w:cs="仿宋"/>
          <w:color w:val="auto"/>
          <w:highlight w:val="none"/>
        </w:rPr>
      </w:pPr>
    </w:p>
    <w:p>
      <w:pPr>
        <w:rPr>
          <w:rFonts w:ascii="仿宋" w:hAnsi="仿宋" w:eastAsia="仿宋" w:cs="仿宋"/>
          <w:color w:val="auto"/>
          <w:highlight w:val="none"/>
        </w:rPr>
      </w:pPr>
    </w:p>
    <w:p>
      <w:pPr>
        <w:spacing w:line="312" w:lineRule="auto"/>
        <w:jc w:val="center"/>
        <w:rPr>
          <w:rFonts w:ascii="仿宋" w:hAnsi="仿宋" w:eastAsia="仿宋" w:cs="仿宋"/>
          <w:b/>
          <w:color w:val="auto"/>
          <w:sz w:val="32"/>
          <w:szCs w:val="22"/>
          <w:highlight w:val="none"/>
        </w:rPr>
      </w:pPr>
      <w:r>
        <w:rPr>
          <w:rFonts w:hint="eastAsia" w:ascii="仿宋" w:hAnsi="仿宋" w:eastAsia="仿宋" w:cs="仿宋"/>
          <w:b/>
          <w:color w:val="auto"/>
          <w:sz w:val="32"/>
          <w:szCs w:val="22"/>
          <w:highlight w:val="none"/>
        </w:rPr>
        <w:t>与其他供应商无利害关系的声明函</w:t>
      </w:r>
    </w:p>
    <w:p>
      <w:pPr>
        <w:pStyle w:val="7"/>
        <w:rPr>
          <w:rFonts w:ascii="仿宋" w:hAnsi="仿宋" w:eastAsia="仿宋" w:cs="仿宋"/>
          <w:color w:val="auto"/>
          <w:highlight w:val="none"/>
        </w:rPr>
      </w:pPr>
    </w:p>
    <w:p>
      <w:pPr>
        <w:spacing w:line="312" w:lineRule="auto"/>
        <w:rPr>
          <w:rFonts w:ascii="仿宋" w:hAnsi="仿宋" w:eastAsia="仿宋" w:cs="仿宋"/>
          <w:color w:val="auto"/>
          <w:highlight w:val="none"/>
        </w:rPr>
      </w:pPr>
      <w:r>
        <w:rPr>
          <w:rFonts w:hint="eastAsia" w:ascii="仿宋" w:hAnsi="仿宋" w:eastAsia="仿宋" w:cs="仿宋"/>
          <w:color w:val="auto"/>
          <w:sz w:val="24"/>
          <w:szCs w:val="24"/>
          <w:highlight w:val="none"/>
          <w:u w:val="single"/>
        </w:rPr>
        <w:t>（采购人）</w:t>
      </w:r>
      <w:r>
        <w:rPr>
          <w:rFonts w:hint="eastAsia" w:ascii="仿宋" w:hAnsi="仿宋" w:eastAsia="仿宋" w:cs="仿宋"/>
          <w:color w:val="auto"/>
          <w:sz w:val="24"/>
          <w:szCs w:val="24"/>
          <w:highlight w:val="none"/>
        </w:rPr>
        <w:t>：</w:t>
      </w:r>
    </w:p>
    <w:p>
      <w:pPr>
        <w:snapToGrid w:val="0"/>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我方</w:t>
      </w:r>
      <w:r>
        <w:rPr>
          <w:rFonts w:hint="eastAsia" w:ascii="仿宋" w:hAnsi="仿宋" w:eastAsia="仿宋" w:cs="仿宋"/>
          <w:color w:val="auto"/>
          <w:sz w:val="24"/>
          <w:szCs w:val="24"/>
          <w:highlight w:val="none"/>
          <w:u w:val="single"/>
        </w:rPr>
        <w:t xml:space="preserve">        （投标人）     </w:t>
      </w:r>
      <w:r>
        <w:rPr>
          <w:rFonts w:hint="eastAsia" w:ascii="仿宋" w:hAnsi="仿宋" w:eastAsia="仿宋" w:cs="仿宋"/>
          <w:color w:val="auto"/>
          <w:sz w:val="24"/>
          <w:szCs w:val="24"/>
          <w:highlight w:val="none"/>
        </w:rPr>
        <w:t>参加</w:t>
      </w:r>
      <w:r>
        <w:rPr>
          <w:rFonts w:hint="eastAsia" w:ascii="仿宋" w:hAnsi="仿宋" w:eastAsia="仿宋" w:cs="仿宋"/>
          <w:color w:val="auto"/>
          <w:sz w:val="24"/>
          <w:szCs w:val="24"/>
          <w:highlight w:val="none"/>
          <w:u w:val="single"/>
        </w:rPr>
        <w:t xml:space="preserve">     （项目名称）（项目编号:</w:t>
      </w:r>
      <w:r>
        <w:rPr>
          <w:rFonts w:hint="eastAsia" w:ascii="仿宋" w:hAnsi="仿宋" w:eastAsia="仿宋" w:cs="仿宋"/>
          <w:color w:val="auto"/>
          <w:sz w:val="24"/>
          <w:szCs w:val="24"/>
          <w:highlight w:val="none"/>
          <w:u w:val="single"/>
          <w:lang w:eastAsia="zh-CN"/>
        </w:rPr>
        <w:t>ZZCG2023082</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政府采购活动，与其他供应商不存在法定代表人为同一人或</w:t>
      </w:r>
      <w:r>
        <w:rPr>
          <w:rFonts w:hint="eastAsia" w:ascii="仿宋" w:hAnsi="仿宋" w:eastAsia="仿宋" w:cs="仿宋"/>
          <w:color w:val="auto"/>
          <w:kern w:val="0"/>
          <w:sz w:val="24"/>
          <w:szCs w:val="24"/>
          <w:highlight w:val="none"/>
        </w:rPr>
        <w:t>存在直接控股、管理关系。</w:t>
      </w:r>
    </w:p>
    <w:p>
      <w:pPr>
        <w:snapToGrid w:val="0"/>
        <w:spacing w:line="312"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我方</w:t>
      </w:r>
      <w:r>
        <w:rPr>
          <w:rFonts w:hint="eastAsia" w:ascii="仿宋" w:hAnsi="仿宋" w:eastAsia="仿宋" w:cs="仿宋"/>
          <w:color w:val="auto"/>
          <w:kern w:val="0"/>
          <w:sz w:val="24"/>
          <w:szCs w:val="24"/>
          <w:highlight w:val="none"/>
        </w:rPr>
        <w:t>对上述声明的真实性负责。如有虚假，愿意承担相应责任，对此无任何异议。</w:t>
      </w:r>
    </w:p>
    <w:p>
      <w:pPr>
        <w:snapToGrid w:val="0"/>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pStyle w:val="7"/>
        <w:rPr>
          <w:rFonts w:ascii="仿宋" w:hAnsi="仿宋" w:eastAsia="仿宋" w:cs="仿宋"/>
          <w:color w:val="auto"/>
          <w:szCs w:val="24"/>
          <w:highlight w:val="none"/>
        </w:rPr>
      </w:pPr>
    </w:p>
    <w:p>
      <w:pPr>
        <w:rPr>
          <w:rFonts w:ascii="仿宋" w:hAnsi="仿宋" w:eastAsia="仿宋" w:cs="仿宋"/>
          <w:color w:val="auto"/>
          <w:highlight w:val="none"/>
        </w:rPr>
      </w:pP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投标人（盖章）：</w:t>
      </w: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法定代表人或其授权代表人（签字或盖章）：                                   </w:t>
      </w: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日期：2023年  月  日 </w:t>
      </w:r>
    </w:p>
    <w:p>
      <w:pPr>
        <w:spacing w:line="312" w:lineRule="auto"/>
        <w:ind w:firstLine="480" w:firstLineChars="200"/>
        <w:rPr>
          <w:rFonts w:ascii="仿宋" w:hAnsi="仿宋" w:eastAsia="仿宋" w:cs="仿宋"/>
          <w:color w:val="auto"/>
          <w:sz w:val="24"/>
          <w:szCs w:val="24"/>
          <w:highlight w:val="none"/>
        </w:rPr>
      </w:pPr>
    </w:p>
    <w:p>
      <w:pPr>
        <w:pStyle w:val="36"/>
        <w:ind w:left="560"/>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pStyle w:val="69"/>
        <w:rPr>
          <w:rFonts w:ascii="仿宋" w:hAnsi="仿宋" w:eastAsia="仿宋" w:cs="仿宋"/>
          <w:color w:val="auto"/>
          <w:highlight w:val="none"/>
        </w:rPr>
      </w:pPr>
    </w:p>
    <w:p>
      <w:pPr>
        <w:pStyle w:val="7"/>
        <w:ind w:firstLine="0"/>
        <w:rPr>
          <w:rFonts w:ascii="仿宋" w:hAnsi="仿宋" w:eastAsia="仿宋" w:cs="仿宋"/>
          <w:color w:val="auto"/>
          <w:highlight w:val="none"/>
        </w:rPr>
      </w:pPr>
      <w:bookmarkStart w:id="102" w:name="_Toc522530060"/>
    </w:p>
    <w:bookmarkEnd w:id="102"/>
    <w:p>
      <w:pPr>
        <w:widowControl/>
        <w:spacing w:line="312"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表6：中小企业声明函/监狱企业声明函/残疾人福利性单位声明函</w:t>
      </w:r>
    </w:p>
    <w:p>
      <w:pPr>
        <w:pStyle w:val="584"/>
        <w:spacing w:line="400" w:lineRule="exact"/>
        <w:jc w:val="center"/>
        <w:rPr>
          <w:rStyle w:val="610"/>
          <w:rFonts w:ascii="仿宋" w:hAnsi="仿宋" w:eastAsia="仿宋" w:cs="仿宋"/>
          <w:b/>
          <w:bCs/>
          <w:color w:val="auto"/>
          <w:szCs w:val="24"/>
          <w:highlight w:val="none"/>
        </w:rPr>
      </w:pPr>
    </w:p>
    <w:p>
      <w:pPr>
        <w:pStyle w:val="602"/>
        <w:keepNext/>
        <w:keepLines/>
        <w:spacing w:after="0" w:line="400" w:lineRule="exact"/>
        <w:ind w:firstLine="0"/>
        <w:rPr>
          <w:rFonts w:ascii="仿宋" w:hAnsi="仿宋" w:eastAsia="仿宋" w:cs="仿宋"/>
          <w:b/>
          <w:color w:val="auto"/>
          <w:sz w:val="24"/>
          <w:szCs w:val="24"/>
          <w:highlight w:val="none"/>
        </w:rPr>
      </w:pPr>
      <w:r>
        <w:rPr>
          <w:rFonts w:hint="eastAsia" w:ascii="仿宋" w:hAnsi="仿宋" w:eastAsia="仿宋" w:cs="仿宋"/>
          <w:b/>
          <w:color w:val="auto"/>
          <w:sz w:val="24"/>
          <w:highlight w:val="none"/>
        </w:rPr>
        <w:t>（一）</w:t>
      </w:r>
      <w:r>
        <w:rPr>
          <w:rFonts w:hint="eastAsia" w:ascii="仿宋" w:hAnsi="仿宋" w:eastAsia="仿宋" w:cs="仿宋"/>
          <w:b/>
          <w:color w:val="auto"/>
          <w:sz w:val="24"/>
          <w:szCs w:val="24"/>
          <w:highlight w:val="none"/>
        </w:rPr>
        <w:t>中小企业声明函</w:t>
      </w:r>
    </w:p>
    <w:p>
      <w:pPr>
        <w:adjustRightInd w:val="0"/>
        <w:snapToGrid w:val="0"/>
        <w:spacing w:line="440" w:lineRule="exact"/>
        <w:rPr>
          <w:rFonts w:ascii="仿宋" w:hAnsi="仿宋" w:eastAsia="仿宋" w:cs="仿宋"/>
          <w:color w:val="auto"/>
          <w:sz w:val="24"/>
          <w:highlight w:val="none"/>
        </w:rPr>
      </w:pPr>
    </w:p>
    <w:p>
      <w:pPr>
        <w:adjustRightInd w:val="0"/>
        <w:snapToGrid w:val="0"/>
        <w:spacing w:line="440" w:lineRule="exact"/>
        <w:rPr>
          <w:rFonts w:ascii="仿宋" w:hAnsi="仿宋" w:eastAsia="仿宋" w:cs="仿宋"/>
          <w:b/>
          <w:color w:val="auto"/>
          <w:sz w:val="24"/>
          <w:szCs w:val="24"/>
          <w:highlight w:val="none"/>
        </w:rPr>
      </w:pPr>
      <w:r>
        <w:rPr>
          <w:rFonts w:hint="eastAsia" w:ascii="仿宋" w:hAnsi="仿宋" w:eastAsia="仿宋" w:cs="仿宋"/>
          <w:color w:val="auto"/>
          <w:sz w:val="24"/>
          <w:highlight w:val="none"/>
        </w:rPr>
        <w:t>衢州市衢江区住房和城乡建设局：</w:t>
      </w:r>
    </w:p>
    <w:p>
      <w:pPr>
        <w:pStyle w:val="603"/>
        <w:spacing w:line="440" w:lineRule="exact"/>
        <w:ind w:firstLine="6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本公司郑重声明，根据《政府采购促进中小企业发展管理办法》（财库〔2020）46号）的规定，本公司参加</w:t>
      </w:r>
      <w:r>
        <w:rPr>
          <w:rFonts w:hint="eastAsia" w:ascii="仿宋" w:hAnsi="仿宋" w:eastAsia="仿宋" w:cs="仿宋"/>
          <w:color w:val="auto"/>
          <w:sz w:val="24"/>
          <w:szCs w:val="24"/>
          <w:highlight w:val="none"/>
          <w:u w:val="single"/>
        </w:rPr>
        <w:t>（单位名称）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rPr>
        <w:t>采购活动,</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全部由符合政策要求的中小企业</w:t>
      </w:r>
      <w:r>
        <w:rPr>
          <w:rFonts w:hint="eastAsia" w:ascii="仿宋" w:hAnsi="仿宋" w:eastAsia="仿宋" w:cs="仿宋"/>
          <w:color w:val="auto"/>
          <w:sz w:val="24"/>
          <w:szCs w:val="24"/>
          <w:highlight w:val="none"/>
          <w:lang w:eastAsia="zh-CN"/>
        </w:rPr>
        <w:t>承接</w:t>
      </w:r>
      <w:r>
        <w:rPr>
          <w:rFonts w:hint="eastAsia" w:ascii="仿宋" w:hAnsi="仿宋" w:eastAsia="仿宋" w:cs="仿宋"/>
          <w:color w:val="auto"/>
          <w:sz w:val="24"/>
          <w:szCs w:val="24"/>
          <w:highlight w:val="none"/>
        </w:rPr>
        <w:t>。相关企业的具体情况如下：</w:t>
      </w:r>
    </w:p>
    <w:p>
      <w:pPr>
        <w:pStyle w:val="603"/>
        <w:tabs>
          <w:tab w:val="left" w:pos="1238"/>
          <w:tab w:val="left" w:pos="4435"/>
          <w:tab w:val="left" w:pos="6672"/>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（采购文件中明确的所属行业丿 </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lang w:eastAsia="zh-CN"/>
        </w:rPr>
        <w:t>承接企业</w:t>
      </w:r>
      <w:r>
        <w:rPr>
          <w:rFonts w:hint="eastAsia" w:ascii="仿宋" w:hAnsi="仿宋" w:eastAsia="仿宋" w:cs="仿宋"/>
          <w:color w:val="auto"/>
          <w:sz w:val="24"/>
          <w:szCs w:val="24"/>
          <w:highlight w:val="none"/>
        </w:rPr>
        <w:t>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（中型企业、小型企业、微型企业）</w:t>
      </w:r>
      <w:r>
        <w:rPr>
          <w:rFonts w:hint="eastAsia" w:ascii="仿宋" w:hAnsi="仿宋" w:eastAsia="仿宋" w:cs="仿宋"/>
          <w:color w:val="auto"/>
          <w:sz w:val="24"/>
          <w:szCs w:val="24"/>
          <w:highlight w:val="none"/>
        </w:rPr>
        <w:t>,</w:t>
      </w:r>
    </w:p>
    <w:p>
      <w:pPr>
        <w:pStyle w:val="603"/>
        <w:tabs>
          <w:tab w:val="left" w:pos="1238"/>
          <w:tab w:val="left" w:pos="6331"/>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（采购文件中明确的所属行业） 行业</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承接企业</w:t>
      </w:r>
      <w:r>
        <w:rPr>
          <w:rFonts w:hint="eastAsia" w:ascii="仿宋" w:hAnsi="仿宋" w:eastAsia="仿宋" w:cs="仿宋"/>
          <w:color w:val="auto"/>
          <w:sz w:val="24"/>
          <w:szCs w:val="24"/>
          <w:highlight w:val="none"/>
        </w:rPr>
        <w:t>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（中型企业、小型企业、微型企</w:t>
      </w:r>
      <w:r>
        <w:rPr>
          <w:rFonts w:hint="eastAsia" w:ascii="仿宋" w:hAnsi="仿宋" w:eastAsia="仿宋" w:cs="仿宋"/>
          <w:color w:val="auto"/>
          <w:sz w:val="24"/>
          <w:szCs w:val="24"/>
          <w:highlight w:val="none"/>
          <w:u w:val="single"/>
          <w:lang w:val="zh-CN" w:eastAsia="zh-CN" w:bidi="zh-CN"/>
        </w:rPr>
        <w:t>业）</w:t>
      </w:r>
      <w:r>
        <w:rPr>
          <w:rFonts w:hint="eastAsia" w:ascii="仿宋" w:hAnsi="仿宋" w:eastAsia="仿宋" w:cs="仿宋"/>
          <w:color w:val="auto"/>
          <w:sz w:val="24"/>
          <w:szCs w:val="24"/>
          <w:highlight w:val="none"/>
          <w:lang w:val="zh-CN" w:eastAsia="zh-CN" w:bidi="zh-CN"/>
        </w:rPr>
        <w:t>。</w:t>
      </w:r>
    </w:p>
    <w:p>
      <w:pPr>
        <w:pStyle w:val="603"/>
        <w:tabs>
          <w:tab w:val="left" w:leader="dot" w:pos="-1007"/>
        </w:tabs>
        <w:spacing w:line="440" w:lineRule="exact"/>
        <w:ind w:hanging="1540"/>
        <w:jc w:val="left"/>
        <w:rPr>
          <w:rFonts w:ascii="仿宋" w:hAnsi="仿宋" w:eastAsia="仿宋" w:cs="仿宋"/>
          <w:color w:val="auto"/>
          <w:sz w:val="24"/>
          <w:szCs w:val="24"/>
          <w:highlight w:val="none"/>
        </w:rPr>
      </w:pPr>
    </w:p>
    <w:p>
      <w:pPr>
        <w:pStyle w:val="603"/>
        <w:spacing w:line="440" w:lineRule="exact"/>
        <w:ind w:firstLine="6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pStyle w:val="603"/>
        <w:spacing w:line="440" w:lineRule="exact"/>
        <w:ind w:firstLine="6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pStyle w:val="603"/>
        <w:spacing w:line="440" w:lineRule="exact"/>
        <w:ind w:firstLine="4320" w:firstLineChars="1800"/>
        <w:jc w:val="left"/>
        <w:rPr>
          <w:rFonts w:ascii="仿宋" w:hAnsi="仿宋" w:eastAsia="仿宋" w:cs="仿宋"/>
          <w:color w:val="auto"/>
          <w:sz w:val="24"/>
          <w:szCs w:val="24"/>
          <w:highlight w:val="none"/>
        </w:rPr>
      </w:pPr>
    </w:p>
    <w:p>
      <w:pPr>
        <w:pStyle w:val="603"/>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企业</w:t>
      </w:r>
      <w:r>
        <w:rPr>
          <w:rFonts w:hint="eastAsia" w:ascii="仿宋" w:hAnsi="仿宋" w:eastAsia="仿宋" w:cs="仿宋"/>
          <w:color w:val="auto"/>
          <w:sz w:val="24"/>
          <w:szCs w:val="24"/>
          <w:highlight w:val="none"/>
        </w:rPr>
        <w:t>名称（盖章）:</w:t>
      </w:r>
    </w:p>
    <w:p>
      <w:pPr>
        <w:pStyle w:val="603"/>
        <w:spacing w:line="44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日</w:t>
      </w:r>
    </w:p>
    <w:p>
      <w:pPr>
        <w:pStyle w:val="604"/>
        <w:spacing w:line="360" w:lineRule="exact"/>
        <w:jc w:val="left"/>
        <w:rPr>
          <w:rFonts w:ascii="仿宋" w:hAnsi="仿宋" w:eastAsia="仿宋" w:cs="仿宋"/>
          <w:b/>
          <w:bCs/>
          <w:color w:val="auto"/>
          <w:sz w:val="21"/>
          <w:szCs w:val="21"/>
          <w:highlight w:val="none"/>
          <w:lang w:eastAsia="zh-CN"/>
        </w:rPr>
      </w:pPr>
    </w:p>
    <w:p>
      <w:pPr>
        <w:pStyle w:val="604"/>
        <w:spacing w:line="360" w:lineRule="exact"/>
        <w:jc w:val="left"/>
        <w:rPr>
          <w:rFonts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eastAsia="zh-CN"/>
        </w:rPr>
        <w:t>说明：</w:t>
      </w:r>
    </w:p>
    <w:p>
      <w:pPr>
        <w:pStyle w:val="604"/>
        <w:spacing w:line="360" w:lineRule="exact"/>
        <w:jc w:val="left"/>
        <w:rPr>
          <w:rFonts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eastAsia="zh-CN"/>
        </w:rPr>
        <w:t>（1）从业人员、营业收入、资产总额填报上一年度数据，无上一年度数据的新成立企业可不填报。</w:t>
      </w:r>
    </w:p>
    <w:p>
      <w:pPr>
        <w:pStyle w:val="604"/>
        <w:spacing w:line="360" w:lineRule="exact"/>
        <w:jc w:val="lef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eastAsia="zh-CN"/>
        </w:rPr>
        <w:t>（2）不属于中型、小型、微型企业，不用提供此函。</w:t>
      </w:r>
    </w:p>
    <w:p>
      <w:pPr>
        <w:adjustRightInd w:val="0"/>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lang w:val="zh-CN"/>
        </w:rPr>
        <w:br w:type="page"/>
      </w:r>
      <w:r>
        <w:rPr>
          <w:rFonts w:hint="eastAsia" w:ascii="仿宋" w:hAnsi="仿宋" w:eastAsia="仿宋" w:cs="仿宋"/>
          <w:b/>
          <w:color w:val="auto"/>
          <w:sz w:val="24"/>
          <w:highlight w:val="none"/>
        </w:rPr>
        <w:t>（二）监狱企业声明函</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本企业郑重声明，根据《关于政府采购支持监狱企业发展有关问题的通知》（财库[2014]68 号）的规定，本企业为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根据上述标准，我企业属于监狱企业的理由为：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本企业为参加</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（采购人）</w:t>
      </w:r>
      <w:r>
        <w:rPr>
          <w:rFonts w:hint="eastAsia" w:ascii="仿宋" w:hAnsi="仿宋" w:eastAsia="仿宋" w:cs="仿宋"/>
          <w:color w:val="auto"/>
          <w:sz w:val="24"/>
          <w:highlight w:val="none"/>
        </w:rPr>
        <w:t>组织实施的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（项目名称）采购活动提供本企业的服务。</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本企业对上述声明的真实性负责。如有虚假，将依法承担相应责任。</w:t>
      </w:r>
    </w:p>
    <w:p>
      <w:pPr>
        <w:spacing w:line="360" w:lineRule="auto"/>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p>
      <w:pPr>
        <w:spacing w:line="360" w:lineRule="auto"/>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投标人名称： （盖单位公章）</w:t>
      </w:r>
    </w:p>
    <w:p>
      <w:pPr>
        <w:spacing w:line="360" w:lineRule="auto"/>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日期：2023 年 月 日</w:t>
      </w:r>
    </w:p>
    <w:p>
      <w:pPr>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说明：</w:t>
      </w:r>
    </w:p>
    <w:p>
      <w:pPr>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（1）监狱企业参加政府采购活动时，应当提供由省级以上监狱管理局、戒毒管理局（含新疆生产建设兵团）出具的属于监狱企业的证明文件。</w:t>
      </w:r>
    </w:p>
    <w:p>
      <w:pPr>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2" w:firstLineChars="200"/>
        <w:rPr>
          <w:rFonts w:ascii="仿宋" w:hAnsi="仿宋" w:eastAsia="仿宋" w:cs="仿宋"/>
          <w:color w:val="auto"/>
          <w:kern w:val="0"/>
          <w:sz w:val="24"/>
          <w:highlight w:val="none"/>
        </w:rPr>
      </w:pPr>
      <w:r>
        <w:rPr>
          <w:rFonts w:hint="eastAsia" w:ascii="仿宋" w:hAnsi="仿宋" w:eastAsia="仿宋" w:cs="仿宋"/>
          <w:b/>
          <w:bCs/>
          <w:color w:val="auto"/>
          <w:sz w:val="24"/>
          <w:szCs w:val="24"/>
          <w:highlight w:val="none"/>
        </w:rPr>
        <w:t>（3）本声明函为监狱企业填写。不属于监狱企业，不用提供此函。</w:t>
      </w:r>
    </w:p>
    <w:p>
      <w:pPr>
        <w:rPr>
          <w:rFonts w:ascii="仿宋" w:hAnsi="仿宋" w:eastAsia="仿宋" w:cs="仿宋"/>
          <w:color w:val="auto"/>
          <w:sz w:val="24"/>
          <w:szCs w:val="24"/>
          <w:highlight w:val="none"/>
        </w:rPr>
      </w:pPr>
    </w:p>
    <w:p>
      <w:pPr>
        <w:pStyle w:val="611"/>
        <w:jc w:val="center"/>
        <w:rPr>
          <w:rFonts w:ascii="仿宋" w:hAnsi="仿宋" w:eastAsia="仿宋" w:cs="仿宋"/>
          <w:b/>
          <w:color w:val="auto"/>
          <w:spacing w:val="6"/>
          <w:sz w:val="24"/>
          <w:highlight w:val="none"/>
        </w:rPr>
      </w:pPr>
    </w:p>
    <w:p>
      <w:pPr>
        <w:pStyle w:val="611"/>
        <w:jc w:val="center"/>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（三）残疾人福利性单位声明函</w:t>
      </w:r>
    </w:p>
    <w:p>
      <w:pPr>
        <w:pStyle w:val="611"/>
        <w:jc w:val="center"/>
        <w:rPr>
          <w:rFonts w:ascii="仿宋" w:hAnsi="仿宋" w:eastAsia="仿宋" w:cs="仿宋"/>
          <w:b/>
          <w:color w:val="auto"/>
          <w:spacing w:val="6"/>
          <w:sz w:val="24"/>
          <w:highlight w:val="none"/>
        </w:rPr>
      </w:pPr>
    </w:p>
    <w:p>
      <w:pPr>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（采购人）</w:t>
      </w:r>
      <w:r>
        <w:rPr>
          <w:rFonts w:hint="eastAsia" w:ascii="仿宋" w:hAnsi="仿宋" w:eastAsia="仿宋" w:cs="仿宋"/>
          <w:color w:val="auto"/>
          <w:sz w:val="24"/>
          <w:highlight w:val="none"/>
        </w:rPr>
        <w:t>组织实施的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（项目名称）</w:t>
      </w:r>
      <w:r>
        <w:rPr>
          <w:rFonts w:hint="eastAsia" w:ascii="仿宋" w:hAnsi="仿宋" w:eastAsia="仿宋" w:cs="仿宋"/>
          <w:color w:val="auto"/>
          <w:sz w:val="24"/>
          <w:szCs w:val="24"/>
          <w:highlight w:val="none"/>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360" w:lineRule="auto"/>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highlight w:val="none"/>
        </w:rPr>
        <w:t>投标人名称： （盖单位公章）</w:t>
      </w:r>
    </w:p>
    <w:p>
      <w:pPr>
        <w:pStyle w:val="612"/>
        <w:snapToGrid w:val="0"/>
        <w:spacing w:line="360" w:lineRule="auto"/>
        <w:ind w:firstLine="494"/>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日期：2023 年 月 日</w:t>
      </w:r>
    </w:p>
    <w:p>
      <w:pPr>
        <w:pStyle w:val="612"/>
        <w:snapToGrid w:val="0"/>
        <w:spacing w:line="360" w:lineRule="auto"/>
        <w:ind w:firstLine="0"/>
        <w:rPr>
          <w:rFonts w:ascii="仿宋" w:hAnsi="仿宋" w:eastAsia="仿宋" w:cs="仿宋"/>
          <w:color w:val="auto"/>
          <w:sz w:val="24"/>
          <w:highlight w:val="none"/>
        </w:rPr>
      </w:pPr>
      <w:r>
        <w:rPr>
          <w:rFonts w:hint="eastAsia" w:ascii="仿宋" w:hAnsi="仿宋" w:eastAsia="仿宋" w:cs="仿宋"/>
          <w:b/>
          <w:bCs/>
          <w:color w:val="auto"/>
          <w:sz w:val="24"/>
          <w:szCs w:val="24"/>
          <w:highlight w:val="none"/>
          <w:lang w:val="zh-CN"/>
        </w:rPr>
        <w:t>说明：本声明函为残疾人福利企业填写。不属于残疾人福利性单位，不用提供此函。</w:t>
      </w:r>
    </w:p>
    <w:p>
      <w:pPr>
        <w:pStyle w:val="9"/>
        <w:rPr>
          <w:rFonts w:ascii="仿宋" w:hAnsi="仿宋" w:eastAsia="仿宋" w:cs="仿宋"/>
          <w:color w:val="auto"/>
          <w:highlight w:val="none"/>
        </w:rPr>
      </w:pPr>
      <w:r>
        <w:rPr>
          <w:rFonts w:hint="eastAsia" w:ascii="仿宋" w:hAnsi="仿宋" w:eastAsia="仿宋" w:cs="仿宋"/>
          <w:b w:val="0"/>
          <w:color w:val="auto"/>
          <w:kern w:val="2"/>
          <w:szCs w:val="22"/>
          <w:highlight w:val="none"/>
        </w:rPr>
        <w:t>表7：非联合体的声明函</w:t>
      </w:r>
    </w:p>
    <w:p>
      <w:pPr>
        <w:jc w:val="center"/>
        <w:rPr>
          <w:rFonts w:ascii="仿宋" w:hAnsi="仿宋" w:eastAsia="仿宋" w:cs="仿宋"/>
          <w:b/>
          <w:color w:val="auto"/>
          <w:sz w:val="32"/>
          <w:szCs w:val="22"/>
          <w:highlight w:val="none"/>
        </w:rPr>
      </w:pPr>
      <w:r>
        <w:rPr>
          <w:rFonts w:hint="eastAsia" w:ascii="仿宋" w:hAnsi="仿宋" w:eastAsia="仿宋" w:cs="仿宋"/>
          <w:b/>
          <w:color w:val="auto"/>
          <w:sz w:val="32"/>
          <w:szCs w:val="22"/>
          <w:highlight w:val="none"/>
        </w:rPr>
        <w:t>非联合体的声明函</w:t>
      </w:r>
    </w:p>
    <w:p>
      <w:pPr>
        <w:pStyle w:val="2"/>
        <w:rPr>
          <w:rFonts w:ascii="仿宋" w:hAnsi="仿宋" w:eastAsia="仿宋" w:cs="仿宋"/>
          <w:color w:val="auto"/>
          <w:highlight w:val="none"/>
        </w:rPr>
      </w:pP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（采购人）</w:t>
      </w:r>
      <w:r>
        <w:rPr>
          <w:rFonts w:hint="eastAsia" w:ascii="仿宋" w:hAnsi="仿宋" w:eastAsia="仿宋" w:cs="仿宋"/>
          <w:color w:val="auto"/>
          <w:sz w:val="24"/>
          <w:szCs w:val="24"/>
          <w:highlight w:val="none"/>
        </w:rPr>
        <w:t>：</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我方独立参加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u w:val="single"/>
        </w:rPr>
        <w:t xml:space="preserve">            （项目名称）   （项目编号:</w:t>
      </w:r>
      <w:r>
        <w:rPr>
          <w:rFonts w:hint="eastAsia" w:ascii="仿宋" w:hAnsi="仿宋" w:eastAsia="仿宋" w:cs="仿宋"/>
          <w:color w:val="auto"/>
          <w:sz w:val="24"/>
          <w:szCs w:val="24"/>
          <w:highlight w:val="none"/>
          <w:u w:val="single"/>
          <w:lang w:eastAsia="zh-CN"/>
        </w:rPr>
        <w:t>ZZCG2023082</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政府采购活动，未与其他单位组成联合体。</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我方对上述声明的真实性负责。如有虚假，将依法承担相应责任。</w:t>
      </w:r>
    </w:p>
    <w:p>
      <w:pPr>
        <w:spacing w:line="312"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adjustRightInd w:val="0"/>
        <w:snapToGrid w:val="0"/>
        <w:spacing w:line="360" w:lineRule="auto"/>
        <w:ind w:firstLine="480" w:firstLineChars="200"/>
        <w:rPr>
          <w:rFonts w:ascii="仿宋" w:hAnsi="仿宋" w:eastAsia="仿宋" w:cs="仿宋"/>
          <w:color w:val="auto"/>
          <w:kern w:val="0"/>
          <w:sz w:val="24"/>
          <w:highlight w:val="none"/>
          <w:lang w:val="zh-CN"/>
        </w:rPr>
      </w:pP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投标人（盖章）：</w:t>
      </w: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法定代表人或其授权代表人（签字或盖章）：                                   </w:t>
      </w: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日期：2023 年  月  日 </w:t>
      </w:r>
    </w:p>
    <w:p>
      <w:pPr>
        <w:pStyle w:val="46"/>
        <w:adjustRightInd w:val="0"/>
        <w:snapToGrid w:val="0"/>
        <w:spacing w:line="360" w:lineRule="auto"/>
        <w:jc w:val="center"/>
        <w:outlineLvl w:val="1"/>
        <w:rPr>
          <w:rFonts w:ascii="仿宋" w:hAnsi="仿宋" w:eastAsia="仿宋" w:cs="仿宋"/>
          <w:b/>
          <w:color w:val="auto"/>
          <w:sz w:val="28"/>
          <w:highlight w:val="none"/>
        </w:rPr>
      </w:pPr>
    </w:p>
    <w:p>
      <w:pPr>
        <w:pStyle w:val="46"/>
        <w:adjustRightInd w:val="0"/>
        <w:snapToGrid w:val="0"/>
        <w:spacing w:line="360" w:lineRule="auto"/>
        <w:jc w:val="center"/>
        <w:outlineLvl w:val="1"/>
        <w:rPr>
          <w:rFonts w:ascii="仿宋" w:hAnsi="仿宋" w:eastAsia="仿宋" w:cs="仿宋"/>
          <w:b/>
          <w:color w:val="auto"/>
          <w:sz w:val="28"/>
          <w:highlight w:val="none"/>
        </w:rPr>
      </w:pPr>
    </w:p>
    <w:p>
      <w:pPr>
        <w:pStyle w:val="46"/>
        <w:adjustRightInd w:val="0"/>
        <w:snapToGrid w:val="0"/>
        <w:spacing w:line="360" w:lineRule="auto"/>
        <w:jc w:val="center"/>
        <w:outlineLvl w:val="1"/>
        <w:rPr>
          <w:rFonts w:ascii="仿宋" w:hAnsi="仿宋" w:eastAsia="仿宋" w:cs="仿宋"/>
          <w:b/>
          <w:color w:val="auto"/>
          <w:sz w:val="28"/>
          <w:highlight w:val="none"/>
        </w:rPr>
      </w:pPr>
    </w:p>
    <w:p>
      <w:pPr>
        <w:rPr>
          <w:rFonts w:ascii="仿宋" w:hAnsi="仿宋" w:eastAsia="仿宋" w:cs="仿宋"/>
          <w:b/>
          <w:color w:val="auto"/>
          <w:highlight w:val="none"/>
        </w:rPr>
      </w:pPr>
    </w:p>
    <w:p>
      <w:pPr>
        <w:pStyle w:val="35"/>
        <w:ind w:left="560"/>
        <w:rPr>
          <w:rFonts w:ascii="仿宋" w:hAnsi="仿宋" w:eastAsia="仿宋" w:cs="仿宋"/>
          <w:b/>
          <w:color w:val="auto"/>
          <w:highlight w:val="none"/>
        </w:rPr>
      </w:pPr>
    </w:p>
    <w:p>
      <w:pPr>
        <w:pStyle w:val="36"/>
        <w:ind w:left="560" w:firstLine="562"/>
        <w:rPr>
          <w:rFonts w:ascii="仿宋" w:hAnsi="仿宋" w:eastAsia="仿宋" w:cs="仿宋"/>
          <w:b/>
          <w:color w:val="auto"/>
          <w:sz w:val="28"/>
          <w:highlight w:val="none"/>
        </w:rPr>
      </w:pPr>
    </w:p>
    <w:p>
      <w:pPr>
        <w:pStyle w:val="87"/>
        <w:ind w:firstLine="281"/>
        <w:rPr>
          <w:rFonts w:ascii="仿宋" w:hAnsi="仿宋" w:eastAsia="仿宋" w:cs="仿宋"/>
          <w:b/>
          <w:color w:val="auto"/>
          <w:sz w:val="28"/>
          <w:highlight w:val="none"/>
        </w:rPr>
      </w:pPr>
    </w:p>
    <w:p>
      <w:pPr>
        <w:rPr>
          <w:rFonts w:ascii="仿宋" w:hAnsi="仿宋" w:eastAsia="仿宋" w:cs="仿宋"/>
          <w:b/>
          <w:color w:val="auto"/>
          <w:highlight w:val="none"/>
        </w:rPr>
      </w:pPr>
    </w:p>
    <w:p>
      <w:pPr>
        <w:pStyle w:val="35"/>
        <w:ind w:left="560"/>
        <w:rPr>
          <w:rFonts w:ascii="仿宋" w:hAnsi="仿宋" w:eastAsia="仿宋" w:cs="仿宋"/>
          <w:b/>
          <w:color w:val="auto"/>
          <w:highlight w:val="none"/>
        </w:rPr>
      </w:pPr>
    </w:p>
    <w:p>
      <w:pPr>
        <w:pStyle w:val="36"/>
        <w:ind w:left="560" w:firstLine="562"/>
        <w:rPr>
          <w:rFonts w:ascii="仿宋" w:hAnsi="仿宋" w:eastAsia="仿宋" w:cs="仿宋"/>
          <w:b/>
          <w:color w:val="auto"/>
          <w:sz w:val="28"/>
          <w:highlight w:val="none"/>
        </w:rPr>
      </w:pPr>
    </w:p>
    <w:p>
      <w:pPr>
        <w:pStyle w:val="87"/>
        <w:ind w:firstLine="281"/>
        <w:rPr>
          <w:rFonts w:ascii="仿宋" w:hAnsi="仿宋" w:eastAsia="仿宋" w:cs="仿宋"/>
          <w:b/>
          <w:color w:val="auto"/>
          <w:sz w:val="28"/>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rPr>
          <w:rFonts w:ascii="仿宋" w:hAnsi="仿宋" w:eastAsia="仿宋" w:cs="仿宋"/>
          <w:b/>
          <w:color w:val="auto"/>
          <w:highlight w:val="none"/>
        </w:rPr>
      </w:pPr>
    </w:p>
    <w:p>
      <w:pPr>
        <w:pStyle w:val="35"/>
        <w:ind w:left="560"/>
        <w:rPr>
          <w:rFonts w:ascii="仿宋" w:hAnsi="仿宋" w:eastAsia="仿宋" w:cs="仿宋"/>
          <w:b/>
          <w:color w:val="auto"/>
          <w:highlight w:val="none"/>
        </w:rPr>
      </w:pPr>
    </w:p>
    <w:p>
      <w:pPr>
        <w:pStyle w:val="46"/>
        <w:adjustRightInd w:val="0"/>
        <w:snapToGrid w:val="0"/>
        <w:spacing w:line="360" w:lineRule="auto"/>
        <w:jc w:val="center"/>
        <w:outlineLvl w:val="1"/>
        <w:rPr>
          <w:rFonts w:hint="eastAsia" w:ascii="仿宋" w:hAnsi="仿宋" w:eastAsia="仿宋" w:cs="仿宋"/>
          <w:b/>
          <w:color w:val="auto"/>
          <w:sz w:val="28"/>
          <w:highlight w:val="none"/>
        </w:rPr>
      </w:pPr>
    </w:p>
    <w:p>
      <w:pPr>
        <w:pStyle w:val="46"/>
        <w:adjustRightInd w:val="0"/>
        <w:snapToGrid w:val="0"/>
        <w:spacing w:line="360" w:lineRule="auto"/>
        <w:jc w:val="center"/>
        <w:outlineLvl w:val="1"/>
        <w:rPr>
          <w:rFonts w:hint="eastAsia" w:ascii="仿宋" w:hAnsi="仿宋" w:eastAsia="仿宋" w:cs="仿宋"/>
          <w:b/>
          <w:color w:val="auto"/>
          <w:sz w:val="28"/>
          <w:highlight w:val="none"/>
        </w:rPr>
      </w:pPr>
    </w:p>
    <w:p>
      <w:pPr>
        <w:rPr>
          <w:rFonts w:hint="eastAsia"/>
        </w:rPr>
      </w:pPr>
    </w:p>
    <w:p>
      <w:pPr>
        <w:pStyle w:val="46"/>
        <w:adjustRightInd w:val="0"/>
        <w:snapToGrid w:val="0"/>
        <w:spacing w:line="360" w:lineRule="auto"/>
        <w:jc w:val="center"/>
        <w:outlineLvl w:val="1"/>
        <w:rPr>
          <w:rFonts w:ascii="仿宋" w:hAnsi="仿宋" w:eastAsia="仿宋" w:cs="仿宋"/>
          <w:b/>
          <w:color w:val="auto"/>
          <w:sz w:val="28"/>
          <w:highlight w:val="none"/>
        </w:rPr>
      </w:pPr>
      <w:r>
        <w:rPr>
          <w:rFonts w:hint="eastAsia" w:ascii="仿宋" w:hAnsi="仿宋" w:eastAsia="仿宋" w:cs="仿宋"/>
          <w:b/>
          <w:color w:val="auto"/>
          <w:sz w:val="28"/>
          <w:highlight w:val="none"/>
        </w:rPr>
        <w:t>格式二：投标声明函</w:t>
      </w:r>
      <w:bookmarkEnd w:id="97"/>
      <w:bookmarkEnd w:id="101"/>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衢州市衢江区住房和城乡建设局：</w:t>
      </w:r>
    </w:p>
    <w:p>
      <w:pPr>
        <w:adjustRightInd w:val="0"/>
        <w:snapToGrid w:val="0"/>
        <w:spacing w:line="360" w:lineRule="auto"/>
        <w:rPr>
          <w:rFonts w:ascii="仿宋" w:hAnsi="仿宋" w:eastAsia="仿宋" w:cs="仿宋"/>
          <w:b/>
          <w:color w:val="auto"/>
          <w:sz w:val="30"/>
          <w:highlight w:val="none"/>
        </w:rPr>
      </w:pPr>
      <w:r>
        <w:rPr>
          <w:rFonts w:hint="eastAsia" w:ascii="仿宋" w:hAnsi="仿宋" w:eastAsia="仿宋" w:cs="仿宋"/>
          <w:color w:val="auto"/>
          <w:sz w:val="24"/>
          <w:highlight w:val="none"/>
        </w:rPr>
        <w:t>浙江中正工程项目管理有限公司：</w:t>
      </w:r>
    </w:p>
    <w:p>
      <w:pPr>
        <w:pStyle w:val="46"/>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本单位自愿参加</w:t>
      </w:r>
      <w:r>
        <w:rPr>
          <w:rFonts w:hint="eastAsia" w:ascii="仿宋" w:hAnsi="仿宋" w:eastAsia="仿宋" w:cs="仿宋"/>
          <w:color w:val="auto"/>
          <w:sz w:val="24"/>
          <w:highlight w:val="none"/>
          <w:u w:val="single"/>
        </w:rPr>
        <w:t xml:space="preserve">              （项目名称）  (项目编号：</w:t>
      </w:r>
      <w:r>
        <w:rPr>
          <w:rFonts w:hint="eastAsia" w:ascii="仿宋" w:hAnsi="仿宋" w:eastAsia="仿宋" w:cs="仿宋"/>
          <w:color w:val="auto"/>
          <w:sz w:val="24"/>
          <w:highlight w:val="none"/>
          <w:u w:val="single"/>
          <w:lang w:eastAsia="zh-CN"/>
        </w:rPr>
        <w:t>ZZCG2023082</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的投标，并保证投标文件中所列举的投报价文件及相关资料和公司基本情况资料是真实的、合法的，我方：</w:t>
      </w:r>
    </w:p>
    <w:p>
      <w:pPr>
        <w:adjustRightInd w:val="0"/>
        <w:snapToGrid w:val="0"/>
        <w:spacing w:line="360" w:lineRule="auto"/>
        <w:ind w:firstLine="480"/>
        <w:rPr>
          <w:rFonts w:ascii="仿宋" w:hAnsi="仿宋" w:eastAsia="仿宋" w:cs="仿宋"/>
          <w:color w:val="auto"/>
          <w:kern w:val="0"/>
          <w:sz w:val="24"/>
          <w:highlight w:val="none"/>
        </w:rPr>
      </w:pPr>
      <w:bookmarkStart w:id="103" w:name="_Toc522530053"/>
      <w:r>
        <w:rPr>
          <w:rFonts w:hint="eastAsia" w:ascii="仿宋" w:hAnsi="仿宋" w:eastAsia="仿宋" w:cs="仿宋"/>
          <w:color w:val="auto"/>
          <w:kern w:val="0"/>
          <w:sz w:val="24"/>
          <w:highlight w:val="none"/>
        </w:rPr>
        <w:t>1、已详细阅读全部招标文件，包括招标文件补充文件（（如果有，包括相关的补充、更正、澄清公告和文件））、参考资料及有关附件，确认无误。我方完全理解并接受招标文件的各项规定和要求。</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2、同意提供按照贵方可能要求的与投标有关的一切数据或资料等。若贵方需要，我方愿意提供我方作出的一切承诺的证明材料。</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3、中标或者成交后，按采购文件规定与采购人签订合同。拒绝签订合同的，承诺按采购预算金额的 2%对采购人进行赔偿；赔偿金额不足以弥补采购人损失的，承诺继续承担超过部分的损失。</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4、同意在招标文件中投标人须知规定的开标日期起遵守本投标书中的承诺且在投标有效期满之前均具有约束力。</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5、投标有效期内不撤销投标文件；强行撤销的，承诺按采购预算金额的2%赔偿对采购组织机构造成损失；</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6、中标或者成交后，按采购文件规定的采购代理服务费标准，承诺在签订合同前向采购代理机构支付采购代理服务费。</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7、完全理解贵方不一定要接受最低价的投标。</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8、单位、法定代表人、本项目授权代表及本项目负责人在参加本项目前三年内（以法院判决书生效日期为准）均无行贿犯罪记录。</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9、如有下列情形之一的，我方愿意被取消中标资格（如中标），同时继续承担其他一切法律后果，并不再寻求任何旨在减轻或免除法律责任的解释：</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(1)提供虚假材料（承诺）谋取中标、成交的；</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(2)采取不正当手段诋毁、排挤其他投标人的；</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(3)与招标人、其它投标人或者招标代理机构恶意串通的；</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(4)向招标人、招标代理机构行贿或者提供其他不正当利益的；</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(5)在招标采购过程中与招标人进行协商谈判的；</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(6)拒绝有关部门监督检查或提供虚假情况的。</w:t>
      </w:r>
    </w:p>
    <w:p>
      <w:pPr>
        <w:adjustRightInd w:val="0"/>
        <w:snapToGrid w:val="0"/>
        <w:spacing w:line="360" w:lineRule="auto"/>
        <w:ind w:firstLine="480"/>
        <w:rPr>
          <w:rFonts w:ascii="仿宋" w:hAnsi="仿宋" w:eastAsia="仿宋" w:cs="仿宋"/>
          <w:color w:val="auto"/>
          <w:kern w:val="0"/>
          <w:sz w:val="24"/>
          <w:highlight w:val="none"/>
        </w:rPr>
      </w:pPr>
    </w:p>
    <w:p>
      <w:pPr>
        <w:adjustRightInd w:val="0"/>
        <w:snapToGrid w:val="0"/>
        <w:spacing w:line="360" w:lineRule="auto"/>
        <w:ind w:firstLine="480"/>
        <w:rPr>
          <w:rFonts w:ascii="仿宋" w:hAnsi="仿宋" w:eastAsia="仿宋" w:cs="仿宋"/>
          <w:color w:val="auto"/>
          <w:kern w:val="0"/>
          <w:sz w:val="24"/>
          <w:highlight w:val="none"/>
        </w:rPr>
      </w:pPr>
    </w:p>
    <w:p>
      <w:pPr>
        <w:adjustRightInd w:val="0"/>
        <w:snapToGrid w:val="0"/>
        <w:spacing w:line="360" w:lineRule="auto"/>
        <w:ind w:firstLine="480"/>
        <w:rPr>
          <w:rFonts w:ascii="仿宋" w:hAnsi="仿宋" w:eastAsia="仿宋" w:cs="仿宋"/>
          <w:color w:val="auto"/>
          <w:kern w:val="0"/>
          <w:sz w:val="24"/>
          <w:highlight w:val="none"/>
        </w:rPr>
      </w:pP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法定（授权）代表人（签字或盖章）：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投标人盖章：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联系电话（手机及座机）：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传真：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电子邮件：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纳税人识别号：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开户银行：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银行账号：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联系地址：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邮政编码：                     </w:t>
      </w:r>
    </w:p>
    <w:p>
      <w:pPr>
        <w:adjustRightInd w:val="0"/>
        <w:snapToGrid w:val="0"/>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日    期：</w:t>
      </w:r>
      <w:r>
        <w:rPr>
          <w:rFonts w:hint="eastAsia" w:ascii="仿宋" w:hAnsi="仿宋" w:eastAsia="仿宋" w:cs="仿宋"/>
          <w:color w:val="auto"/>
          <w:sz w:val="24"/>
          <w:szCs w:val="24"/>
          <w:highlight w:val="none"/>
        </w:rPr>
        <w:t>2023年  月  日</w:t>
      </w:r>
    </w:p>
    <w:p>
      <w:pPr>
        <w:adjustRightInd w:val="0"/>
        <w:snapToGrid w:val="0"/>
        <w:spacing w:line="360" w:lineRule="auto"/>
        <w:ind w:firstLine="480"/>
        <w:rPr>
          <w:rFonts w:ascii="仿宋" w:hAnsi="仿宋" w:eastAsia="仿宋" w:cs="仿宋"/>
          <w:color w:val="auto"/>
          <w:kern w:val="0"/>
          <w:sz w:val="24"/>
          <w:highlight w:val="none"/>
        </w:rPr>
      </w:pPr>
    </w:p>
    <w:p>
      <w:pPr>
        <w:adjustRightInd w:val="0"/>
        <w:snapToGrid w:val="0"/>
        <w:spacing w:line="360" w:lineRule="auto"/>
        <w:ind w:firstLine="480"/>
        <w:rPr>
          <w:rFonts w:ascii="仿宋" w:hAnsi="仿宋" w:eastAsia="仿宋" w:cs="仿宋"/>
          <w:color w:val="auto"/>
          <w:kern w:val="0"/>
          <w:sz w:val="24"/>
          <w:highlight w:val="none"/>
        </w:rPr>
      </w:pPr>
    </w:p>
    <w:p>
      <w:pPr>
        <w:adjustRightInd w:val="0"/>
        <w:snapToGrid w:val="0"/>
        <w:spacing w:line="360" w:lineRule="auto"/>
        <w:rPr>
          <w:rFonts w:ascii="仿宋" w:hAnsi="仿宋" w:eastAsia="仿宋" w:cs="仿宋"/>
          <w:color w:val="auto"/>
          <w:highlight w:val="none"/>
        </w:rPr>
        <w:sectPr>
          <w:pgSz w:w="11906" w:h="16838"/>
          <w:pgMar w:top="1440" w:right="1440" w:bottom="1440" w:left="1440" w:header="851" w:footer="851" w:gutter="0"/>
          <w:cols w:space="720" w:num="1"/>
          <w:titlePg/>
          <w:docGrid w:linePitch="381" w:charSpace="0"/>
        </w:sectPr>
      </w:pPr>
      <w:r>
        <w:rPr>
          <w:rFonts w:hint="eastAsia" w:ascii="仿宋" w:hAnsi="仿宋" w:eastAsia="仿宋" w:cs="仿宋"/>
          <w:b/>
          <w:color w:val="auto"/>
          <w:kern w:val="0"/>
          <w:sz w:val="24"/>
          <w:highlight w:val="none"/>
          <w:lang w:val="zh-CN"/>
        </w:rPr>
        <w:t>注：未按照本投标声明函要求填报的将被视为非实质性响应，从而可能导致该投标文件被拒绝。</w:t>
      </w:r>
    </w:p>
    <w:p>
      <w:pPr>
        <w:pStyle w:val="46"/>
        <w:adjustRightInd w:val="0"/>
        <w:snapToGrid w:val="0"/>
        <w:spacing w:line="360" w:lineRule="auto"/>
        <w:outlineLvl w:val="1"/>
        <w:rPr>
          <w:rFonts w:ascii="仿宋" w:hAnsi="仿宋" w:eastAsia="仿宋" w:cs="仿宋"/>
          <w:b/>
          <w:color w:val="auto"/>
          <w:sz w:val="28"/>
          <w:highlight w:val="none"/>
        </w:rPr>
      </w:pPr>
      <w:bookmarkStart w:id="104" w:name="_Toc15127"/>
      <w:r>
        <w:rPr>
          <w:rFonts w:hint="eastAsia" w:ascii="仿宋" w:hAnsi="仿宋" w:eastAsia="仿宋" w:cs="仿宋"/>
          <w:b/>
          <w:color w:val="auto"/>
          <w:kern w:val="0"/>
          <w:sz w:val="30"/>
          <w:highlight w:val="none"/>
          <w:lang w:val="zh-CN"/>
        </w:rPr>
        <w:t>格式三：</w:t>
      </w:r>
      <w:r>
        <w:rPr>
          <w:rFonts w:hint="eastAsia" w:ascii="仿宋" w:hAnsi="仿宋" w:eastAsia="仿宋" w:cs="仿宋"/>
          <w:b/>
          <w:color w:val="auto"/>
          <w:sz w:val="28"/>
          <w:highlight w:val="none"/>
        </w:rPr>
        <w:t>法定代表人身份证明或法定代表人身份证明及授权委托书</w:t>
      </w:r>
      <w:bookmarkEnd w:id="103"/>
      <w:bookmarkEnd w:id="104"/>
    </w:p>
    <w:p>
      <w:pPr>
        <w:pStyle w:val="46"/>
        <w:adjustRightInd w:val="0"/>
        <w:snapToGrid w:val="0"/>
        <w:spacing w:line="360" w:lineRule="auto"/>
        <w:jc w:val="center"/>
        <w:rPr>
          <w:rFonts w:ascii="仿宋" w:hAnsi="仿宋" w:eastAsia="仿宋" w:cs="仿宋"/>
          <w:b/>
          <w:color w:val="auto"/>
          <w:sz w:val="28"/>
          <w:highlight w:val="none"/>
        </w:rPr>
      </w:pPr>
    </w:p>
    <w:p>
      <w:pPr>
        <w:pStyle w:val="46"/>
        <w:adjustRightInd w:val="0"/>
        <w:snapToGrid w:val="0"/>
        <w:spacing w:line="360" w:lineRule="auto"/>
        <w:jc w:val="center"/>
        <w:rPr>
          <w:rFonts w:ascii="仿宋" w:hAnsi="仿宋" w:eastAsia="仿宋" w:cs="仿宋"/>
          <w:b/>
          <w:color w:val="auto"/>
          <w:kern w:val="0"/>
          <w:sz w:val="30"/>
          <w:highlight w:val="none"/>
          <w:lang w:val="zh-CN"/>
        </w:rPr>
      </w:pPr>
      <w:r>
        <w:rPr>
          <w:rFonts w:hint="eastAsia" w:ascii="仿宋" w:hAnsi="仿宋" w:eastAsia="仿宋" w:cs="仿宋"/>
          <w:b/>
          <w:color w:val="auto"/>
          <w:sz w:val="28"/>
          <w:highlight w:val="none"/>
        </w:rPr>
        <w:t>3-1法定代表人身份证明</w:t>
      </w:r>
    </w:p>
    <w:p>
      <w:pPr>
        <w:adjustRightInd w:val="0"/>
        <w:snapToGrid w:val="0"/>
        <w:spacing w:line="360" w:lineRule="auto"/>
        <w:rPr>
          <w:rFonts w:ascii="仿宋" w:hAnsi="仿宋" w:eastAsia="仿宋" w:cs="仿宋"/>
          <w:color w:val="auto"/>
          <w:sz w:val="24"/>
          <w:highlight w:val="none"/>
        </w:rPr>
      </w:pPr>
    </w:p>
    <w:p>
      <w:pPr>
        <w:adjustRightInd w:val="0"/>
        <w:snapToGrid w:val="0"/>
        <w:spacing w:line="324"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姓名：  性别：  年龄：  职务：</w:t>
      </w:r>
    </w:p>
    <w:p>
      <w:pPr>
        <w:adjustRightInd w:val="0"/>
        <w:snapToGrid w:val="0"/>
        <w:spacing w:line="324"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身份证号码：系（投标人名称）的法定代表人。</w:t>
      </w:r>
    </w:p>
    <w:p>
      <w:pPr>
        <w:adjustRightInd w:val="0"/>
        <w:snapToGrid w:val="0"/>
        <w:spacing w:line="324" w:lineRule="auto"/>
        <w:ind w:firstLine="560"/>
        <w:rPr>
          <w:rFonts w:ascii="仿宋" w:hAnsi="仿宋" w:eastAsia="仿宋" w:cs="仿宋"/>
          <w:color w:val="auto"/>
          <w:sz w:val="24"/>
          <w:highlight w:val="none"/>
        </w:rPr>
      </w:pPr>
    </w:p>
    <w:p>
      <w:pPr>
        <w:adjustRightInd w:val="0"/>
        <w:snapToGrid w:val="0"/>
        <w:spacing w:line="324"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特此证明。</w:t>
      </w:r>
    </w:p>
    <w:p>
      <w:pPr>
        <w:adjustRightInd w:val="0"/>
        <w:snapToGrid w:val="0"/>
        <w:spacing w:line="324" w:lineRule="auto"/>
        <w:rPr>
          <w:rFonts w:ascii="仿宋" w:hAnsi="仿宋" w:eastAsia="仿宋" w:cs="仿宋"/>
          <w:color w:val="auto"/>
          <w:sz w:val="24"/>
          <w:highlight w:val="none"/>
        </w:rPr>
      </w:pPr>
      <w:r>
        <w:rPr>
          <w:rFonts w:hint="eastAsia" w:ascii="仿宋" w:hAnsi="仿宋" w:eastAsia="仿宋" w:cs="仿宋"/>
          <w:color w:val="auto"/>
          <w:sz w:val="24"/>
          <w:highlight w:val="none"/>
        </w:rPr>
        <w:t>附：法定代表人身份证复印件</w:t>
      </w:r>
    </w:p>
    <w:p>
      <w:pPr>
        <w:adjustRightInd w:val="0"/>
        <w:snapToGrid w:val="0"/>
        <w:spacing w:line="324" w:lineRule="auto"/>
        <w:rPr>
          <w:rFonts w:ascii="仿宋" w:hAnsi="仿宋" w:eastAsia="仿宋" w:cs="仿宋"/>
          <w:color w:val="auto"/>
          <w:sz w:val="24"/>
          <w:highlight w:val="none"/>
        </w:rPr>
      </w:pPr>
    </w:p>
    <w:p>
      <w:pPr>
        <w:adjustRightInd w:val="0"/>
        <w:snapToGrid w:val="0"/>
        <w:spacing w:line="324" w:lineRule="auto"/>
        <w:ind w:right="1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投标人：（全称加盖公章） </w:t>
      </w:r>
    </w:p>
    <w:p>
      <w:pPr>
        <w:adjustRightInd w:val="0"/>
        <w:snapToGrid w:val="0"/>
        <w:spacing w:line="324" w:lineRule="auto"/>
        <w:ind w:right="1200"/>
        <w:rPr>
          <w:rFonts w:ascii="仿宋" w:hAnsi="仿宋" w:eastAsia="仿宋" w:cs="仿宋"/>
          <w:b/>
          <w:color w:val="auto"/>
          <w:sz w:val="24"/>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szCs w:val="24"/>
          <w:highlight w:val="none"/>
        </w:rPr>
        <w:t>2023 年  月  日</w:t>
      </w:r>
    </w:p>
    <w:tbl>
      <w:tblPr>
        <w:tblStyle w:val="8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jc w:val="center"/>
        </w:trPr>
        <w:tc>
          <w:tcPr>
            <w:tcW w:w="9242" w:type="dxa"/>
            <w:vAlign w:val="center"/>
          </w:tcPr>
          <w:p>
            <w:pPr>
              <w:adjustRightInd w:val="0"/>
              <w:snapToGrid w:val="0"/>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法定代表人身份证复印件粘贴处（正、反面）</w:t>
            </w:r>
          </w:p>
        </w:tc>
      </w:tr>
    </w:tbl>
    <w:p>
      <w:pPr>
        <w:spacing w:before="120" w:beforeLines="50" w:line="360" w:lineRule="auto"/>
        <w:jc w:val="center"/>
        <w:rPr>
          <w:rFonts w:ascii="仿宋" w:hAnsi="仿宋" w:eastAsia="仿宋" w:cs="仿宋"/>
          <w:b/>
          <w:color w:val="auto"/>
          <w:highlight w:val="none"/>
        </w:rPr>
      </w:pPr>
    </w:p>
    <w:p>
      <w:pPr>
        <w:spacing w:before="120" w:beforeLines="50" w:line="360" w:lineRule="auto"/>
        <w:jc w:val="center"/>
        <w:rPr>
          <w:rFonts w:ascii="仿宋" w:hAnsi="仿宋" w:eastAsia="仿宋" w:cs="仿宋"/>
          <w:b/>
          <w:color w:val="auto"/>
          <w:highlight w:val="none"/>
        </w:rPr>
      </w:pPr>
    </w:p>
    <w:p>
      <w:pPr>
        <w:spacing w:before="120" w:beforeLines="50" w:line="360" w:lineRule="auto"/>
        <w:jc w:val="center"/>
        <w:rPr>
          <w:rFonts w:ascii="仿宋" w:hAnsi="仿宋" w:eastAsia="仿宋" w:cs="仿宋"/>
          <w:b/>
          <w:color w:val="auto"/>
          <w:highlight w:val="none"/>
        </w:rPr>
      </w:pPr>
    </w:p>
    <w:p>
      <w:pPr>
        <w:spacing w:before="120" w:beforeLines="50"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3-2法定代表人授权委托书</w:t>
      </w:r>
    </w:p>
    <w:p>
      <w:pPr>
        <w:spacing w:line="324"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衢州市衢江区住房和城乡建设局</w:t>
      </w:r>
      <w:r>
        <w:rPr>
          <w:rFonts w:hint="eastAsia" w:ascii="仿宋" w:hAnsi="仿宋" w:eastAsia="仿宋" w:cs="仿宋"/>
          <w:color w:val="auto"/>
          <w:kern w:val="0"/>
          <w:sz w:val="24"/>
          <w:highlight w:val="none"/>
        </w:rPr>
        <w:t>：</w:t>
      </w:r>
    </w:p>
    <w:p>
      <w:pPr>
        <w:adjustRightInd w:val="0"/>
        <w:snapToGrid w:val="0"/>
        <w:spacing w:line="324" w:lineRule="auto"/>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浙江中正工程项目管理有限公司：</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本人</w:t>
      </w:r>
      <w:r>
        <w:rPr>
          <w:rFonts w:hint="eastAsia" w:ascii="仿宋" w:hAnsi="仿宋" w:eastAsia="仿宋" w:cs="仿宋"/>
          <w:color w:val="auto"/>
          <w:sz w:val="24"/>
          <w:highlight w:val="none"/>
          <w:u w:val="single"/>
        </w:rPr>
        <w:t xml:space="preserve">      （姓名）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（投标人名称）</w:t>
      </w:r>
      <w:r>
        <w:rPr>
          <w:rFonts w:hint="eastAsia" w:ascii="仿宋" w:hAnsi="仿宋" w:eastAsia="仿宋" w:cs="仿宋"/>
          <w:color w:val="auto"/>
          <w:sz w:val="24"/>
          <w:highlight w:val="none"/>
        </w:rPr>
        <w:t>的法定代表人，现委托</w:t>
      </w:r>
      <w:r>
        <w:rPr>
          <w:rFonts w:hint="eastAsia" w:ascii="仿宋" w:hAnsi="仿宋" w:eastAsia="仿宋" w:cs="仿宋"/>
          <w:color w:val="auto"/>
          <w:sz w:val="24"/>
          <w:highlight w:val="none"/>
          <w:u w:val="single"/>
        </w:rPr>
        <w:t xml:space="preserve">      （姓名）  （职务）</w:t>
      </w:r>
      <w:r>
        <w:rPr>
          <w:rFonts w:hint="eastAsia" w:ascii="仿宋" w:hAnsi="仿宋" w:eastAsia="仿宋" w:cs="仿宋"/>
          <w:color w:val="auto"/>
          <w:sz w:val="24"/>
          <w:highlight w:val="none"/>
        </w:rPr>
        <w:t>为我方授权代表，以我方名义签署、澄清、说明、补正、递交、撤回、修改</w:t>
      </w:r>
      <w:r>
        <w:rPr>
          <w:rFonts w:hint="eastAsia" w:ascii="仿宋" w:hAnsi="仿宋" w:eastAsia="仿宋" w:cs="仿宋"/>
          <w:color w:val="auto"/>
          <w:sz w:val="24"/>
          <w:highlight w:val="none"/>
          <w:u w:val="single"/>
        </w:rPr>
        <w:t>（项目名称）   (项目编号：</w:t>
      </w:r>
      <w:r>
        <w:rPr>
          <w:rFonts w:hint="eastAsia" w:ascii="仿宋" w:hAnsi="仿宋" w:eastAsia="仿宋" w:cs="仿宋"/>
          <w:color w:val="auto"/>
          <w:sz w:val="24"/>
          <w:highlight w:val="none"/>
          <w:u w:val="single"/>
          <w:lang w:eastAsia="zh-CN"/>
        </w:rPr>
        <w:t>ZZCG2023082</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投标文件、签订合同和处理有关事宜，其法律后果由我方承担。</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在撤销授权的书面通知以前，本授权书一直有效。被授权人在授权书有效期内签署的所有文件不因授权的撤销而失效。</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该授权代表无转委托权，特此委托</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1、委托代理人身份证复印件</w:t>
      </w:r>
    </w:p>
    <w:p>
      <w:pPr>
        <w:adjustRightInd w:val="0"/>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2、授权代表为投标人在职员工的证明文件（投标人为其缴纳的社保记录或劳务合同等）。</w:t>
      </w:r>
    </w:p>
    <w:p>
      <w:pPr>
        <w:adjustRightInd w:val="0"/>
        <w:snapToGrid w:val="0"/>
        <w:spacing w:line="312" w:lineRule="auto"/>
        <w:rPr>
          <w:rFonts w:ascii="仿宋" w:hAnsi="仿宋" w:eastAsia="仿宋" w:cs="仿宋"/>
          <w:color w:val="auto"/>
          <w:sz w:val="24"/>
          <w:highlight w:val="none"/>
        </w:rPr>
      </w:pPr>
    </w:p>
    <w:p>
      <w:pPr>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投标人：（全称加盖公章）</w:t>
      </w:r>
    </w:p>
    <w:p>
      <w:pPr>
        <w:adjustRightInd w:val="0"/>
        <w:snapToGrid w:val="0"/>
        <w:spacing w:line="312" w:lineRule="auto"/>
        <w:jc w:val="right"/>
        <w:rPr>
          <w:rFonts w:ascii="仿宋" w:hAnsi="仿宋" w:eastAsia="仿宋" w:cs="仿宋"/>
          <w:color w:val="auto"/>
          <w:sz w:val="24"/>
          <w:highlight w:val="none"/>
        </w:rPr>
      </w:pPr>
      <w:r>
        <w:rPr>
          <w:rFonts w:hint="eastAsia" w:ascii="仿宋" w:hAnsi="仿宋" w:eastAsia="仿宋" w:cs="仿宋"/>
          <w:color w:val="auto"/>
          <w:sz w:val="24"/>
          <w:highlight w:val="none"/>
        </w:rPr>
        <w:t>法定代表：（签字或盖章）                        授权代表：（签字或盖章）</w:t>
      </w:r>
    </w:p>
    <w:p>
      <w:pPr>
        <w:adjustRightInd w:val="0"/>
        <w:snapToGrid w:val="0"/>
        <w:spacing w:line="360" w:lineRule="auto"/>
        <w:ind w:firstLine="5160" w:firstLineChars="2150"/>
        <w:jc w:val="right"/>
        <w:rPr>
          <w:rFonts w:ascii="仿宋" w:hAnsi="仿宋" w:eastAsia="仿宋" w:cs="仿宋"/>
          <w:color w:val="auto"/>
          <w:sz w:val="24"/>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szCs w:val="24"/>
          <w:highlight w:val="none"/>
        </w:rPr>
        <w:t>2023 年  月  日</w:t>
      </w:r>
    </w:p>
    <w:tbl>
      <w:tblPr>
        <w:tblStyle w:val="88"/>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9425" w:type="dxa"/>
            <w:vAlign w:val="center"/>
          </w:tcPr>
          <w:p>
            <w:pPr>
              <w:adjustRightInd w:val="0"/>
              <w:snapToGrid w:val="0"/>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授权代表身份证复印件粘贴处（正、反面）</w:t>
            </w:r>
          </w:p>
        </w:tc>
      </w:tr>
    </w:tbl>
    <w:p>
      <w:pPr>
        <w:adjustRightInd w:val="0"/>
        <w:snapToGrid w:val="0"/>
        <w:spacing w:line="312"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注：如投标文件由授权代表签字或盖章的，投标文件必须附此授权委托书，否则视为无效投标文件。</w:t>
      </w:r>
    </w:p>
    <w:bookmarkEnd w:id="98"/>
    <w:p>
      <w:pPr>
        <w:pStyle w:val="46"/>
        <w:adjustRightInd w:val="0"/>
        <w:snapToGrid w:val="0"/>
        <w:spacing w:line="360" w:lineRule="auto"/>
        <w:jc w:val="center"/>
        <w:outlineLvl w:val="1"/>
        <w:rPr>
          <w:rFonts w:ascii="仿宋" w:hAnsi="仿宋" w:eastAsia="仿宋" w:cs="仿宋"/>
          <w:b/>
          <w:color w:val="auto"/>
          <w:kern w:val="0"/>
          <w:sz w:val="30"/>
          <w:highlight w:val="none"/>
          <w:lang w:val="zh-CN"/>
        </w:rPr>
      </w:pPr>
      <w:bookmarkStart w:id="105" w:name="_Toc522530054"/>
      <w:bookmarkStart w:id="106" w:name="_Toc391277571"/>
      <w:bookmarkStart w:id="107" w:name="_Toc354859475"/>
      <w:bookmarkStart w:id="108" w:name="_Toc354859632"/>
      <w:bookmarkStart w:id="109" w:name="_Toc233618991"/>
      <w:bookmarkStart w:id="110" w:name="_Toc354859551"/>
    </w:p>
    <w:p>
      <w:pPr>
        <w:pStyle w:val="46"/>
        <w:adjustRightInd w:val="0"/>
        <w:snapToGrid w:val="0"/>
        <w:spacing w:line="360" w:lineRule="auto"/>
        <w:jc w:val="center"/>
        <w:outlineLvl w:val="1"/>
        <w:rPr>
          <w:rFonts w:ascii="仿宋" w:hAnsi="仿宋" w:eastAsia="仿宋" w:cs="仿宋"/>
          <w:b/>
          <w:color w:val="auto"/>
          <w:kern w:val="0"/>
          <w:sz w:val="30"/>
          <w:highlight w:val="none"/>
          <w:lang w:val="zh-CN"/>
        </w:rPr>
      </w:pPr>
    </w:p>
    <w:p>
      <w:pPr>
        <w:pStyle w:val="46"/>
        <w:adjustRightInd w:val="0"/>
        <w:snapToGrid w:val="0"/>
        <w:spacing w:line="360" w:lineRule="auto"/>
        <w:outlineLvl w:val="1"/>
        <w:rPr>
          <w:rFonts w:ascii="仿宋" w:hAnsi="仿宋" w:eastAsia="仿宋" w:cs="仿宋"/>
          <w:b/>
          <w:color w:val="auto"/>
          <w:kern w:val="0"/>
          <w:sz w:val="30"/>
          <w:highlight w:val="none"/>
          <w:lang w:val="zh-CN"/>
        </w:rPr>
      </w:pPr>
    </w:p>
    <w:p>
      <w:pPr>
        <w:pStyle w:val="46"/>
        <w:adjustRightInd w:val="0"/>
        <w:snapToGrid w:val="0"/>
        <w:spacing w:line="360" w:lineRule="auto"/>
        <w:outlineLvl w:val="1"/>
        <w:rPr>
          <w:rFonts w:ascii="仿宋" w:hAnsi="仿宋" w:eastAsia="仿宋" w:cs="仿宋"/>
          <w:b/>
          <w:color w:val="auto"/>
          <w:kern w:val="0"/>
          <w:sz w:val="30"/>
          <w:highlight w:val="none"/>
          <w:lang w:val="zh-CN"/>
        </w:rPr>
      </w:pPr>
    </w:p>
    <w:p>
      <w:pPr>
        <w:pStyle w:val="46"/>
        <w:adjustRightInd w:val="0"/>
        <w:snapToGrid w:val="0"/>
        <w:spacing w:line="360" w:lineRule="auto"/>
        <w:outlineLvl w:val="1"/>
        <w:rPr>
          <w:rFonts w:ascii="仿宋" w:hAnsi="仿宋" w:eastAsia="仿宋" w:cs="仿宋"/>
          <w:b/>
          <w:color w:val="auto"/>
          <w:kern w:val="0"/>
          <w:sz w:val="30"/>
          <w:highlight w:val="none"/>
          <w:lang w:val="zh-CN"/>
        </w:rPr>
      </w:pPr>
    </w:p>
    <w:bookmarkEnd w:id="105"/>
    <w:p>
      <w:pPr>
        <w:pStyle w:val="46"/>
        <w:adjustRightInd w:val="0"/>
        <w:snapToGrid w:val="0"/>
        <w:spacing w:line="360" w:lineRule="auto"/>
        <w:jc w:val="center"/>
        <w:outlineLvl w:val="1"/>
        <w:rPr>
          <w:rFonts w:ascii="仿宋" w:hAnsi="仿宋" w:eastAsia="仿宋" w:cs="仿宋"/>
          <w:b/>
          <w:color w:val="auto"/>
          <w:kern w:val="0"/>
          <w:sz w:val="28"/>
          <w:szCs w:val="28"/>
          <w:highlight w:val="none"/>
          <w:lang w:val="zh-CN"/>
        </w:rPr>
      </w:pPr>
      <w:bookmarkStart w:id="111" w:name="_Toc25910"/>
      <w:bookmarkStart w:id="112" w:name="_Toc522530055"/>
      <w:r>
        <w:rPr>
          <w:rFonts w:hint="eastAsia" w:ascii="仿宋" w:hAnsi="仿宋" w:eastAsia="仿宋" w:cs="仿宋"/>
          <w:b/>
          <w:color w:val="auto"/>
          <w:sz w:val="28"/>
          <w:szCs w:val="28"/>
          <w:highlight w:val="none"/>
        </w:rPr>
        <w:t>格式四：</w:t>
      </w:r>
      <w:r>
        <w:rPr>
          <w:rFonts w:hint="eastAsia" w:ascii="仿宋" w:hAnsi="仿宋" w:eastAsia="仿宋" w:cs="仿宋"/>
          <w:b/>
          <w:color w:val="auto"/>
          <w:kern w:val="0"/>
          <w:sz w:val="28"/>
          <w:szCs w:val="28"/>
          <w:highlight w:val="none"/>
          <w:lang w:val="zh-CN"/>
        </w:rPr>
        <w:t>以往业绩情况表</w:t>
      </w:r>
    </w:p>
    <w:tbl>
      <w:tblPr>
        <w:tblStyle w:val="88"/>
        <w:tblW w:w="9084"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820"/>
        <w:gridCol w:w="1980"/>
        <w:gridCol w:w="1605"/>
        <w:gridCol w:w="112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autoSpaceDE w:val="0"/>
              <w:autoSpaceDN w:val="0"/>
              <w:adjustRightInd w:val="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序号</w:t>
            </w:r>
          </w:p>
        </w:tc>
        <w:tc>
          <w:tcPr>
            <w:tcW w:w="3820" w:type="dxa"/>
            <w:vAlign w:val="center"/>
          </w:tcPr>
          <w:p>
            <w:pPr>
              <w:autoSpaceDE w:val="0"/>
              <w:autoSpaceDN w:val="0"/>
              <w:adjustRightInd w:val="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项目名称</w:t>
            </w:r>
          </w:p>
        </w:tc>
        <w:tc>
          <w:tcPr>
            <w:tcW w:w="1980" w:type="dxa"/>
            <w:vAlign w:val="center"/>
          </w:tcPr>
          <w:p>
            <w:pPr>
              <w:autoSpaceDE w:val="0"/>
              <w:autoSpaceDN w:val="0"/>
              <w:adjustRightInd w:val="0"/>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业主名称</w:t>
            </w:r>
          </w:p>
        </w:tc>
        <w:tc>
          <w:tcPr>
            <w:tcW w:w="1605" w:type="dxa"/>
            <w:vAlign w:val="center"/>
          </w:tcPr>
          <w:p>
            <w:pPr>
              <w:autoSpaceDE w:val="0"/>
              <w:autoSpaceDN w:val="0"/>
              <w:adjustRightInd w:val="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签订日期</w:t>
            </w:r>
          </w:p>
        </w:tc>
        <w:tc>
          <w:tcPr>
            <w:tcW w:w="1125" w:type="dxa"/>
            <w:vAlign w:val="center"/>
          </w:tcPr>
          <w:p>
            <w:pPr>
              <w:autoSpaceDE w:val="0"/>
              <w:autoSpaceDN w:val="0"/>
              <w:adjustRightInd w:val="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4"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820" w:type="dxa"/>
            <w:vAlign w:val="center"/>
          </w:tcPr>
          <w:p>
            <w:pPr>
              <w:autoSpaceDE w:val="0"/>
              <w:autoSpaceDN w:val="0"/>
              <w:adjustRightInd w:val="0"/>
              <w:rPr>
                <w:rFonts w:ascii="仿宋" w:hAnsi="仿宋" w:eastAsia="仿宋" w:cs="仿宋"/>
                <w:color w:val="auto"/>
                <w:kern w:val="0"/>
                <w:sz w:val="24"/>
                <w:highlight w:val="none"/>
              </w:rPr>
            </w:pPr>
          </w:p>
        </w:tc>
        <w:tc>
          <w:tcPr>
            <w:tcW w:w="1980" w:type="dxa"/>
            <w:vAlign w:val="center"/>
          </w:tcPr>
          <w:p>
            <w:pPr>
              <w:autoSpaceDE w:val="0"/>
              <w:autoSpaceDN w:val="0"/>
              <w:adjustRightInd w:val="0"/>
              <w:rPr>
                <w:rFonts w:ascii="仿宋" w:hAnsi="仿宋" w:eastAsia="仿宋" w:cs="仿宋"/>
                <w:color w:val="auto"/>
                <w:kern w:val="0"/>
                <w:sz w:val="24"/>
                <w:highlight w:val="none"/>
              </w:rPr>
            </w:pPr>
          </w:p>
        </w:tc>
        <w:tc>
          <w:tcPr>
            <w:tcW w:w="1605" w:type="dxa"/>
            <w:vAlign w:val="center"/>
          </w:tcPr>
          <w:p>
            <w:pPr>
              <w:autoSpaceDE w:val="0"/>
              <w:autoSpaceDN w:val="0"/>
              <w:adjustRightInd w:val="0"/>
              <w:rPr>
                <w:rFonts w:ascii="仿宋" w:hAnsi="仿宋" w:eastAsia="仿宋" w:cs="仿宋"/>
                <w:color w:val="auto"/>
                <w:kern w:val="0"/>
                <w:sz w:val="24"/>
                <w:highlight w:val="none"/>
              </w:rPr>
            </w:pPr>
          </w:p>
        </w:tc>
        <w:tc>
          <w:tcPr>
            <w:tcW w:w="1125" w:type="dxa"/>
            <w:vAlign w:val="center"/>
          </w:tcPr>
          <w:p>
            <w:pPr>
              <w:autoSpaceDE w:val="0"/>
              <w:autoSpaceDN w:val="0"/>
              <w:adjustRightInd w:val="0"/>
              <w:rPr>
                <w:rFonts w:ascii="仿宋" w:hAnsi="仿宋" w:eastAsia="仿宋" w:cs="仿宋"/>
                <w:color w:val="auto"/>
                <w:kern w:val="0"/>
                <w:sz w:val="24"/>
                <w:highlight w:val="none"/>
              </w:rPr>
            </w:pPr>
          </w:p>
        </w:tc>
      </w:tr>
    </w:tbl>
    <w:p>
      <w:pPr>
        <w:adjustRightInd w:val="0"/>
        <w:snapToGrid w:val="0"/>
        <w:spacing w:line="360" w:lineRule="auto"/>
        <w:rPr>
          <w:rFonts w:ascii="仿宋" w:hAnsi="仿宋" w:eastAsia="仿宋" w:cs="仿宋"/>
          <w:b/>
          <w:color w:val="auto"/>
          <w:sz w:val="24"/>
          <w:highlight w:val="none"/>
        </w:rPr>
      </w:pPr>
      <w:r>
        <w:rPr>
          <w:rFonts w:hint="eastAsia" w:ascii="仿宋" w:hAnsi="仿宋" w:eastAsia="仿宋" w:cs="仿宋"/>
          <w:b/>
          <w:color w:val="auto"/>
          <w:kern w:val="0"/>
          <w:sz w:val="24"/>
          <w:highlight w:val="none"/>
        </w:rPr>
        <w:t>注：本表后附评分办法中要求的证明材料。</w:t>
      </w:r>
    </w:p>
    <w:p>
      <w:pPr>
        <w:adjustRightInd w:val="0"/>
        <w:snapToGrid w:val="0"/>
        <w:spacing w:line="360" w:lineRule="auto"/>
        <w:jc w:val="center"/>
        <w:rPr>
          <w:rFonts w:ascii="仿宋" w:hAnsi="仿宋" w:eastAsia="仿宋" w:cs="仿宋"/>
          <w:b/>
          <w:color w:val="auto"/>
          <w:sz w:val="24"/>
          <w:highlight w:val="none"/>
        </w:rPr>
      </w:pPr>
    </w:p>
    <w:p>
      <w:pPr>
        <w:pStyle w:val="46"/>
        <w:adjustRightInd w:val="0"/>
        <w:snapToGrid w:val="0"/>
        <w:spacing w:line="360" w:lineRule="auto"/>
        <w:jc w:val="center"/>
        <w:outlineLvl w:val="1"/>
        <w:rPr>
          <w:rFonts w:ascii="仿宋" w:hAnsi="仿宋" w:eastAsia="仿宋" w:cs="仿宋"/>
          <w:b/>
          <w:color w:val="auto"/>
          <w:sz w:val="28"/>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2023</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highlight w:val="none"/>
        </w:rPr>
      </w:pPr>
    </w:p>
    <w:p>
      <w:pPr>
        <w:autoSpaceDE w:val="0"/>
        <w:autoSpaceDN w:val="0"/>
        <w:adjustRightInd w:val="0"/>
        <w:spacing w:line="440" w:lineRule="exact"/>
        <w:jc w:val="center"/>
        <w:rPr>
          <w:rFonts w:ascii="仿宋" w:hAnsi="仿宋" w:eastAsia="仿宋" w:cs="仿宋"/>
          <w:color w:val="auto"/>
          <w:szCs w:val="28"/>
          <w:highlight w:val="none"/>
          <w:lang w:val="zh-CN"/>
        </w:rPr>
      </w:pPr>
      <w:r>
        <w:rPr>
          <w:rFonts w:hint="eastAsia" w:ascii="仿宋" w:hAnsi="仿宋" w:eastAsia="仿宋" w:cs="仿宋"/>
          <w:b/>
          <w:color w:val="auto"/>
          <w:highlight w:val="none"/>
        </w:rPr>
        <w:t>格式五：</w:t>
      </w:r>
      <w:bookmarkEnd w:id="111"/>
      <w:bookmarkEnd w:id="112"/>
      <w:r>
        <w:rPr>
          <w:rFonts w:hint="eastAsia" w:ascii="仿宋" w:hAnsi="仿宋" w:eastAsia="仿宋" w:cs="仿宋"/>
          <w:b/>
          <w:color w:val="auto"/>
          <w:szCs w:val="28"/>
          <w:highlight w:val="none"/>
        </w:rPr>
        <w:t>拟派的项目组人员情况</w:t>
      </w:r>
    </w:p>
    <w:tbl>
      <w:tblPr>
        <w:tblStyle w:val="88"/>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10"/>
        <w:gridCol w:w="900"/>
        <w:gridCol w:w="720"/>
        <w:gridCol w:w="1245"/>
        <w:gridCol w:w="1410"/>
        <w:gridCol w:w="159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7"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410"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900"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性别</w:t>
            </w:r>
          </w:p>
        </w:tc>
        <w:tc>
          <w:tcPr>
            <w:tcW w:w="720"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年龄</w:t>
            </w:r>
          </w:p>
        </w:tc>
        <w:tc>
          <w:tcPr>
            <w:tcW w:w="1245"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本项目中的职责</w:t>
            </w:r>
          </w:p>
        </w:tc>
        <w:tc>
          <w:tcPr>
            <w:tcW w:w="1410"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学历/职称</w:t>
            </w:r>
          </w:p>
        </w:tc>
        <w:tc>
          <w:tcPr>
            <w:tcW w:w="1590"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参与本项目的到位情况</w:t>
            </w:r>
          </w:p>
        </w:tc>
        <w:tc>
          <w:tcPr>
            <w:tcW w:w="835"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7" w:type="dxa"/>
          </w:tcPr>
          <w:p>
            <w:pPr>
              <w:spacing w:line="440" w:lineRule="exact"/>
              <w:jc w:val="center"/>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900" w:type="dxa"/>
          </w:tcPr>
          <w:p>
            <w:pPr>
              <w:spacing w:line="440" w:lineRule="exact"/>
              <w:rPr>
                <w:rFonts w:ascii="仿宋" w:hAnsi="仿宋" w:eastAsia="仿宋" w:cs="仿宋"/>
                <w:color w:val="auto"/>
                <w:sz w:val="24"/>
                <w:szCs w:val="24"/>
                <w:highlight w:val="none"/>
              </w:rPr>
            </w:pPr>
          </w:p>
        </w:tc>
        <w:tc>
          <w:tcPr>
            <w:tcW w:w="720" w:type="dxa"/>
          </w:tcPr>
          <w:p>
            <w:pPr>
              <w:spacing w:line="440" w:lineRule="exact"/>
              <w:rPr>
                <w:rFonts w:ascii="仿宋" w:hAnsi="仿宋" w:eastAsia="仿宋" w:cs="仿宋"/>
                <w:color w:val="auto"/>
                <w:sz w:val="24"/>
                <w:szCs w:val="24"/>
                <w:highlight w:val="none"/>
              </w:rPr>
            </w:pPr>
          </w:p>
        </w:tc>
        <w:tc>
          <w:tcPr>
            <w:tcW w:w="1245" w:type="dxa"/>
          </w:tcPr>
          <w:p>
            <w:pPr>
              <w:spacing w:line="440" w:lineRule="exact"/>
              <w:rPr>
                <w:rFonts w:ascii="仿宋" w:hAnsi="仿宋" w:eastAsia="仿宋" w:cs="仿宋"/>
                <w:color w:val="auto"/>
                <w:sz w:val="24"/>
                <w:szCs w:val="24"/>
                <w:highlight w:val="none"/>
              </w:rPr>
            </w:pPr>
          </w:p>
        </w:tc>
        <w:tc>
          <w:tcPr>
            <w:tcW w:w="1410" w:type="dxa"/>
          </w:tcPr>
          <w:p>
            <w:pPr>
              <w:spacing w:line="440" w:lineRule="exact"/>
              <w:rPr>
                <w:rFonts w:ascii="仿宋" w:hAnsi="仿宋" w:eastAsia="仿宋" w:cs="仿宋"/>
                <w:color w:val="auto"/>
                <w:sz w:val="24"/>
                <w:szCs w:val="24"/>
                <w:highlight w:val="none"/>
              </w:rPr>
            </w:pPr>
          </w:p>
        </w:tc>
        <w:tc>
          <w:tcPr>
            <w:tcW w:w="1590" w:type="dxa"/>
          </w:tcPr>
          <w:p>
            <w:pPr>
              <w:spacing w:line="440" w:lineRule="exact"/>
              <w:rPr>
                <w:rFonts w:ascii="仿宋" w:hAnsi="仿宋" w:eastAsia="仿宋" w:cs="仿宋"/>
                <w:color w:val="auto"/>
                <w:sz w:val="24"/>
                <w:szCs w:val="24"/>
                <w:highlight w:val="none"/>
              </w:rPr>
            </w:pPr>
          </w:p>
        </w:tc>
        <w:tc>
          <w:tcPr>
            <w:tcW w:w="835" w:type="dxa"/>
          </w:tcPr>
          <w:p>
            <w:pPr>
              <w:spacing w:line="440" w:lineRule="exact"/>
              <w:rPr>
                <w:rFonts w:ascii="仿宋" w:hAnsi="仿宋" w:eastAsia="仿宋" w:cs="仿宋"/>
                <w:color w:val="auto"/>
                <w:sz w:val="24"/>
                <w:szCs w:val="24"/>
                <w:highlight w:val="none"/>
              </w:rPr>
            </w:pPr>
          </w:p>
        </w:tc>
      </w:tr>
    </w:tbl>
    <w:p>
      <w:pPr>
        <w:adjustRightInd w:val="0"/>
        <w:snapToGrid w:val="0"/>
        <w:spacing w:line="360" w:lineRule="auto"/>
        <w:rPr>
          <w:rFonts w:ascii="仿宋" w:hAnsi="仿宋" w:eastAsia="仿宋" w:cs="仿宋"/>
          <w:bCs/>
          <w:color w:val="auto"/>
          <w:kern w:val="0"/>
          <w:sz w:val="21"/>
          <w:szCs w:val="21"/>
          <w:highlight w:val="none"/>
        </w:rPr>
      </w:pPr>
      <w:r>
        <w:rPr>
          <w:rFonts w:hint="eastAsia" w:ascii="仿宋" w:hAnsi="仿宋" w:eastAsia="仿宋" w:cs="仿宋"/>
          <w:bCs/>
          <w:color w:val="auto"/>
          <w:kern w:val="0"/>
          <w:sz w:val="21"/>
          <w:szCs w:val="21"/>
          <w:highlight w:val="none"/>
        </w:rPr>
        <w:t>注：1、本表后附对应的人员相关证明材料及投标截止时间</w:t>
      </w:r>
      <w:r>
        <w:rPr>
          <w:rFonts w:hint="eastAsia" w:ascii="仿宋" w:hAnsi="仿宋" w:eastAsia="仿宋" w:cs="仿宋"/>
          <w:bCs/>
          <w:color w:val="auto"/>
          <w:kern w:val="0"/>
          <w:sz w:val="21"/>
          <w:szCs w:val="21"/>
          <w:highlight w:val="none"/>
          <w:lang w:val="zh-CN"/>
        </w:rPr>
        <w:t>前连续三个月</w:t>
      </w:r>
      <w:r>
        <w:rPr>
          <w:rFonts w:hint="eastAsia" w:ascii="仿宋" w:hAnsi="仿宋" w:eastAsia="仿宋" w:cs="仿宋"/>
          <w:bCs/>
          <w:color w:val="auto"/>
          <w:kern w:val="0"/>
          <w:sz w:val="21"/>
          <w:szCs w:val="21"/>
          <w:highlight w:val="none"/>
        </w:rPr>
        <w:t>投标单位为其缴纳的养老保险缴纳凭证。</w:t>
      </w:r>
    </w:p>
    <w:p>
      <w:pPr>
        <w:numPr>
          <w:ilvl w:val="0"/>
          <w:numId w:val="17"/>
        </w:numPr>
        <w:adjustRightInd w:val="0"/>
        <w:snapToGrid w:val="0"/>
        <w:rPr>
          <w:rFonts w:ascii="仿宋" w:hAnsi="仿宋" w:eastAsia="仿宋" w:cs="仿宋"/>
          <w:bCs/>
          <w:color w:val="auto"/>
          <w:kern w:val="0"/>
          <w:sz w:val="21"/>
          <w:szCs w:val="21"/>
          <w:highlight w:val="none"/>
        </w:rPr>
      </w:pPr>
      <w:r>
        <w:rPr>
          <w:rFonts w:hint="eastAsia" w:ascii="仿宋" w:hAnsi="仿宋" w:eastAsia="仿宋" w:cs="仿宋"/>
          <w:bCs/>
          <w:color w:val="auto"/>
          <w:kern w:val="0"/>
          <w:sz w:val="21"/>
          <w:szCs w:val="21"/>
          <w:highlight w:val="none"/>
        </w:rPr>
        <w:t>列入本表人员如要更换，需经采购单位同意；擅自更换或不到位属违约行为。</w:t>
      </w:r>
    </w:p>
    <w:p>
      <w:pPr>
        <w:adjustRightInd w:val="0"/>
        <w:snapToGrid w:val="0"/>
        <w:rPr>
          <w:rFonts w:ascii="仿宋" w:hAnsi="仿宋" w:eastAsia="仿宋" w:cs="仿宋"/>
          <w:bCs/>
          <w:color w:val="auto"/>
          <w:kern w:val="0"/>
          <w:sz w:val="21"/>
          <w:szCs w:val="21"/>
          <w:highlight w:val="none"/>
        </w:rPr>
      </w:pPr>
      <w:r>
        <w:rPr>
          <w:rFonts w:hint="eastAsia" w:ascii="仿宋" w:hAnsi="仿宋" w:eastAsia="仿宋" w:cs="仿宋"/>
          <w:bCs/>
          <w:color w:val="auto"/>
          <w:kern w:val="0"/>
          <w:sz w:val="21"/>
          <w:szCs w:val="21"/>
          <w:highlight w:val="none"/>
        </w:rPr>
        <w:t>3、表格可以延续。</w:t>
      </w:r>
    </w:p>
    <w:p>
      <w:pPr>
        <w:adjustRightInd w:val="0"/>
        <w:snapToGrid w:val="0"/>
        <w:rPr>
          <w:rFonts w:ascii="仿宋" w:hAnsi="仿宋" w:eastAsia="仿宋" w:cs="仿宋"/>
          <w:b/>
          <w:color w:val="auto"/>
          <w:kern w:val="0"/>
          <w:sz w:val="24"/>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2023</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pStyle w:val="102"/>
        <w:ind w:firstLine="482"/>
        <w:rPr>
          <w:rFonts w:ascii="仿宋" w:hAnsi="仿宋" w:eastAsia="仿宋" w:cs="仿宋"/>
          <w:b/>
          <w:color w:val="auto"/>
          <w:highlight w:val="none"/>
        </w:rPr>
      </w:pPr>
    </w:p>
    <w:p>
      <w:pPr>
        <w:pStyle w:val="102"/>
        <w:ind w:firstLine="482"/>
        <w:rPr>
          <w:rFonts w:ascii="仿宋" w:hAnsi="仿宋" w:eastAsia="仿宋" w:cs="仿宋"/>
          <w:b/>
          <w:color w:val="auto"/>
          <w:highlight w:val="none"/>
        </w:rPr>
      </w:pPr>
    </w:p>
    <w:p>
      <w:pPr>
        <w:pStyle w:val="102"/>
        <w:ind w:firstLine="482"/>
        <w:rPr>
          <w:rFonts w:ascii="仿宋" w:hAnsi="仿宋" w:eastAsia="仿宋" w:cs="仿宋"/>
          <w:b/>
          <w:color w:val="auto"/>
          <w:highlight w:val="none"/>
        </w:rPr>
      </w:pPr>
    </w:p>
    <w:p>
      <w:pPr>
        <w:pStyle w:val="36"/>
        <w:ind w:left="560"/>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rPr>
          <w:rFonts w:ascii="仿宋" w:hAnsi="仿宋" w:eastAsia="仿宋" w:cs="仿宋"/>
          <w:color w:val="auto"/>
          <w:highlight w:val="none"/>
        </w:rPr>
      </w:pPr>
    </w:p>
    <w:p>
      <w:pPr>
        <w:pStyle w:val="36"/>
        <w:ind w:left="560"/>
        <w:rPr>
          <w:rFonts w:ascii="仿宋" w:hAnsi="仿宋" w:eastAsia="仿宋" w:cs="仿宋"/>
          <w:color w:val="auto"/>
          <w:highlight w:val="none"/>
        </w:rPr>
      </w:pPr>
    </w:p>
    <w:p>
      <w:pPr>
        <w:pStyle w:val="34"/>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rPr>
          <w:rFonts w:ascii="仿宋" w:hAnsi="仿宋" w:eastAsia="仿宋" w:cs="仿宋"/>
          <w:color w:val="auto"/>
          <w:highlight w:val="none"/>
        </w:rPr>
      </w:pPr>
    </w:p>
    <w:p>
      <w:pPr>
        <w:pStyle w:val="87"/>
        <w:ind w:firstLine="210"/>
        <w:rPr>
          <w:rFonts w:ascii="仿宋" w:hAnsi="仿宋" w:eastAsia="仿宋" w:cs="仿宋"/>
          <w:color w:val="auto"/>
          <w:highlight w:val="none"/>
        </w:rPr>
      </w:pPr>
    </w:p>
    <w:p>
      <w:pPr>
        <w:rPr>
          <w:rFonts w:ascii="仿宋" w:hAnsi="仿宋" w:eastAsia="仿宋" w:cs="仿宋"/>
          <w:color w:val="auto"/>
          <w:highlight w:val="none"/>
        </w:rPr>
      </w:pPr>
    </w:p>
    <w:p>
      <w:pPr>
        <w:adjustRightInd w:val="0"/>
        <w:snapToGrid w:val="0"/>
        <w:spacing w:line="360" w:lineRule="auto"/>
        <w:jc w:val="center"/>
        <w:rPr>
          <w:rFonts w:ascii="仿宋" w:hAnsi="仿宋" w:eastAsia="仿宋" w:cs="仿宋"/>
          <w:b/>
          <w:color w:val="auto"/>
          <w:highlight w:val="none"/>
        </w:rPr>
      </w:pPr>
      <w:bookmarkStart w:id="113" w:name="_Toc8841"/>
      <w:bookmarkStart w:id="114" w:name="_Toc522530058"/>
      <w:r>
        <w:rPr>
          <w:rFonts w:hint="eastAsia" w:ascii="仿宋" w:hAnsi="仿宋" w:eastAsia="仿宋" w:cs="仿宋"/>
          <w:b/>
          <w:color w:val="auto"/>
          <w:highlight w:val="none"/>
        </w:rPr>
        <w:t>格式六：商务技术偏离表</w:t>
      </w:r>
    </w:p>
    <w:p>
      <w:pPr>
        <w:spacing w:line="700" w:lineRule="exact"/>
        <w:jc w:val="center"/>
        <w:rPr>
          <w:rFonts w:ascii="仿宋" w:hAnsi="仿宋" w:eastAsia="仿宋" w:cs="仿宋"/>
          <w:b/>
          <w:color w:val="auto"/>
          <w:highlight w:val="none"/>
        </w:rPr>
      </w:pPr>
    </w:p>
    <w:tbl>
      <w:tblPr>
        <w:tblStyle w:val="88"/>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693"/>
        <w:gridCol w:w="2593"/>
        <w:gridCol w:w="1431"/>
        <w:gridCol w:w="184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693" w:type="dxa"/>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招标文件要求</w:t>
            </w:r>
          </w:p>
        </w:tc>
        <w:tc>
          <w:tcPr>
            <w:tcW w:w="2593" w:type="dxa"/>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投标文件响应</w:t>
            </w:r>
          </w:p>
        </w:tc>
        <w:tc>
          <w:tcPr>
            <w:tcW w:w="1431" w:type="dxa"/>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正/负偏离</w:t>
            </w:r>
          </w:p>
        </w:tc>
        <w:tc>
          <w:tcPr>
            <w:tcW w:w="1848" w:type="dxa"/>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理由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w:t>
            </w:r>
          </w:p>
        </w:tc>
        <w:tc>
          <w:tcPr>
            <w:tcW w:w="2693" w:type="dxa"/>
            <w:vAlign w:val="center"/>
          </w:tcPr>
          <w:p>
            <w:pPr>
              <w:adjustRightInd w:val="0"/>
              <w:snapToGrid w:val="0"/>
              <w:jc w:val="center"/>
              <w:rPr>
                <w:rFonts w:ascii="仿宋" w:hAnsi="仿宋" w:eastAsia="仿宋" w:cs="仿宋"/>
                <w:color w:val="auto"/>
                <w:sz w:val="24"/>
                <w:highlight w:val="none"/>
              </w:rPr>
            </w:pPr>
          </w:p>
        </w:tc>
        <w:tc>
          <w:tcPr>
            <w:tcW w:w="2593" w:type="dxa"/>
            <w:vAlign w:val="center"/>
          </w:tcPr>
          <w:p>
            <w:pPr>
              <w:adjustRightInd w:val="0"/>
              <w:snapToGrid w:val="0"/>
              <w:jc w:val="center"/>
              <w:rPr>
                <w:rFonts w:ascii="仿宋" w:hAnsi="仿宋" w:eastAsia="仿宋" w:cs="仿宋"/>
                <w:color w:val="auto"/>
                <w:sz w:val="24"/>
                <w:highlight w:val="none"/>
              </w:rPr>
            </w:pPr>
          </w:p>
        </w:tc>
        <w:tc>
          <w:tcPr>
            <w:tcW w:w="1431" w:type="dxa"/>
            <w:vAlign w:val="center"/>
          </w:tcPr>
          <w:p>
            <w:pPr>
              <w:adjustRightInd w:val="0"/>
              <w:snapToGrid w:val="0"/>
              <w:jc w:val="center"/>
              <w:rPr>
                <w:rFonts w:ascii="仿宋" w:hAnsi="仿宋" w:eastAsia="仿宋" w:cs="仿宋"/>
                <w:color w:val="auto"/>
                <w:sz w:val="24"/>
                <w:highlight w:val="none"/>
              </w:rPr>
            </w:pPr>
          </w:p>
        </w:tc>
        <w:tc>
          <w:tcPr>
            <w:tcW w:w="1848" w:type="dxa"/>
            <w:vAlign w:val="center"/>
          </w:tcPr>
          <w:p>
            <w:pPr>
              <w:adjustRightInd w:val="0"/>
              <w:snapToGrid w:val="0"/>
              <w:jc w:val="center"/>
              <w:rPr>
                <w:rFonts w:ascii="仿宋" w:hAnsi="仿宋" w:eastAsia="仿宋" w:cs="仿宋"/>
                <w:color w:val="auto"/>
                <w:sz w:val="24"/>
                <w:highlight w:val="none"/>
              </w:rPr>
            </w:pPr>
          </w:p>
        </w:tc>
      </w:tr>
    </w:tbl>
    <w:p>
      <w:pPr>
        <w:autoSpaceDE w:val="0"/>
        <w:autoSpaceDN w:val="0"/>
        <w:adjustRightInd w:val="0"/>
        <w:spacing w:line="360" w:lineRule="auto"/>
        <w:ind w:firstLine="5160" w:firstLineChars="2150"/>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注：“商务技术偏离”是指对“第三部分  采购内容及需求”中条款的偏离。本表仅在有偏离时填写，注明是正/负偏离，并说明理由。“投标文件响应”复制“招标文件要求”内容，不填写或未提供偏离表均视为无偏离。</w:t>
      </w:r>
    </w:p>
    <w:p>
      <w:pPr>
        <w:adjustRightInd w:val="0"/>
        <w:snapToGrid w:val="0"/>
        <w:spacing w:line="360" w:lineRule="auto"/>
        <w:rPr>
          <w:rFonts w:ascii="仿宋" w:hAnsi="仿宋" w:eastAsia="仿宋" w:cs="仿宋"/>
          <w:color w:val="auto"/>
          <w:kern w:val="0"/>
          <w:sz w:val="24"/>
          <w:highlight w:val="none"/>
          <w:lang w:val="zh-CN"/>
        </w:rPr>
      </w:pPr>
    </w:p>
    <w:p>
      <w:pPr>
        <w:pStyle w:val="4"/>
        <w:ind w:left="0" w:firstLine="0"/>
        <w:jc w:val="center"/>
        <w:rPr>
          <w:rFonts w:ascii="仿宋" w:hAnsi="仿宋" w:eastAsia="仿宋" w:cs="仿宋"/>
          <w:color w:val="auto"/>
          <w:sz w:val="28"/>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2023</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adjustRightInd w:val="0"/>
        <w:snapToGrid w:val="0"/>
        <w:spacing w:line="360" w:lineRule="auto"/>
        <w:rPr>
          <w:rFonts w:ascii="仿宋" w:hAnsi="仿宋" w:eastAsia="仿宋" w:cs="仿宋"/>
          <w:color w:val="auto"/>
          <w:kern w:val="0"/>
          <w:sz w:val="24"/>
          <w:highlight w:val="none"/>
          <w:lang w:val="zh-CN"/>
        </w:rPr>
      </w:pPr>
    </w:p>
    <w:p>
      <w:pPr>
        <w:spacing w:line="700" w:lineRule="exact"/>
        <w:jc w:val="center"/>
        <w:rPr>
          <w:rFonts w:ascii="仿宋" w:hAnsi="仿宋" w:eastAsia="仿宋" w:cs="仿宋"/>
          <w:b/>
          <w:color w:val="auto"/>
          <w:highlight w:val="none"/>
        </w:rPr>
      </w:pPr>
      <w:r>
        <w:rPr>
          <w:rFonts w:hint="eastAsia" w:ascii="仿宋" w:hAnsi="仿宋" w:eastAsia="仿宋" w:cs="仿宋"/>
          <w:b/>
          <w:color w:val="auto"/>
          <w:highlight w:val="none"/>
        </w:rPr>
        <w:t>格式七：开标一览表</w:t>
      </w:r>
      <w:bookmarkEnd w:id="106"/>
      <w:bookmarkEnd w:id="107"/>
      <w:bookmarkEnd w:id="108"/>
      <w:bookmarkEnd w:id="109"/>
      <w:bookmarkEnd w:id="110"/>
      <w:bookmarkEnd w:id="113"/>
      <w:bookmarkEnd w:id="114"/>
    </w:p>
    <w:p>
      <w:pPr>
        <w:snapToGrid w:val="0"/>
        <w:spacing w:line="500" w:lineRule="exact"/>
        <w:rPr>
          <w:rFonts w:ascii="仿宋" w:hAnsi="仿宋" w:eastAsia="仿宋" w:cs="仿宋"/>
          <w:color w:val="auto"/>
          <w:sz w:val="24"/>
          <w:szCs w:val="24"/>
          <w:highlight w:val="none"/>
        </w:rPr>
      </w:pPr>
    </w:p>
    <w:p>
      <w:pPr>
        <w:snapToGrid w:val="0"/>
        <w:ind w:right="274" w:rightChars="98"/>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                                 项目编号</w:t>
      </w:r>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 xml:space="preserve">           单位：元</w:t>
      </w:r>
    </w:p>
    <w:tbl>
      <w:tblPr>
        <w:tblStyle w:val="88"/>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4006"/>
        <w:gridCol w:w="1012"/>
        <w:gridCol w:w="788"/>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序号</w:t>
            </w:r>
          </w:p>
        </w:tc>
        <w:tc>
          <w:tcPr>
            <w:tcW w:w="4006" w:type="dxa"/>
            <w:vAlign w:val="center"/>
          </w:tcPr>
          <w:p>
            <w:pPr>
              <w:snapToGrid w:val="0"/>
              <w:spacing w:line="560" w:lineRule="exact"/>
              <w:ind w:firstLine="420" w:firstLineChars="200"/>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标项名称</w:t>
            </w:r>
          </w:p>
        </w:tc>
        <w:tc>
          <w:tcPr>
            <w:tcW w:w="1012"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数量</w:t>
            </w:r>
          </w:p>
        </w:tc>
        <w:tc>
          <w:tcPr>
            <w:tcW w:w="788"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单位</w:t>
            </w:r>
          </w:p>
        </w:tc>
        <w:tc>
          <w:tcPr>
            <w:tcW w:w="2582"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1</w:t>
            </w:r>
          </w:p>
        </w:tc>
        <w:tc>
          <w:tcPr>
            <w:tcW w:w="4006" w:type="dxa"/>
            <w:vAlign w:val="center"/>
          </w:tcPr>
          <w:p>
            <w:pPr>
              <w:snapToGrid w:val="0"/>
              <w:spacing w:line="560" w:lineRule="exact"/>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衢江区小区生活垃圾分类提升项目</w:t>
            </w:r>
          </w:p>
        </w:tc>
        <w:tc>
          <w:tcPr>
            <w:tcW w:w="1012"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1</w:t>
            </w:r>
          </w:p>
        </w:tc>
        <w:tc>
          <w:tcPr>
            <w:tcW w:w="788"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项</w:t>
            </w:r>
          </w:p>
        </w:tc>
        <w:tc>
          <w:tcPr>
            <w:tcW w:w="2582"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响应采购文件规定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10" w:type="dxa"/>
            <w:vAlign w:val="center"/>
          </w:tcPr>
          <w:p>
            <w:pPr>
              <w:snapToGrid w:val="0"/>
              <w:spacing w:line="560" w:lineRule="exact"/>
              <w:jc w:val="center"/>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kern w:val="56"/>
                <w:sz w:val="21"/>
                <w:szCs w:val="21"/>
                <w:highlight w:val="none"/>
                <w:shd w:val="clear" w:color="auto" w:fill="FFFFFF"/>
              </w:rPr>
              <w:t>2</w:t>
            </w:r>
          </w:p>
        </w:tc>
        <w:tc>
          <w:tcPr>
            <w:tcW w:w="8388" w:type="dxa"/>
            <w:gridSpan w:val="4"/>
            <w:vAlign w:val="center"/>
          </w:tcPr>
          <w:p>
            <w:pPr>
              <w:snapToGrid w:val="0"/>
              <w:spacing w:line="560" w:lineRule="exact"/>
              <w:rPr>
                <w:rFonts w:ascii="仿宋" w:hAnsi="仿宋" w:eastAsia="仿宋" w:cs="仿宋"/>
                <w:color w:val="auto"/>
                <w:kern w:val="56"/>
                <w:sz w:val="21"/>
                <w:szCs w:val="21"/>
                <w:highlight w:val="none"/>
                <w:shd w:val="clear" w:color="auto" w:fill="FFFFFF"/>
              </w:rPr>
            </w:pPr>
            <w:r>
              <w:rPr>
                <w:rFonts w:hint="eastAsia" w:ascii="仿宋" w:hAnsi="仿宋" w:eastAsia="仿宋" w:cs="仿宋"/>
                <w:color w:val="auto"/>
                <w:sz w:val="24"/>
                <w:szCs w:val="24"/>
                <w:highlight w:val="none"/>
              </w:rPr>
              <w:t>总价合计（大写）：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98" w:type="dxa"/>
            <w:gridSpan w:val="5"/>
            <w:vAlign w:val="center"/>
          </w:tcPr>
          <w:p>
            <w:pPr>
              <w:snapToGrid w:val="0"/>
              <w:spacing w:line="560" w:lineRule="exact"/>
              <w:rPr>
                <w:rFonts w:ascii="仿宋" w:hAnsi="仿宋" w:eastAsia="仿宋" w:cs="仿宋"/>
                <w:color w:val="auto"/>
                <w:kern w:val="56"/>
                <w:sz w:val="21"/>
                <w:szCs w:val="21"/>
                <w:highlight w:val="none"/>
                <w:shd w:val="clear" w:color="auto" w:fill="FFFFFF"/>
              </w:rPr>
            </w:pPr>
            <w:r>
              <w:rPr>
                <w:rFonts w:hint="eastAsia" w:ascii="仿宋" w:hAnsi="仿宋" w:eastAsia="仿宋" w:cs="仿宋"/>
                <w:b/>
                <w:bCs/>
                <w:color w:val="auto"/>
                <w:kern w:val="56"/>
                <w:sz w:val="21"/>
                <w:szCs w:val="21"/>
                <w:highlight w:val="none"/>
                <w:shd w:val="clear" w:color="auto" w:fill="FFFFFF"/>
              </w:rPr>
              <w:t>填写说明：大写金额与小写金额不一致时，以大写金额为准。</w:t>
            </w:r>
          </w:p>
        </w:tc>
      </w:tr>
    </w:tbl>
    <w:p>
      <w:pPr>
        <w:snapToGrid w:val="0"/>
        <w:ind w:right="274" w:rightChars="98"/>
        <w:rPr>
          <w:rFonts w:ascii="仿宋" w:hAnsi="仿宋" w:eastAsia="仿宋" w:cs="仿宋"/>
          <w:color w:val="auto"/>
          <w:sz w:val="24"/>
          <w:szCs w:val="24"/>
          <w:highlight w:val="none"/>
        </w:rPr>
      </w:pPr>
    </w:p>
    <w:p>
      <w:pPr>
        <w:pStyle w:val="7"/>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注：本项目投标报价为衢江区小区生活垃圾分类提升项目含税总价，包括但不限于</w:t>
      </w:r>
      <w:r>
        <w:rPr>
          <w:rFonts w:hint="eastAsia" w:ascii="仿宋" w:hAnsi="仿宋" w:eastAsia="仿宋" w:cs="仿宋"/>
          <w:color w:val="auto"/>
          <w:sz w:val="21"/>
          <w:szCs w:val="21"/>
          <w:highlight w:val="none"/>
          <w:lang w:val="en-US" w:eastAsia="zh-CN"/>
        </w:rPr>
        <w:t>分类收集设施建设（每个投放口须配备垃圾桶）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供货及运输、安装调试、系统集成、项目验收、质保期限及运维期限内的运行维护、以及人工工资、社会保险费、劳保用品、员工住宿交通差旅费用、机械及工具费、技术支持、宣传、培训、税金、管理费、企业利润、政策性文件规定及合同包含的所有风险、责任等各项应有费用。对在合同实施过程中可能发生的其它费用（如：增加耗材、材料涨价、人工、运输成本增加等因素）。</w:t>
      </w:r>
    </w:p>
    <w:p>
      <w:pPr>
        <w:pStyle w:val="7"/>
        <w:spacing w:line="400" w:lineRule="exact"/>
        <w:rPr>
          <w:rFonts w:ascii="仿宋" w:hAnsi="仿宋" w:eastAsia="仿宋" w:cs="仿宋"/>
          <w:color w:val="auto"/>
          <w:sz w:val="21"/>
          <w:szCs w:val="21"/>
          <w:highlight w:val="none"/>
        </w:rPr>
      </w:pPr>
    </w:p>
    <w:p>
      <w:pPr>
        <w:pStyle w:val="7"/>
        <w:spacing w:line="400" w:lineRule="exact"/>
        <w:rPr>
          <w:rFonts w:ascii="仿宋" w:hAnsi="仿宋" w:eastAsia="仿宋" w:cs="仿宋"/>
          <w:color w:val="auto"/>
          <w:sz w:val="21"/>
          <w:szCs w:val="21"/>
          <w:highlight w:val="none"/>
        </w:rPr>
      </w:pPr>
    </w:p>
    <w:p>
      <w:pPr>
        <w:rPr>
          <w:color w:val="auto"/>
          <w:highlight w:val="none"/>
        </w:rPr>
      </w:pPr>
    </w:p>
    <w:p>
      <w:pPr>
        <w:adjustRightInd w:val="0"/>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w:t>
      </w:r>
      <w:r>
        <w:rPr>
          <w:rFonts w:hint="eastAsia" w:ascii="仿宋" w:hAnsi="仿宋" w:eastAsia="仿宋" w:cs="仿宋"/>
          <w:color w:val="auto"/>
          <w:kern w:val="0"/>
          <w:sz w:val="24"/>
          <w:highlight w:val="none"/>
          <w:u w:val="single"/>
          <w:lang w:val="zh-CN"/>
        </w:rPr>
        <w:t xml:space="preserve">（签字或盖章） </w:t>
      </w:r>
    </w:p>
    <w:p>
      <w:pPr>
        <w:adjustRightInd w:val="0"/>
        <w:snapToGrid w:val="0"/>
        <w:spacing w:line="360" w:lineRule="auto"/>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投标人：</w:t>
      </w:r>
      <w:r>
        <w:rPr>
          <w:rFonts w:hint="eastAsia" w:ascii="仿宋" w:hAnsi="仿宋" w:eastAsia="仿宋" w:cs="仿宋"/>
          <w:color w:val="auto"/>
          <w:kern w:val="0"/>
          <w:sz w:val="24"/>
          <w:highlight w:val="none"/>
          <w:u w:val="single"/>
          <w:lang w:val="zh-CN"/>
        </w:rPr>
        <w:t xml:space="preserve">（全称加盖公章）       </w:t>
      </w:r>
    </w:p>
    <w:p>
      <w:pPr>
        <w:adjustRightInd w:val="0"/>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2023</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pStyle w:val="52"/>
        <w:ind w:firstLine="727"/>
        <w:rPr>
          <w:rFonts w:ascii="仿宋" w:hAnsi="仿宋" w:eastAsia="仿宋" w:cs="仿宋"/>
          <w:color w:val="auto"/>
          <w:kern w:val="0"/>
          <w:sz w:val="24"/>
          <w:highlight w:val="none"/>
          <w:lang w:val="zh-CN"/>
        </w:rPr>
      </w:pPr>
    </w:p>
    <w:p>
      <w:pPr>
        <w:snapToGrid w:val="0"/>
        <w:spacing w:before="50" w:after="50"/>
        <w:jc w:val="center"/>
        <w:rPr>
          <w:rFonts w:ascii="仿宋" w:hAnsi="仿宋" w:eastAsia="仿宋" w:cs="仿宋"/>
          <w:b/>
          <w:color w:val="auto"/>
          <w:highlight w:val="none"/>
        </w:rPr>
      </w:pPr>
      <w:bookmarkStart w:id="115" w:name="_Toc16646"/>
      <w:bookmarkStart w:id="116" w:name="_Toc522530061"/>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snapToGrid w:val="0"/>
        <w:spacing w:before="50" w:after="50"/>
        <w:jc w:val="center"/>
        <w:rPr>
          <w:rFonts w:ascii="仿宋" w:hAnsi="仿宋" w:eastAsia="仿宋" w:cs="仿宋"/>
          <w:b/>
          <w:color w:val="auto"/>
          <w:highlight w:val="none"/>
        </w:rPr>
      </w:pPr>
    </w:p>
    <w:p>
      <w:pPr>
        <w:pStyle w:val="4"/>
        <w:ind w:left="0" w:firstLine="0"/>
        <w:jc w:val="center"/>
        <w:rPr>
          <w:rFonts w:ascii="仿宋" w:hAnsi="仿宋" w:eastAsia="仿宋" w:cs="仿宋"/>
          <w:color w:val="auto"/>
          <w:sz w:val="28"/>
          <w:highlight w:val="none"/>
        </w:rPr>
      </w:pPr>
      <w:r>
        <w:rPr>
          <w:rFonts w:hint="eastAsia" w:ascii="仿宋" w:hAnsi="仿宋" w:eastAsia="仿宋" w:cs="仿宋"/>
          <w:color w:val="auto"/>
          <w:sz w:val="28"/>
          <w:highlight w:val="none"/>
        </w:rPr>
        <w:t>格式八、交纳采购代理服务费承诺书</w:t>
      </w:r>
    </w:p>
    <w:p>
      <w:pPr>
        <w:snapToGrid w:val="0"/>
        <w:spacing w:line="560" w:lineRule="exact"/>
        <w:ind w:firstLine="560" w:firstLineChars="200"/>
        <w:rPr>
          <w:rFonts w:ascii="仿宋" w:hAnsi="仿宋" w:eastAsia="仿宋" w:cs="仿宋"/>
          <w:color w:val="auto"/>
          <w:kern w:val="56"/>
          <w:szCs w:val="28"/>
          <w:highlight w:val="none"/>
          <w:shd w:val="clear" w:color="auto" w:fill="FFFFFF"/>
        </w:rPr>
      </w:pP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r>
        <w:rPr>
          <w:rFonts w:hint="eastAsia" w:ascii="仿宋" w:hAnsi="仿宋" w:eastAsia="仿宋" w:cs="仿宋"/>
          <w:color w:val="auto"/>
          <w:kern w:val="56"/>
          <w:sz w:val="24"/>
          <w:szCs w:val="24"/>
          <w:highlight w:val="none"/>
          <w:shd w:val="clear" w:color="auto" w:fill="FFFFFF"/>
        </w:rPr>
        <w:t>浙江中正工程项目管理有限公司：</w:t>
      </w: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r>
        <w:rPr>
          <w:rFonts w:hint="eastAsia" w:ascii="仿宋" w:hAnsi="仿宋" w:eastAsia="仿宋" w:cs="仿宋"/>
          <w:color w:val="auto"/>
          <w:kern w:val="56"/>
          <w:sz w:val="24"/>
          <w:szCs w:val="24"/>
          <w:highlight w:val="none"/>
          <w:shd w:val="clear" w:color="auto" w:fill="FFFFFF"/>
        </w:rPr>
        <w:t>我单位在你公司组织的</w:t>
      </w:r>
      <w:r>
        <w:rPr>
          <w:rFonts w:hint="eastAsia" w:ascii="仿宋" w:hAnsi="仿宋" w:eastAsia="仿宋" w:cs="仿宋"/>
          <w:color w:val="auto"/>
          <w:kern w:val="56"/>
          <w:sz w:val="24"/>
          <w:szCs w:val="24"/>
          <w:highlight w:val="none"/>
          <w:u w:val="single"/>
          <w:shd w:val="clear" w:color="auto" w:fill="FFFFFF"/>
        </w:rPr>
        <w:t xml:space="preserve"> 衢江区小区生活垃圾分类提升项目</w:t>
      </w:r>
      <w:r>
        <w:rPr>
          <w:rFonts w:hint="eastAsia" w:ascii="仿宋" w:hAnsi="仿宋" w:eastAsia="仿宋" w:cs="仿宋"/>
          <w:color w:val="auto"/>
          <w:kern w:val="56"/>
          <w:sz w:val="24"/>
          <w:szCs w:val="24"/>
          <w:highlight w:val="none"/>
          <w:shd w:val="clear" w:color="auto" w:fill="FFFFFF"/>
        </w:rPr>
        <w:t>（项目名称）</w:t>
      </w:r>
      <w:r>
        <w:rPr>
          <w:rFonts w:hint="eastAsia" w:ascii="仿宋" w:hAnsi="仿宋" w:eastAsia="仿宋" w:cs="仿宋"/>
          <w:color w:val="auto"/>
          <w:kern w:val="56"/>
          <w:sz w:val="24"/>
          <w:szCs w:val="24"/>
          <w:highlight w:val="none"/>
          <w:u w:val="single"/>
          <w:shd w:val="clear" w:color="auto" w:fill="FFFFFF"/>
          <w:lang w:eastAsia="zh-CN"/>
        </w:rPr>
        <w:t>ZZCG2023082</w:t>
      </w:r>
      <w:r>
        <w:rPr>
          <w:rFonts w:hint="eastAsia" w:ascii="仿宋" w:hAnsi="仿宋" w:eastAsia="仿宋" w:cs="仿宋"/>
          <w:color w:val="auto"/>
          <w:kern w:val="56"/>
          <w:sz w:val="24"/>
          <w:szCs w:val="24"/>
          <w:highlight w:val="none"/>
          <w:shd w:val="clear" w:color="auto" w:fill="FFFFFF"/>
        </w:rPr>
        <w:t>（项目编号）的采购中若获成交，我单位保证按采购文件的规定，向你公司（即：浙江中正工程项目管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r>
        <w:rPr>
          <w:rFonts w:hint="eastAsia" w:ascii="仿宋" w:hAnsi="仿宋" w:eastAsia="仿宋" w:cs="仿宋"/>
          <w:color w:val="auto"/>
          <w:kern w:val="56"/>
          <w:sz w:val="24"/>
          <w:szCs w:val="24"/>
          <w:highlight w:val="none"/>
          <w:shd w:val="clear" w:color="auto" w:fill="FFFFFF"/>
        </w:rPr>
        <w:t>特此承诺。</w:t>
      </w: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r>
        <w:rPr>
          <w:rFonts w:hint="eastAsia" w:ascii="仿宋" w:hAnsi="仿宋" w:eastAsia="仿宋" w:cs="仿宋"/>
          <w:color w:val="auto"/>
          <w:kern w:val="56"/>
          <w:sz w:val="24"/>
          <w:szCs w:val="24"/>
          <w:highlight w:val="none"/>
          <w:shd w:val="clear" w:color="auto" w:fill="FFFFFF"/>
        </w:rPr>
        <w:t>供应商全称：              （盖单位公章）</w:t>
      </w:r>
    </w:p>
    <w:p>
      <w:pPr>
        <w:snapToGrid w:val="0"/>
        <w:spacing w:line="560" w:lineRule="exact"/>
        <w:ind w:firstLine="480" w:firstLineChars="200"/>
        <w:rPr>
          <w:rFonts w:ascii="仿宋" w:hAnsi="仿宋" w:eastAsia="仿宋" w:cs="仿宋"/>
          <w:color w:val="auto"/>
          <w:kern w:val="56"/>
          <w:sz w:val="24"/>
          <w:szCs w:val="24"/>
          <w:highlight w:val="none"/>
          <w:shd w:val="clear" w:color="auto" w:fill="FFFFFF"/>
        </w:rPr>
      </w:pPr>
      <w:r>
        <w:rPr>
          <w:rFonts w:hint="eastAsia" w:ascii="仿宋" w:hAnsi="仿宋" w:eastAsia="仿宋" w:cs="仿宋"/>
          <w:color w:val="auto"/>
          <w:kern w:val="56"/>
          <w:sz w:val="24"/>
          <w:szCs w:val="24"/>
          <w:highlight w:val="none"/>
          <w:shd w:val="clear" w:color="auto" w:fill="FFFFFF"/>
        </w:rPr>
        <w:t>日期：2023年  月  日</w:t>
      </w:r>
    </w:p>
    <w:p>
      <w:pPr>
        <w:pStyle w:val="613"/>
        <w:snapToGrid w:val="0"/>
        <w:spacing w:after="160" w:line="360" w:lineRule="auto"/>
        <w:ind w:left="1060" w:hanging="641"/>
        <w:jc w:val="center"/>
        <w:outlineLvl w:val="0"/>
        <w:rPr>
          <w:rFonts w:ascii="仿宋" w:hAnsi="仿宋" w:eastAsia="仿宋" w:cs="仿宋"/>
          <w:b/>
          <w:color w:val="auto"/>
          <w:highlight w:val="none"/>
        </w:rPr>
      </w:pPr>
      <w:r>
        <w:rPr>
          <w:rFonts w:hint="eastAsia" w:ascii="仿宋" w:hAnsi="仿宋" w:eastAsia="仿宋" w:cs="仿宋"/>
          <w:color w:val="auto"/>
          <w:kern w:val="56"/>
          <w:highlight w:val="none"/>
          <w:shd w:val="clear" w:color="auto" w:fill="FFFFFF"/>
        </w:rPr>
        <w:br w:type="page"/>
      </w:r>
      <w:r>
        <w:rPr>
          <w:rFonts w:hint="eastAsia" w:ascii="仿宋" w:hAnsi="仿宋" w:eastAsia="仿宋" w:cs="仿宋"/>
          <w:b/>
          <w:color w:val="auto"/>
          <w:highlight w:val="none"/>
        </w:rPr>
        <w:t>采购活动现场确认声明书</w:t>
      </w:r>
    </w:p>
    <w:p>
      <w:pPr>
        <w:pStyle w:val="613"/>
        <w:widowControl/>
        <w:adjustRightInd w:val="0"/>
        <w:snapToGrid w:val="0"/>
        <w:spacing w:line="300" w:lineRule="auto"/>
        <w:rPr>
          <w:rFonts w:ascii="仿宋" w:hAnsi="仿宋" w:eastAsia="仿宋" w:cs="仿宋"/>
          <w:b/>
          <w:color w:val="auto"/>
          <w:highlight w:val="none"/>
        </w:rPr>
      </w:pPr>
      <w:r>
        <w:rPr>
          <w:rFonts w:hint="eastAsia" w:ascii="仿宋" w:hAnsi="仿宋" w:eastAsia="仿宋" w:cs="仿宋"/>
          <w:color w:val="auto"/>
          <w:kern w:val="0"/>
          <w:highlight w:val="none"/>
          <w:u w:val="single"/>
          <w:lang w:bidi="ar"/>
        </w:rPr>
        <w:t>衢州市衢江区住房和城乡建设局</w:t>
      </w:r>
      <w:r>
        <w:rPr>
          <w:rFonts w:hint="eastAsia" w:ascii="仿宋" w:hAnsi="仿宋" w:eastAsia="仿宋" w:cs="仿宋"/>
          <w:color w:val="auto"/>
          <w:kern w:val="0"/>
          <w:highlight w:val="none"/>
        </w:rPr>
        <w:t>：</w:t>
      </w:r>
    </w:p>
    <w:p>
      <w:pPr>
        <w:pStyle w:val="613"/>
        <w:widowControl/>
        <w:adjustRightInd w:val="0"/>
        <w:snapToGrid w:val="0"/>
        <w:spacing w:line="300" w:lineRule="auto"/>
        <w:ind w:firstLine="504" w:firstLineChars="200"/>
        <w:rPr>
          <w:rFonts w:ascii="仿宋" w:hAnsi="仿宋" w:eastAsia="仿宋" w:cs="仿宋"/>
          <w:color w:val="auto"/>
          <w:spacing w:val="6"/>
          <w:highlight w:val="none"/>
        </w:rPr>
      </w:pPr>
      <w:r>
        <w:rPr>
          <w:rFonts w:hint="eastAsia" w:ascii="仿宋" w:hAnsi="仿宋" w:eastAsia="仿宋" w:cs="仿宋"/>
          <w:color w:val="auto"/>
          <w:spacing w:val="6"/>
          <w:highlight w:val="none"/>
        </w:rPr>
        <w:t>本人经由</w:t>
      </w:r>
      <w:r>
        <w:rPr>
          <w:rFonts w:hint="eastAsia" w:ascii="仿宋" w:hAnsi="仿宋" w:eastAsia="仿宋" w:cs="仿宋"/>
          <w:color w:val="auto"/>
          <w:spacing w:val="6"/>
          <w:highlight w:val="none"/>
          <w:u w:val="single"/>
        </w:rPr>
        <w:t xml:space="preserve">                  （单位）</w:t>
      </w:r>
      <w:r>
        <w:rPr>
          <w:rFonts w:hint="eastAsia" w:ascii="仿宋" w:hAnsi="仿宋" w:eastAsia="仿宋" w:cs="仿宋"/>
          <w:color w:val="auto"/>
          <w:spacing w:val="6"/>
          <w:highlight w:val="none"/>
        </w:rPr>
        <w:t>负责人</w:t>
      </w:r>
      <w:r>
        <w:rPr>
          <w:rFonts w:hint="eastAsia" w:ascii="仿宋" w:hAnsi="仿宋" w:eastAsia="仿宋" w:cs="仿宋"/>
          <w:color w:val="auto"/>
          <w:spacing w:val="6"/>
          <w:highlight w:val="none"/>
          <w:u w:val="single"/>
        </w:rPr>
        <w:t xml:space="preserve">        （姓名）</w:t>
      </w:r>
      <w:r>
        <w:rPr>
          <w:rFonts w:hint="eastAsia" w:ascii="仿宋" w:hAnsi="仿宋" w:eastAsia="仿宋" w:cs="仿宋"/>
          <w:color w:val="auto"/>
          <w:spacing w:val="6"/>
          <w:highlight w:val="none"/>
        </w:rPr>
        <w:t>合法授权参加</w:t>
      </w:r>
      <w:r>
        <w:rPr>
          <w:rFonts w:hint="eastAsia" w:ascii="仿宋" w:hAnsi="仿宋" w:eastAsia="仿宋" w:cs="仿宋"/>
          <w:color w:val="auto"/>
          <w:spacing w:val="6"/>
          <w:highlight w:val="none"/>
          <w:u w:val="single"/>
        </w:rPr>
        <w:t>衢江区小区生活垃圾分类提升项目</w:t>
      </w:r>
      <w:r>
        <w:rPr>
          <w:rFonts w:hint="eastAsia" w:ascii="仿宋" w:hAnsi="仿宋" w:eastAsia="仿宋" w:cs="仿宋"/>
          <w:color w:val="auto"/>
          <w:spacing w:val="6"/>
          <w:highlight w:val="none"/>
        </w:rPr>
        <w:t>（编号：</w:t>
      </w:r>
      <w:r>
        <w:rPr>
          <w:rFonts w:hint="eastAsia" w:ascii="仿宋" w:hAnsi="仿宋" w:eastAsia="仿宋" w:cs="仿宋"/>
          <w:color w:val="auto"/>
          <w:spacing w:val="6"/>
          <w:highlight w:val="none"/>
          <w:u w:val="single"/>
          <w:lang w:eastAsia="zh-CN"/>
        </w:rPr>
        <w:t>ZZCG2023082</w:t>
      </w:r>
      <w:r>
        <w:rPr>
          <w:rFonts w:hint="eastAsia" w:ascii="仿宋" w:hAnsi="仿宋" w:eastAsia="仿宋" w:cs="仿宋"/>
          <w:color w:val="auto"/>
          <w:spacing w:val="6"/>
          <w:highlight w:val="none"/>
        </w:rPr>
        <w:t xml:space="preserve">）采购活动，经与本单位法人代表（负责人）联系确认，现就有关公平竞争事项郑重声明如下： </w:t>
      </w:r>
    </w:p>
    <w:p>
      <w:pPr>
        <w:pStyle w:val="614"/>
        <w:widowControl/>
        <w:adjustRightInd w:val="0"/>
        <w:snapToGrid w:val="0"/>
        <w:spacing w:line="300" w:lineRule="auto"/>
        <w:ind w:firstLine="240" w:firstLineChars="100"/>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一、本单位与采购人之间 □不存在利害关系 □存在下列利害关系</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p>
    <w:p>
      <w:pPr>
        <w:pStyle w:val="614"/>
        <w:widowControl/>
        <w:adjustRightInd w:val="0"/>
        <w:snapToGrid w:val="0"/>
        <w:spacing w:line="30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A.投资关系    B.行政隶属关系    C.业务指导关系</w:t>
      </w:r>
    </w:p>
    <w:p>
      <w:pPr>
        <w:pStyle w:val="614"/>
        <w:widowControl/>
        <w:adjustRightInd w:val="0"/>
        <w:snapToGrid w:val="0"/>
        <w:spacing w:line="30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D.其他可能</w:t>
      </w:r>
      <w:r>
        <w:rPr>
          <w:rFonts w:ascii="仿宋" w:hAnsi="仿宋" w:eastAsia="仿宋" w:cs="仿宋"/>
          <w:color w:val="auto"/>
          <w:sz w:val="24"/>
          <w:szCs w:val="24"/>
          <w:highlight w:val="none"/>
        </w:rPr>
        <w:t>影响采购公正的</w:t>
      </w:r>
      <w:r>
        <w:rPr>
          <w:rFonts w:ascii="仿宋" w:hAnsi="仿宋" w:eastAsia="仿宋" w:cs="仿宋"/>
          <w:color w:val="auto"/>
          <w:kern w:val="0"/>
          <w:sz w:val="24"/>
          <w:szCs w:val="24"/>
          <w:highlight w:val="none"/>
        </w:rPr>
        <w:t>利害关系</w:t>
      </w:r>
      <w:r>
        <w:rPr>
          <w:rFonts w:ascii="仿宋" w:hAnsi="仿宋" w:eastAsia="仿宋" w:cs="仿宋"/>
          <w:color w:val="auto"/>
          <w:kern w:val="0"/>
          <w:sz w:val="24"/>
          <w:szCs w:val="24"/>
          <w:highlight w:val="none"/>
          <w:u w:val="single"/>
        </w:rPr>
        <w:t xml:space="preserve">（如有，请如实说明）                 </w:t>
      </w:r>
      <w:r>
        <w:rPr>
          <w:rFonts w:ascii="仿宋" w:hAnsi="仿宋" w:eastAsia="仿宋" w:cs="仿宋"/>
          <w:color w:val="auto"/>
          <w:kern w:val="0"/>
          <w:sz w:val="24"/>
          <w:szCs w:val="24"/>
          <w:highlight w:val="none"/>
        </w:rPr>
        <w:t>。</w:t>
      </w:r>
    </w:p>
    <w:p>
      <w:pPr>
        <w:pStyle w:val="614"/>
        <w:widowControl/>
        <w:adjustRightInd w:val="0"/>
        <w:snapToGrid w:val="0"/>
        <w:spacing w:line="300" w:lineRule="auto"/>
        <w:rPr>
          <w:rFonts w:hint="default" w:ascii="仿宋" w:hAnsi="仿宋" w:eastAsia="仿宋" w:cs="仿宋"/>
          <w:color w:val="auto"/>
          <w:kern w:val="0"/>
          <w:sz w:val="24"/>
          <w:szCs w:val="24"/>
          <w:highlight w:val="none"/>
        </w:rPr>
      </w:pPr>
      <w:r>
        <w:rPr>
          <w:rFonts w:ascii="仿宋" w:hAnsi="仿宋" w:eastAsia="仿宋" w:cs="仿宋"/>
          <w:color w:val="auto"/>
          <w:spacing w:val="6"/>
          <w:sz w:val="24"/>
          <w:szCs w:val="24"/>
          <w:highlight w:val="none"/>
        </w:rPr>
        <w:t xml:space="preserve">  二、</w:t>
      </w:r>
      <w:r>
        <w:rPr>
          <w:rFonts w:ascii="仿宋" w:hAnsi="仿宋" w:eastAsia="仿宋" w:cs="仿宋"/>
          <w:color w:val="auto"/>
          <w:kern w:val="0"/>
          <w:sz w:val="24"/>
          <w:szCs w:val="24"/>
          <w:highlight w:val="none"/>
        </w:rPr>
        <w:t>现已清楚知道参加本项目采购活动的其他所有供应商名称，本单位 □与其他所有供应商之间均不存在利害关系 □与</w:t>
      </w:r>
      <w:r>
        <w:rPr>
          <w:rFonts w:ascii="仿宋" w:hAnsi="仿宋" w:eastAsia="仿宋" w:cs="仿宋"/>
          <w:color w:val="auto"/>
          <w:kern w:val="0"/>
          <w:sz w:val="24"/>
          <w:szCs w:val="24"/>
          <w:highlight w:val="none"/>
          <w:u w:val="single"/>
        </w:rPr>
        <w:t xml:space="preserve">           （供应商名称）</w:t>
      </w:r>
      <w:r>
        <w:rPr>
          <w:rFonts w:ascii="仿宋" w:hAnsi="仿宋" w:eastAsia="仿宋" w:cs="仿宋"/>
          <w:color w:val="auto"/>
          <w:kern w:val="0"/>
          <w:sz w:val="24"/>
          <w:szCs w:val="24"/>
          <w:highlight w:val="none"/>
        </w:rPr>
        <w:t>之间存在下列利害关系</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p>
    <w:p>
      <w:pPr>
        <w:pStyle w:val="613"/>
        <w:widowControl/>
        <w:adjustRightInd w:val="0"/>
        <w:snapToGrid w:val="0"/>
        <w:spacing w:line="300" w:lineRule="auto"/>
        <w:rPr>
          <w:rFonts w:ascii="仿宋" w:hAnsi="仿宋" w:eastAsia="仿宋" w:cs="仿宋"/>
          <w:color w:val="auto"/>
          <w:kern w:val="0"/>
          <w:highlight w:val="none"/>
        </w:rPr>
      </w:pPr>
      <w:r>
        <w:rPr>
          <w:rFonts w:hint="eastAsia" w:ascii="仿宋" w:hAnsi="仿宋" w:eastAsia="仿宋" w:cs="仿宋"/>
          <w:color w:val="auto"/>
          <w:kern w:val="0"/>
          <w:highlight w:val="none"/>
        </w:rPr>
        <w:t xml:space="preserve">  A.法定代表人或负责人或实际控制人是同一人</w:t>
      </w:r>
    </w:p>
    <w:p>
      <w:pPr>
        <w:pStyle w:val="613"/>
        <w:widowControl/>
        <w:adjustRightInd w:val="0"/>
        <w:snapToGrid w:val="0"/>
        <w:spacing w:line="300" w:lineRule="auto"/>
        <w:rPr>
          <w:rFonts w:ascii="仿宋" w:hAnsi="仿宋" w:eastAsia="仿宋" w:cs="仿宋"/>
          <w:color w:val="auto"/>
          <w:spacing w:val="6"/>
          <w:highlight w:val="none"/>
        </w:rPr>
      </w:pPr>
      <w:r>
        <w:rPr>
          <w:rFonts w:hint="eastAsia" w:ascii="仿宋" w:hAnsi="仿宋" w:eastAsia="仿宋" w:cs="仿宋"/>
          <w:color w:val="auto"/>
          <w:kern w:val="0"/>
          <w:highlight w:val="none"/>
        </w:rPr>
        <w:t xml:space="preserve">  B.法定代表人或负责人或实际控制人是夫妻关系</w:t>
      </w:r>
    </w:p>
    <w:p>
      <w:pPr>
        <w:pStyle w:val="613"/>
        <w:widowControl/>
        <w:adjustRightInd w:val="0"/>
        <w:snapToGrid w:val="0"/>
        <w:spacing w:line="300" w:lineRule="auto"/>
        <w:rPr>
          <w:rFonts w:ascii="仿宋" w:hAnsi="仿宋" w:eastAsia="仿宋" w:cs="仿宋"/>
          <w:color w:val="auto"/>
          <w:spacing w:val="6"/>
          <w:highlight w:val="none"/>
        </w:rPr>
      </w:pPr>
      <w:r>
        <w:rPr>
          <w:rFonts w:hint="eastAsia" w:ascii="仿宋" w:hAnsi="仿宋" w:eastAsia="仿宋" w:cs="仿宋"/>
          <w:color w:val="auto"/>
          <w:kern w:val="0"/>
          <w:highlight w:val="none"/>
        </w:rPr>
        <w:t xml:space="preserve">  C.法定代表人或负责人或实际控制人是直系血亲关系</w:t>
      </w:r>
    </w:p>
    <w:p>
      <w:pPr>
        <w:pStyle w:val="613"/>
        <w:widowControl/>
        <w:adjustRightInd w:val="0"/>
        <w:snapToGrid w:val="0"/>
        <w:spacing w:line="300" w:lineRule="auto"/>
        <w:rPr>
          <w:rFonts w:ascii="仿宋" w:hAnsi="仿宋" w:eastAsia="仿宋" w:cs="仿宋"/>
          <w:color w:val="auto"/>
          <w:spacing w:val="6"/>
          <w:highlight w:val="none"/>
        </w:rPr>
      </w:pPr>
      <w:r>
        <w:rPr>
          <w:rFonts w:hint="eastAsia" w:ascii="仿宋" w:hAnsi="仿宋" w:eastAsia="仿宋" w:cs="仿宋"/>
          <w:color w:val="auto"/>
          <w:kern w:val="0"/>
          <w:highlight w:val="none"/>
        </w:rPr>
        <w:t xml:space="preserve">  D.法定代表人或负责人或实际控制人存在三代以内旁系血亲关系</w:t>
      </w:r>
    </w:p>
    <w:p>
      <w:pPr>
        <w:pStyle w:val="613"/>
        <w:widowControl/>
        <w:adjustRightInd w:val="0"/>
        <w:snapToGrid w:val="0"/>
        <w:spacing w:line="300" w:lineRule="auto"/>
        <w:rPr>
          <w:rFonts w:ascii="仿宋" w:hAnsi="仿宋" w:eastAsia="仿宋" w:cs="仿宋"/>
          <w:color w:val="auto"/>
          <w:kern w:val="0"/>
          <w:highlight w:val="none"/>
        </w:rPr>
      </w:pPr>
      <w:r>
        <w:rPr>
          <w:rFonts w:hint="eastAsia" w:ascii="仿宋" w:hAnsi="仿宋" w:eastAsia="仿宋" w:cs="仿宋"/>
          <w:color w:val="auto"/>
          <w:kern w:val="0"/>
          <w:highlight w:val="none"/>
        </w:rPr>
        <w:t xml:space="preserve">  E.法定代表人或负责人或实际控制人存在近姻亲关系</w:t>
      </w:r>
    </w:p>
    <w:p>
      <w:pPr>
        <w:pStyle w:val="613"/>
        <w:widowControl/>
        <w:adjustRightInd w:val="0"/>
        <w:snapToGrid w:val="0"/>
        <w:spacing w:line="300" w:lineRule="auto"/>
        <w:rPr>
          <w:rFonts w:ascii="仿宋" w:hAnsi="仿宋" w:eastAsia="仿宋" w:cs="仿宋"/>
          <w:color w:val="auto"/>
          <w:kern w:val="0"/>
          <w:highlight w:val="none"/>
        </w:rPr>
      </w:pPr>
      <w:r>
        <w:rPr>
          <w:rFonts w:hint="eastAsia" w:ascii="仿宋" w:hAnsi="仿宋" w:eastAsia="仿宋" w:cs="仿宋"/>
          <w:color w:val="auto"/>
          <w:kern w:val="0"/>
          <w:highlight w:val="none"/>
        </w:rPr>
        <w:t xml:space="preserve">  F.法定代表人或负责人或实际控制人存在股份控制或实际控制关系</w:t>
      </w:r>
    </w:p>
    <w:p>
      <w:pPr>
        <w:pStyle w:val="613"/>
        <w:widowControl/>
        <w:adjustRightInd w:val="0"/>
        <w:snapToGrid w:val="0"/>
        <w:spacing w:line="300" w:lineRule="auto"/>
        <w:rPr>
          <w:rFonts w:ascii="仿宋" w:hAnsi="仿宋" w:eastAsia="仿宋" w:cs="仿宋"/>
          <w:color w:val="auto"/>
          <w:kern w:val="0"/>
          <w:highlight w:val="none"/>
        </w:rPr>
      </w:pPr>
      <w:r>
        <w:rPr>
          <w:rFonts w:hint="eastAsia" w:ascii="仿宋" w:hAnsi="仿宋" w:eastAsia="仿宋" w:cs="仿宋"/>
          <w:color w:val="auto"/>
          <w:kern w:val="0"/>
          <w:highlight w:val="none"/>
        </w:rPr>
        <w:t xml:space="preserve">  G.存在共同直接或间接投资设立子公司、联营企业和合营企业情况</w:t>
      </w:r>
    </w:p>
    <w:p>
      <w:pPr>
        <w:pStyle w:val="613"/>
        <w:widowControl/>
        <w:adjustRightInd w:val="0"/>
        <w:snapToGrid w:val="0"/>
        <w:spacing w:line="300" w:lineRule="auto"/>
        <w:rPr>
          <w:rFonts w:ascii="仿宋" w:hAnsi="仿宋" w:eastAsia="仿宋" w:cs="仿宋"/>
          <w:color w:val="auto"/>
          <w:highlight w:val="none"/>
        </w:rPr>
      </w:pPr>
      <w:r>
        <w:rPr>
          <w:rFonts w:hint="eastAsia" w:ascii="仿宋" w:hAnsi="仿宋" w:eastAsia="仿宋" w:cs="仿宋"/>
          <w:color w:val="auto"/>
          <w:kern w:val="0"/>
          <w:highlight w:val="none"/>
        </w:rPr>
        <w:t xml:space="preserve">  H.存在分级代理或代销关系、同一生产制造商关系、</w:t>
      </w:r>
      <w:r>
        <w:rPr>
          <w:rFonts w:hint="eastAsia" w:ascii="仿宋" w:hAnsi="仿宋" w:eastAsia="仿宋" w:cs="仿宋"/>
          <w:color w:val="auto"/>
          <w:highlight w:val="none"/>
        </w:rPr>
        <w:t>管理关系、重要业务（占主营业务收入50%以上）或重要财务往来关系（如融资）等其他实质性控制关系</w:t>
      </w:r>
    </w:p>
    <w:p>
      <w:pPr>
        <w:pStyle w:val="613"/>
        <w:widowControl/>
        <w:adjustRightInd w:val="0"/>
        <w:snapToGrid w:val="0"/>
        <w:spacing w:line="300" w:lineRule="auto"/>
        <w:ind w:firstLine="240" w:firstLineChars="100"/>
        <w:outlineLvl w:val="0"/>
        <w:rPr>
          <w:rFonts w:ascii="仿宋" w:hAnsi="仿宋" w:eastAsia="仿宋" w:cs="仿宋"/>
          <w:color w:val="auto"/>
          <w:spacing w:val="6"/>
          <w:highlight w:val="none"/>
        </w:rPr>
      </w:pPr>
      <w:bookmarkStart w:id="117" w:name="_Toc31860"/>
      <w:r>
        <w:rPr>
          <w:rFonts w:hint="eastAsia" w:ascii="仿宋" w:hAnsi="仿宋" w:eastAsia="仿宋" w:cs="仿宋"/>
          <w:color w:val="auto"/>
          <w:highlight w:val="none"/>
        </w:rPr>
        <w:t>I</w:t>
      </w:r>
      <w:r>
        <w:rPr>
          <w:rFonts w:hint="eastAsia" w:ascii="仿宋" w:hAnsi="仿宋" w:eastAsia="仿宋" w:cs="仿宋"/>
          <w:color w:val="auto"/>
          <w:kern w:val="0"/>
          <w:highlight w:val="none"/>
        </w:rPr>
        <w:t>.</w:t>
      </w:r>
      <w:r>
        <w:rPr>
          <w:rFonts w:hint="eastAsia" w:ascii="仿宋" w:hAnsi="仿宋" w:eastAsia="仿宋" w:cs="仿宋"/>
          <w:color w:val="auto"/>
          <w:highlight w:val="none"/>
        </w:rPr>
        <w:t>其他利害关系情况</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highlight w:val="none"/>
        </w:rPr>
        <w:t>。</w:t>
      </w:r>
      <w:bookmarkEnd w:id="117"/>
    </w:p>
    <w:p>
      <w:pPr>
        <w:pStyle w:val="614"/>
        <w:widowControl/>
        <w:adjustRightInd w:val="0"/>
        <w:snapToGrid w:val="0"/>
        <w:spacing w:line="300" w:lineRule="auto"/>
        <w:ind w:firstLine="240" w:firstLineChars="100"/>
        <w:rPr>
          <w:rFonts w:hint="default" w:ascii="仿宋" w:hAnsi="仿宋" w:eastAsia="仿宋" w:cs="仿宋"/>
          <w:color w:val="auto"/>
          <w:kern w:val="0"/>
          <w:sz w:val="24"/>
          <w:szCs w:val="24"/>
          <w:highlight w:val="none"/>
        </w:rPr>
      </w:pPr>
      <w:r>
        <w:rPr>
          <w:rFonts w:ascii="仿宋" w:hAnsi="仿宋" w:eastAsia="仿宋" w:cs="仿宋"/>
          <w:color w:val="auto"/>
          <w:sz w:val="24"/>
          <w:szCs w:val="24"/>
          <w:highlight w:val="none"/>
        </w:rPr>
        <w:t>三、现已清楚知道并</w:t>
      </w:r>
      <w:r>
        <w:rPr>
          <w:rFonts w:ascii="仿宋" w:hAnsi="仿宋" w:eastAsia="仿宋" w:cs="仿宋"/>
          <w:color w:val="auto"/>
          <w:kern w:val="0"/>
          <w:sz w:val="24"/>
          <w:szCs w:val="24"/>
          <w:highlight w:val="none"/>
        </w:rPr>
        <w:t>严格遵守采购法律法规和现场纪律。</w:t>
      </w:r>
    </w:p>
    <w:p>
      <w:pPr>
        <w:pStyle w:val="614"/>
        <w:widowControl/>
        <w:adjustRightInd w:val="0"/>
        <w:snapToGrid w:val="0"/>
        <w:spacing w:line="300" w:lineRule="auto"/>
        <w:ind w:firstLine="240" w:firstLineChars="100"/>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四、我发现</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供应商之间存在或可能存在上述第二条第</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项利害关系。</w:t>
      </w:r>
    </w:p>
    <w:p>
      <w:pPr>
        <w:pStyle w:val="614"/>
        <w:widowControl/>
        <w:adjustRightInd w:val="0"/>
        <w:snapToGrid w:val="0"/>
        <w:spacing w:line="300" w:lineRule="auto"/>
        <w:ind w:firstLine="240" w:firstLineChars="100"/>
        <w:rPr>
          <w:rFonts w:hint="default" w:ascii="仿宋" w:hAnsi="仿宋" w:eastAsia="仿宋" w:cs="仿宋"/>
          <w:color w:val="auto"/>
          <w:kern w:val="0"/>
          <w:sz w:val="24"/>
          <w:szCs w:val="24"/>
          <w:highlight w:val="none"/>
        </w:rPr>
      </w:pPr>
    </w:p>
    <w:p>
      <w:pPr>
        <w:pStyle w:val="613"/>
        <w:widowControl/>
        <w:adjustRightInd w:val="0"/>
        <w:snapToGrid w:val="0"/>
        <w:spacing w:line="30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供应商代表签名：                                     年  月  日</w:t>
      </w:r>
    </w:p>
    <w:p>
      <w:pPr>
        <w:pStyle w:val="613"/>
        <w:widowControl/>
        <w:adjustRightInd w:val="0"/>
        <w:snapToGrid w:val="0"/>
        <w:spacing w:line="30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注：投标人在结束解密后30分钟内将填写完整且经授权代表签署的《采购活动现场确认声明书》扫描件发至经办人邮箱（邮箱地址：289231963qq.com.cn）</w:t>
      </w:r>
    </w:p>
    <w:p>
      <w:pPr>
        <w:pStyle w:val="7"/>
        <w:ind w:firstLine="0"/>
        <w:jc w:val="center"/>
        <w:rPr>
          <w:rFonts w:ascii="仿宋" w:hAnsi="仿宋" w:eastAsia="仿宋" w:cs="仿宋"/>
          <w:b/>
          <w:bCs/>
          <w:color w:val="auto"/>
          <w:szCs w:val="24"/>
          <w:highlight w:val="none"/>
        </w:rPr>
      </w:pPr>
    </w:p>
    <w:p>
      <w:pPr>
        <w:pStyle w:val="7"/>
        <w:ind w:firstLine="0"/>
        <w:jc w:val="center"/>
        <w:rPr>
          <w:rFonts w:ascii="仿宋" w:hAnsi="仿宋" w:eastAsia="仿宋" w:cs="仿宋"/>
          <w:b/>
          <w:bCs/>
          <w:color w:val="auto"/>
          <w:sz w:val="28"/>
          <w:szCs w:val="28"/>
          <w:highlight w:val="none"/>
        </w:rPr>
      </w:pPr>
    </w:p>
    <w:p>
      <w:pPr>
        <w:pStyle w:val="7"/>
        <w:ind w:firstLine="0"/>
        <w:jc w:val="center"/>
        <w:rPr>
          <w:rFonts w:ascii="仿宋" w:hAnsi="仿宋" w:eastAsia="仿宋" w:cs="仿宋"/>
          <w:b/>
          <w:bCs/>
          <w:color w:val="auto"/>
          <w:sz w:val="28"/>
          <w:szCs w:val="28"/>
          <w:highlight w:val="none"/>
        </w:rPr>
      </w:pPr>
    </w:p>
    <w:p>
      <w:pPr>
        <w:pStyle w:val="7"/>
        <w:ind w:firstLine="0"/>
        <w:jc w:val="center"/>
        <w:rPr>
          <w:rFonts w:ascii="仿宋" w:hAnsi="仿宋" w:eastAsia="仿宋" w:cs="仿宋"/>
          <w:b/>
          <w:bCs/>
          <w:color w:val="auto"/>
          <w:sz w:val="28"/>
          <w:szCs w:val="28"/>
          <w:highlight w:val="none"/>
        </w:rPr>
      </w:pPr>
    </w:p>
    <w:p>
      <w:pPr>
        <w:pStyle w:val="7"/>
        <w:ind w:firstLine="0"/>
        <w:jc w:val="center"/>
        <w:rPr>
          <w:rFonts w:ascii="仿宋" w:hAnsi="仿宋" w:eastAsia="仿宋" w:cs="仿宋"/>
          <w:b/>
          <w:bCs/>
          <w:color w:val="auto"/>
          <w:sz w:val="28"/>
          <w:szCs w:val="28"/>
          <w:highlight w:val="none"/>
        </w:rPr>
      </w:pPr>
    </w:p>
    <w:p>
      <w:pPr>
        <w:pStyle w:val="7"/>
        <w:ind w:firstLine="0"/>
        <w:jc w:val="center"/>
        <w:rPr>
          <w:rFonts w:ascii="仿宋" w:hAnsi="仿宋" w:eastAsia="仿宋" w:cs="仿宋"/>
          <w:b/>
          <w:bCs/>
          <w:color w:val="auto"/>
          <w:sz w:val="28"/>
          <w:szCs w:val="28"/>
          <w:highlight w:val="none"/>
        </w:rPr>
      </w:pPr>
    </w:p>
    <w:p>
      <w:pPr>
        <w:pStyle w:val="7"/>
        <w:ind w:firstLine="0"/>
        <w:jc w:val="center"/>
        <w:rPr>
          <w:rFonts w:ascii="仿宋" w:hAnsi="仿宋" w:eastAsia="仿宋" w:cs="仿宋"/>
          <w:b/>
          <w:bCs/>
          <w:color w:val="auto"/>
          <w:sz w:val="28"/>
          <w:szCs w:val="28"/>
          <w:highlight w:val="none"/>
        </w:rPr>
      </w:pPr>
    </w:p>
    <w:p>
      <w:pPr>
        <w:pStyle w:val="4"/>
        <w:ind w:left="0" w:firstLine="0"/>
        <w:rPr>
          <w:rFonts w:ascii="仿宋" w:hAnsi="仿宋" w:eastAsia="仿宋" w:cs="仿宋"/>
          <w:color w:val="auto"/>
          <w:sz w:val="44"/>
          <w:szCs w:val="44"/>
          <w:highlight w:val="none"/>
        </w:rPr>
      </w:pPr>
      <w:r>
        <w:rPr>
          <w:rFonts w:hint="eastAsia" w:ascii="仿宋" w:hAnsi="仿宋" w:eastAsia="仿宋" w:cs="仿宋"/>
          <w:color w:val="auto"/>
          <w:sz w:val="28"/>
          <w:highlight w:val="none"/>
        </w:rPr>
        <w:t>投标文件封面</w:t>
      </w:r>
      <w:bookmarkEnd w:id="115"/>
      <w:bookmarkEnd w:id="116"/>
    </w:p>
    <w:p>
      <w:pPr>
        <w:tabs>
          <w:tab w:val="left" w:pos="4500"/>
        </w:tabs>
        <w:autoSpaceDE w:val="0"/>
        <w:autoSpaceDN w:val="0"/>
        <w:adjustRightInd w:val="0"/>
        <w:snapToGrid w:val="0"/>
        <w:spacing w:line="336" w:lineRule="auto"/>
        <w:jc w:val="center"/>
        <w:textAlignment w:val="bottom"/>
        <w:rPr>
          <w:rFonts w:ascii="仿宋" w:hAnsi="仿宋" w:eastAsia="仿宋" w:cs="仿宋"/>
          <w:b/>
          <w:color w:val="auto"/>
          <w:sz w:val="32"/>
          <w:szCs w:val="32"/>
          <w:highlight w:val="none"/>
        </w:rPr>
      </w:pPr>
    </w:p>
    <w:p>
      <w:pPr>
        <w:tabs>
          <w:tab w:val="left" w:pos="4500"/>
        </w:tabs>
        <w:autoSpaceDE w:val="0"/>
        <w:autoSpaceDN w:val="0"/>
        <w:adjustRightInd w:val="0"/>
        <w:snapToGrid w:val="0"/>
        <w:spacing w:line="336" w:lineRule="auto"/>
        <w:jc w:val="center"/>
        <w:textAlignment w:val="bottom"/>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衢江区小区生活垃圾分类提升项目</w:t>
      </w:r>
    </w:p>
    <w:p>
      <w:pPr>
        <w:spacing w:before="24" w:beforeLines="10" w:line="360" w:lineRule="auto"/>
        <w:jc w:val="center"/>
        <w:rPr>
          <w:rFonts w:ascii="仿宋" w:hAnsi="仿宋" w:eastAsia="仿宋" w:cs="仿宋"/>
          <w:b/>
          <w:color w:val="auto"/>
          <w:sz w:val="32"/>
          <w:szCs w:val="32"/>
          <w:highlight w:val="none"/>
        </w:rPr>
      </w:pPr>
    </w:p>
    <w:p>
      <w:pPr>
        <w:pStyle w:val="4"/>
        <w:rPr>
          <w:rFonts w:ascii="仿宋" w:hAnsi="仿宋" w:eastAsia="仿宋" w:cs="仿宋"/>
          <w:color w:val="auto"/>
          <w:highlight w:val="none"/>
        </w:rPr>
      </w:pPr>
    </w:p>
    <w:p>
      <w:pPr>
        <w:spacing w:before="24" w:beforeLines="10" w:line="360" w:lineRule="auto"/>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项目编号：</w:t>
      </w:r>
      <w:r>
        <w:rPr>
          <w:rFonts w:hint="eastAsia" w:ascii="仿宋" w:hAnsi="仿宋" w:eastAsia="仿宋" w:cs="仿宋"/>
          <w:b/>
          <w:color w:val="auto"/>
          <w:sz w:val="32"/>
          <w:szCs w:val="32"/>
          <w:highlight w:val="none"/>
          <w:lang w:eastAsia="zh-CN"/>
        </w:rPr>
        <w:t>ZZCG2023082</w:t>
      </w:r>
    </w:p>
    <w:p>
      <w:pPr>
        <w:pStyle w:val="7"/>
        <w:rPr>
          <w:rFonts w:ascii="仿宋" w:hAnsi="仿宋" w:eastAsia="仿宋" w:cs="仿宋"/>
          <w:color w:val="auto"/>
          <w:highlight w:val="none"/>
        </w:rPr>
      </w:pPr>
    </w:p>
    <w:p>
      <w:pPr>
        <w:pStyle w:val="7"/>
        <w:rPr>
          <w:rFonts w:ascii="仿宋" w:hAnsi="仿宋" w:eastAsia="仿宋" w:cs="仿宋"/>
          <w:color w:val="auto"/>
          <w:highlight w:val="none"/>
        </w:rPr>
      </w:pPr>
    </w:p>
    <w:p>
      <w:pPr>
        <w:pStyle w:val="7"/>
        <w:rPr>
          <w:rFonts w:ascii="仿宋" w:hAnsi="仿宋" w:eastAsia="仿宋" w:cs="仿宋"/>
          <w:color w:val="auto"/>
          <w:highlight w:val="none"/>
        </w:rPr>
      </w:pPr>
    </w:p>
    <w:bookmarkEnd w:id="23"/>
    <w:bookmarkEnd w:id="24"/>
    <w:bookmarkEnd w:id="25"/>
    <w:bookmarkEnd w:id="26"/>
    <w:bookmarkEnd w:id="99"/>
    <w:p>
      <w:pPr>
        <w:adjustRightInd w:val="0"/>
        <w:snapToGrid w:val="0"/>
        <w:spacing w:line="360" w:lineRule="auto"/>
        <w:jc w:val="center"/>
        <w:rPr>
          <w:rFonts w:ascii="仿宋" w:hAnsi="仿宋" w:eastAsia="仿宋" w:cs="仿宋"/>
          <w:color w:val="auto"/>
          <w:sz w:val="72"/>
          <w:highlight w:val="none"/>
        </w:rPr>
      </w:pPr>
      <w:r>
        <w:rPr>
          <w:rFonts w:hint="eastAsia" w:ascii="仿宋" w:hAnsi="仿宋" w:eastAsia="仿宋" w:cs="仿宋"/>
          <w:color w:val="auto"/>
          <w:sz w:val="72"/>
          <w:highlight w:val="none"/>
        </w:rPr>
        <w:t>投</w:t>
      </w:r>
    </w:p>
    <w:p>
      <w:pPr>
        <w:spacing w:line="360" w:lineRule="auto"/>
        <w:jc w:val="center"/>
        <w:rPr>
          <w:rFonts w:ascii="仿宋" w:hAnsi="仿宋" w:eastAsia="仿宋" w:cs="仿宋"/>
          <w:color w:val="auto"/>
          <w:sz w:val="72"/>
          <w:highlight w:val="none"/>
        </w:rPr>
      </w:pPr>
      <w:r>
        <w:rPr>
          <w:rFonts w:hint="eastAsia" w:ascii="仿宋" w:hAnsi="仿宋" w:eastAsia="仿宋" w:cs="仿宋"/>
          <w:color w:val="auto"/>
          <w:sz w:val="72"/>
          <w:highlight w:val="none"/>
        </w:rPr>
        <w:t>标</w:t>
      </w:r>
    </w:p>
    <w:p>
      <w:pPr>
        <w:spacing w:line="360" w:lineRule="auto"/>
        <w:jc w:val="center"/>
        <w:rPr>
          <w:rFonts w:ascii="仿宋" w:hAnsi="仿宋" w:eastAsia="仿宋" w:cs="仿宋"/>
          <w:color w:val="auto"/>
          <w:sz w:val="72"/>
          <w:highlight w:val="none"/>
        </w:rPr>
      </w:pPr>
      <w:r>
        <w:rPr>
          <w:rFonts w:hint="eastAsia" w:ascii="仿宋" w:hAnsi="仿宋" w:eastAsia="仿宋" w:cs="仿宋"/>
          <w:color w:val="auto"/>
          <w:sz w:val="72"/>
          <w:highlight w:val="none"/>
        </w:rPr>
        <w:t>文</w:t>
      </w:r>
    </w:p>
    <w:p>
      <w:pPr>
        <w:spacing w:line="360" w:lineRule="auto"/>
        <w:jc w:val="center"/>
        <w:rPr>
          <w:rFonts w:ascii="仿宋" w:hAnsi="仿宋" w:eastAsia="仿宋" w:cs="仿宋"/>
          <w:color w:val="auto"/>
          <w:sz w:val="72"/>
          <w:highlight w:val="none"/>
        </w:rPr>
      </w:pPr>
      <w:r>
        <w:rPr>
          <w:rFonts w:hint="eastAsia" w:ascii="仿宋" w:hAnsi="仿宋" w:eastAsia="仿宋" w:cs="仿宋"/>
          <w:color w:val="auto"/>
          <w:sz w:val="72"/>
          <w:highlight w:val="none"/>
        </w:rPr>
        <w:t>件</w:t>
      </w:r>
    </w:p>
    <w:p>
      <w:pPr>
        <w:spacing w:line="312" w:lineRule="auto"/>
        <w:ind w:firstLine="960" w:firstLineChars="300"/>
        <w:rPr>
          <w:rFonts w:ascii="仿宋" w:hAnsi="仿宋" w:eastAsia="仿宋" w:cs="仿宋"/>
          <w:color w:val="auto"/>
          <w:sz w:val="32"/>
          <w:highlight w:val="none"/>
        </w:rPr>
      </w:pPr>
    </w:p>
    <w:p>
      <w:pPr>
        <w:spacing w:line="312" w:lineRule="auto"/>
        <w:ind w:firstLine="960" w:firstLineChars="300"/>
        <w:rPr>
          <w:rFonts w:ascii="仿宋" w:hAnsi="仿宋" w:eastAsia="仿宋" w:cs="仿宋"/>
          <w:color w:val="auto"/>
          <w:sz w:val="32"/>
          <w:highlight w:val="none"/>
        </w:rPr>
      </w:pPr>
    </w:p>
    <w:p>
      <w:pPr>
        <w:spacing w:line="312" w:lineRule="auto"/>
        <w:ind w:firstLine="960" w:firstLineChars="300"/>
        <w:rPr>
          <w:rFonts w:ascii="仿宋" w:hAnsi="仿宋" w:eastAsia="仿宋" w:cs="仿宋"/>
          <w:color w:val="auto"/>
          <w:sz w:val="32"/>
          <w:highlight w:val="none"/>
        </w:rPr>
      </w:pPr>
      <w:r>
        <w:rPr>
          <w:rFonts w:hint="eastAsia" w:ascii="仿宋" w:hAnsi="仿宋" w:eastAsia="仿宋" w:cs="仿宋"/>
          <w:color w:val="auto"/>
          <w:sz w:val="32"/>
          <w:highlight w:val="none"/>
        </w:rPr>
        <w:t>投标人：（加盖公章）</w:t>
      </w:r>
    </w:p>
    <w:p>
      <w:pPr>
        <w:spacing w:line="312" w:lineRule="auto"/>
        <w:ind w:firstLine="960" w:firstLineChars="300"/>
        <w:rPr>
          <w:rFonts w:ascii="仿宋" w:hAnsi="仿宋" w:eastAsia="仿宋" w:cs="仿宋"/>
          <w:color w:val="auto"/>
          <w:sz w:val="32"/>
          <w:highlight w:val="none"/>
        </w:rPr>
      </w:pPr>
      <w:r>
        <w:rPr>
          <w:rFonts w:hint="eastAsia" w:ascii="仿宋" w:hAnsi="仿宋" w:eastAsia="仿宋" w:cs="仿宋"/>
          <w:color w:val="auto"/>
          <w:sz w:val="32"/>
          <w:highlight w:val="none"/>
        </w:rPr>
        <w:t>地址：</w:t>
      </w:r>
    </w:p>
    <w:p>
      <w:pPr>
        <w:ind w:firstLine="960" w:firstLineChars="300"/>
        <w:rPr>
          <w:rFonts w:ascii="仿宋" w:hAnsi="仿宋" w:eastAsia="仿宋" w:cs="仿宋"/>
          <w:color w:val="auto"/>
          <w:sz w:val="32"/>
          <w:highlight w:val="none"/>
          <w:u w:val="single"/>
        </w:rPr>
      </w:pPr>
      <w:r>
        <w:rPr>
          <w:rFonts w:hint="eastAsia" w:ascii="仿宋" w:hAnsi="仿宋" w:eastAsia="仿宋" w:cs="仿宋"/>
          <w:color w:val="auto"/>
          <w:sz w:val="32"/>
          <w:highlight w:val="none"/>
        </w:rPr>
        <w:t>日期：</w:t>
      </w:r>
    </w:p>
    <w:p>
      <w:pPr>
        <w:pageBreakBefore/>
        <w:adjustRightInd w:val="0"/>
        <w:snapToGrid w:val="0"/>
        <w:spacing w:line="360" w:lineRule="auto"/>
        <w:jc w:val="center"/>
        <w:outlineLvl w:val="0"/>
        <w:rPr>
          <w:rFonts w:ascii="仿宋" w:hAnsi="仿宋" w:eastAsia="仿宋" w:cs="仿宋"/>
          <w:b/>
          <w:color w:val="auto"/>
          <w:sz w:val="36"/>
          <w:highlight w:val="none"/>
        </w:rPr>
      </w:pPr>
      <w:bookmarkStart w:id="118" w:name="_Toc15453"/>
      <w:r>
        <w:rPr>
          <w:rFonts w:hint="eastAsia" w:ascii="仿宋" w:hAnsi="仿宋" w:eastAsia="仿宋" w:cs="仿宋"/>
          <w:b/>
          <w:color w:val="auto"/>
          <w:sz w:val="36"/>
          <w:highlight w:val="none"/>
        </w:rPr>
        <w:t>第六部分  评分办法</w:t>
      </w:r>
      <w:bookmarkEnd w:id="118"/>
    </w:p>
    <w:p>
      <w:pPr>
        <w:pStyle w:val="4"/>
        <w:spacing w:line="400" w:lineRule="exact"/>
        <w:ind w:left="0" w:firstLine="0"/>
        <w:rPr>
          <w:rFonts w:ascii="仿宋" w:hAnsi="仿宋" w:eastAsia="仿宋" w:cs="仿宋"/>
          <w:color w:val="auto"/>
          <w:sz w:val="32"/>
          <w:highlight w:val="none"/>
        </w:rPr>
      </w:pPr>
      <w:bookmarkStart w:id="119" w:name="_Toc28449"/>
      <w:bookmarkStart w:id="120" w:name="_Toc522530063"/>
      <w:r>
        <w:rPr>
          <w:rFonts w:hint="eastAsia" w:ascii="仿宋" w:hAnsi="仿宋" w:eastAsia="仿宋" w:cs="仿宋"/>
          <w:color w:val="auto"/>
          <w:sz w:val="32"/>
          <w:highlight w:val="none"/>
        </w:rPr>
        <w:t>一、评分办法</w:t>
      </w:r>
      <w:bookmarkEnd w:id="119"/>
      <w:bookmarkEnd w:id="120"/>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本项目评分采用：</w:t>
      </w:r>
      <w:r>
        <w:rPr>
          <w:rFonts w:hint="eastAsia" w:ascii="仿宋" w:hAnsi="仿宋" w:eastAsia="仿宋" w:cs="仿宋"/>
          <w:color w:val="auto"/>
          <w:sz w:val="24"/>
          <w:highlight w:val="none"/>
          <w:u w:val="single"/>
        </w:rPr>
        <w:t>综合评分法。即在投标文件满足招标文件全部实质性要求的前提下，按照评审因素的量化指标评审得分从高到低的顺序推荐投标人为第一、第二、……中标候选人的评标办法</w:t>
      </w:r>
      <w:r>
        <w:rPr>
          <w:rFonts w:hint="eastAsia" w:ascii="仿宋" w:hAnsi="仿宋" w:eastAsia="仿宋" w:cs="仿宋"/>
          <w:color w:val="auto"/>
          <w:sz w:val="24"/>
          <w:highlight w:val="none"/>
        </w:rPr>
        <w:t>。</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投标人的评审得分=商务技术分（90分）+价格分（10分）。</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商务技术分与报价分合计得分由高到低顺序排列推荐一名中标候选人。如果投标人综合得分相同则按投标报价低者优先；如果综合得分相同且投标报价相同的，则商务技术中的商务部分得分高者优先；若综合得分、投标报价与商务技术中的商务部分得分均相同的，则抽签决定。</w:t>
      </w:r>
    </w:p>
    <w:p>
      <w:pPr>
        <w:autoSpaceDE w:val="0"/>
        <w:autoSpaceDN w:val="0"/>
        <w:adjustRightInd w:val="0"/>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评标委员会根据采购文件和投标文件，结合商务技术评分细则对各投标人的商务技术部分进行评审。</w:t>
      </w:r>
      <w:r>
        <w:rPr>
          <w:rFonts w:hint="eastAsia" w:ascii="仿宋" w:hAnsi="仿宋" w:eastAsia="仿宋" w:cs="仿宋"/>
          <w:b/>
          <w:bCs/>
          <w:color w:val="auto"/>
          <w:sz w:val="24"/>
          <w:highlight w:val="none"/>
        </w:rPr>
        <w:t>评标委员会各成员所评分值的算术平均值即为各投标人的商务技术分值</w:t>
      </w:r>
      <w:r>
        <w:rPr>
          <w:rFonts w:hint="eastAsia" w:ascii="仿宋" w:hAnsi="仿宋" w:eastAsia="仿宋" w:cs="仿宋"/>
          <w:color w:val="auto"/>
          <w:sz w:val="24"/>
          <w:highlight w:val="none"/>
        </w:rPr>
        <w:t>（计算时四舍五入保留二位小数）。</w:t>
      </w:r>
    </w:p>
    <w:p>
      <w:pPr>
        <w:autoSpaceDE w:val="0"/>
        <w:autoSpaceDN w:val="0"/>
        <w:adjustRightInd w:val="0"/>
        <w:snapToGrid w:val="0"/>
        <w:spacing w:line="400" w:lineRule="exact"/>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询标期间，工作人员通过政采云系统向投标人发出在线询标内容，投标人法人代表或法人委托人负责解答及上传相关文件。</w:t>
      </w:r>
    </w:p>
    <w:p>
      <w:pPr>
        <w:pStyle w:val="4"/>
        <w:numPr>
          <w:ilvl w:val="0"/>
          <w:numId w:val="18"/>
        </w:numPr>
        <w:spacing w:line="400" w:lineRule="exact"/>
        <w:ind w:left="0" w:hanging="106"/>
        <w:rPr>
          <w:rFonts w:ascii="仿宋" w:hAnsi="仿宋" w:eastAsia="仿宋" w:cs="仿宋"/>
          <w:color w:val="auto"/>
          <w:sz w:val="32"/>
          <w:highlight w:val="none"/>
        </w:rPr>
      </w:pPr>
      <w:bookmarkStart w:id="121" w:name="_Toc17578"/>
      <w:bookmarkStart w:id="122" w:name="_Toc522530064"/>
      <w:r>
        <w:rPr>
          <w:rFonts w:hint="eastAsia" w:ascii="仿宋" w:hAnsi="仿宋" w:eastAsia="仿宋" w:cs="仿宋"/>
          <w:color w:val="auto"/>
          <w:sz w:val="32"/>
          <w:highlight w:val="none"/>
        </w:rPr>
        <w:t>评分细则</w:t>
      </w:r>
      <w:bookmarkEnd w:id="121"/>
      <w:bookmarkEnd w:id="122"/>
    </w:p>
    <w:p>
      <w:pPr>
        <w:numPr>
          <w:ilvl w:val="0"/>
          <w:numId w:val="19"/>
        </w:numPr>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商务技术评分（90分）</w:t>
      </w:r>
    </w:p>
    <w:tbl>
      <w:tblPr>
        <w:tblStyle w:val="88"/>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81"/>
        <w:gridCol w:w="660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评标项目</w:t>
            </w:r>
          </w:p>
        </w:tc>
        <w:tc>
          <w:tcPr>
            <w:tcW w:w="66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评分标准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50"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281"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企业荣誉</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投标人获得政府行政职能部门或环卫主管部门授予的投标企业荣誉证书、奖牌、荣誉称号的，每项得1分，最高2分。</w:t>
            </w:r>
          </w:p>
          <w:p>
            <w:pPr>
              <w:spacing w:line="340" w:lineRule="exact"/>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注：须提供相关证明材料</w:t>
            </w:r>
            <w:r>
              <w:rPr>
                <w:rFonts w:hint="eastAsia" w:ascii="仿宋" w:hAnsi="仿宋" w:eastAsia="仿宋" w:cs="仿宋"/>
                <w:b/>
                <w:bCs/>
                <w:color w:val="auto"/>
                <w:kern w:val="0"/>
                <w:sz w:val="21"/>
                <w:szCs w:val="21"/>
                <w:highlight w:val="none"/>
                <w:lang w:bidi="ar"/>
              </w:rPr>
              <w:t>的扫描件至投标文件佐证，否则不得分。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50"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281"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体系认证</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投标人具有环境管理体系、职业健康安全管理体系、质量管理体系认证证书的，每项</w:t>
            </w:r>
            <w:r>
              <w:rPr>
                <w:rFonts w:hint="eastAsia" w:ascii="仿宋" w:hAnsi="仿宋" w:eastAsia="仿宋" w:cs="仿宋"/>
                <w:color w:val="auto"/>
                <w:sz w:val="21"/>
                <w:szCs w:val="21"/>
                <w:highlight w:val="none"/>
                <w:lang w:val="zh-CN"/>
              </w:rPr>
              <w:t>得</w:t>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zh-CN"/>
              </w:rPr>
              <w:t>分，最</w:t>
            </w:r>
            <w:r>
              <w:rPr>
                <w:rFonts w:hint="eastAsia" w:ascii="仿宋" w:hAnsi="仿宋" w:eastAsia="仿宋" w:cs="仿宋"/>
                <w:color w:val="auto"/>
                <w:sz w:val="21"/>
                <w:szCs w:val="21"/>
                <w:highlight w:val="none"/>
              </w:rPr>
              <w:t>高3</w:t>
            </w:r>
            <w:r>
              <w:rPr>
                <w:rFonts w:hint="eastAsia" w:ascii="仿宋" w:hAnsi="仿宋" w:eastAsia="仿宋" w:cs="仿宋"/>
                <w:color w:val="auto"/>
                <w:sz w:val="21"/>
                <w:szCs w:val="21"/>
                <w:highlight w:val="none"/>
                <w:lang w:val="zh-CN"/>
              </w:rPr>
              <w:t>分</w:t>
            </w:r>
            <w:r>
              <w:rPr>
                <w:rFonts w:hint="eastAsia" w:ascii="仿宋" w:hAnsi="仿宋" w:eastAsia="仿宋" w:cs="仿宋"/>
                <w:color w:val="auto"/>
                <w:sz w:val="21"/>
                <w:szCs w:val="21"/>
                <w:highlight w:val="none"/>
              </w:rPr>
              <w:t>。</w:t>
            </w:r>
            <w:r>
              <w:rPr>
                <w:rFonts w:hint="eastAsia" w:ascii="仿宋" w:hAnsi="仿宋" w:eastAsia="仿宋" w:cs="仿宋"/>
                <w:b/>
                <w:bCs/>
                <w:color w:val="auto"/>
                <w:sz w:val="21"/>
                <w:szCs w:val="21"/>
                <w:highlight w:val="none"/>
              </w:rPr>
              <w:t>注：须提供相关</w:t>
            </w:r>
            <w:r>
              <w:rPr>
                <w:rFonts w:hint="eastAsia" w:ascii="仿宋" w:hAnsi="仿宋" w:eastAsia="仿宋" w:cs="仿宋"/>
                <w:b/>
                <w:bCs/>
                <w:color w:val="auto"/>
                <w:kern w:val="0"/>
                <w:sz w:val="21"/>
                <w:szCs w:val="21"/>
                <w:highlight w:val="none"/>
                <w:lang w:bidi="ar"/>
              </w:rPr>
              <w:t>认证证书的扫描件至投标文件佐证，否则不得分。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50"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281"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类似业绩</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lang w:val="zh-CN" w:eastAsia="zh-Hans"/>
              </w:rPr>
            </w:pPr>
            <w:r>
              <w:rPr>
                <w:rFonts w:hint="eastAsia" w:ascii="仿宋" w:hAnsi="仿宋" w:eastAsia="仿宋" w:cs="仿宋"/>
                <w:color w:val="auto"/>
                <w:sz w:val="21"/>
                <w:szCs w:val="21"/>
                <w:highlight w:val="none"/>
              </w:rPr>
              <w:t>投标人</w:t>
            </w:r>
            <w:r>
              <w:rPr>
                <w:rFonts w:hint="eastAsia" w:ascii="仿宋" w:hAnsi="仿宋" w:eastAsia="仿宋" w:cs="仿宋"/>
                <w:color w:val="auto"/>
                <w:sz w:val="21"/>
                <w:szCs w:val="21"/>
                <w:highlight w:val="none"/>
                <w:lang w:val="zh-CN" w:eastAsia="zh-Hans"/>
              </w:rPr>
              <w:t>自20</w:t>
            </w:r>
            <w:r>
              <w:rPr>
                <w:rFonts w:hint="eastAsia" w:ascii="仿宋" w:hAnsi="仿宋" w:eastAsia="仿宋" w:cs="仿宋"/>
                <w:color w:val="auto"/>
                <w:sz w:val="21"/>
                <w:szCs w:val="21"/>
                <w:highlight w:val="none"/>
              </w:rPr>
              <w:t>20</w:t>
            </w:r>
            <w:r>
              <w:rPr>
                <w:rFonts w:hint="eastAsia" w:ascii="仿宋" w:hAnsi="仿宋" w:eastAsia="仿宋" w:cs="仿宋"/>
                <w:color w:val="auto"/>
                <w:sz w:val="21"/>
                <w:szCs w:val="21"/>
                <w:highlight w:val="none"/>
                <w:lang w:val="zh-CN" w:eastAsia="zh-Hans"/>
              </w:rPr>
              <w:t>年1月1日</w:t>
            </w:r>
            <w:r>
              <w:rPr>
                <w:rFonts w:hint="eastAsia" w:ascii="仿宋" w:hAnsi="仿宋" w:eastAsia="仿宋" w:cs="仿宋"/>
                <w:color w:val="auto"/>
                <w:sz w:val="21"/>
                <w:szCs w:val="21"/>
                <w:highlight w:val="none"/>
              </w:rPr>
              <w:t>以来(时间以签订合同时间为准)承担过类似项目服务业绩的，每个得0.5分，最高1分。</w:t>
            </w:r>
            <w:r>
              <w:rPr>
                <w:rFonts w:hint="eastAsia" w:ascii="仿宋" w:hAnsi="仿宋" w:eastAsia="仿宋" w:cs="仿宋"/>
                <w:b/>
                <w:bCs/>
                <w:color w:val="auto"/>
                <w:sz w:val="21"/>
                <w:szCs w:val="21"/>
                <w:highlight w:val="none"/>
              </w:rPr>
              <w:t>注：须提供项目合同</w:t>
            </w:r>
            <w:r>
              <w:rPr>
                <w:rFonts w:hint="eastAsia" w:ascii="仿宋" w:hAnsi="仿宋" w:eastAsia="仿宋" w:cs="仿宋"/>
                <w:b/>
                <w:bCs/>
                <w:color w:val="auto"/>
                <w:kern w:val="0"/>
                <w:sz w:val="21"/>
                <w:szCs w:val="21"/>
                <w:highlight w:val="none"/>
                <w:lang w:bidi="ar"/>
              </w:rPr>
              <w:t>的扫描件至投标文件佐证，否则不得分。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750"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281"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人员配置</w:t>
            </w:r>
          </w:p>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情况</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①投标人拟派项目负责人获得过地级市环卫行政主管部门颁发荣誉的得1分，获得过省级及以上环卫主管部门颁发荣誉的得2分，荣誉不累计得分，只计一个最高分，最高2分。</w:t>
            </w:r>
          </w:p>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②投标人配备专职安全员（具备政府应急管理部门监制的或政府安全生产管理部门监制的安全培训合格证书）的，每人得1分，最高2分。</w:t>
            </w:r>
          </w:p>
          <w:p>
            <w:pPr>
              <w:spacing w:line="340" w:lineRule="exact"/>
              <w:rPr>
                <w:rFonts w:ascii="仿宋" w:hAnsi="仿宋" w:eastAsia="仿宋" w:cs="仿宋"/>
                <w:color w:val="auto"/>
                <w:sz w:val="21"/>
                <w:szCs w:val="21"/>
                <w:highlight w:val="none"/>
              </w:rPr>
            </w:pPr>
            <w:r>
              <w:rPr>
                <w:rFonts w:hint="eastAsia" w:ascii="仿宋" w:hAnsi="仿宋" w:eastAsia="仿宋" w:cs="仿宋"/>
                <w:b/>
                <w:bCs/>
                <w:color w:val="auto"/>
                <w:kern w:val="0"/>
                <w:sz w:val="21"/>
                <w:szCs w:val="21"/>
                <w:highlight w:val="none"/>
                <w:lang w:bidi="ar"/>
              </w:rPr>
              <w:t>注：须提供荣誉证书或表彰文件、相应安全培训合格证及投标截止时间前连续三个月社保机构出具的投标人为其缴纳的社保证明的扫描件至投标文件佐证，否则不得分。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50"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281"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配置参数</w:t>
            </w:r>
          </w:p>
        </w:tc>
        <w:tc>
          <w:tcPr>
            <w:tcW w:w="6600"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投标人提供的设备设施的技术参数全部满足招标文件采购需求要求的得5分，不满足的每负偏离一项扣1分，扣完为止。提供相关承诺函</w:t>
            </w:r>
            <w:r>
              <w:rPr>
                <w:rFonts w:hint="eastAsia" w:ascii="仿宋" w:hAnsi="仿宋" w:eastAsia="仿宋" w:cs="仿宋"/>
                <w:color w:val="auto"/>
                <w:sz w:val="21"/>
                <w:szCs w:val="21"/>
                <w:highlight w:val="none"/>
                <w:lang w:eastAsia="zh-CN"/>
              </w:rPr>
              <w:t>。</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281" w:type="dxa"/>
            <w:tcBorders>
              <w:left w:val="single" w:color="auto" w:sz="4" w:space="0"/>
              <w:right w:val="single" w:color="auto" w:sz="4" w:space="0"/>
            </w:tcBorders>
            <w:vAlign w:val="center"/>
          </w:tcPr>
          <w:p>
            <w:pPr>
              <w:spacing w:line="34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针对项目背景、现状及需求的理解分析情况</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项目理解及分析进行综合打分，充分理解业主需求及现状，方案对项目实施中可能遇到的问题及其应对措施的考虑情况，投标人对本项目调查剖析及解决措施进行打分。合理可行的得8.01-10分；较合理可行的得5.01-8分；基本合理可行的得2.01-5分；一般的得1-2分；不提供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50"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281"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维稳方案</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关于“定点减桶”垃圾分类收集设施建设前期配合属地做好民意疏通，与街道、社区、居民委员会、物业等部门沟通协调方案进行综合打分，合理可行的得8.01-10分；较合理可行的得5.01-8分；基本合理可行的得2.01-5分；一般的得1-2分；不提供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50" w:type="dxa"/>
            <w:tcBorders>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281" w:type="dxa"/>
            <w:tcBorders>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供货、安装、调试、验收的方案和措施</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根据项目的供货、安装、调试及验收、进度保障方案的合理性、可实施性进行综合打分。合理可行的得8.01-10分；较合理可行的得5.01-8分；基本合理可行的得2.01-5分；一般的得1-2分；不提供不得分。</w:t>
            </w:r>
          </w:p>
        </w:tc>
        <w:tc>
          <w:tcPr>
            <w:tcW w:w="1011"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50"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281"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培训方案</w:t>
            </w:r>
          </w:p>
        </w:tc>
        <w:tc>
          <w:tcPr>
            <w:tcW w:w="6600" w:type="dxa"/>
            <w:tcBorders>
              <w:left w:val="single" w:color="auto" w:sz="4" w:space="0"/>
              <w:bottom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垃圾分类设备使用培训课程设置合理，培训计划安排，培训指导方案描述详细清楚、可操作性等情况进行综合打分。合理可行的得6.01-8分；较合理可行的得4.01-6分；基本合理可行的得2.01-4分；一般的得1-2分；不提供不得分。</w:t>
            </w:r>
          </w:p>
        </w:tc>
        <w:tc>
          <w:tcPr>
            <w:tcW w:w="1011"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50"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281"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宣教方案</w:t>
            </w:r>
          </w:p>
        </w:tc>
        <w:tc>
          <w:tcPr>
            <w:tcW w:w="6600" w:type="dxa"/>
            <w:tcBorders>
              <w:left w:val="single" w:color="auto" w:sz="4" w:space="0"/>
              <w:bottom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根据投标人提供的响应文件中项目宣传方案进行横向对比后酌情给分。合理可行的得8.01-10分；较合理可行的得5.01-8分；基本合理可行的得2.01-5分；一般的得1-2分；不提供不得分。</w:t>
            </w:r>
          </w:p>
        </w:tc>
        <w:tc>
          <w:tcPr>
            <w:tcW w:w="1011" w:type="dxa"/>
            <w:tcBorders>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750"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281"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根据投标人提供的售后服务承诺、服务响应、响应程度、解决问题的能力等进行综合打分。合理可行的得6.01-8分；较合理可行的得4.01-6分；基本合理可行的得2.01-4分；一般的得1-2分；不提供不得分。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750"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281" w:type="dxa"/>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数字化平台运行方案</w:t>
            </w:r>
          </w:p>
        </w:tc>
        <w:tc>
          <w:tcPr>
            <w:tcW w:w="6600"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建设的数字化平台建设方案先进性、实用性及针对本项目数字化平台、智能系统运行维护方案的合理性、规范性、可实施性进行综合打分。合理可行的得8.01-10分；较合理可行的得5.01-8分；基本合理可行的得2.01-5分；一般的得1-2分；不提供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应急预案</w:t>
            </w:r>
          </w:p>
        </w:tc>
        <w:tc>
          <w:tcPr>
            <w:tcW w:w="66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根据投标人提供的应对突发状况及采购人紧急要求制定的方案措施进行综合打分。合理可行的得5.01-6分；较合理可行的得3.01-5分；基本合理可行的得1.01-3分；一般的得1分；不提供不得分。</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质保承诺</w:t>
            </w:r>
          </w:p>
        </w:tc>
        <w:tc>
          <w:tcPr>
            <w:tcW w:w="66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投标人所有设备质保期满足招标文件要求的基础上，每延长</w:t>
            </w:r>
            <w:r>
              <w:rPr>
                <w:rFonts w:hint="eastAsia" w:ascii="仿宋" w:hAnsi="仿宋" w:eastAsia="仿宋" w:cs="仿宋"/>
                <w:color w:val="auto"/>
                <w:sz w:val="21"/>
                <w:szCs w:val="21"/>
                <w:highlight w:val="none"/>
                <w:lang w:val="en-US" w:eastAsia="zh-CN"/>
              </w:rPr>
              <w:t>一</w:t>
            </w:r>
            <w:r>
              <w:rPr>
                <w:rFonts w:hint="eastAsia" w:ascii="仿宋" w:hAnsi="仿宋" w:eastAsia="仿宋" w:cs="仿宋"/>
                <w:color w:val="auto"/>
                <w:sz w:val="21"/>
                <w:szCs w:val="21"/>
                <w:highlight w:val="none"/>
              </w:rPr>
              <w:t>年加1分，最高得3分。</w:t>
            </w:r>
            <w:r>
              <w:rPr>
                <w:rFonts w:hint="eastAsia" w:ascii="仿宋" w:hAnsi="仿宋" w:eastAsia="仿宋" w:cs="仿宋"/>
                <w:b/>
                <w:bCs/>
                <w:color w:val="auto"/>
                <w:sz w:val="21"/>
                <w:szCs w:val="21"/>
                <w:highlight w:val="none"/>
              </w:rPr>
              <w:t>注：增加的质保期内容与原质保期内容一致。</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0-3分</w:t>
            </w:r>
          </w:p>
        </w:tc>
      </w:tr>
    </w:tbl>
    <w:p>
      <w:pPr>
        <w:spacing w:line="440" w:lineRule="exact"/>
        <w:ind w:firstLine="482" w:firstLineChars="200"/>
        <w:jc w:val="left"/>
        <w:rPr>
          <w:rFonts w:ascii="仿宋" w:hAnsi="仿宋" w:eastAsia="仿宋" w:cs="仿宋"/>
          <w:b/>
          <w:bCs/>
          <w:color w:val="auto"/>
          <w:sz w:val="24"/>
          <w:highlight w:val="none"/>
        </w:rPr>
      </w:pPr>
    </w:p>
    <w:p>
      <w:pPr>
        <w:pStyle w:val="100"/>
        <w:rPr>
          <w:rFonts w:ascii="仿宋" w:hAnsi="仿宋" w:eastAsia="仿宋" w:cs="仿宋"/>
          <w:b/>
          <w:bCs/>
          <w:color w:val="auto"/>
          <w:sz w:val="24"/>
          <w:highlight w:val="none"/>
        </w:rPr>
      </w:pPr>
    </w:p>
    <w:p>
      <w:pPr>
        <w:pStyle w:val="100"/>
        <w:rPr>
          <w:rFonts w:ascii="仿宋" w:hAnsi="仿宋" w:eastAsia="仿宋" w:cs="仿宋"/>
          <w:b/>
          <w:bCs/>
          <w:color w:val="auto"/>
          <w:sz w:val="24"/>
          <w:highlight w:val="none"/>
        </w:rPr>
      </w:pPr>
    </w:p>
    <w:p>
      <w:pPr>
        <w:spacing w:line="440" w:lineRule="exact"/>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说明：上表所列投标人的商务条件。请投标人严格按照要求提交相关证明材料，否则有可能影响评审结果。</w:t>
      </w:r>
    </w:p>
    <w:p>
      <w:pPr>
        <w:spacing w:line="440" w:lineRule="exact"/>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（二）价格评分（10分）</w:t>
      </w:r>
    </w:p>
    <w:p>
      <w:pPr>
        <w:spacing w:line="440" w:lineRule="exact"/>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1、价格分采用低价优先法计算：</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价格分满分分值：10分</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所有合格投标人中最低投标报价为评标基准价，各投标人的价格得分=评标基准价÷各投标人的投标报价×价格满分分值。</w:t>
      </w:r>
    </w:p>
    <w:p>
      <w:pPr>
        <w:spacing w:line="440" w:lineRule="exact"/>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highlight w:val="none"/>
        </w:rPr>
        <w:t>修改评标结果</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评标结果汇总完成后，除下列情形外，任何人不得修改评标结果：</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（1）分值汇总计算错误的；</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（2）分项评分超出评分标准范围的；</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（3）评标委员会成员对客观评审因素评分不一致的；</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（4）经评标委员会认定</w:t>
      </w:r>
      <w:bookmarkStart w:id="123" w:name="_GoBack"/>
      <w:bookmarkEnd w:id="123"/>
      <w:r>
        <w:rPr>
          <w:rFonts w:hint="eastAsia" w:ascii="仿宋" w:hAnsi="仿宋" w:eastAsia="仿宋" w:cs="仿宋"/>
          <w:color w:val="auto"/>
          <w:sz w:val="24"/>
          <w:highlight w:val="none"/>
        </w:rPr>
        <w:t>评分畸高、畸低的。</w:t>
      </w:r>
    </w:p>
    <w:sectPr>
      <w:footerReference r:id="rId9" w:type="first"/>
      <w:footerReference r:id="rId7" w:type="default"/>
      <w:footerReference r:id="rId8" w:type="even"/>
      <w:pgSz w:w="11906" w:h="16838"/>
      <w:pgMar w:top="1440" w:right="1440" w:bottom="1440" w:left="1440" w:header="851" w:footer="851"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HYKai U3HK">
    <w:altName w:val="MingLiU-ExtB"/>
    <w:panose1 w:val="00000000000000000000"/>
    <w:charset w:val="88"/>
    <w:family w:val="modern"/>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CS?o｡ﾀ?">
    <w:altName w:val="Yu Gothic"/>
    <w:panose1 w:val="00000000000000000000"/>
    <w:charset w:val="80"/>
    <w:family w:val="modern"/>
    <w:pitch w:val="default"/>
    <w:sig w:usb0="00000000" w:usb1="00000000" w:usb2="00000010" w:usb3="00000000" w:csb0="00020000" w:csb1="00000000"/>
  </w:font>
  <w:font w:name="华文仿宋">
    <w:altName w:val="仿宋"/>
    <w:panose1 w:val="02010600040101010101"/>
    <w:charset w:val="86"/>
    <w:family w:val="auto"/>
    <w:pitch w:val="default"/>
    <w:sig w:usb0="00000000" w:usb1="00000000" w:usb2="00000000" w:usb3="00000000" w:csb0="0004009F" w:csb1="DFD70000"/>
  </w:font>
  <w:font w:name="ヒラギノ角ゴ Pro W3">
    <w:altName w:val="Yu Gothic"/>
    <w:panose1 w:val="00000000000000000000"/>
    <w:charset w:val="80"/>
    <w:family w:val="auto"/>
    <w:pitch w:val="default"/>
    <w:sig w:usb0="00000000" w:usb1="00000000" w:usb2="00000012" w:usb3="00000000" w:csb0="0002000D"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after="120"/>
      <w:jc w:val="center"/>
      <w:rPr>
        <w:b/>
        <w:sz w:val="21"/>
        <w:szCs w:val="21"/>
      </w:rPr>
    </w:pPr>
    <w:r>
      <w:rPr>
        <w:b/>
        <w:sz w:val="21"/>
        <w:szCs w:val="21"/>
      </w:rPr>
      <w:fldChar w:fldCharType="begin"/>
    </w:r>
    <w:r>
      <w:rPr>
        <w:b/>
        <w:sz w:val="21"/>
        <w:szCs w:val="21"/>
      </w:rPr>
      <w:instrText xml:space="preserve">PAGE   \* MERGEFORMAT</w:instrText>
    </w:r>
    <w:r>
      <w:rPr>
        <w:b/>
        <w:sz w:val="21"/>
        <w:szCs w:val="21"/>
      </w:rPr>
      <w:fldChar w:fldCharType="separate"/>
    </w:r>
    <w:r>
      <w:rPr>
        <w:b/>
        <w:sz w:val="21"/>
        <w:szCs w:val="21"/>
        <w:lang w:val="zh-CN"/>
      </w:rPr>
      <w:t>1</w:t>
    </w:r>
    <w:r>
      <w:rPr>
        <w:b/>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rPr>
        <w:rFonts w:hint="eastAsia"/>
      </w:rPr>
    </w:pPr>
    <w:r>
      <w:fldChar w:fldCharType="begin"/>
    </w:r>
    <w:r>
      <w:instrText xml:space="preserve">PAGE   \* MERGEFORMAT</w:instrText>
    </w:r>
    <w:r>
      <w:fldChar w:fldCharType="separate"/>
    </w:r>
    <w:r>
      <w:rPr>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separate"/>
    </w:r>
    <w:r>
      <w:t>1</w:t>
    </w:r>
    <w:r>
      <w:fldChar w:fldCharType="end"/>
    </w:r>
  </w:p>
  <w:p/>
  <w:p/>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78FC4"/>
    <w:multiLevelType w:val="singleLevel"/>
    <w:tmpl w:val="99C78FC4"/>
    <w:lvl w:ilvl="0" w:tentative="0">
      <w:start w:val="3"/>
      <w:numFmt w:val="chineseCounting"/>
      <w:suff w:val="space"/>
      <w:lvlText w:val="第%1部分"/>
      <w:lvlJc w:val="left"/>
      <w:rPr>
        <w:rFonts w:hint="eastAsia"/>
      </w:rPr>
    </w:lvl>
  </w:abstractNum>
  <w:abstractNum w:abstractNumId="1">
    <w:nsid w:val="9F86915B"/>
    <w:multiLevelType w:val="singleLevel"/>
    <w:tmpl w:val="9F86915B"/>
    <w:lvl w:ilvl="0" w:tentative="0">
      <w:start w:val="2"/>
      <w:numFmt w:val="decimal"/>
      <w:suff w:val="nothing"/>
      <w:lvlText w:val="%1、"/>
      <w:lvlJc w:val="left"/>
    </w:lvl>
  </w:abstractNum>
  <w:abstractNum w:abstractNumId="2">
    <w:nsid w:val="CFE2EEAF"/>
    <w:multiLevelType w:val="singleLevel"/>
    <w:tmpl w:val="CFE2EEAF"/>
    <w:lvl w:ilvl="0" w:tentative="0">
      <w:start w:val="2"/>
      <w:numFmt w:val="decimal"/>
      <w:lvlText w:val="%1."/>
      <w:lvlJc w:val="left"/>
      <w:pPr>
        <w:tabs>
          <w:tab w:val="left" w:pos="312"/>
        </w:tabs>
      </w:pPr>
    </w:lvl>
  </w:abstractNum>
  <w:abstractNum w:abstractNumId="3">
    <w:nsid w:val="D35006BA"/>
    <w:multiLevelType w:val="singleLevel"/>
    <w:tmpl w:val="D35006BA"/>
    <w:lvl w:ilvl="0" w:tentative="0">
      <w:start w:val="5"/>
      <w:numFmt w:val="chineseCounting"/>
      <w:suff w:val="nothing"/>
      <w:lvlText w:val="%1、"/>
      <w:lvlJc w:val="left"/>
      <w:rPr>
        <w:rFonts w:hint="eastAsia"/>
      </w:rPr>
    </w:lvl>
  </w:abstractNum>
  <w:abstractNum w:abstractNumId="4">
    <w:nsid w:val="F674539E"/>
    <w:multiLevelType w:val="singleLevel"/>
    <w:tmpl w:val="F674539E"/>
    <w:lvl w:ilvl="0" w:tentative="0">
      <w:start w:val="1"/>
      <w:numFmt w:val="decimal"/>
      <w:suff w:val="nothing"/>
      <w:lvlText w:val="（%1）"/>
      <w:lvlJc w:val="left"/>
    </w:lvl>
  </w:abstractNum>
  <w:abstractNum w:abstractNumId="5">
    <w:nsid w:val="00000010"/>
    <w:multiLevelType w:val="singleLevel"/>
    <w:tmpl w:val="00000010"/>
    <w:lvl w:ilvl="0" w:tentative="0">
      <w:start w:val="2"/>
      <w:numFmt w:val="chineseCounting"/>
      <w:suff w:val="nothing"/>
      <w:lvlText w:val="%1、"/>
      <w:lvlJc w:val="left"/>
    </w:lvl>
  </w:abstractNum>
  <w:abstractNum w:abstractNumId="6">
    <w:nsid w:val="139933F5"/>
    <w:multiLevelType w:val="singleLevel"/>
    <w:tmpl w:val="139933F5"/>
    <w:lvl w:ilvl="0" w:tentative="0">
      <w:start w:val="1"/>
      <w:numFmt w:val="decimal"/>
      <w:suff w:val="nothing"/>
      <w:lvlText w:val="%1、"/>
      <w:lvlJc w:val="left"/>
    </w:lvl>
  </w:abstractNum>
  <w:abstractNum w:abstractNumId="7">
    <w:nsid w:val="15BC7954"/>
    <w:multiLevelType w:val="multilevel"/>
    <w:tmpl w:val="15BC7954"/>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8">
    <w:nsid w:val="3D1A51CD"/>
    <w:multiLevelType w:val="multilevel"/>
    <w:tmpl w:val="3D1A51CD"/>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9">
    <w:nsid w:val="48466E5A"/>
    <w:multiLevelType w:val="multilevel"/>
    <w:tmpl w:val="48466E5A"/>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10">
    <w:nsid w:val="4FB34A03"/>
    <w:multiLevelType w:val="multilevel"/>
    <w:tmpl w:val="4FB34A03"/>
    <w:lvl w:ilvl="0" w:tentative="0">
      <w:start w:val="1"/>
      <w:numFmt w:val="bullet"/>
      <w:lvlText w:val=""/>
      <w:lvlJc w:val="left"/>
      <w:pPr>
        <w:ind w:left="1280" w:hanging="440"/>
      </w:pPr>
      <w:rPr>
        <w:rFonts w:hint="default" w:ascii="Wingdings" w:hAnsi="Wingdings"/>
      </w:rPr>
    </w:lvl>
    <w:lvl w:ilvl="1" w:tentative="0">
      <w:start w:val="1"/>
      <w:numFmt w:val="bullet"/>
      <w:lvlText w:val=""/>
      <w:lvlJc w:val="left"/>
      <w:pPr>
        <w:ind w:left="1720" w:hanging="440"/>
      </w:pPr>
      <w:rPr>
        <w:rFonts w:hint="default" w:ascii="Wingdings" w:hAnsi="Wingdings"/>
      </w:rPr>
    </w:lvl>
    <w:lvl w:ilvl="2" w:tentative="0">
      <w:start w:val="1"/>
      <w:numFmt w:val="bullet"/>
      <w:lvlText w:val=""/>
      <w:lvlJc w:val="left"/>
      <w:pPr>
        <w:ind w:left="2160" w:hanging="440"/>
      </w:pPr>
      <w:rPr>
        <w:rFonts w:hint="default" w:ascii="Wingdings" w:hAnsi="Wingdings"/>
      </w:rPr>
    </w:lvl>
    <w:lvl w:ilvl="3" w:tentative="0">
      <w:start w:val="1"/>
      <w:numFmt w:val="bullet"/>
      <w:lvlText w:val=""/>
      <w:lvlJc w:val="left"/>
      <w:pPr>
        <w:ind w:left="2600" w:hanging="440"/>
      </w:pPr>
      <w:rPr>
        <w:rFonts w:hint="default" w:ascii="Wingdings" w:hAnsi="Wingdings"/>
      </w:rPr>
    </w:lvl>
    <w:lvl w:ilvl="4" w:tentative="0">
      <w:start w:val="1"/>
      <w:numFmt w:val="bullet"/>
      <w:lvlText w:val=""/>
      <w:lvlJc w:val="left"/>
      <w:pPr>
        <w:ind w:left="3040" w:hanging="440"/>
      </w:pPr>
      <w:rPr>
        <w:rFonts w:hint="default" w:ascii="Wingdings" w:hAnsi="Wingdings"/>
      </w:rPr>
    </w:lvl>
    <w:lvl w:ilvl="5" w:tentative="0">
      <w:start w:val="1"/>
      <w:numFmt w:val="bullet"/>
      <w:lvlText w:val=""/>
      <w:lvlJc w:val="left"/>
      <w:pPr>
        <w:ind w:left="3480" w:hanging="440"/>
      </w:pPr>
      <w:rPr>
        <w:rFonts w:hint="default" w:ascii="Wingdings" w:hAnsi="Wingdings"/>
      </w:rPr>
    </w:lvl>
    <w:lvl w:ilvl="6" w:tentative="0">
      <w:start w:val="1"/>
      <w:numFmt w:val="bullet"/>
      <w:lvlText w:val=""/>
      <w:lvlJc w:val="left"/>
      <w:pPr>
        <w:ind w:left="3920" w:hanging="440"/>
      </w:pPr>
      <w:rPr>
        <w:rFonts w:hint="default" w:ascii="Wingdings" w:hAnsi="Wingdings"/>
      </w:rPr>
    </w:lvl>
    <w:lvl w:ilvl="7" w:tentative="0">
      <w:start w:val="1"/>
      <w:numFmt w:val="bullet"/>
      <w:lvlText w:val=""/>
      <w:lvlJc w:val="left"/>
      <w:pPr>
        <w:ind w:left="4360" w:hanging="440"/>
      </w:pPr>
      <w:rPr>
        <w:rFonts w:hint="default" w:ascii="Wingdings" w:hAnsi="Wingdings"/>
      </w:rPr>
    </w:lvl>
    <w:lvl w:ilvl="8" w:tentative="0">
      <w:start w:val="1"/>
      <w:numFmt w:val="bullet"/>
      <w:lvlText w:val=""/>
      <w:lvlJc w:val="left"/>
      <w:pPr>
        <w:ind w:left="4800" w:hanging="440"/>
      </w:pPr>
      <w:rPr>
        <w:rFonts w:hint="default" w:ascii="Wingdings" w:hAnsi="Wingdings"/>
      </w:rPr>
    </w:lvl>
  </w:abstractNum>
  <w:abstractNum w:abstractNumId="11">
    <w:nsid w:val="56657107"/>
    <w:multiLevelType w:val="singleLevel"/>
    <w:tmpl w:val="56657107"/>
    <w:lvl w:ilvl="0" w:tentative="0">
      <w:start w:val="1"/>
      <w:numFmt w:val="decimal"/>
      <w:suff w:val="nothing"/>
      <w:lvlText w:val="%1、"/>
      <w:lvlJc w:val="left"/>
    </w:lvl>
  </w:abstractNum>
  <w:abstractNum w:abstractNumId="12">
    <w:nsid w:val="567D3300"/>
    <w:multiLevelType w:val="multilevel"/>
    <w:tmpl w:val="567D330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
    <w:nsid w:val="57435BC9"/>
    <w:multiLevelType w:val="multilevel"/>
    <w:tmpl w:val="57435BC9"/>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14">
    <w:nsid w:val="5774CE74"/>
    <w:multiLevelType w:val="singleLevel"/>
    <w:tmpl w:val="5774CE74"/>
    <w:lvl w:ilvl="0" w:tentative="0">
      <w:start w:val="1"/>
      <w:numFmt w:val="chineseCounting"/>
      <w:suff w:val="nothing"/>
      <w:lvlText w:val="（%1）"/>
      <w:lvlJc w:val="left"/>
      <w:rPr>
        <w:rFonts w:hint="eastAsia"/>
      </w:rPr>
    </w:lvl>
  </w:abstractNum>
  <w:abstractNum w:abstractNumId="15">
    <w:nsid w:val="594D1F31"/>
    <w:multiLevelType w:val="multilevel"/>
    <w:tmpl w:val="594D1F31"/>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16">
    <w:nsid w:val="60A313B5"/>
    <w:multiLevelType w:val="multilevel"/>
    <w:tmpl w:val="60A313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7">
    <w:nsid w:val="67642BC2"/>
    <w:multiLevelType w:val="multilevel"/>
    <w:tmpl w:val="67642BC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6B7112F9"/>
    <w:multiLevelType w:val="singleLevel"/>
    <w:tmpl w:val="6B7112F9"/>
    <w:lvl w:ilvl="0" w:tentative="0">
      <w:start w:val="3"/>
      <w:numFmt w:val="chineseCounting"/>
      <w:suff w:val="nothing"/>
      <w:lvlText w:val="%1、"/>
      <w:lvlJc w:val="left"/>
      <w:rPr>
        <w:rFonts w:hint="eastAsia"/>
      </w:rPr>
    </w:lvl>
  </w:abstractNum>
  <w:num w:numId="1">
    <w:abstractNumId w:val="3"/>
  </w:num>
  <w:num w:numId="2">
    <w:abstractNumId w:val="4"/>
  </w:num>
  <w:num w:numId="3">
    <w:abstractNumId w:val="0"/>
  </w:num>
  <w:num w:numId="4">
    <w:abstractNumId w:val="18"/>
  </w:num>
  <w:num w:numId="5">
    <w:abstractNumId w:val="6"/>
  </w:num>
  <w:num w:numId="6">
    <w:abstractNumId w:val="11"/>
  </w:num>
  <w:num w:numId="7">
    <w:abstractNumId w:val="12"/>
  </w:num>
  <w:num w:numId="8">
    <w:abstractNumId w:val="17"/>
  </w:num>
  <w:num w:numId="9">
    <w:abstractNumId w:val="16"/>
  </w:num>
  <w:num w:numId="10">
    <w:abstractNumId w:val="9"/>
  </w:num>
  <w:num w:numId="11">
    <w:abstractNumId w:val="15"/>
  </w:num>
  <w:num w:numId="12">
    <w:abstractNumId w:val="8"/>
  </w:num>
  <w:num w:numId="13">
    <w:abstractNumId w:val="10"/>
  </w:num>
  <w:num w:numId="14">
    <w:abstractNumId w:val="13"/>
  </w:num>
  <w:num w:numId="15">
    <w:abstractNumId w:val="7"/>
  </w:num>
  <w:num w:numId="16">
    <w:abstractNumId w:val="2"/>
  </w:num>
  <w:num w:numId="17">
    <w:abstractNumId w:val="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jZWE2N2M1MmFmZjg2YmRmMmRmMDU1NGYzZTg2NWEifQ=="/>
  </w:docVars>
  <w:rsids>
    <w:rsidRoot w:val="00172A27"/>
    <w:rsid w:val="000251B4"/>
    <w:rsid w:val="00046B9C"/>
    <w:rsid w:val="00105D0F"/>
    <w:rsid w:val="001110CA"/>
    <w:rsid w:val="0015040C"/>
    <w:rsid w:val="00172A27"/>
    <w:rsid w:val="00184430"/>
    <w:rsid w:val="001A0CD4"/>
    <w:rsid w:val="001B2290"/>
    <w:rsid w:val="001C4B87"/>
    <w:rsid w:val="002272AD"/>
    <w:rsid w:val="002574CF"/>
    <w:rsid w:val="00281B97"/>
    <w:rsid w:val="00313356"/>
    <w:rsid w:val="0038774A"/>
    <w:rsid w:val="003A0BA2"/>
    <w:rsid w:val="003A42CB"/>
    <w:rsid w:val="00430F02"/>
    <w:rsid w:val="00483399"/>
    <w:rsid w:val="0048446F"/>
    <w:rsid w:val="004C5C7F"/>
    <w:rsid w:val="00543B40"/>
    <w:rsid w:val="00553F2B"/>
    <w:rsid w:val="00554E2B"/>
    <w:rsid w:val="00560C55"/>
    <w:rsid w:val="00592201"/>
    <w:rsid w:val="005D559E"/>
    <w:rsid w:val="005F42E1"/>
    <w:rsid w:val="00624BCF"/>
    <w:rsid w:val="00656595"/>
    <w:rsid w:val="00674258"/>
    <w:rsid w:val="006965E8"/>
    <w:rsid w:val="007221E1"/>
    <w:rsid w:val="007506F2"/>
    <w:rsid w:val="00750C8A"/>
    <w:rsid w:val="007676F2"/>
    <w:rsid w:val="00785368"/>
    <w:rsid w:val="007A5D82"/>
    <w:rsid w:val="007C3852"/>
    <w:rsid w:val="007D6267"/>
    <w:rsid w:val="00805039"/>
    <w:rsid w:val="00806165"/>
    <w:rsid w:val="00860E97"/>
    <w:rsid w:val="008618A5"/>
    <w:rsid w:val="00874F52"/>
    <w:rsid w:val="0089502E"/>
    <w:rsid w:val="008B1278"/>
    <w:rsid w:val="008B19E7"/>
    <w:rsid w:val="008B6D38"/>
    <w:rsid w:val="009175E9"/>
    <w:rsid w:val="00965F66"/>
    <w:rsid w:val="00984C10"/>
    <w:rsid w:val="009F125B"/>
    <w:rsid w:val="00A32A6D"/>
    <w:rsid w:val="00AA119E"/>
    <w:rsid w:val="00AB44DF"/>
    <w:rsid w:val="00B01166"/>
    <w:rsid w:val="00B1163D"/>
    <w:rsid w:val="00B32473"/>
    <w:rsid w:val="00B34A9D"/>
    <w:rsid w:val="00B64BBF"/>
    <w:rsid w:val="00BC71A5"/>
    <w:rsid w:val="00C23D3C"/>
    <w:rsid w:val="00C613E1"/>
    <w:rsid w:val="00C82A52"/>
    <w:rsid w:val="00C83E71"/>
    <w:rsid w:val="00C94444"/>
    <w:rsid w:val="00CB7716"/>
    <w:rsid w:val="00CE0AB9"/>
    <w:rsid w:val="00D1567E"/>
    <w:rsid w:val="00D211CF"/>
    <w:rsid w:val="00DB3575"/>
    <w:rsid w:val="00DC4F31"/>
    <w:rsid w:val="00E20DA8"/>
    <w:rsid w:val="00E339FD"/>
    <w:rsid w:val="00E4626B"/>
    <w:rsid w:val="00EA40E8"/>
    <w:rsid w:val="00F03D08"/>
    <w:rsid w:val="00F85C19"/>
    <w:rsid w:val="00FC5D2D"/>
    <w:rsid w:val="010B2802"/>
    <w:rsid w:val="01837A40"/>
    <w:rsid w:val="01A952A5"/>
    <w:rsid w:val="01C072D1"/>
    <w:rsid w:val="01C615A6"/>
    <w:rsid w:val="01E711B5"/>
    <w:rsid w:val="020E0671"/>
    <w:rsid w:val="02534DF7"/>
    <w:rsid w:val="02577D83"/>
    <w:rsid w:val="02654B85"/>
    <w:rsid w:val="026F2561"/>
    <w:rsid w:val="02813A13"/>
    <w:rsid w:val="029E2CCC"/>
    <w:rsid w:val="02AE511D"/>
    <w:rsid w:val="02B20C36"/>
    <w:rsid w:val="02E162AC"/>
    <w:rsid w:val="02EA1ADD"/>
    <w:rsid w:val="02F33DBC"/>
    <w:rsid w:val="02F7364A"/>
    <w:rsid w:val="02F81774"/>
    <w:rsid w:val="034A70C0"/>
    <w:rsid w:val="037607A9"/>
    <w:rsid w:val="0378149B"/>
    <w:rsid w:val="03B33683"/>
    <w:rsid w:val="03DB2139"/>
    <w:rsid w:val="03ED592B"/>
    <w:rsid w:val="03F073E5"/>
    <w:rsid w:val="03F52021"/>
    <w:rsid w:val="041640DB"/>
    <w:rsid w:val="041F7582"/>
    <w:rsid w:val="043164D2"/>
    <w:rsid w:val="04800648"/>
    <w:rsid w:val="04CD0F04"/>
    <w:rsid w:val="04D40C30"/>
    <w:rsid w:val="05002583"/>
    <w:rsid w:val="053256EB"/>
    <w:rsid w:val="05373674"/>
    <w:rsid w:val="05452235"/>
    <w:rsid w:val="056326BB"/>
    <w:rsid w:val="05650EDA"/>
    <w:rsid w:val="058C3A28"/>
    <w:rsid w:val="05923329"/>
    <w:rsid w:val="05C00FA9"/>
    <w:rsid w:val="05C018BB"/>
    <w:rsid w:val="05D620BB"/>
    <w:rsid w:val="05DD06BF"/>
    <w:rsid w:val="0606640A"/>
    <w:rsid w:val="060B5498"/>
    <w:rsid w:val="06135765"/>
    <w:rsid w:val="06822BCA"/>
    <w:rsid w:val="06960499"/>
    <w:rsid w:val="069A036D"/>
    <w:rsid w:val="06D05B2E"/>
    <w:rsid w:val="070D1263"/>
    <w:rsid w:val="07451925"/>
    <w:rsid w:val="07573A4B"/>
    <w:rsid w:val="078A289D"/>
    <w:rsid w:val="07A56FBB"/>
    <w:rsid w:val="07B932C4"/>
    <w:rsid w:val="07F26E99"/>
    <w:rsid w:val="081517C9"/>
    <w:rsid w:val="08184C06"/>
    <w:rsid w:val="084D31AF"/>
    <w:rsid w:val="084E399F"/>
    <w:rsid w:val="085276B1"/>
    <w:rsid w:val="087264C3"/>
    <w:rsid w:val="08984F42"/>
    <w:rsid w:val="0899065E"/>
    <w:rsid w:val="08A54D99"/>
    <w:rsid w:val="08DC3BA3"/>
    <w:rsid w:val="08E47FB5"/>
    <w:rsid w:val="095C6CEE"/>
    <w:rsid w:val="09711B06"/>
    <w:rsid w:val="09BC05D4"/>
    <w:rsid w:val="09FE29B2"/>
    <w:rsid w:val="0A153EEE"/>
    <w:rsid w:val="0A1D7D5B"/>
    <w:rsid w:val="0A2A720D"/>
    <w:rsid w:val="0A7342ED"/>
    <w:rsid w:val="0AB63659"/>
    <w:rsid w:val="0AE679B4"/>
    <w:rsid w:val="0AFA112A"/>
    <w:rsid w:val="0B260413"/>
    <w:rsid w:val="0B297F03"/>
    <w:rsid w:val="0B4E3937"/>
    <w:rsid w:val="0B830C97"/>
    <w:rsid w:val="0B93596A"/>
    <w:rsid w:val="0BB95E99"/>
    <w:rsid w:val="0BBA6DAD"/>
    <w:rsid w:val="0BD0782D"/>
    <w:rsid w:val="0C012C2E"/>
    <w:rsid w:val="0C023294"/>
    <w:rsid w:val="0C247E76"/>
    <w:rsid w:val="0C557468"/>
    <w:rsid w:val="0C6F136D"/>
    <w:rsid w:val="0C7E51DC"/>
    <w:rsid w:val="0CA37841"/>
    <w:rsid w:val="0CAE43B6"/>
    <w:rsid w:val="0CB03DE2"/>
    <w:rsid w:val="0CD40ED4"/>
    <w:rsid w:val="0CE21C77"/>
    <w:rsid w:val="0D0E17A6"/>
    <w:rsid w:val="0D3B52AC"/>
    <w:rsid w:val="0D3C391A"/>
    <w:rsid w:val="0D6A666D"/>
    <w:rsid w:val="0DA021E1"/>
    <w:rsid w:val="0DC47643"/>
    <w:rsid w:val="0DCF3E18"/>
    <w:rsid w:val="0DDC200F"/>
    <w:rsid w:val="0DEB5944"/>
    <w:rsid w:val="0DF45A6E"/>
    <w:rsid w:val="0DFE7425"/>
    <w:rsid w:val="0E1F64EC"/>
    <w:rsid w:val="0E230E64"/>
    <w:rsid w:val="0E491215"/>
    <w:rsid w:val="0E4B0190"/>
    <w:rsid w:val="0E4E2B84"/>
    <w:rsid w:val="0E665CF8"/>
    <w:rsid w:val="0E72396F"/>
    <w:rsid w:val="0E9B24BE"/>
    <w:rsid w:val="0EB56998"/>
    <w:rsid w:val="0EC57F43"/>
    <w:rsid w:val="0ECE329B"/>
    <w:rsid w:val="0ED76A9C"/>
    <w:rsid w:val="0EDA32D6"/>
    <w:rsid w:val="0EDC7776"/>
    <w:rsid w:val="0EDD528C"/>
    <w:rsid w:val="0EE051A1"/>
    <w:rsid w:val="0EE20AF5"/>
    <w:rsid w:val="0EF645A0"/>
    <w:rsid w:val="0F2F2629"/>
    <w:rsid w:val="0F5425F0"/>
    <w:rsid w:val="0F543258"/>
    <w:rsid w:val="0F730ED6"/>
    <w:rsid w:val="0FC06D70"/>
    <w:rsid w:val="0FE8213B"/>
    <w:rsid w:val="100F63C3"/>
    <w:rsid w:val="101B147A"/>
    <w:rsid w:val="10223FCA"/>
    <w:rsid w:val="103A5C8E"/>
    <w:rsid w:val="104A4EA6"/>
    <w:rsid w:val="1066305F"/>
    <w:rsid w:val="10715AE1"/>
    <w:rsid w:val="109D6373"/>
    <w:rsid w:val="10D87FE7"/>
    <w:rsid w:val="10D968D8"/>
    <w:rsid w:val="110C481C"/>
    <w:rsid w:val="111B21B7"/>
    <w:rsid w:val="113C368A"/>
    <w:rsid w:val="117222C4"/>
    <w:rsid w:val="11AD4A6E"/>
    <w:rsid w:val="11BA40BE"/>
    <w:rsid w:val="11F61B66"/>
    <w:rsid w:val="12266570"/>
    <w:rsid w:val="123216F5"/>
    <w:rsid w:val="12680B77"/>
    <w:rsid w:val="12696F23"/>
    <w:rsid w:val="12753A2E"/>
    <w:rsid w:val="128123D2"/>
    <w:rsid w:val="12AA4B5F"/>
    <w:rsid w:val="12E806A4"/>
    <w:rsid w:val="13285976"/>
    <w:rsid w:val="134A777C"/>
    <w:rsid w:val="136B0FEB"/>
    <w:rsid w:val="136B3665"/>
    <w:rsid w:val="136D04AB"/>
    <w:rsid w:val="13B862C8"/>
    <w:rsid w:val="13C609E5"/>
    <w:rsid w:val="13D06AF7"/>
    <w:rsid w:val="13D36C5E"/>
    <w:rsid w:val="140C03C2"/>
    <w:rsid w:val="143B1038"/>
    <w:rsid w:val="14951D9C"/>
    <w:rsid w:val="149F13F6"/>
    <w:rsid w:val="14B324E5"/>
    <w:rsid w:val="14FD28A1"/>
    <w:rsid w:val="152B18E9"/>
    <w:rsid w:val="152D37F2"/>
    <w:rsid w:val="15494A12"/>
    <w:rsid w:val="15774D7F"/>
    <w:rsid w:val="157F1012"/>
    <w:rsid w:val="158C40F9"/>
    <w:rsid w:val="15BB4E0C"/>
    <w:rsid w:val="15D864ED"/>
    <w:rsid w:val="15E57EC7"/>
    <w:rsid w:val="1619234F"/>
    <w:rsid w:val="161A7793"/>
    <w:rsid w:val="162256F4"/>
    <w:rsid w:val="1633429D"/>
    <w:rsid w:val="1650604C"/>
    <w:rsid w:val="167C4C19"/>
    <w:rsid w:val="167F5485"/>
    <w:rsid w:val="16B0772A"/>
    <w:rsid w:val="16B31F43"/>
    <w:rsid w:val="16C4225D"/>
    <w:rsid w:val="16DB21D0"/>
    <w:rsid w:val="16DC0C5E"/>
    <w:rsid w:val="16E80C72"/>
    <w:rsid w:val="17253C74"/>
    <w:rsid w:val="17973BFE"/>
    <w:rsid w:val="17A0779F"/>
    <w:rsid w:val="17CD7A98"/>
    <w:rsid w:val="17EF0603"/>
    <w:rsid w:val="17F61B9F"/>
    <w:rsid w:val="17FB413D"/>
    <w:rsid w:val="1810799B"/>
    <w:rsid w:val="183879D7"/>
    <w:rsid w:val="18507FB2"/>
    <w:rsid w:val="18521DAF"/>
    <w:rsid w:val="188350F6"/>
    <w:rsid w:val="189746FE"/>
    <w:rsid w:val="18A60DE5"/>
    <w:rsid w:val="18CB3510"/>
    <w:rsid w:val="18E67556"/>
    <w:rsid w:val="194B6781"/>
    <w:rsid w:val="196914EC"/>
    <w:rsid w:val="198627DE"/>
    <w:rsid w:val="198A7DBF"/>
    <w:rsid w:val="199364A5"/>
    <w:rsid w:val="199D21E8"/>
    <w:rsid w:val="19B80DD0"/>
    <w:rsid w:val="19D35C0A"/>
    <w:rsid w:val="1A223074"/>
    <w:rsid w:val="1A295940"/>
    <w:rsid w:val="1A2A15A2"/>
    <w:rsid w:val="1A8A43E1"/>
    <w:rsid w:val="1A8C4243"/>
    <w:rsid w:val="1AA2738A"/>
    <w:rsid w:val="1AE068C5"/>
    <w:rsid w:val="1B12650D"/>
    <w:rsid w:val="1B30102A"/>
    <w:rsid w:val="1B4F408D"/>
    <w:rsid w:val="1B6C41F2"/>
    <w:rsid w:val="1BF55942"/>
    <w:rsid w:val="1C112A19"/>
    <w:rsid w:val="1C1147C7"/>
    <w:rsid w:val="1C1B3898"/>
    <w:rsid w:val="1C237DF4"/>
    <w:rsid w:val="1C4B7E6F"/>
    <w:rsid w:val="1C4C57FF"/>
    <w:rsid w:val="1C6C46BD"/>
    <w:rsid w:val="1CC27AE3"/>
    <w:rsid w:val="1D0F4FB7"/>
    <w:rsid w:val="1D201A32"/>
    <w:rsid w:val="1D33351A"/>
    <w:rsid w:val="1D3F35B6"/>
    <w:rsid w:val="1DA41585"/>
    <w:rsid w:val="1DB93552"/>
    <w:rsid w:val="1E027AA5"/>
    <w:rsid w:val="1E151C3A"/>
    <w:rsid w:val="1E170E52"/>
    <w:rsid w:val="1E20715B"/>
    <w:rsid w:val="1E505F0B"/>
    <w:rsid w:val="1E86715C"/>
    <w:rsid w:val="1EA96F39"/>
    <w:rsid w:val="1EBA1996"/>
    <w:rsid w:val="1EC16BA6"/>
    <w:rsid w:val="1F0C571A"/>
    <w:rsid w:val="1F3C4E81"/>
    <w:rsid w:val="1F561577"/>
    <w:rsid w:val="1F7223F2"/>
    <w:rsid w:val="1FA106FA"/>
    <w:rsid w:val="200F4D20"/>
    <w:rsid w:val="20187BAF"/>
    <w:rsid w:val="203750E3"/>
    <w:rsid w:val="20464961"/>
    <w:rsid w:val="205365D2"/>
    <w:rsid w:val="20725435"/>
    <w:rsid w:val="207563B3"/>
    <w:rsid w:val="20766BA9"/>
    <w:rsid w:val="20770D67"/>
    <w:rsid w:val="208D63E6"/>
    <w:rsid w:val="20B91EA5"/>
    <w:rsid w:val="20E30B94"/>
    <w:rsid w:val="211A121C"/>
    <w:rsid w:val="214B6018"/>
    <w:rsid w:val="215E710C"/>
    <w:rsid w:val="217852AA"/>
    <w:rsid w:val="217E2967"/>
    <w:rsid w:val="21A41C3A"/>
    <w:rsid w:val="21CF3757"/>
    <w:rsid w:val="222A6E35"/>
    <w:rsid w:val="22430C24"/>
    <w:rsid w:val="22542E83"/>
    <w:rsid w:val="226F7C8D"/>
    <w:rsid w:val="2274785E"/>
    <w:rsid w:val="22BB723B"/>
    <w:rsid w:val="22ED6DD3"/>
    <w:rsid w:val="2309444A"/>
    <w:rsid w:val="230B6414"/>
    <w:rsid w:val="236B1D54"/>
    <w:rsid w:val="23A103BA"/>
    <w:rsid w:val="23A60164"/>
    <w:rsid w:val="23BE4FD8"/>
    <w:rsid w:val="23C34EED"/>
    <w:rsid w:val="23E10F23"/>
    <w:rsid w:val="241234C1"/>
    <w:rsid w:val="242F6132"/>
    <w:rsid w:val="243F1760"/>
    <w:rsid w:val="24550402"/>
    <w:rsid w:val="245D51DE"/>
    <w:rsid w:val="246725C2"/>
    <w:rsid w:val="24745049"/>
    <w:rsid w:val="248209F9"/>
    <w:rsid w:val="24917ED4"/>
    <w:rsid w:val="2498112B"/>
    <w:rsid w:val="24A41B3F"/>
    <w:rsid w:val="24C97C7C"/>
    <w:rsid w:val="24CC012F"/>
    <w:rsid w:val="24F17E21"/>
    <w:rsid w:val="251F4F79"/>
    <w:rsid w:val="25304CEF"/>
    <w:rsid w:val="255A12F8"/>
    <w:rsid w:val="25996669"/>
    <w:rsid w:val="25A07D6D"/>
    <w:rsid w:val="25D95AFA"/>
    <w:rsid w:val="25E109A7"/>
    <w:rsid w:val="261F4BF8"/>
    <w:rsid w:val="263E677D"/>
    <w:rsid w:val="264E4600"/>
    <w:rsid w:val="267E0CAB"/>
    <w:rsid w:val="268C708C"/>
    <w:rsid w:val="269059F2"/>
    <w:rsid w:val="26A83F7A"/>
    <w:rsid w:val="26B00083"/>
    <w:rsid w:val="26F73B37"/>
    <w:rsid w:val="26FA4A89"/>
    <w:rsid w:val="27285F86"/>
    <w:rsid w:val="273F5DE8"/>
    <w:rsid w:val="274D3D27"/>
    <w:rsid w:val="274F6F44"/>
    <w:rsid w:val="275E318B"/>
    <w:rsid w:val="27C1060B"/>
    <w:rsid w:val="27D026D9"/>
    <w:rsid w:val="28056078"/>
    <w:rsid w:val="28305FD5"/>
    <w:rsid w:val="284F78ED"/>
    <w:rsid w:val="285E4905"/>
    <w:rsid w:val="285F4B0C"/>
    <w:rsid w:val="28604DA2"/>
    <w:rsid w:val="287405B8"/>
    <w:rsid w:val="28833520"/>
    <w:rsid w:val="28973C19"/>
    <w:rsid w:val="28A7062C"/>
    <w:rsid w:val="28D90E5A"/>
    <w:rsid w:val="28DB5305"/>
    <w:rsid w:val="28EA739C"/>
    <w:rsid w:val="28F62D3E"/>
    <w:rsid w:val="29167089"/>
    <w:rsid w:val="29204352"/>
    <w:rsid w:val="293803A0"/>
    <w:rsid w:val="293E3489"/>
    <w:rsid w:val="29464110"/>
    <w:rsid w:val="2961487E"/>
    <w:rsid w:val="29657F00"/>
    <w:rsid w:val="296B229E"/>
    <w:rsid w:val="299E7C9A"/>
    <w:rsid w:val="29A165CA"/>
    <w:rsid w:val="29A4224D"/>
    <w:rsid w:val="29B353C7"/>
    <w:rsid w:val="29CE72F7"/>
    <w:rsid w:val="29D111B0"/>
    <w:rsid w:val="29D96817"/>
    <w:rsid w:val="29EC6874"/>
    <w:rsid w:val="29F7481B"/>
    <w:rsid w:val="2A2C4C78"/>
    <w:rsid w:val="2A2C4EE9"/>
    <w:rsid w:val="2A402DDF"/>
    <w:rsid w:val="2A5A4B94"/>
    <w:rsid w:val="2A745EA9"/>
    <w:rsid w:val="2A773F3F"/>
    <w:rsid w:val="2AA965D8"/>
    <w:rsid w:val="2AAB5086"/>
    <w:rsid w:val="2ABE1FBE"/>
    <w:rsid w:val="2ABF45DF"/>
    <w:rsid w:val="2ADF2953"/>
    <w:rsid w:val="2AFF60DC"/>
    <w:rsid w:val="2B1C0A93"/>
    <w:rsid w:val="2B221336"/>
    <w:rsid w:val="2B2D4D56"/>
    <w:rsid w:val="2B7B7EAF"/>
    <w:rsid w:val="2B844CB7"/>
    <w:rsid w:val="2BA9457F"/>
    <w:rsid w:val="2BD30105"/>
    <w:rsid w:val="2BE12A5C"/>
    <w:rsid w:val="2BE617CC"/>
    <w:rsid w:val="2BF93690"/>
    <w:rsid w:val="2C1D4AC2"/>
    <w:rsid w:val="2C321B26"/>
    <w:rsid w:val="2C3C35AB"/>
    <w:rsid w:val="2C7C270D"/>
    <w:rsid w:val="2C7F577D"/>
    <w:rsid w:val="2C8971EF"/>
    <w:rsid w:val="2C8D7D1E"/>
    <w:rsid w:val="2CC67356"/>
    <w:rsid w:val="2CEA367C"/>
    <w:rsid w:val="2D270E78"/>
    <w:rsid w:val="2D3C3E22"/>
    <w:rsid w:val="2D45420C"/>
    <w:rsid w:val="2D6A6FA1"/>
    <w:rsid w:val="2D762592"/>
    <w:rsid w:val="2D8079FF"/>
    <w:rsid w:val="2D9A72F7"/>
    <w:rsid w:val="2DA07759"/>
    <w:rsid w:val="2DA328D9"/>
    <w:rsid w:val="2DD33E7F"/>
    <w:rsid w:val="2E0D1552"/>
    <w:rsid w:val="2E2017CC"/>
    <w:rsid w:val="2E210D4E"/>
    <w:rsid w:val="2E27100A"/>
    <w:rsid w:val="2E2E07CF"/>
    <w:rsid w:val="2E385708"/>
    <w:rsid w:val="2E4D793C"/>
    <w:rsid w:val="2E573AA5"/>
    <w:rsid w:val="2E704040"/>
    <w:rsid w:val="2E8D6BDF"/>
    <w:rsid w:val="2E97057D"/>
    <w:rsid w:val="2ED36284"/>
    <w:rsid w:val="2EE96D84"/>
    <w:rsid w:val="2EF97CB1"/>
    <w:rsid w:val="2F1A4829"/>
    <w:rsid w:val="2F1C4EFB"/>
    <w:rsid w:val="2F2D6148"/>
    <w:rsid w:val="2F6E2F66"/>
    <w:rsid w:val="2F911A29"/>
    <w:rsid w:val="2FD853D7"/>
    <w:rsid w:val="2FE93C34"/>
    <w:rsid w:val="300462D2"/>
    <w:rsid w:val="300719F8"/>
    <w:rsid w:val="300828E8"/>
    <w:rsid w:val="30085A89"/>
    <w:rsid w:val="300D74F0"/>
    <w:rsid w:val="30254BBA"/>
    <w:rsid w:val="30420971"/>
    <w:rsid w:val="30446884"/>
    <w:rsid w:val="30545622"/>
    <w:rsid w:val="30556DE4"/>
    <w:rsid w:val="305E56A9"/>
    <w:rsid w:val="306F5936"/>
    <w:rsid w:val="308325B9"/>
    <w:rsid w:val="30BF5A92"/>
    <w:rsid w:val="30C76D38"/>
    <w:rsid w:val="30F31C59"/>
    <w:rsid w:val="31317795"/>
    <w:rsid w:val="314119D6"/>
    <w:rsid w:val="315B7A52"/>
    <w:rsid w:val="317258B0"/>
    <w:rsid w:val="318906F7"/>
    <w:rsid w:val="318D4B5D"/>
    <w:rsid w:val="319D159E"/>
    <w:rsid w:val="31B00187"/>
    <w:rsid w:val="31B60A82"/>
    <w:rsid w:val="31C0661C"/>
    <w:rsid w:val="31D65E3F"/>
    <w:rsid w:val="31E51E1D"/>
    <w:rsid w:val="31F304E5"/>
    <w:rsid w:val="31F51537"/>
    <w:rsid w:val="31F75DB5"/>
    <w:rsid w:val="3215507D"/>
    <w:rsid w:val="322F3459"/>
    <w:rsid w:val="32694630"/>
    <w:rsid w:val="329D070B"/>
    <w:rsid w:val="32A73338"/>
    <w:rsid w:val="32F633BE"/>
    <w:rsid w:val="32FD0BAA"/>
    <w:rsid w:val="330C763F"/>
    <w:rsid w:val="33271B84"/>
    <w:rsid w:val="335365EB"/>
    <w:rsid w:val="336F6F2E"/>
    <w:rsid w:val="33781868"/>
    <w:rsid w:val="337E7723"/>
    <w:rsid w:val="338671FC"/>
    <w:rsid w:val="33887970"/>
    <w:rsid w:val="33891706"/>
    <w:rsid w:val="33AF14CE"/>
    <w:rsid w:val="33BA0EA6"/>
    <w:rsid w:val="33DD33F2"/>
    <w:rsid w:val="34160775"/>
    <w:rsid w:val="341651D4"/>
    <w:rsid w:val="34312336"/>
    <w:rsid w:val="34826468"/>
    <w:rsid w:val="348B59A6"/>
    <w:rsid w:val="34AE18E6"/>
    <w:rsid w:val="34BC5828"/>
    <w:rsid w:val="350923E4"/>
    <w:rsid w:val="352418B1"/>
    <w:rsid w:val="352C3FC8"/>
    <w:rsid w:val="35401C2F"/>
    <w:rsid w:val="355C0C06"/>
    <w:rsid w:val="35706F69"/>
    <w:rsid w:val="3589141A"/>
    <w:rsid w:val="35B66980"/>
    <w:rsid w:val="360F36CE"/>
    <w:rsid w:val="3658153F"/>
    <w:rsid w:val="36926AE2"/>
    <w:rsid w:val="369E781D"/>
    <w:rsid w:val="36C43B15"/>
    <w:rsid w:val="36C9525E"/>
    <w:rsid w:val="36CE43F1"/>
    <w:rsid w:val="370766BD"/>
    <w:rsid w:val="371A3086"/>
    <w:rsid w:val="372E7D4E"/>
    <w:rsid w:val="37535A4A"/>
    <w:rsid w:val="378C5D93"/>
    <w:rsid w:val="37A76C8B"/>
    <w:rsid w:val="37A90660"/>
    <w:rsid w:val="37A9167F"/>
    <w:rsid w:val="37C12E31"/>
    <w:rsid w:val="37E968E7"/>
    <w:rsid w:val="37ED1778"/>
    <w:rsid w:val="37FB02A2"/>
    <w:rsid w:val="380A0BF0"/>
    <w:rsid w:val="380E5F23"/>
    <w:rsid w:val="384D5C85"/>
    <w:rsid w:val="386B4226"/>
    <w:rsid w:val="386E7C64"/>
    <w:rsid w:val="38876FAC"/>
    <w:rsid w:val="389753B5"/>
    <w:rsid w:val="38A147CB"/>
    <w:rsid w:val="38B14A82"/>
    <w:rsid w:val="38C6244E"/>
    <w:rsid w:val="38EA5738"/>
    <w:rsid w:val="38EA7A68"/>
    <w:rsid w:val="38F60C98"/>
    <w:rsid w:val="392027F0"/>
    <w:rsid w:val="39203900"/>
    <w:rsid w:val="393F42CA"/>
    <w:rsid w:val="397C3770"/>
    <w:rsid w:val="39CC4EF1"/>
    <w:rsid w:val="3A002712"/>
    <w:rsid w:val="3A186A59"/>
    <w:rsid w:val="3A2242C0"/>
    <w:rsid w:val="3A351C05"/>
    <w:rsid w:val="3A3E0A17"/>
    <w:rsid w:val="3A6C0CAD"/>
    <w:rsid w:val="3A73756D"/>
    <w:rsid w:val="3A886145"/>
    <w:rsid w:val="3AB6163F"/>
    <w:rsid w:val="3AE01ADD"/>
    <w:rsid w:val="3AE83976"/>
    <w:rsid w:val="3AE92BA1"/>
    <w:rsid w:val="3AEF235C"/>
    <w:rsid w:val="3B0B397F"/>
    <w:rsid w:val="3B0B695B"/>
    <w:rsid w:val="3B1B329B"/>
    <w:rsid w:val="3B4A4CE2"/>
    <w:rsid w:val="3B6B26A0"/>
    <w:rsid w:val="3BAF3BA9"/>
    <w:rsid w:val="3BF84C04"/>
    <w:rsid w:val="3C1063A2"/>
    <w:rsid w:val="3C356C38"/>
    <w:rsid w:val="3C810CF9"/>
    <w:rsid w:val="3CCF3BB7"/>
    <w:rsid w:val="3CD56576"/>
    <w:rsid w:val="3CFA1A04"/>
    <w:rsid w:val="3D1238B4"/>
    <w:rsid w:val="3D6973AE"/>
    <w:rsid w:val="3D710777"/>
    <w:rsid w:val="3DB37D0F"/>
    <w:rsid w:val="3DBC62DF"/>
    <w:rsid w:val="3DC44B91"/>
    <w:rsid w:val="3E117690"/>
    <w:rsid w:val="3E136BDF"/>
    <w:rsid w:val="3E1D6004"/>
    <w:rsid w:val="3E226417"/>
    <w:rsid w:val="3E482FBD"/>
    <w:rsid w:val="3E6261E4"/>
    <w:rsid w:val="3E6F74C9"/>
    <w:rsid w:val="3EB9581B"/>
    <w:rsid w:val="3ED27645"/>
    <w:rsid w:val="3EDB59CC"/>
    <w:rsid w:val="3EE17CE5"/>
    <w:rsid w:val="3EFE2742"/>
    <w:rsid w:val="3F143319"/>
    <w:rsid w:val="3F6633EF"/>
    <w:rsid w:val="3F827606"/>
    <w:rsid w:val="3F9E5AC2"/>
    <w:rsid w:val="3FD858F4"/>
    <w:rsid w:val="3FED4D64"/>
    <w:rsid w:val="400579DB"/>
    <w:rsid w:val="40092B7C"/>
    <w:rsid w:val="401E6A01"/>
    <w:rsid w:val="40381A73"/>
    <w:rsid w:val="408C398B"/>
    <w:rsid w:val="40D4302C"/>
    <w:rsid w:val="412B15D8"/>
    <w:rsid w:val="413F05BC"/>
    <w:rsid w:val="4153125A"/>
    <w:rsid w:val="41A01FC6"/>
    <w:rsid w:val="41AC3470"/>
    <w:rsid w:val="41B73A43"/>
    <w:rsid w:val="42012704"/>
    <w:rsid w:val="424B1F31"/>
    <w:rsid w:val="42537038"/>
    <w:rsid w:val="42597F55"/>
    <w:rsid w:val="425B7C9B"/>
    <w:rsid w:val="42743713"/>
    <w:rsid w:val="427710D4"/>
    <w:rsid w:val="42833BD9"/>
    <w:rsid w:val="42903DE8"/>
    <w:rsid w:val="42DC705B"/>
    <w:rsid w:val="42EF7DFD"/>
    <w:rsid w:val="42F43C48"/>
    <w:rsid w:val="431A79CE"/>
    <w:rsid w:val="432D5ADB"/>
    <w:rsid w:val="4332051F"/>
    <w:rsid w:val="4338060E"/>
    <w:rsid w:val="4340580E"/>
    <w:rsid w:val="434B12D1"/>
    <w:rsid w:val="43B92016"/>
    <w:rsid w:val="43CD6976"/>
    <w:rsid w:val="43F65ECD"/>
    <w:rsid w:val="441B7BDF"/>
    <w:rsid w:val="4420631A"/>
    <w:rsid w:val="44210888"/>
    <w:rsid w:val="44451232"/>
    <w:rsid w:val="446B5E6B"/>
    <w:rsid w:val="4474472C"/>
    <w:rsid w:val="447F176B"/>
    <w:rsid w:val="4490281D"/>
    <w:rsid w:val="449D39F5"/>
    <w:rsid w:val="44C50299"/>
    <w:rsid w:val="44D165E9"/>
    <w:rsid w:val="44D47DD2"/>
    <w:rsid w:val="44F74E99"/>
    <w:rsid w:val="453B405B"/>
    <w:rsid w:val="454F322C"/>
    <w:rsid w:val="45565F4E"/>
    <w:rsid w:val="45710B5A"/>
    <w:rsid w:val="45A402BB"/>
    <w:rsid w:val="45C854D1"/>
    <w:rsid w:val="45CE1336"/>
    <w:rsid w:val="45E352D9"/>
    <w:rsid w:val="4607532D"/>
    <w:rsid w:val="461A1A7B"/>
    <w:rsid w:val="46274A64"/>
    <w:rsid w:val="46382F2F"/>
    <w:rsid w:val="46484442"/>
    <w:rsid w:val="46511A82"/>
    <w:rsid w:val="4651388E"/>
    <w:rsid w:val="4654512D"/>
    <w:rsid w:val="469F2CA8"/>
    <w:rsid w:val="46A77952"/>
    <w:rsid w:val="46C40504"/>
    <w:rsid w:val="46DA4F9F"/>
    <w:rsid w:val="46F36D2A"/>
    <w:rsid w:val="472520E8"/>
    <w:rsid w:val="474D0C33"/>
    <w:rsid w:val="4777748A"/>
    <w:rsid w:val="477A70E1"/>
    <w:rsid w:val="478657BA"/>
    <w:rsid w:val="479E6FA7"/>
    <w:rsid w:val="47A0359D"/>
    <w:rsid w:val="47C24E75"/>
    <w:rsid w:val="47F14892"/>
    <w:rsid w:val="47F5780A"/>
    <w:rsid w:val="4819449C"/>
    <w:rsid w:val="481E51DE"/>
    <w:rsid w:val="48561F5C"/>
    <w:rsid w:val="485756B9"/>
    <w:rsid w:val="48625D94"/>
    <w:rsid w:val="486C49B0"/>
    <w:rsid w:val="4878332F"/>
    <w:rsid w:val="488A099F"/>
    <w:rsid w:val="48A95C04"/>
    <w:rsid w:val="48C00B23"/>
    <w:rsid w:val="48DE4D6F"/>
    <w:rsid w:val="49185FA1"/>
    <w:rsid w:val="4931350D"/>
    <w:rsid w:val="49507E92"/>
    <w:rsid w:val="49534A2B"/>
    <w:rsid w:val="497C2481"/>
    <w:rsid w:val="49A86B61"/>
    <w:rsid w:val="49B45433"/>
    <w:rsid w:val="49B605D8"/>
    <w:rsid w:val="49E66897"/>
    <w:rsid w:val="49EE1472"/>
    <w:rsid w:val="49FE4A6C"/>
    <w:rsid w:val="4A04584E"/>
    <w:rsid w:val="4A0B01F8"/>
    <w:rsid w:val="4A0D683E"/>
    <w:rsid w:val="4A6D20DB"/>
    <w:rsid w:val="4A6E2C61"/>
    <w:rsid w:val="4A8E2C40"/>
    <w:rsid w:val="4AB2317A"/>
    <w:rsid w:val="4AB902B0"/>
    <w:rsid w:val="4ADC2AA9"/>
    <w:rsid w:val="4B407911"/>
    <w:rsid w:val="4B5E0570"/>
    <w:rsid w:val="4B6776B0"/>
    <w:rsid w:val="4B8D725E"/>
    <w:rsid w:val="4BB34A2D"/>
    <w:rsid w:val="4BC220E1"/>
    <w:rsid w:val="4C123AC0"/>
    <w:rsid w:val="4C2630C7"/>
    <w:rsid w:val="4C644A2A"/>
    <w:rsid w:val="4D194D65"/>
    <w:rsid w:val="4D1F4085"/>
    <w:rsid w:val="4D2E492A"/>
    <w:rsid w:val="4D447CA9"/>
    <w:rsid w:val="4D746257"/>
    <w:rsid w:val="4D92310A"/>
    <w:rsid w:val="4DA94BCF"/>
    <w:rsid w:val="4DAB5AA2"/>
    <w:rsid w:val="4DBC0187"/>
    <w:rsid w:val="4DF94D74"/>
    <w:rsid w:val="4E0F487E"/>
    <w:rsid w:val="4E283305"/>
    <w:rsid w:val="4E2B7285"/>
    <w:rsid w:val="4E3B4D0E"/>
    <w:rsid w:val="4E6406D0"/>
    <w:rsid w:val="4E6650FA"/>
    <w:rsid w:val="4E6B11EA"/>
    <w:rsid w:val="4EAB3171"/>
    <w:rsid w:val="4EB0442E"/>
    <w:rsid w:val="4EB8094F"/>
    <w:rsid w:val="4EDC1FD1"/>
    <w:rsid w:val="4EF05C87"/>
    <w:rsid w:val="4EF151D3"/>
    <w:rsid w:val="4EFC736D"/>
    <w:rsid w:val="4F0C6A72"/>
    <w:rsid w:val="4F132029"/>
    <w:rsid w:val="4F1926AC"/>
    <w:rsid w:val="4F232F2B"/>
    <w:rsid w:val="4F6B0761"/>
    <w:rsid w:val="4F6C2B52"/>
    <w:rsid w:val="4F7F146C"/>
    <w:rsid w:val="4F833B28"/>
    <w:rsid w:val="4FA915B3"/>
    <w:rsid w:val="4FAB38FC"/>
    <w:rsid w:val="4FE8313C"/>
    <w:rsid w:val="4FEE076E"/>
    <w:rsid w:val="4FFC5670"/>
    <w:rsid w:val="50025C42"/>
    <w:rsid w:val="50046E67"/>
    <w:rsid w:val="5016684C"/>
    <w:rsid w:val="5053752A"/>
    <w:rsid w:val="50746AF7"/>
    <w:rsid w:val="50795EBC"/>
    <w:rsid w:val="509A7AF6"/>
    <w:rsid w:val="50BB75B3"/>
    <w:rsid w:val="50C708CD"/>
    <w:rsid w:val="50E62AF7"/>
    <w:rsid w:val="50F01B8E"/>
    <w:rsid w:val="511710C4"/>
    <w:rsid w:val="5124051D"/>
    <w:rsid w:val="51273B6A"/>
    <w:rsid w:val="512F0C70"/>
    <w:rsid w:val="514E2C72"/>
    <w:rsid w:val="518444AC"/>
    <w:rsid w:val="518C6D7B"/>
    <w:rsid w:val="51B2463D"/>
    <w:rsid w:val="51E92CE8"/>
    <w:rsid w:val="52007C88"/>
    <w:rsid w:val="52010105"/>
    <w:rsid w:val="520D0121"/>
    <w:rsid w:val="52365BB5"/>
    <w:rsid w:val="52497B10"/>
    <w:rsid w:val="525C548E"/>
    <w:rsid w:val="528079D5"/>
    <w:rsid w:val="529C56BD"/>
    <w:rsid w:val="52BC6C24"/>
    <w:rsid w:val="52C76300"/>
    <w:rsid w:val="52DC3E47"/>
    <w:rsid w:val="531230A1"/>
    <w:rsid w:val="53174AC4"/>
    <w:rsid w:val="53376187"/>
    <w:rsid w:val="533C1422"/>
    <w:rsid w:val="53593E62"/>
    <w:rsid w:val="536F682E"/>
    <w:rsid w:val="53762913"/>
    <w:rsid w:val="537F7C8D"/>
    <w:rsid w:val="53884993"/>
    <w:rsid w:val="53BD2563"/>
    <w:rsid w:val="53CE0E91"/>
    <w:rsid w:val="53CE790C"/>
    <w:rsid w:val="53E87768"/>
    <w:rsid w:val="53E915AA"/>
    <w:rsid w:val="54224ABC"/>
    <w:rsid w:val="543320AC"/>
    <w:rsid w:val="546C71ED"/>
    <w:rsid w:val="5487507D"/>
    <w:rsid w:val="551567FC"/>
    <w:rsid w:val="5518642D"/>
    <w:rsid w:val="55697B41"/>
    <w:rsid w:val="55896582"/>
    <w:rsid w:val="55936CD6"/>
    <w:rsid w:val="55987982"/>
    <w:rsid w:val="55AC1DFD"/>
    <w:rsid w:val="55BF560B"/>
    <w:rsid w:val="55C15A59"/>
    <w:rsid w:val="55EB43BE"/>
    <w:rsid w:val="56080A4A"/>
    <w:rsid w:val="56381BE9"/>
    <w:rsid w:val="565C7F91"/>
    <w:rsid w:val="56837A94"/>
    <w:rsid w:val="56B941C9"/>
    <w:rsid w:val="56C5390B"/>
    <w:rsid w:val="56D839CD"/>
    <w:rsid w:val="56DE5BB3"/>
    <w:rsid w:val="56F64708"/>
    <w:rsid w:val="56FC15F5"/>
    <w:rsid w:val="570A2A04"/>
    <w:rsid w:val="570D72B4"/>
    <w:rsid w:val="575136EE"/>
    <w:rsid w:val="57697E8C"/>
    <w:rsid w:val="57765776"/>
    <w:rsid w:val="579A5ED4"/>
    <w:rsid w:val="579B16EB"/>
    <w:rsid w:val="579E3827"/>
    <w:rsid w:val="57A1050A"/>
    <w:rsid w:val="57A203EE"/>
    <w:rsid w:val="57D61E46"/>
    <w:rsid w:val="57E72B71"/>
    <w:rsid w:val="57F74705"/>
    <w:rsid w:val="580B6CBB"/>
    <w:rsid w:val="581110D0"/>
    <w:rsid w:val="58202107"/>
    <w:rsid w:val="58353607"/>
    <w:rsid w:val="584119B5"/>
    <w:rsid w:val="5842527B"/>
    <w:rsid w:val="585D2567"/>
    <w:rsid w:val="58720D6F"/>
    <w:rsid w:val="58782BD5"/>
    <w:rsid w:val="587D49B7"/>
    <w:rsid w:val="58892166"/>
    <w:rsid w:val="58AA7A08"/>
    <w:rsid w:val="58B33BE7"/>
    <w:rsid w:val="58BB154A"/>
    <w:rsid w:val="58CB5722"/>
    <w:rsid w:val="58DA3BB7"/>
    <w:rsid w:val="58E32A6C"/>
    <w:rsid w:val="58EC0589"/>
    <w:rsid w:val="58FC58DC"/>
    <w:rsid w:val="591A2206"/>
    <w:rsid w:val="592E1814"/>
    <w:rsid w:val="59311D5F"/>
    <w:rsid w:val="59822285"/>
    <w:rsid w:val="598A308A"/>
    <w:rsid w:val="5A0E4298"/>
    <w:rsid w:val="5A1036BA"/>
    <w:rsid w:val="5A171034"/>
    <w:rsid w:val="5A1C1CB8"/>
    <w:rsid w:val="5A54576A"/>
    <w:rsid w:val="5A5A4DCE"/>
    <w:rsid w:val="5A640889"/>
    <w:rsid w:val="5A7E78AF"/>
    <w:rsid w:val="5A885363"/>
    <w:rsid w:val="5AA038A2"/>
    <w:rsid w:val="5AAB09D3"/>
    <w:rsid w:val="5AC15905"/>
    <w:rsid w:val="5ACA3D7E"/>
    <w:rsid w:val="5ACE32A8"/>
    <w:rsid w:val="5B101385"/>
    <w:rsid w:val="5B2B7962"/>
    <w:rsid w:val="5B6475EF"/>
    <w:rsid w:val="5B7C5158"/>
    <w:rsid w:val="5B7F38DD"/>
    <w:rsid w:val="5BBB0BE8"/>
    <w:rsid w:val="5BD7060B"/>
    <w:rsid w:val="5BDC19F5"/>
    <w:rsid w:val="5C042EE3"/>
    <w:rsid w:val="5C065AF1"/>
    <w:rsid w:val="5C194A35"/>
    <w:rsid w:val="5C5D18A1"/>
    <w:rsid w:val="5C646F9E"/>
    <w:rsid w:val="5C694866"/>
    <w:rsid w:val="5C6E0BD2"/>
    <w:rsid w:val="5C735EB5"/>
    <w:rsid w:val="5C885D49"/>
    <w:rsid w:val="5CA14648"/>
    <w:rsid w:val="5CBC558A"/>
    <w:rsid w:val="5CBC7A3E"/>
    <w:rsid w:val="5CC37EFB"/>
    <w:rsid w:val="5CD66D82"/>
    <w:rsid w:val="5CD8418D"/>
    <w:rsid w:val="5D0837C4"/>
    <w:rsid w:val="5D964551"/>
    <w:rsid w:val="5D9C78AA"/>
    <w:rsid w:val="5DCD5A99"/>
    <w:rsid w:val="5DEF78D2"/>
    <w:rsid w:val="5E0E40A4"/>
    <w:rsid w:val="5E2C6028"/>
    <w:rsid w:val="5E4E0C58"/>
    <w:rsid w:val="5E75780A"/>
    <w:rsid w:val="5E800D5D"/>
    <w:rsid w:val="5E94420B"/>
    <w:rsid w:val="5EF9398E"/>
    <w:rsid w:val="5F4E5ED3"/>
    <w:rsid w:val="5F530220"/>
    <w:rsid w:val="5F714E4F"/>
    <w:rsid w:val="5F847015"/>
    <w:rsid w:val="5F847EC5"/>
    <w:rsid w:val="5F882C8B"/>
    <w:rsid w:val="5F972869"/>
    <w:rsid w:val="5FC72C03"/>
    <w:rsid w:val="5FCA3622"/>
    <w:rsid w:val="5FCB71C1"/>
    <w:rsid w:val="5FDA3F29"/>
    <w:rsid w:val="5FF93FE7"/>
    <w:rsid w:val="5FFA4024"/>
    <w:rsid w:val="60007B03"/>
    <w:rsid w:val="601F4730"/>
    <w:rsid w:val="6037544B"/>
    <w:rsid w:val="604364E6"/>
    <w:rsid w:val="60591866"/>
    <w:rsid w:val="607D1904"/>
    <w:rsid w:val="609F0701"/>
    <w:rsid w:val="60B64659"/>
    <w:rsid w:val="60B66CB8"/>
    <w:rsid w:val="60D33E59"/>
    <w:rsid w:val="60E2525D"/>
    <w:rsid w:val="60E41A82"/>
    <w:rsid w:val="60FC0DB4"/>
    <w:rsid w:val="611C3B9F"/>
    <w:rsid w:val="61223275"/>
    <w:rsid w:val="61392BA7"/>
    <w:rsid w:val="618741C7"/>
    <w:rsid w:val="61956214"/>
    <w:rsid w:val="61A72770"/>
    <w:rsid w:val="61AE2CA2"/>
    <w:rsid w:val="61D64B6E"/>
    <w:rsid w:val="61EB0C1A"/>
    <w:rsid w:val="623D2038"/>
    <w:rsid w:val="62A06194"/>
    <w:rsid w:val="62CE1CF4"/>
    <w:rsid w:val="62F14861"/>
    <w:rsid w:val="62F9008A"/>
    <w:rsid w:val="631E1376"/>
    <w:rsid w:val="63420D3F"/>
    <w:rsid w:val="634243A5"/>
    <w:rsid w:val="63815462"/>
    <w:rsid w:val="639453FB"/>
    <w:rsid w:val="63BA48A6"/>
    <w:rsid w:val="63E91B90"/>
    <w:rsid w:val="6408782B"/>
    <w:rsid w:val="64231B19"/>
    <w:rsid w:val="643535FD"/>
    <w:rsid w:val="644C6C48"/>
    <w:rsid w:val="64606E2D"/>
    <w:rsid w:val="64746578"/>
    <w:rsid w:val="64850E7B"/>
    <w:rsid w:val="64B9700F"/>
    <w:rsid w:val="64B972C8"/>
    <w:rsid w:val="64C156CD"/>
    <w:rsid w:val="64D506A4"/>
    <w:rsid w:val="64DB4F3F"/>
    <w:rsid w:val="64E57E23"/>
    <w:rsid w:val="653D3504"/>
    <w:rsid w:val="65791BFD"/>
    <w:rsid w:val="65A752B5"/>
    <w:rsid w:val="65AD68DC"/>
    <w:rsid w:val="65B75534"/>
    <w:rsid w:val="65C6799D"/>
    <w:rsid w:val="65FD2036"/>
    <w:rsid w:val="66023AC3"/>
    <w:rsid w:val="665628D4"/>
    <w:rsid w:val="66583530"/>
    <w:rsid w:val="665D7379"/>
    <w:rsid w:val="66B55E98"/>
    <w:rsid w:val="66C57825"/>
    <w:rsid w:val="66EB1838"/>
    <w:rsid w:val="67102C43"/>
    <w:rsid w:val="675C040B"/>
    <w:rsid w:val="67692272"/>
    <w:rsid w:val="67901D66"/>
    <w:rsid w:val="67A41618"/>
    <w:rsid w:val="67EA2F22"/>
    <w:rsid w:val="67EB4169"/>
    <w:rsid w:val="67F0339C"/>
    <w:rsid w:val="68207E19"/>
    <w:rsid w:val="68261CA4"/>
    <w:rsid w:val="683861AC"/>
    <w:rsid w:val="68690863"/>
    <w:rsid w:val="68773746"/>
    <w:rsid w:val="688755A8"/>
    <w:rsid w:val="68971546"/>
    <w:rsid w:val="68B05B70"/>
    <w:rsid w:val="68B5326A"/>
    <w:rsid w:val="68B979BE"/>
    <w:rsid w:val="68E901D4"/>
    <w:rsid w:val="68FA42C7"/>
    <w:rsid w:val="69345F80"/>
    <w:rsid w:val="695D2868"/>
    <w:rsid w:val="6990454A"/>
    <w:rsid w:val="69A91E7A"/>
    <w:rsid w:val="69BC6964"/>
    <w:rsid w:val="69C718B7"/>
    <w:rsid w:val="6A022F6E"/>
    <w:rsid w:val="6A48400F"/>
    <w:rsid w:val="6A935974"/>
    <w:rsid w:val="6AB3434D"/>
    <w:rsid w:val="6AC02C0D"/>
    <w:rsid w:val="6AF4596B"/>
    <w:rsid w:val="6AFA433D"/>
    <w:rsid w:val="6AFF160E"/>
    <w:rsid w:val="6B283E1D"/>
    <w:rsid w:val="6B45635D"/>
    <w:rsid w:val="6B7D77DB"/>
    <w:rsid w:val="6BC24852"/>
    <w:rsid w:val="6BC71D79"/>
    <w:rsid w:val="6BEE37AA"/>
    <w:rsid w:val="6C0B7C80"/>
    <w:rsid w:val="6C111246"/>
    <w:rsid w:val="6C3B3ABC"/>
    <w:rsid w:val="6CA67BE1"/>
    <w:rsid w:val="6CBA5C01"/>
    <w:rsid w:val="6D391D13"/>
    <w:rsid w:val="6D4006F6"/>
    <w:rsid w:val="6D707478"/>
    <w:rsid w:val="6D77364D"/>
    <w:rsid w:val="6D814A2E"/>
    <w:rsid w:val="6DB0143E"/>
    <w:rsid w:val="6DBA7921"/>
    <w:rsid w:val="6DBB6E8A"/>
    <w:rsid w:val="6DD93FE6"/>
    <w:rsid w:val="6DDE2B89"/>
    <w:rsid w:val="6E194AB7"/>
    <w:rsid w:val="6E6F0609"/>
    <w:rsid w:val="6E7A47FD"/>
    <w:rsid w:val="6E844C97"/>
    <w:rsid w:val="6E9313EA"/>
    <w:rsid w:val="6ED06325"/>
    <w:rsid w:val="6ED4028D"/>
    <w:rsid w:val="6ED5305C"/>
    <w:rsid w:val="6ED64A2C"/>
    <w:rsid w:val="6EE24655"/>
    <w:rsid w:val="6EE478F2"/>
    <w:rsid w:val="6EEE7D80"/>
    <w:rsid w:val="6EF968F1"/>
    <w:rsid w:val="6F1956E5"/>
    <w:rsid w:val="6F3272DC"/>
    <w:rsid w:val="6F6561D2"/>
    <w:rsid w:val="6F6B6EC0"/>
    <w:rsid w:val="6F7C3791"/>
    <w:rsid w:val="6F942271"/>
    <w:rsid w:val="6F986024"/>
    <w:rsid w:val="6FA166F8"/>
    <w:rsid w:val="6FB37264"/>
    <w:rsid w:val="6FBBF9A9"/>
    <w:rsid w:val="6FBC6748"/>
    <w:rsid w:val="6FCC42A6"/>
    <w:rsid w:val="6FD15564"/>
    <w:rsid w:val="6FED2329"/>
    <w:rsid w:val="6FEF189F"/>
    <w:rsid w:val="7002292B"/>
    <w:rsid w:val="70174123"/>
    <w:rsid w:val="70225CE3"/>
    <w:rsid w:val="704174B9"/>
    <w:rsid w:val="70792BF8"/>
    <w:rsid w:val="707D4190"/>
    <w:rsid w:val="708B3FDD"/>
    <w:rsid w:val="70A81E45"/>
    <w:rsid w:val="70DA32DB"/>
    <w:rsid w:val="70E24099"/>
    <w:rsid w:val="70F51656"/>
    <w:rsid w:val="70FA04FB"/>
    <w:rsid w:val="71123A97"/>
    <w:rsid w:val="716345D7"/>
    <w:rsid w:val="716E0ADC"/>
    <w:rsid w:val="71702D53"/>
    <w:rsid w:val="71BD539E"/>
    <w:rsid w:val="71BE4523"/>
    <w:rsid w:val="71CA25C3"/>
    <w:rsid w:val="72181718"/>
    <w:rsid w:val="722516E4"/>
    <w:rsid w:val="722A4E10"/>
    <w:rsid w:val="72343ADE"/>
    <w:rsid w:val="72A9042B"/>
    <w:rsid w:val="72B30E2F"/>
    <w:rsid w:val="72C41C4D"/>
    <w:rsid w:val="72EA4B34"/>
    <w:rsid w:val="731668E9"/>
    <w:rsid w:val="733834BD"/>
    <w:rsid w:val="735C36EF"/>
    <w:rsid w:val="736C12B6"/>
    <w:rsid w:val="738425B5"/>
    <w:rsid w:val="738E3EEA"/>
    <w:rsid w:val="73EF00BF"/>
    <w:rsid w:val="740F42BD"/>
    <w:rsid w:val="741713C4"/>
    <w:rsid w:val="7419338E"/>
    <w:rsid w:val="741E6BF6"/>
    <w:rsid w:val="742064CB"/>
    <w:rsid w:val="748A74A6"/>
    <w:rsid w:val="748C6CC9"/>
    <w:rsid w:val="749C115B"/>
    <w:rsid w:val="74D83C2A"/>
    <w:rsid w:val="74DA558B"/>
    <w:rsid w:val="74EC5116"/>
    <w:rsid w:val="75350B62"/>
    <w:rsid w:val="75374DD3"/>
    <w:rsid w:val="756249A8"/>
    <w:rsid w:val="757705C9"/>
    <w:rsid w:val="75A266C3"/>
    <w:rsid w:val="75BB24D4"/>
    <w:rsid w:val="75D877AB"/>
    <w:rsid w:val="75E729C1"/>
    <w:rsid w:val="76335830"/>
    <w:rsid w:val="7639085E"/>
    <w:rsid w:val="763E0E8A"/>
    <w:rsid w:val="7641097A"/>
    <w:rsid w:val="7648315D"/>
    <w:rsid w:val="764A31E0"/>
    <w:rsid w:val="76607052"/>
    <w:rsid w:val="7671275F"/>
    <w:rsid w:val="768E6803"/>
    <w:rsid w:val="769A6A08"/>
    <w:rsid w:val="76A017D8"/>
    <w:rsid w:val="76DF1CB2"/>
    <w:rsid w:val="76E50578"/>
    <w:rsid w:val="7702472B"/>
    <w:rsid w:val="77075720"/>
    <w:rsid w:val="774E1EC3"/>
    <w:rsid w:val="774E6201"/>
    <w:rsid w:val="77511BBB"/>
    <w:rsid w:val="777A4838"/>
    <w:rsid w:val="779C38F8"/>
    <w:rsid w:val="779F007C"/>
    <w:rsid w:val="77A06624"/>
    <w:rsid w:val="77BB6F54"/>
    <w:rsid w:val="77E14E03"/>
    <w:rsid w:val="77F25AB3"/>
    <w:rsid w:val="781A47C6"/>
    <w:rsid w:val="783F60A6"/>
    <w:rsid w:val="78DF26B6"/>
    <w:rsid w:val="792E3343"/>
    <w:rsid w:val="79314D2C"/>
    <w:rsid w:val="79455C0B"/>
    <w:rsid w:val="794F2785"/>
    <w:rsid w:val="79872B48"/>
    <w:rsid w:val="79BE699B"/>
    <w:rsid w:val="79CA0C80"/>
    <w:rsid w:val="79D12B3C"/>
    <w:rsid w:val="79D2240C"/>
    <w:rsid w:val="79FA55BE"/>
    <w:rsid w:val="7A046F87"/>
    <w:rsid w:val="7A2A40EC"/>
    <w:rsid w:val="7AA05D84"/>
    <w:rsid w:val="7AFD5CBE"/>
    <w:rsid w:val="7AFE2D0F"/>
    <w:rsid w:val="7B296EA3"/>
    <w:rsid w:val="7B3C4416"/>
    <w:rsid w:val="7B880378"/>
    <w:rsid w:val="7BA0708A"/>
    <w:rsid w:val="7BB549F8"/>
    <w:rsid w:val="7BB55CE6"/>
    <w:rsid w:val="7BB95A03"/>
    <w:rsid w:val="7BBB053C"/>
    <w:rsid w:val="7BC27F86"/>
    <w:rsid w:val="7BC35C16"/>
    <w:rsid w:val="7BDD2E81"/>
    <w:rsid w:val="7BFA5AF3"/>
    <w:rsid w:val="7C271B08"/>
    <w:rsid w:val="7C32146D"/>
    <w:rsid w:val="7C74308D"/>
    <w:rsid w:val="7CC52137"/>
    <w:rsid w:val="7CD72D8F"/>
    <w:rsid w:val="7CF97313"/>
    <w:rsid w:val="7CFB3EE5"/>
    <w:rsid w:val="7D2162B5"/>
    <w:rsid w:val="7D4718FD"/>
    <w:rsid w:val="7D5947FB"/>
    <w:rsid w:val="7D603741"/>
    <w:rsid w:val="7D926F86"/>
    <w:rsid w:val="7DA912DF"/>
    <w:rsid w:val="7DAD4C26"/>
    <w:rsid w:val="7DAE6C1A"/>
    <w:rsid w:val="7DB00089"/>
    <w:rsid w:val="7DBC61BF"/>
    <w:rsid w:val="7DCD290B"/>
    <w:rsid w:val="7DEF755D"/>
    <w:rsid w:val="7E02576D"/>
    <w:rsid w:val="7E314846"/>
    <w:rsid w:val="7E4A455F"/>
    <w:rsid w:val="7E6D3040"/>
    <w:rsid w:val="7EA30A0D"/>
    <w:rsid w:val="7EAA17B2"/>
    <w:rsid w:val="7EF30DFC"/>
    <w:rsid w:val="7EFE5C5E"/>
    <w:rsid w:val="7F042258"/>
    <w:rsid w:val="7F181931"/>
    <w:rsid w:val="7F225A45"/>
    <w:rsid w:val="7F676E7D"/>
    <w:rsid w:val="7F6E1DB4"/>
    <w:rsid w:val="7F760C96"/>
    <w:rsid w:val="7F882FA3"/>
    <w:rsid w:val="7F942964"/>
    <w:rsid w:val="7FCA4CAA"/>
    <w:rsid w:val="96C74957"/>
    <w:rsid w:val="FBDF01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2">
    <w:name w:val="heading 1"/>
    <w:basedOn w:val="1"/>
    <w:next w:val="1"/>
    <w:link w:val="106"/>
    <w:qFormat/>
    <w:uiPriority w:val="9"/>
    <w:pPr>
      <w:keepNext/>
      <w:widowControl/>
      <w:spacing w:line="360" w:lineRule="auto"/>
      <w:jc w:val="center"/>
      <w:outlineLvl w:val="0"/>
    </w:pPr>
    <w:rPr>
      <w:rFonts w:ascii="黑体"/>
      <w:b/>
      <w:kern w:val="0"/>
      <w:sz w:val="32"/>
    </w:rPr>
  </w:style>
  <w:style w:type="paragraph" w:styleId="4">
    <w:name w:val="heading 2"/>
    <w:basedOn w:val="1"/>
    <w:next w:val="1"/>
    <w:link w:val="184"/>
    <w:qFormat/>
    <w:uiPriority w:val="0"/>
    <w:pPr>
      <w:keepNext/>
      <w:keepLines/>
      <w:tabs>
        <w:tab w:val="left" w:pos="706"/>
        <w:tab w:val="left" w:pos="1110"/>
      </w:tabs>
      <w:spacing w:line="360" w:lineRule="auto"/>
      <w:ind w:left="106" w:firstLine="454"/>
      <w:outlineLvl w:val="1"/>
    </w:pPr>
    <w:rPr>
      <w:rFonts w:eastAsia="黑体"/>
      <w:b/>
      <w:sz w:val="21"/>
    </w:rPr>
  </w:style>
  <w:style w:type="paragraph" w:styleId="5">
    <w:name w:val="heading 3"/>
    <w:basedOn w:val="1"/>
    <w:next w:val="1"/>
    <w:link w:val="108"/>
    <w:qFormat/>
    <w:uiPriority w:val="0"/>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4"/>
    <w:basedOn w:val="5"/>
    <w:next w:val="7"/>
    <w:link w:val="109"/>
    <w:qFormat/>
    <w:uiPriority w:val="0"/>
    <w:pPr>
      <w:spacing w:before="280" w:after="290" w:line="372" w:lineRule="auto"/>
      <w:outlineLvl w:val="3"/>
    </w:pPr>
    <w:rPr>
      <w:rFonts w:ascii="Arial" w:hAnsi="Arial" w:eastAsia="黑体"/>
      <w:kern w:val="2"/>
      <w:sz w:val="28"/>
    </w:rPr>
  </w:style>
  <w:style w:type="paragraph" w:styleId="8">
    <w:name w:val="heading 5"/>
    <w:basedOn w:val="1"/>
    <w:next w:val="7"/>
    <w:link w:val="110"/>
    <w:qFormat/>
    <w:uiPriority w:val="0"/>
    <w:pPr>
      <w:keepNext/>
      <w:keepLines/>
      <w:spacing w:before="280" w:after="290" w:line="372" w:lineRule="auto"/>
      <w:outlineLvl w:val="4"/>
    </w:pPr>
    <w:rPr>
      <w:b/>
    </w:rPr>
  </w:style>
  <w:style w:type="paragraph" w:styleId="9">
    <w:name w:val="heading 6"/>
    <w:basedOn w:val="1"/>
    <w:next w:val="1"/>
    <w:link w:val="111"/>
    <w:qFormat/>
    <w:uiPriority w:val="0"/>
    <w:pPr>
      <w:keepNext/>
      <w:keepLines/>
      <w:widowControl/>
      <w:tabs>
        <w:tab w:val="left" w:pos="1440"/>
      </w:tabs>
      <w:spacing w:before="240" w:after="64" w:line="317" w:lineRule="auto"/>
      <w:ind w:left="1152" w:hanging="1152"/>
      <w:jc w:val="left"/>
      <w:outlineLvl w:val="5"/>
    </w:pPr>
    <w:rPr>
      <w:rFonts w:ascii="Arial" w:hAnsi="Arial" w:eastAsia="黑体"/>
      <w:b/>
      <w:kern w:val="0"/>
      <w:sz w:val="24"/>
    </w:rPr>
  </w:style>
  <w:style w:type="paragraph" w:styleId="10">
    <w:name w:val="heading 7"/>
    <w:basedOn w:val="1"/>
    <w:next w:val="1"/>
    <w:link w:val="112"/>
    <w:qFormat/>
    <w:uiPriority w:val="0"/>
    <w:pPr>
      <w:keepNext/>
      <w:keepLines/>
      <w:widowControl/>
      <w:tabs>
        <w:tab w:val="left" w:pos="2520"/>
      </w:tabs>
      <w:spacing w:before="240" w:after="64" w:line="317" w:lineRule="auto"/>
      <w:ind w:left="1296" w:hanging="1296"/>
      <w:jc w:val="left"/>
      <w:outlineLvl w:val="6"/>
    </w:pPr>
    <w:rPr>
      <w:b/>
      <w:kern w:val="0"/>
      <w:sz w:val="24"/>
    </w:rPr>
  </w:style>
  <w:style w:type="paragraph" w:styleId="11">
    <w:name w:val="heading 8"/>
    <w:basedOn w:val="1"/>
    <w:next w:val="1"/>
    <w:link w:val="113"/>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2">
    <w:name w:val="heading 9"/>
    <w:basedOn w:val="1"/>
    <w:next w:val="1"/>
    <w:link w:val="114"/>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336"/>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heme="minorEastAsia" w:cstheme="minorBidi"/>
      <w:kern w:val="2"/>
      <w:sz w:val="24"/>
      <w:szCs w:val="22"/>
      <w:lang w:val="en-US" w:eastAsia="zh-CN" w:bidi="ar-SA"/>
    </w:rPr>
  </w:style>
  <w:style w:type="paragraph" w:styleId="7">
    <w:name w:val="Normal Indent"/>
    <w:basedOn w:val="1"/>
    <w:next w:val="1"/>
    <w:link w:val="303"/>
    <w:qFormat/>
    <w:uiPriority w:val="0"/>
    <w:pPr>
      <w:widowControl/>
      <w:ind w:firstLine="420"/>
      <w:jc w:val="left"/>
    </w:pPr>
    <w:rPr>
      <w:rFonts w:asciiTheme="minorHAnsi" w:hAnsiTheme="minorHAnsi" w:cstheme="minorBidi"/>
      <w:sz w:val="24"/>
      <w:szCs w:val="22"/>
    </w:rPr>
  </w:style>
  <w:style w:type="paragraph" w:styleId="13">
    <w:name w:val="List 3"/>
    <w:basedOn w:val="1"/>
    <w:qFormat/>
    <w:uiPriority w:val="0"/>
    <w:pPr>
      <w:ind w:left="100" w:leftChars="400" w:hanging="200" w:hangingChars="200"/>
    </w:pPr>
    <w:rPr>
      <w:sz w:val="21"/>
    </w:rPr>
  </w:style>
  <w:style w:type="paragraph" w:styleId="14">
    <w:name w:val="toc 7"/>
    <w:basedOn w:val="1"/>
    <w:next w:val="1"/>
    <w:qFormat/>
    <w:uiPriority w:val="0"/>
    <w:pPr>
      <w:ind w:left="1680"/>
      <w:jc w:val="left"/>
    </w:pPr>
    <w:rPr>
      <w:sz w:val="18"/>
    </w:rPr>
  </w:style>
  <w:style w:type="paragraph" w:styleId="15">
    <w:name w:val="List Number 2"/>
    <w:basedOn w:val="1"/>
    <w:qFormat/>
    <w:uiPriority w:val="0"/>
    <w:pPr>
      <w:tabs>
        <w:tab w:val="left" w:pos="0"/>
      </w:tabs>
      <w:ind w:left="1146" w:hanging="720"/>
    </w:pPr>
    <w:rPr>
      <w:sz w:val="21"/>
    </w:rPr>
  </w:style>
  <w:style w:type="paragraph" w:styleId="16">
    <w:name w:val="table of authorities"/>
    <w:basedOn w:val="1"/>
    <w:next w:val="1"/>
    <w:qFormat/>
    <w:uiPriority w:val="0"/>
    <w:pPr>
      <w:ind w:left="420" w:leftChars="200"/>
    </w:pPr>
    <w:rPr>
      <w:sz w:val="21"/>
    </w:rPr>
  </w:style>
  <w:style w:type="paragraph" w:styleId="17">
    <w:name w:val="Note Heading"/>
    <w:basedOn w:val="1"/>
    <w:next w:val="1"/>
    <w:link w:val="332"/>
    <w:qFormat/>
    <w:uiPriority w:val="0"/>
    <w:pPr>
      <w:jc w:val="center"/>
    </w:pPr>
    <w:rPr>
      <w:rFonts w:asciiTheme="minorHAnsi" w:hAnsiTheme="minorHAnsi" w:eastAsiaTheme="minorEastAsia" w:cstheme="minorBidi"/>
      <w:sz w:val="21"/>
      <w:szCs w:val="22"/>
    </w:rPr>
  </w:style>
  <w:style w:type="paragraph" w:styleId="18">
    <w:name w:val="List Bullet 4"/>
    <w:basedOn w:val="1"/>
    <w:qFormat/>
    <w:uiPriority w:val="0"/>
    <w:pPr>
      <w:tabs>
        <w:tab w:val="left" w:pos="1620"/>
      </w:tabs>
      <w:ind w:left="1620" w:hanging="360"/>
    </w:pPr>
    <w:rPr>
      <w:sz w:val="21"/>
    </w:rPr>
  </w:style>
  <w:style w:type="paragraph" w:styleId="19">
    <w:name w:val="index 8"/>
    <w:basedOn w:val="1"/>
    <w:next w:val="1"/>
    <w:qFormat/>
    <w:uiPriority w:val="0"/>
    <w:pPr>
      <w:ind w:left="1400" w:leftChars="1400"/>
    </w:pPr>
    <w:rPr>
      <w:sz w:val="21"/>
    </w:rPr>
  </w:style>
  <w:style w:type="paragraph" w:styleId="20">
    <w:name w:val="E-mail Signature"/>
    <w:basedOn w:val="1"/>
    <w:link w:val="326"/>
    <w:qFormat/>
    <w:uiPriority w:val="0"/>
    <w:rPr>
      <w:rFonts w:asciiTheme="minorHAnsi" w:hAnsiTheme="minorHAnsi" w:eastAsiaTheme="minorEastAsia" w:cstheme="minorBidi"/>
      <w:sz w:val="21"/>
      <w:szCs w:val="22"/>
    </w:rPr>
  </w:style>
  <w:style w:type="paragraph" w:styleId="21">
    <w:name w:val="List Number"/>
    <w:basedOn w:val="1"/>
    <w:qFormat/>
    <w:uiPriority w:val="0"/>
    <w:pPr>
      <w:tabs>
        <w:tab w:val="left" w:pos="360"/>
      </w:tabs>
      <w:ind w:left="360" w:hanging="360"/>
    </w:pPr>
    <w:rPr>
      <w:sz w:val="21"/>
    </w:rPr>
  </w:style>
  <w:style w:type="paragraph" w:styleId="22">
    <w:name w:val="caption"/>
    <w:basedOn w:val="1"/>
    <w:next w:val="1"/>
    <w:qFormat/>
    <w:uiPriority w:val="0"/>
    <w:rPr>
      <w:rFonts w:ascii="Arial" w:hAnsi="Arial" w:eastAsia="黑体"/>
      <w:sz w:val="20"/>
    </w:rPr>
  </w:style>
  <w:style w:type="paragraph" w:styleId="23">
    <w:name w:val="index 5"/>
    <w:basedOn w:val="1"/>
    <w:next w:val="1"/>
    <w:qFormat/>
    <w:uiPriority w:val="0"/>
    <w:pPr>
      <w:ind w:left="800" w:leftChars="800"/>
    </w:pPr>
    <w:rPr>
      <w:sz w:val="21"/>
    </w:rPr>
  </w:style>
  <w:style w:type="paragraph" w:styleId="24">
    <w:name w:val="List Bullet"/>
    <w:basedOn w:val="1"/>
    <w:qFormat/>
    <w:uiPriority w:val="0"/>
    <w:pPr>
      <w:tabs>
        <w:tab w:val="left" w:pos="735"/>
      </w:tabs>
      <w:ind w:left="735"/>
    </w:pPr>
    <w:rPr>
      <w:sz w:val="21"/>
    </w:rPr>
  </w:style>
  <w:style w:type="paragraph" w:styleId="25">
    <w:name w:val="envelope address"/>
    <w:basedOn w:val="1"/>
    <w:qFormat/>
    <w:uiPriority w:val="0"/>
    <w:pPr>
      <w:snapToGrid w:val="0"/>
      <w:ind w:left="100" w:leftChars="1400"/>
    </w:pPr>
    <w:rPr>
      <w:rFonts w:ascii="Arial" w:hAnsi="Arial"/>
      <w:sz w:val="24"/>
    </w:rPr>
  </w:style>
  <w:style w:type="paragraph" w:styleId="26">
    <w:name w:val="Document Map"/>
    <w:basedOn w:val="1"/>
    <w:link w:val="334"/>
    <w:qFormat/>
    <w:uiPriority w:val="0"/>
    <w:pPr>
      <w:shd w:val="clear" w:color="auto" w:fill="000080"/>
    </w:pPr>
    <w:rPr>
      <w:rFonts w:asciiTheme="minorHAnsi" w:hAnsiTheme="minorHAnsi" w:eastAsiaTheme="minorEastAsia" w:cstheme="minorBidi"/>
      <w:szCs w:val="22"/>
      <w:shd w:val="clear" w:color="auto" w:fill="000080"/>
    </w:rPr>
  </w:style>
  <w:style w:type="paragraph" w:styleId="27">
    <w:name w:val="toa heading"/>
    <w:basedOn w:val="1"/>
    <w:next w:val="1"/>
    <w:qFormat/>
    <w:uiPriority w:val="0"/>
    <w:pPr>
      <w:spacing w:before="120"/>
    </w:pPr>
    <w:rPr>
      <w:rFonts w:ascii="Arial" w:hAnsi="Arial"/>
      <w:sz w:val="24"/>
    </w:rPr>
  </w:style>
  <w:style w:type="paragraph" w:styleId="28">
    <w:name w:val="annotation text"/>
    <w:basedOn w:val="1"/>
    <w:link w:val="121"/>
    <w:unhideWhenUsed/>
    <w:qFormat/>
    <w:uiPriority w:val="0"/>
    <w:pPr>
      <w:jc w:val="left"/>
    </w:pPr>
  </w:style>
  <w:style w:type="paragraph" w:styleId="29">
    <w:name w:val="index 6"/>
    <w:basedOn w:val="1"/>
    <w:next w:val="1"/>
    <w:qFormat/>
    <w:uiPriority w:val="0"/>
    <w:pPr>
      <w:ind w:left="1000" w:leftChars="1000"/>
    </w:pPr>
    <w:rPr>
      <w:sz w:val="21"/>
    </w:rPr>
  </w:style>
  <w:style w:type="paragraph" w:styleId="30">
    <w:name w:val="Salutation"/>
    <w:basedOn w:val="1"/>
    <w:next w:val="1"/>
    <w:link w:val="342"/>
    <w:qFormat/>
    <w:uiPriority w:val="0"/>
    <w:rPr>
      <w:rFonts w:ascii="宋体" w:hAnsiTheme="minorHAnsi" w:eastAsiaTheme="minorEastAsia" w:cstheme="minorBidi"/>
      <w:szCs w:val="22"/>
    </w:rPr>
  </w:style>
  <w:style w:type="paragraph" w:styleId="31">
    <w:name w:val="Body Text 3"/>
    <w:basedOn w:val="1"/>
    <w:link w:val="346"/>
    <w:qFormat/>
    <w:uiPriority w:val="0"/>
    <w:pPr>
      <w:spacing w:after="120"/>
    </w:pPr>
    <w:rPr>
      <w:rFonts w:asciiTheme="minorHAnsi" w:hAnsiTheme="minorHAnsi" w:eastAsiaTheme="minorEastAsia" w:cstheme="minorBidi"/>
      <w:sz w:val="16"/>
      <w:szCs w:val="22"/>
    </w:rPr>
  </w:style>
  <w:style w:type="paragraph" w:styleId="32">
    <w:name w:val="Closing"/>
    <w:basedOn w:val="1"/>
    <w:link w:val="331"/>
    <w:qFormat/>
    <w:uiPriority w:val="0"/>
    <w:pPr>
      <w:ind w:left="100" w:leftChars="2100"/>
    </w:pPr>
    <w:rPr>
      <w:rFonts w:asciiTheme="minorHAnsi" w:hAnsiTheme="minorHAnsi" w:eastAsiaTheme="minorEastAsia" w:cstheme="minorBidi"/>
      <w:sz w:val="21"/>
      <w:szCs w:val="22"/>
    </w:rPr>
  </w:style>
  <w:style w:type="paragraph" w:styleId="33">
    <w:name w:val="List Bullet 3"/>
    <w:basedOn w:val="1"/>
    <w:qFormat/>
    <w:uiPriority w:val="0"/>
    <w:pPr>
      <w:tabs>
        <w:tab w:val="left" w:pos="1200"/>
      </w:tabs>
      <w:ind w:left="1200" w:hanging="360"/>
    </w:pPr>
    <w:rPr>
      <w:sz w:val="21"/>
    </w:rPr>
  </w:style>
  <w:style w:type="paragraph" w:styleId="34">
    <w:name w:val="Body Text"/>
    <w:basedOn w:val="1"/>
    <w:next w:val="1"/>
    <w:link w:val="117"/>
    <w:unhideWhenUsed/>
    <w:qFormat/>
    <w:uiPriority w:val="0"/>
    <w:pPr>
      <w:spacing w:after="120"/>
    </w:pPr>
  </w:style>
  <w:style w:type="paragraph" w:styleId="35">
    <w:name w:val="Body Text Indent"/>
    <w:basedOn w:val="1"/>
    <w:next w:val="36"/>
    <w:link w:val="115"/>
    <w:unhideWhenUsed/>
    <w:qFormat/>
    <w:uiPriority w:val="0"/>
    <w:pPr>
      <w:spacing w:after="120"/>
      <w:ind w:left="420" w:leftChars="200"/>
    </w:pPr>
  </w:style>
  <w:style w:type="paragraph" w:styleId="36">
    <w:name w:val="Body Text First Indent 2"/>
    <w:basedOn w:val="35"/>
    <w:link w:val="339"/>
    <w:qFormat/>
    <w:uiPriority w:val="0"/>
    <w:pPr>
      <w:ind w:firstLine="420" w:firstLineChars="200"/>
    </w:pPr>
    <w:rPr>
      <w:rFonts w:ascii="等线" w:hAnsi="等线" w:eastAsia="等线" w:cstheme="minorBidi"/>
      <w:sz w:val="21"/>
      <w:szCs w:val="22"/>
    </w:rPr>
  </w:style>
  <w:style w:type="paragraph" w:styleId="37">
    <w:name w:val="List Number 3"/>
    <w:basedOn w:val="1"/>
    <w:qFormat/>
    <w:uiPriority w:val="0"/>
    <w:pPr>
      <w:tabs>
        <w:tab w:val="left" w:pos="1200"/>
      </w:tabs>
      <w:ind w:left="1200" w:hanging="360"/>
    </w:pPr>
    <w:rPr>
      <w:sz w:val="21"/>
    </w:rPr>
  </w:style>
  <w:style w:type="paragraph" w:styleId="38">
    <w:name w:val="List 2"/>
    <w:basedOn w:val="1"/>
    <w:qFormat/>
    <w:uiPriority w:val="0"/>
    <w:pPr>
      <w:ind w:left="100" w:leftChars="200" w:hanging="200" w:hangingChars="200"/>
    </w:pPr>
    <w:rPr>
      <w:sz w:val="21"/>
    </w:rPr>
  </w:style>
  <w:style w:type="paragraph" w:styleId="39">
    <w:name w:val="List Continue"/>
    <w:basedOn w:val="1"/>
    <w:qFormat/>
    <w:uiPriority w:val="0"/>
    <w:pPr>
      <w:spacing w:after="120"/>
      <w:ind w:left="420" w:leftChars="200"/>
    </w:pPr>
    <w:rPr>
      <w:sz w:val="21"/>
    </w:rPr>
  </w:style>
  <w:style w:type="paragraph" w:styleId="40">
    <w:name w:val="Block Text"/>
    <w:basedOn w:val="1"/>
    <w:qFormat/>
    <w:uiPriority w:val="0"/>
    <w:pPr>
      <w:spacing w:line="240" w:lineRule="exact"/>
      <w:ind w:left="475" w:leftChars="240" w:right="292" w:rightChars="292" w:firstLine="473"/>
    </w:pPr>
    <w:rPr>
      <w:rFonts w:ascii="宋体" w:hAnsi="宋体"/>
      <w:spacing w:val="-6"/>
      <w:sz w:val="21"/>
    </w:rPr>
  </w:style>
  <w:style w:type="paragraph" w:styleId="41">
    <w:name w:val="List Bullet 2"/>
    <w:basedOn w:val="1"/>
    <w:qFormat/>
    <w:uiPriority w:val="0"/>
    <w:pPr>
      <w:tabs>
        <w:tab w:val="left" w:pos="780"/>
      </w:tabs>
      <w:ind w:left="780" w:hanging="360"/>
    </w:pPr>
    <w:rPr>
      <w:sz w:val="21"/>
    </w:rPr>
  </w:style>
  <w:style w:type="paragraph" w:styleId="42">
    <w:name w:val="HTML Address"/>
    <w:basedOn w:val="1"/>
    <w:link w:val="337"/>
    <w:qFormat/>
    <w:uiPriority w:val="0"/>
    <w:rPr>
      <w:rFonts w:asciiTheme="minorHAnsi" w:hAnsiTheme="minorHAnsi" w:eastAsiaTheme="minorEastAsia" w:cstheme="minorBidi"/>
      <w:i/>
      <w:sz w:val="21"/>
      <w:szCs w:val="22"/>
    </w:rPr>
  </w:style>
  <w:style w:type="paragraph" w:styleId="43">
    <w:name w:val="index 4"/>
    <w:basedOn w:val="1"/>
    <w:next w:val="1"/>
    <w:qFormat/>
    <w:uiPriority w:val="0"/>
    <w:pPr>
      <w:ind w:left="600" w:leftChars="600"/>
    </w:pPr>
    <w:rPr>
      <w:sz w:val="21"/>
    </w:rPr>
  </w:style>
  <w:style w:type="paragraph" w:styleId="44">
    <w:name w:val="toc 5"/>
    <w:basedOn w:val="1"/>
    <w:next w:val="1"/>
    <w:qFormat/>
    <w:uiPriority w:val="0"/>
    <w:pPr>
      <w:ind w:left="1120"/>
      <w:jc w:val="left"/>
    </w:pPr>
    <w:rPr>
      <w:sz w:val="18"/>
    </w:rPr>
  </w:style>
  <w:style w:type="paragraph" w:styleId="45">
    <w:name w:val="toc 3"/>
    <w:basedOn w:val="1"/>
    <w:next w:val="1"/>
    <w:qFormat/>
    <w:uiPriority w:val="0"/>
    <w:pPr>
      <w:ind w:left="560"/>
      <w:jc w:val="left"/>
    </w:pPr>
    <w:rPr>
      <w:i/>
      <w:sz w:val="20"/>
    </w:rPr>
  </w:style>
  <w:style w:type="paragraph" w:styleId="46">
    <w:name w:val="Plain Text"/>
    <w:basedOn w:val="1"/>
    <w:next w:val="1"/>
    <w:link w:val="330"/>
    <w:qFormat/>
    <w:uiPriority w:val="0"/>
    <w:rPr>
      <w:rFonts w:ascii="宋体" w:hAnsi="Courier New" w:cstheme="minorBidi"/>
      <w:sz w:val="21"/>
      <w:szCs w:val="22"/>
    </w:rPr>
  </w:style>
  <w:style w:type="paragraph" w:styleId="47">
    <w:name w:val="List Bullet 5"/>
    <w:basedOn w:val="1"/>
    <w:qFormat/>
    <w:uiPriority w:val="0"/>
    <w:pPr>
      <w:tabs>
        <w:tab w:val="left" w:pos="2040"/>
      </w:tabs>
      <w:ind w:left="2040" w:hanging="360"/>
    </w:pPr>
    <w:rPr>
      <w:sz w:val="21"/>
    </w:rPr>
  </w:style>
  <w:style w:type="paragraph" w:styleId="48">
    <w:name w:val="List Number 4"/>
    <w:basedOn w:val="1"/>
    <w:qFormat/>
    <w:uiPriority w:val="0"/>
    <w:pPr>
      <w:tabs>
        <w:tab w:val="left" w:pos="1620"/>
      </w:tabs>
      <w:ind w:left="1620" w:hanging="360"/>
    </w:pPr>
    <w:rPr>
      <w:sz w:val="21"/>
    </w:rPr>
  </w:style>
  <w:style w:type="paragraph" w:styleId="49">
    <w:name w:val="toc 8"/>
    <w:basedOn w:val="1"/>
    <w:next w:val="1"/>
    <w:qFormat/>
    <w:uiPriority w:val="0"/>
    <w:pPr>
      <w:ind w:left="1960"/>
      <w:jc w:val="left"/>
    </w:pPr>
    <w:rPr>
      <w:sz w:val="18"/>
    </w:rPr>
  </w:style>
  <w:style w:type="paragraph" w:styleId="50">
    <w:name w:val="index 3"/>
    <w:basedOn w:val="1"/>
    <w:next w:val="1"/>
    <w:qFormat/>
    <w:uiPriority w:val="0"/>
    <w:pPr>
      <w:ind w:left="400" w:leftChars="400"/>
    </w:pPr>
    <w:rPr>
      <w:sz w:val="21"/>
    </w:rPr>
  </w:style>
  <w:style w:type="paragraph" w:styleId="51">
    <w:name w:val="Date"/>
    <w:basedOn w:val="1"/>
    <w:next w:val="1"/>
    <w:link w:val="329"/>
    <w:qFormat/>
    <w:uiPriority w:val="0"/>
    <w:pPr>
      <w:adjustRightInd w:val="0"/>
      <w:jc w:val="right"/>
      <w:textAlignment w:val="baseline"/>
    </w:pPr>
    <w:rPr>
      <w:rFonts w:eastAsia="仿宋_GB2312" w:asciiTheme="minorHAnsi" w:hAnsiTheme="minorHAnsi" w:cstheme="minorBidi"/>
      <w:b/>
      <w:szCs w:val="22"/>
    </w:rPr>
  </w:style>
  <w:style w:type="paragraph" w:styleId="52">
    <w:name w:val="Body Text Indent 2"/>
    <w:basedOn w:val="1"/>
    <w:link w:val="333"/>
    <w:qFormat/>
    <w:uiPriority w:val="0"/>
    <w:pPr>
      <w:spacing w:line="520" w:lineRule="exact"/>
      <w:ind w:firstLine="848" w:firstLineChars="303"/>
    </w:pPr>
    <w:rPr>
      <w:rFonts w:ascii="黑体" w:eastAsia="黑体" w:hAnsiTheme="minorHAnsi" w:cstheme="minorBidi"/>
      <w:szCs w:val="22"/>
    </w:rPr>
  </w:style>
  <w:style w:type="paragraph" w:styleId="53">
    <w:name w:val="endnote text"/>
    <w:basedOn w:val="1"/>
    <w:link w:val="325"/>
    <w:qFormat/>
    <w:uiPriority w:val="0"/>
    <w:pPr>
      <w:snapToGrid w:val="0"/>
    </w:pPr>
    <w:rPr>
      <w:rFonts w:asciiTheme="minorHAnsi" w:hAnsiTheme="minorHAnsi" w:eastAsiaTheme="minorEastAsia" w:cstheme="minorBidi"/>
      <w:sz w:val="21"/>
      <w:szCs w:val="22"/>
    </w:rPr>
  </w:style>
  <w:style w:type="paragraph" w:styleId="54">
    <w:name w:val="List Continue 5"/>
    <w:basedOn w:val="1"/>
    <w:qFormat/>
    <w:uiPriority w:val="0"/>
    <w:pPr>
      <w:spacing w:after="120"/>
      <w:ind w:left="2100" w:leftChars="1000"/>
    </w:pPr>
    <w:rPr>
      <w:sz w:val="21"/>
    </w:rPr>
  </w:style>
  <w:style w:type="paragraph" w:styleId="55">
    <w:name w:val="Balloon Text"/>
    <w:basedOn w:val="1"/>
    <w:link w:val="341"/>
    <w:qFormat/>
    <w:uiPriority w:val="99"/>
    <w:rPr>
      <w:rFonts w:asciiTheme="minorHAnsi" w:hAnsiTheme="minorHAnsi" w:eastAsiaTheme="minorEastAsia" w:cstheme="minorBidi"/>
      <w:sz w:val="18"/>
      <w:szCs w:val="22"/>
    </w:rPr>
  </w:style>
  <w:style w:type="paragraph" w:styleId="56">
    <w:name w:val="footer"/>
    <w:basedOn w:val="1"/>
    <w:link w:val="105"/>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pPr>
    <w:rPr>
      <w:rFonts w:ascii="Arial" w:hAnsi="Arial"/>
      <w:sz w:val="21"/>
    </w:rPr>
  </w:style>
  <w:style w:type="paragraph" w:styleId="58">
    <w:name w:val="header"/>
    <w:basedOn w:val="1"/>
    <w:link w:val="104"/>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345"/>
    <w:qFormat/>
    <w:uiPriority w:val="0"/>
    <w:pPr>
      <w:ind w:left="100" w:leftChars="2100"/>
    </w:pPr>
    <w:rPr>
      <w:rFonts w:asciiTheme="minorHAnsi" w:hAnsiTheme="minorHAnsi" w:eastAsiaTheme="minorEastAsia" w:cstheme="minorBidi"/>
      <w:sz w:val="21"/>
      <w:szCs w:val="22"/>
    </w:rPr>
  </w:style>
  <w:style w:type="paragraph" w:styleId="60">
    <w:name w:val="toc 1"/>
    <w:basedOn w:val="1"/>
    <w:next w:val="1"/>
    <w:qFormat/>
    <w:uiPriority w:val="39"/>
    <w:pPr>
      <w:tabs>
        <w:tab w:val="right" w:leader="dot" w:pos="8364"/>
      </w:tabs>
      <w:spacing w:before="120" w:after="120" w:line="360" w:lineRule="auto"/>
      <w:jc w:val="left"/>
    </w:pPr>
    <w:rPr>
      <w:b/>
      <w:caps/>
      <w:sz w:val="20"/>
    </w:rPr>
  </w:style>
  <w:style w:type="paragraph" w:styleId="61">
    <w:name w:val="List Continue 4"/>
    <w:basedOn w:val="1"/>
    <w:qFormat/>
    <w:uiPriority w:val="0"/>
    <w:pPr>
      <w:spacing w:after="120"/>
      <w:ind w:left="1680" w:leftChars="800"/>
    </w:pPr>
    <w:rPr>
      <w:sz w:val="21"/>
    </w:rPr>
  </w:style>
  <w:style w:type="paragraph" w:styleId="62">
    <w:name w:val="toc 4"/>
    <w:basedOn w:val="1"/>
    <w:next w:val="1"/>
    <w:qFormat/>
    <w:uiPriority w:val="0"/>
    <w:pPr>
      <w:ind w:left="840"/>
      <w:jc w:val="left"/>
    </w:pPr>
    <w:rPr>
      <w:sz w:val="18"/>
    </w:rPr>
  </w:style>
  <w:style w:type="paragraph" w:styleId="63">
    <w:name w:val="index heading"/>
    <w:basedOn w:val="1"/>
    <w:next w:val="64"/>
    <w:qFormat/>
    <w:uiPriority w:val="0"/>
    <w:rPr>
      <w:rFonts w:ascii="Arial" w:hAnsi="Arial"/>
      <w:b/>
      <w:sz w:val="21"/>
    </w:rPr>
  </w:style>
  <w:style w:type="paragraph" w:styleId="64">
    <w:name w:val="index 1"/>
    <w:basedOn w:val="1"/>
    <w:next w:val="1"/>
    <w:unhideWhenUsed/>
    <w:qFormat/>
    <w:uiPriority w:val="0"/>
  </w:style>
  <w:style w:type="paragraph" w:styleId="65">
    <w:name w:val="Subtitle"/>
    <w:basedOn w:val="1"/>
    <w:next w:val="1"/>
    <w:link w:val="347"/>
    <w:qFormat/>
    <w:uiPriority w:val="0"/>
    <w:pPr>
      <w:spacing w:before="240" w:after="60" w:line="312" w:lineRule="auto"/>
      <w:jc w:val="center"/>
      <w:outlineLvl w:val="1"/>
    </w:pPr>
    <w:rPr>
      <w:rFonts w:ascii="Cambria" w:hAnsi="Cambria" w:eastAsiaTheme="minorEastAsia" w:cstheme="minorBidi"/>
      <w:b/>
      <w:kern w:val="28"/>
      <w:sz w:val="32"/>
      <w:szCs w:val="22"/>
    </w:rPr>
  </w:style>
  <w:style w:type="paragraph" w:styleId="66">
    <w:name w:val="List Number 5"/>
    <w:basedOn w:val="1"/>
    <w:qFormat/>
    <w:uiPriority w:val="0"/>
    <w:pPr>
      <w:tabs>
        <w:tab w:val="left" w:pos="2040"/>
      </w:tabs>
      <w:ind w:left="2040" w:hanging="360"/>
    </w:pPr>
    <w:rPr>
      <w:sz w:val="21"/>
    </w:rPr>
  </w:style>
  <w:style w:type="paragraph" w:styleId="67">
    <w:name w:val="List"/>
    <w:basedOn w:val="1"/>
    <w:qFormat/>
    <w:uiPriority w:val="0"/>
    <w:pPr>
      <w:ind w:left="200" w:hanging="200" w:hangingChars="200"/>
    </w:pPr>
    <w:rPr>
      <w:sz w:val="21"/>
    </w:rPr>
  </w:style>
  <w:style w:type="paragraph" w:styleId="68">
    <w:name w:val="footnote text"/>
    <w:basedOn w:val="1"/>
    <w:link w:val="348"/>
    <w:qFormat/>
    <w:uiPriority w:val="0"/>
    <w:pPr>
      <w:snapToGrid w:val="0"/>
      <w:jc w:val="left"/>
    </w:pPr>
    <w:rPr>
      <w:rFonts w:asciiTheme="minorHAnsi" w:hAnsiTheme="minorHAnsi" w:eastAsiaTheme="minorEastAsia" w:cstheme="minorBidi"/>
      <w:sz w:val="18"/>
      <w:szCs w:val="22"/>
    </w:rPr>
  </w:style>
  <w:style w:type="paragraph" w:styleId="69">
    <w:name w:val="toc 6"/>
    <w:basedOn w:val="1"/>
    <w:next w:val="1"/>
    <w:qFormat/>
    <w:uiPriority w:val="0"/>
    <w:pPr>
      <w:ind w:left="1400"/>
      <w:jc w:val="left"/>
    </w:pPr>
    <w:rPr>
      <w:sz w:val="18"/>
    </w:rPr>
  </w:style>
  <w:style w:type="paragraph" w:styleId="70">
    <w:name w:val="List 5"/>
    <w:basedOn w:val="1"/>
    <w:qFormat/>
    <w:uiPriority w:val="0"/>
    <w:pPr>
      <w:ind w:left="100" w:leftChars="800" w:hanging="200" w:hangingChars="200"/>
    </w:pPr>
    <w:rPr>
      <w:sz w:val="21"/>
    </w:rPr>
  </w:style>
  <w:style w:type="paragraph" w:styleId="71">
    <w:name w:val="Body Text Indent 3"/>
    <w:basedOn w:val="1"/>
    <w:link w:val="344"/>
    <w:qFormat/>
    <w:uiPriority w:val="0"/>
    <w:pPr>
      <w:spacing w:line="520" w:lineRule="exact"/>
      <w:ind w:firstLine="547"/>
    </w:pPr>
    <w:rPr>
      <w:rFonts w:asciiTheme="minorHAnsi" w:hAnsiTheme="minorHAnsi" w:eastAsiaTheme="minorEastAsia" w:cstheme="minorBidi"/>
      <w:szCs w:val="22"/>
    </w:rPr>
  </w:style>
  <w:style w:type="paragraph" w:styleId="72">
    <w:name w:val="index 7"/>
    <w:basedOn w:val="1"/>
    <w:next w:val="1"/>
    <w:qFormat/>
    <w:uiPriority w:val="0"/>
    <w:pPr>
      <w:ind w:left="1200" w:leftChars="1200"/>
    </w:pPr>
    <w:rPr>
      <w:sz w:val="21"/>
    </w:rPr>
  </w:style>
  <w:style w:type="paragraph" w:styleId="73">
    <w:name w:val="index 9"/>
    <w:basedOn w:val="1"/>
    <w:next w:val="1"/>
    <w:qFormat/>
    <w:uiPriority w:val="0"/>
    <w:pPr>
      <w:ind w:left="1600" w:leftChars="1600"/>
    </w:pPr>
    <w:rPr>
      <w:sz w:val="21"/>
    </w:rPr>
  </w:style>
  <w:style w:type="paragraph" w:styleId="74">
    <w:name w:val="table of figures"/>
    <w:basedOn w:val="1"/>
    <w:next w:val="1"/>
    <w:qFormat/>
    <w:uiPriority w:val="0"/>
    <w:pPr>
      <w:ind w:left="560" w:hanging="560"/>
      <w:jc w:val="left"/>
    </w:pPr>
    <w:rPr>
      <w:smallCaps/>
      <w:sz w:val="20"/>
    </w:rPr>
  </w:style>
  <w:style w:type="paragraph" w:styleId="75">
    <w:name w:val="toc 2"/>
    <w:basedOn w:val="1"/>
    <w:next w:val="1"/>
    <w:qFormat/>
    <w:uiPriority w:val="39"/>
    <w:pPr>
      <w:tabs>
        <w:tab w:val="right" w:leader="dot" w:pos="8364"/>
      </w:tabs>
      <w:spacing w:line="360" w:lineRule="auto"/>
      <w:ind w:left="280"/>
      <w:jc w:val="left"/>
    </w:pPr>
    <w:rPr>
      <w:rFonts w:ascii="仿宋" w:hAnsi="仿宋" w:eastAsia="仿宋"/>
      <w:b/>
      <w:smallCaps/>
      <w:sz w:val="24"/>
    </w:rPr>
  </w:style>
  <w:style w:type="paragraph" w:styleId="76">
    <w:name w:val="toc 9"/>
    <w:basedOn w:val="1"/>
    <w:next w:val="1"/>
    <w:qFormat/>
    <w:uiPriority w:val="0"/>
    <w:pPr>
      <w:ind w:left="2240"/>
      <w:jc w:val="left"/>
    </w:pPr>
    <w:rPr>
      <w:sz w:val="18"/>
    </w:rPr>
  </w:style>
  <w:style w:type="paragraph" w:styleId="77">
    <w:name w:val="Body Text 2"/>
    <w:basedOn w:val="1"/>
    <w:link w:val="327"/>
    <w:qFormat/>
    <w:uiPriority w:val="0"/>
    <w:pPr>
      <w:spacing w:after="120" w:line="480" w:lineRule="auto"/>
    </w:pPr>
    <w:rPr>
      <w:rFonts w:asciiTheme="minorHAnsi" w:hAnsiTheme="minorHAnsi" w:eastAsiaTheme="minorEastAsia" w:cstheme="minorBidi"/>
      <w:sz w:val="21"/>
      <w:szCs w:val="22"/>
    </w:rPr>
  </w:style>
  <w:style w:type="paragraph" w:styleId="78">
    <w:name w:val="List 4"/>
    <w:basedOn w:val="1"/>
    <w:qFormat/>
    <w:uiPriority w:val="0"/>
    <w:pPr>
      <w:ind w:left="100" w:leftChars="600" w:hanging="200" w:hangingChars="200"/>
    </w:pPr>
    <w:rPr>
      <w:sz w:val="21"/>
    </w:rPr>
  </w:style>
  <w:style w:type="paragraph" w:styleId="79">
    <w:name w:val="List Continue 2"/>
    <w:basedOn w:val="1"/>
    <w:qFormat/>
    <w:uiPriority w:val="0"/>
    <w:pPr>
      <w:spacing w:after="120"/>
      <w:ind w:left="840" w:leftChars="400"/>
    </w:pPr>
    <w:rPr>
      <w:sz w:val="21"/>
    </w:rPr>
  </w:style>
  <w:style w:type="paragraph" w:styleId="80">
    <w:name w:val="Message Header"/>
    <w:basedOn w:val="1"/>
    <w:link w:val="34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Theme="minorEastAsia" w:cstheme="minorBidi"/>
      <w:sz w:val="24"/>
      <w:szCs w:val="22"/>
      <w:shd w:val="pct20" w:color="auto" w:fill="auto"/>
    </w:rPr>
  </w:style>
  <w:style w:type="paragraph" w:styleId="81">
    <w:name w:val="HTML Preformatted"/>
    <w:basedOn w:val="1"/>
    <w:link w:val="3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heme="minorBidi"/>
      <w:sz w:val="21"/>
      <w:szCs w:val="22"/>
    </w:rPr>
  </w:style>
  <w:style w:type="paragraph" w:styleId="82">
    <w:name w:val="Normal (Web)"/>
    <w:basedOn w:val="1"/>
    <w:qFormat/>
    <w:uiPriority w:val="99"/>
    <w:pPr>
      <w:widowControl/>
      <w:spacing w:before="100" w:beforeAutospacing="1" w:after="100" w:afterAutospacing="1"/>
      <w:jc w:val="left"/>
    </w:pPr>
    <w:rPr>
      <w:rFonts w:ascii="宋体" w:hAnsi="宋体"/>
      <w:kern w:val="0"/>
      <w:sz w:val="24"/>
    </w:rPr>
  </w:style>
  <w:style w:type="paragraph" w:styleId="83">
    <w:name w:val="List Continue 3"/>
    <w:basedOn w:val="1"/>
    <w:qFormat/>
    <w:uiPriority w:val="0"/>
    <w:pPr>
      <w:spacing w:after="120"/>
      <w:ind w:left="1260" w:leftChars="600"/>
    </w:pPr>
    <w:rPr>
      <w:sz w:val="21"/>
    </w:rPr>
  </w:style>
  <w:style w:type="paragraph" w:styleId="84">
    <w:name w:val="index 2"/>
    <w:basedOn w:val="1"/>
    <w:next w:val="1"/>
    <w:qFormat/>
    <w:uiPriority w:val="0"/>
    <w:pPr>
      <w:ind w:left="200" w:leftChars="200"/>
    </w:pPr>
    <w:rPr>
      <w:sz w:val="21"/>
    </w:rPr>
  </w:style>
  <w:style w:type="paragraph" w:styleId="85">
    <w:name w:val="Title"/>
    <w:basedOn w:val="1"/>
    <w:link w:val="340"/>
    <w:qFormat/>
    <w:uiPriority w:val="0"/>
    <w:pPr>
      <w:widowControl/>
      <w:overflowPunct w:val="0"/>
      <w:autoSpaceDE w:val="0"/>
      <w:autoSpaceDN w:val="0"/>
      <w:adjustRightInd w:val="0"/>
      <w:jc w:val="center"/>
      <w:textAlignment w:val="baseline"/>
    </w:pPr>
    <w:rPr>
      <w:rFonts w:asciiTheme="minorHAnsi" w:hAnsiTheme="minorHAnsi" w:eastAsiaTheme="minorEastAsia" w:cstheme="minorBidi"/>
      <w:b/>
      <w:sz w:val="24"/>
      <w:szCs w:val="22"/>
      <w:lang w:val="en-GB"/>
    </w:rPr>
  </w:style>
  <w:style w:type="paragraph" w:styleId="86">
    <w:name w:val="annotation subject"/>
    <w:basedOn w:val="28"/>
    <w:next w:val="28"/>
    <w:link w:val="351"/>
    <w:qFormat/>
    <w:uiPriority w:val="0"/>
    <w:rPr>
      <w:rFonts w:asciiTheme="minorHAnsi" w:hAnsiTheme="minorHAnsi" w:eastAsiaTheme="minorEastAsia" w:cstheme="minorBidi"/>
      <w:b/>
      <w:sz w:val="21"/>
      <w:szCs w:val="22"/>
    </w:rPr>
  </w:style>
  <w:style w:type="paragraph" w:styleId="87">
    <w:name w:val="Body Text First Indent"/>
    <w:basedOn w:val="34"/>
    <w:next w:val="1"/>
    <w:link w:val="338"/>
    <w:qFormat/>
    <w:uiPriority w:val="0"/>
    <w:pPr>
      <w:ind w:firstLine="420" w:firstLineChars="100"/>
    </w:pPr>
    <w:rPr>
      <w:rFonts w:ascii="等线" w:hAnsi="等线" w:eastAsia="等线" w:cstheme="minorBidi"/>
      <w:sz w:val="21"/>
      <w:szCs w:val="22"/>
    </w:rPr>
  </w:style>
  <w:style w:type="table" w:styleId="89">
    <w:name w:val="Table Grid"/>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1">
    <w:name w:val="Strong"/>
    <w:qFormat/>
    <w:uiPriority w:val="22"/>
    <w:rPr>
      <w:b/>
    </w:rPr>
  </w:style>
  <w:style w:type="character" w:styleId="92">
    <w:name w:val="endnote reference"/>
    <w:qFormat/>
    <w:uiPriority w:val="0"/>
    <w:rPr>
      <w:vertAlign w:val="superscript"/>
    </w:rPr>
  </w:style>
  <w:style w:type="character" w:styleId="93">
    <w:name w:val="page number"/>
    <w:basedOn w:val="90"/>
    <w:qFormat/>
    <w:uiPriority w:val="0"/>
  </w:style>
  <w:style w:type="character" w:styleId="94">
    <w:name w:val="FollowedHyperlink"/>
    <w:qFormat/>
    <w:uiPriority w:val="0"/>
    <w:rPr>
      <w:color w:val="800080"/>
      <w:u w:val="single"/>
    </w:rPr>
  </w:style>
  <w:style w:type="character" w:styleId="95">
    <w:name w:val="Emphasis"/>
    <w:qFormat/>
    <w:uiPriority w:val="0"/>
    <w:rPr>
      <w:color w:val="CC0000"/>
    </w:rPr>
  </w:style>
  <w:style w:type="character" w:styleId="96">
    <w:name w:val="Hyperlink"/>
    <w:qFormat/>
    <w:uiPriority w:val="99"/>
    <w:rPr>
      <w:color w:val="0000FF"/>
      <w:u w:val="single"/>
    </w:rPr>
  </w:style>
  <w:style w:type="character" w:styleId="97">
    <w:name w:val="annotation reference"/>
    <w:qFormat/>
    <w:uiPriority w:val="0"/>
    <w:rPr>
      <w:sz w:val="21"/>
    </w:rPr>
  </w:style>
  <w:style w:type="character" w:styleId="98">
    <w:name w:val="footnote reference"/>
    <w:qFormat/>
    <w:uiPriority w:val="0"/>
    <w:rPr>
      <w:vertAlign w:val="superscript"/>
    </w:rPr>
  </w:style>
  <w:style w:type="character" w:customStyle="1" w:styleId="99">
    <w:name w:val="标题 3 字符"/>
    <w:qFormat/>
    <w:uiPriority w:val="0"/>
    <w:rPr>
      <w:rFonts w:ascii="Times New Roman" w:hAnsi="Times New Roman" w:eastAsia="宋体"/>
      <w:b/>
      <w:kern w:val="2"/>
      <w:sz w:val="32"/>
    </w:rPr>
  </w:style>
  <w:style w:type="paragraph" w:styleId="100">
    <w:name w:val="No Spacing"/>
    <w:qFormat/>
    <w:uiPriority w:val="0"/>
    <w:rPr>
      <w:rFonts w:ascii="Calibri" w:hAnsi="Calibri" w:eastAsia="宋体" w:cs="Times New Roman"/>
      <w:sz w:val="22"/>
      <w:szCs w:val="22"/>
      <w:lang w:val="en-US" w:eastAsia="en-US" w:bidi="en-US"/>
    </w:rPr>
  </w:style>
  <w:style w:type="paragraph" w:customStyle="1" w:styleId="101">
    <w:name w:val="表格文字"/>
    <w:basedOn w:val="1"/>
    <w:next w:val="34"/>
    <w:qFormat/>
    <w:uiPriority w:val="0"/>
    <w:pPr>
      <w:adjustRightInd w:val="0"/>
      <w:spacing w:line="420" w:lineRule="atLeast"/>
      <w:textAlignment w:val="baseline"/>
    </w:pPr>
    <w:rPr>
      <w:kern w:val="0"/>
      <w:sz w:val="21"/>
    </w:rPr>
  </w:style>
  <w:style w:type="paragraph" w:customStyle="1" w:styleId="102">
    <w:name w:val="正"/>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customStyle="1" w:styleId="103">
    <w:name w:val="样式1"/>
    <w:basedOn w:val="2"/>
    <w:next w:val="1"/>
    <w:link w:val="151"/>
    <w:qFormat/>
    <w:uiPriority w:val="0"/>
    <w:pPr>
      <w:tabs>
        <w:tab w:val="left" w:pos="-839"/>
      </w:tabs>
      <w:ind w:left="1320" w:hanging="1320"/>
    </w:pPr>
    <w:rPr>
      <w:rFonts w:hAnsiTheme="minorHAnsi" w:eastAsiaTheme="minorEastAsia" w:cstheme="minorBidi"/>
      <w:kern w:val="2"/>
      <w:szCs w:val="22"/>
    </w:rPr>
  </w:style>
  <w:style w:type="character" w:customStyle="1" w:styleId="104">
    <w:name w:val="页眉 字符1"/>
    <w:basedOn w:val="90"/>
    <w:link w:val="58"/>
    <w:qFormat/>
    <w:uiPriority w:val="99"/>
    <w:rPr>
      <w:sz w:val="18"/>
      <w:szCs w:val="18"/>
    </w:rPr>
  </w:style>
  <w:style w:type="character" w:customStyle="1" w:styleId="105">
    <w:name w:val="页脚 字符1"/>
    <w:basedOn w:val="90"/>
    <w:link w:val="56"/>
    <w:qFormat/>
    <w:uiPriority w:val="99"/>
    <w:rPr>
      <w:sz w:val="18"/>
      <w:szCs w:val="18"/>
    </w:rPr>
  </w:style>
  <w:style w:type="character" w:customStyle="1" w:styleId="106">
    <w:name w:val="标题 1 字符"/>
    <w:basedOn w:val="90"/>
    <w:link w:val="2"/>
    <w:qFormat/>
    <w:uiPriority w:val="9"/>
    <w:rPr>
      <w:rFonts w:ascii="黑体" w:hAnsi="Calibri" w:eastAsia="宋体" w:cs="Times New Roman"/>
      <w:b/>
      <w:kern w:val="0"/>
      <w:sz w:val="32"/>
      <w:szCs w:val="20"/>
    </w:rPr>
  </w:style>
  <w:style w:type="character" w:customStyle="1" w:styleId="107">
    <w:name w:val="标题 2 Char"/>
    <w:basedOn w:val="90"/>
    <w:qFormat/>
    <w:uiPriority w:val="0"/>
    <w:rPr>
      <w:rFonts w:asciiTheme="majorHAnsi" w:hAnsiTheme="majorHAnsi" w:eastAsiaTheme="majorEastAsia" w:cstheme="majorBidi"/>
      <w:b/>
      <w:bCs/>
      <w:sz w:val="32"/>
      <w:szCs w:val="32"/>
    </w:rPr>
  </w:style>
  <w:style w:type="character" w:customStyle="1" w:styleId="108">
    <w:name w:val="标题 3 字符1"/>
    <w:basedOn w:val="90"/>
    <w:link w:val="5"/>
    <w:qFormat/>
    <w:uiPriority w:val="0"/>
    <w:rPr>
      <w:rFonts w:ascii="Calibri" w:hAnsi="Calibri" w:eastAsia="宋体" w:cs="Times New Roman"/>
      <w:b/>
      <w:kern w:val="0"/>
      <w:sz w:val="32"/>
      <w:szCs w:val="20"/>
    </w:rPr>
  </w:style>
  <w:style w:type="character" w:customStyle="1" w:styleId="109">
    <w:name w:val="标题 4 字符1"/>
    <w:basedOn w:val="90"/>
    <w:link w:val="6"/>
    <w:qFormat/>
    <w:uiPriority w:val="0"/>
    <w:rPr>
      <w:rFonts w:ascii="Arial" w:hAnsi="Arial" w:eastAsia="黑体" w:cs="Times New Roman"/>
      <w:b/>
      <w:sz w:val="28"/>
      <w:szCs w:val="20"/>
    </w:rPr>
  </w:style>
  <w:style w:type="character" w:customStyle="1" w:styleId="110">
    <w:name w:val="标题 5 字符1"/>
    <w:basedOn w:val="90"/>
    <w:link w:val="8"/>
    <w:qFormat/>
    <w:uiPriority w:val="0"/>
    <w:rPr>
      <w:rFonts w:ascii="Calibri" w:hAnsi="Calibri" w:eastAsia="宋体" w:cs="Times New Roman"/>
      <w:b/>
      <w:sz w:val="28"/>
      <w:szCs w:val="20"/>
    </w:rPr>
  </w:style>
  <w:style w:type="character" w:customStyle="1" w:styleId="111">
    <w:name w:val="标题 6 字符1"/>
    <w:basedOn w:val="90"/>
    <w:link w:val="9"/>
    <w:qFormat/>
    <w:uiPriority w:val="0"/>
    <w:rPr>
      <w:rFonts w:ascii="Arial" w:hAnsi="Arial" w:eastAsia="黑体" w:cs="Times New Roman"/>
      <w:b/>
      <w:kern w:val="0"/>
      <w:sz w:val="24"/>
      <w:szCs w:val="20"/>
    </w:rPr>
  </w:style>
  <w:style w:type="character" w:customStyle="1" w:styleId="112">
    <w:name w:val="标题 7 字符1"/>
    <w:basedOn w:val="90"/>
    <w:link w:val="10"/>
    <w:qFormat/>
    <w:uiPriority w:val="0"/>
    <w:rPr>
      <w:rFonts w:ascii="Calibri" w:hAnsi="Calibri" w:eastAsia="宋体" w:cs="Times New Roman"/>
      <w:b/>
      <w:kern w:val="0"/>
      <w:sz w:val="24"/>
      <w:szCs w:val="20"/>
    </w:rPr>
  </w:style>
  <w:style w:type="character" w:customStyle="1" w:styleId="113">
    <w:name w:val="标题 8 字符1"/>
    <w:basedOn w:val="90"/>
    <w:link w:val="11"/>
    <w:qFormat/>
    <w:uiPriority w:val="0"/>
    <w:rPr>
      <w:rFonts w:ascii="Arial" w:hAnsi="Arial" w:eastAsia="黑体" w:cs="Times New Roman"/>
      <w:kern w:val="0"/>
      <w:sz w:val="24"/>
      <w:szCs w:val="20"/>
    </w:rPr>
  </w:style>
  <w:style w:type="character" w:customStyle="1" w:styleId="114">
    <w:name w:val="标题 9 字符1"/>
    <w:basedOn w:val="90"/>
    <w:link w:val="12"/>
    <w:qFormat/>
    <w:uiPriority w:val="0"/>
    <w:rPr>
      <w:rFonts w:ascii="Arial" w:hAnsi="Arial" w:eastAsia="黑体" w:cs="Times New Roman"/>
      <w:kern w:val="0"/>
      <w:szCs w:val="20"/>
    </w:rPr>
  </w:style>
  <w:style w:type="character" w:customStyle="1" w:styleId="115">
    <w:name w:val="正文文本缩进 字符1"/>
    <w:basedOn w:val="90"/>
    <w:link w:val="35"/>
    <w:qFormat/>
    <w:uiPriority w:val="0"/>
    <w:rPr>
      <w:rFonts w:ascii="Calibri" w:hAnsi="Calibri" w:eastAsia="宋体" w:cs="Times New Roman"/>
      <w:sz w:val="28"/>
      <w:szCs w:val="20"/>
    </w:rPr>
  </w:style>
  <w:style w:type="character" w:customStyle="1" w:styleId="116">
    <w:name w:val="正文首行缩进 2 Char"/>
    <w:basedOn w:val="115"/>
    <w:qFormat/>
    <w:uiPriority w:val="0"/>
    <w:rPr>
      <w:rFonts w:ascii="Calibri" w:hAnsi="Calibri" w:eastAsia="宋体" w:cs="Times New Roman"/>
      <w:sz w:val="28"/>
      <w:szCs w:val="20"/>
    </w:rPr>
  </w:style>
  <w:style w:type="character" w:customStyle="1" w:styleId="117">
    <w:name w:val="正文文本 字符1"/>
    <w:basedOn w:val="90"/>
    <w:link w:val="34"/>
    <w:qFormat/>
    <w:uiPriority w:val="0"/>
    <w:rPr>
      <w:rFonts w:ascii="Calibri" w:hAnsi="Calibri" w:eastAsia="宋体" w:cs="Times New Roman"/>
      <w:sz w:val="28"/>
      <w:szCs w:val="20"/>
    </w:rPr>
  </w:style>
  <w:style w:type="character" w:customStyle="1" w:styleId="118">
    <w:name w:val="正文首行缩进 Char"/>
    <w:basedOn w:val="117"/>
    <w:link w:val="119"/>
    <w:qFormat/>
    <w:uiPriority w:val="0"/>
    <w:rPr>
      <w:rFonts w:ascii="Calibri" w:hAnsi="Calibri" w:eastAsia="宋体" w:cs="Times New Roman"/>
      <w:sz w:val="28"/>
      <w:szCs w:val="20"/>
    </w:rPr>
  </w:style>
  <w:style w:type="paragraph" w:customStyle="1" w:styleId="119">
    <w:name w:val="正文首行缩进1"/>
    <w:basedOn w:val="34"/>
    <w:link w:val="118"/>
    <w:qFormat/>
    <w:uiPriority w:val="0"/>
    <w:pPr>
      <w:spacing w:after="0"/>
      <w:ind w:firstLine="420" w:firstLineChars="100"/>
    </w:pPr>
  </w:style>
  <w:style w:type="character" w:customStyle="1" w:styleId="120">
    <w:name w:val="标题 Char"/>
    <w:basedOn w:val="90"/>
    <w:qFormat/>
    <w:uiPriority w:val="0"/>
    <w:rPr>
      <w:rFonts w:eastAsia="宋体" w:asciiTheme="majorHAnsi" w:hAnsiTheme="majorHAnsi" w:cstheme="majorBidi"/>
      <w:b/>
      <w:bCs/>
      <w:sz w:val="32"/>
      <w:szCs w:val="32"/>
    </w:rPr>
  </w:style>
  <w:style w:type="character" w:customStyle="1" w:styleId="121">
    <w:name w:val="批注文字 字符1"/>
    <w:basedOn w:val="90"/>
    <w:link w:val="28"/>
    <w:qFormat/>
    <w:uiPriority w:val="0"/>
    <w:rPr>
      <w:rFonts w:ascii="Calibri" w:hAnsi="Calibri" w:eastAsia="宋体" w:cs="Times New Roman"/>
      <w:sz w:val="28"/>
      <w:szCs w:val="20"/>
    </w:rPr>
  </w:style>
  <w:style w:type="character" w:customStyle="1" w:styleId="122">
    <w:name w:val="批注主题 Char"/>
    <w:basedOn w:val="121"/>
    <w:link w:val="123"/>
    <w:qFormat/>
    <w:uiPriority w:val="0"/>
    <w:rPr>
      <w:rFonts w:ascii="Calibri" w:hAnsi="Calibri" w:eastAsia="宋体" w:cs="Times New Roman"/>
      <w:b/>
      <w:bCs/>
      <w:sz w:val="28"/>
      <w:szCs w:val="20"/>
    </w:rPr>
  </w:style>
  <w:style w:type="paragraph" w:customStyle="1" w:styleId="123">
    <w:name w:val="批注主题1"/>
    <w:basedOn w:val="28"/>
    <w:next w:val="28"/>
    <w:link w:val="122"/>
    <w:qFormat/>
    <w:uiPriority w:val="0"/>
    <w:rPr>
      <w:b/>
      <w:bCs/>
    </w:rPr>
  </w:style>
  <w:style w:type="character" w:customStyle="1" w:styleId="124">
    <w:name w:val="宏文本 Char"/>
    <w:basedOn w:val="90"/>
    <w:qFormat/>
    <w:uiPriority w:val="0"/>
    <w:rPr>
      <w:rFonts w:ascii="Courier New" w:hAnsi="Courier New" w:eastAsia="宋体" w:cs="Courier New"/>
      <w:sz w:val="24"/>
      <w:szCs w:val="24"/>
    </w:rPr>
  </w:style>
  <w:style w:type="character" w:customStyle="1" w:styleId="125">
    <w:name w:val="注释标题 Char"/>
    <w:basedOn w:val="90"/>
    <w:qFormat/>
    <w:uiPriority w:val="0"/>
    <w:rPr>
      <w:rFonts w:ascii="Calibri" w:hAnsi="Calibri" w:eastAsia="宋体" w:cs="Times New Roman"/>
      <w:sz w:val="28"/>
      <w:szCs w:val="20"/>
    </w:rPr>
  </w:style>
  <w:style w:type="character" w:customStyle="1" w:styleId="126">
    <w:name w:val="电子邮件签名 Char"/>
    <w:basedOn w:val="90"/>
    <w:qFormat/>
    <w:uiPriority w:val="0"/>
    <w:rPr>
      <w:rFonts w:ascii="Calibri" w:hAnsi="Calibri" w:eastAsia="宋体" w:cs="Times New Roman"/>
      <w:sz w:val="28"/>
      <w:szCs w:val="20"/>
    </w:rPr>
  </w:style>
  <w:style w:type="character" w:customStyle="1" w:styleId="127">
    <w:name w:val="文档结构图 Char"/>
    <w:basedOn w:val="90"/>
    <w:qFormat/>
    <w:uiPriority w:val="0"/>
    <w:rPr>
      <w:rFonts w:ascii="宋体" w:hAnsi="Calibri" w:eastAsia="宋体" w:cs="Times New Roman"/>
      <w:sz w:val="18"/>
      <w:szCs w:val="18"/>
    </w:rPr>
  </w:style>
  <w:style w:type="character" w:customStyle="1" w:styleId="128">
    <w:name w:val="称呼 Char"/>
    <w:basedOn w:val="90"/>
    <w:qFormat/>
    <w:uiPriority w:val="0"/>
    <w:rPr>
      <w:rFonts w:ascii="Calibri" w:hAnsi="Calibri" w:eastAsia="宋体" w:cs="Times New Roman"/>
      <w:sz w:val="28"/>
      <w:szCs w:val="20"/>
    </w:rPr>
  </w:style>
  <w:style w:type="character" w:customStyle="1" w:styleId="129">
    <w:name w:val="正文文本 3 Char"/>
    <w:basedOn w:val="90"/>
    <w:qFormat/>
    <w:uiPriority w:val="0"/>
    <w:rPr>
      <w:rFonts w:ascii="Calibri" w:hAnsi="Calibri" w:eastAsia="宋体" w:cs="Times New Roman"/>
      <w:sz w:val="16"/>
      <w:szCs w:val="16"/>
    </w:rPr>
  </w:style>
  <w:style w:type="character" w:customStyle="1" w:styleId="130">
    <w:name w:val="结束语 Char"/>
    <w:basedOn w:val="90"/>
    <w:qFormat/>
    <w:uiPriority w:val="0"/>
    <w:rPr>
      <w:rFonts w:ascii="Calibri" w:hAnsi="Calibri" w:eastAsia="宋体" w:cs="Times New Roman"/>
      <w:sz w:val="28"/>
      <w:szCs w:val="20"/>
    </w:rPr>
  </w:style>
  <w:style w:type="character" w:customStyle="1" w:styleId="131">
    <w:name w:val="HTML 地址 Char"/>
    <w:basedOn w:val="90"/>
    <w:qFormat/>
    <w:uiPriority w:val="0"/>
    <w:rPr>
      <w:rFonts w:ascii="Calibri" w:hAnsi="Calibri" w:eastAsia="宋体" w:cs="Times New Roman"/>
      <w:i/>
      <w:iCs/>
      <w:sz w:val="28"/>
      <w:szCs w:val="20"/>
    </w:rPr>
  </w:style>
  <w:style w:type="character" w:customStyle="1" w:styleId="132">
    <w:name w:val="纯文本 Char"/>
    <w:basedOn w:val="90"/>
    <w:qFormat/>
    <w:uiPriority w:val="0"/>
    <w:rPr>
      <w:rFonts w:ascii="宋体" w:hAnsi="Courier New" w:eastAsia="宋体" w:cs="Courier New"/>
      <w:szCs w:val="21"/>
    </w:rPr>
  </w:style>
  <w:style w:type="character" w:customStyle="1" w:styleId="133">
    <w:name w:val="日期 Char"/>
    <w:basedOn w:val="90"/>
    <w:qFormat/>
    <w:uiPriority w:val="0"/>
    <w:rPr>
      <w:rFonts w:ascii="Calibri" w:hAnsi="Calibri" w:eastAsia="宋体" w:cs="Times New Roman"/>
      <w:sz w:val="28"/>
      <w:szCs w:val="20"/>
    </w:rPr>
  </w:style>
  <w:style w:type="character" w:customStyle="1" w:styleId="134">
    <w:name w:val="正文文本缩进 2 Char"/>
    <w:basedOn w:val="90"/>
    <w:link w:val="135"/>
    <w:qFormat/>
    <w:uiPriority w:val="0"/>
    <w:rPr>
      <w:rFonts w:ascii="Calibri" w:hAnsi="Calibri" w:eastAsia="宋体" w:cs="Times New Roman"/>
      <w:sz w:val="28"/>
      <w:szCs w:val="20"/>
    </w:rPr>
  </w:style>
  <w:style w:type="paragraph" w:customStyle="1" w:styleId="135">
    <w:name w:val="正文文本缩进 22"/>
    <w:basedOn w:val="1"/>
    <w:link w:val="134"/>
    <w:qFormat/>
    <w:uiPriority w:val="0"/>
    <w:pPr>
      <w:adjustRightInd w:val="0"/>
      <w:spacing w:line="400" w:lineRule="atLeast"/>
      <w:ind w:firstLine="540"/>
      <w:textAlignment w:val="baseline"/>
    </w:pPr>
  </w:style>
  <w:style w:type="character" w:customStyle="1" w:styleId="136">
    <w:name w:val="尾注文本 Char"/>
    <w:basedOn w:val="90"/>
    <w:qFormat/>
    <w:uiPriority w:val="0"/>
    <w:rPr>
      <w:rFonts w:ascii="Calibri" w:hAnsi="Calibri" w:eastAsia="宋体" w:cs="Times New Roman"/>
      <w:sz w:val="28"/>
      <w:szCs w:val="20"/>
    </w:rPr>
  </w:style>
  <w:style w:type="character" w:customStyle="1" w:styleId="137">
    <w:name w:val="批注框文本 Char"/>
    <w:basedOn w:val="90"/>
    <w:qFormat/>
    <w:uiPriority w:val="99"/>
    <w:rPr>
      <w:rFonts w:ascii="Calibri" w:hAnsi="Calibri" w:eastAsia="宋体" w:cs="Times New Roman"/>
      <w:sz w:val="18"/>
      <w:szCs w:val="18"/>
    </w:rPr>
  </w:style>
  <w:style w:type="character" w:customStyle="1" w:styleId="138">
    <w:name w:val="签名 Char"/>
    <w:basedOn w:val="90"/>
    <w:qFormat/>
    <w:uiPriority w:val="0"/>
    <w:rPr>
      <w:rFonts w:ascii="Calibri" w:hAnsi="Calibri" w:eastAsia="宋体" w:cs="Times New Roman"/>
      <w:sz w:val="28"/>
      <w:szCs w:val="20"/>
    </w:rPr>
  </w:style>
  <w:style w:type="character" w:customStyle="1" w:styleId="139">
    <w:name w:val="副标题 Char"/>
    <w:basedOn w:val="90"/>
    <w:qFormat/>
    <w:uiPriority w:val="0"/>
    <w:rPr>
      <w:rFonts w:eastAsia="宋体" w:asciiTheme="majorHAnsi" w:hAnsiTheme="majorHAnsi" w:cstheme="majorBidi"/>
      <w:b/>
      <w:bCs/>
      <w:kern w:val="28"/>
      <w:sz w:val="32"/>
      <w:szCs w:val="32"/>
    </w:rPr>
  </w:style>
  <w:style w:type="character" w:customStyle="1" w:styleId="140">
    <w:name w:val="脚注文本 Char"/>
    <w:basedOn w:val="90"/>
    <w:qFormat/>
    <w:uiPriority w:val="0"/>
    <w:rPr>
      <w:rFonts w:ascii="Calibri" w:hAnsi="Calibri" w:eastAsia="宋体" w:cs="Times New Roman"/>
      <w:sz w:val="18"/>
      <w:szCs w:val="18"/>
    </w:rPr>
  </w:style>
  <w:style w:type="character" w:customStyle="1" w:styleId="141">
    <w:name w:val="正文文本缩进 3 Char"/>
    <w:basedOn w:val="90"/>
    <w:link w:val="142"/>
    <w:qFormat/>
    <w:uiPriority w:val="0"/>
    <w:rPr>
      <w:rFonts w:ascii="Calibri" w:hAnsi="Calibri" w:eastAsia="宋体" w:cs="Times New Roman"/>
      <w:sz w:val="16"/>
      <w:szCs w:val="16"/>
    </w:rPr>
  </w:style>
  <w:style w:type="paragraph" w:customStyle="1" w:styleId="142">
    <w:name w:val="正文文本缩进 31"/>
    <w:basedOn w:val="1"/>
    <w:link w:val="141"/>
    <w:qFormat/>
    <w:uiPriority w:val="0"/>
    <w:pPr>
      <w:spacing w:line="360" w:lineRule="auto"/>
      <w:ind w:firstLine="490" w:firstLineChars="204"/>
    </w:pPr>
    <w:rPr>
      <w:sz w:val="16"/>
      <w:szCs w:val="16"/>
    </w:rPr>
  </w:style>
  <w:style w:type="character" w:customStyle="1" w:styleId="143">
    <w:name w:val="正文文本 2 Char"/>
    <w:basedOn w:val="90"/>
    <w:link w:val="144"/>
    <w:qFormat/>
    <w:uiPriority w:val="0"/>
    <w:rPr>
      <w:rFonts w:ascii="Calibri" w:hAnsi="Calibri" w:eastAsia="宋体" w:cs="Times New Roman"/>
      <w:sz w:val="28"/>
      <w:szCs w:val="20"/>
    </w:rPr>
  </w:style>
  <w:style w:type="paragraph" w:customStyle="1" w:styleId="144">
    <w:name w:val="正文文本 22"/>
    <w:basedOn w:val="1"/>
    <w:link w:val="143"/>
    <w:qFormat/>
    <w:uiPriority w:val="0"/>
    <w:pPr>
      <w:adjustRightInd w:val="0"/>
      <w:ind w:firstLine="510"/>
      <w:jc w:val="left"/>
      <w:textAlignment w:val="baseline"/>
    </w:pPr>
  </w:style>
  <w:style w:type="character" w:customStyle="1" w:styleId="145">
    <w:name w:val="信息标题 Char"/>
    <w:basedOn w:val="90"/>
    <w:qFormat/>
    <w:uiPriority w:val="0"/>
    <w:rPr>
      <w:rFonts w:asciiTheme="majorHAnsi" w:hAnsiTheme="majorHAnsi" w:eastAsiaTheme="majorEastAsia" w:cstheme="majorBidi"/>
      <w:sz w:val="24"/>
      <w:szCs w:val="24"/>
      <w:shd w:val="pct20" w:color="auto" w:fill="auto"/>
    </w:rPr>
  </w:style>
  <w:style w:type="character" w:customStyle="1" w:styleId="146">
    <w:name w:val="HTML 预设格式 Char"/>
    <w:basedOn w:val="90"/>
    <w:link w:val="147"/>
    <w:qFormat/>
    <w:uiPriority w:val="0"/>
    <w:rPr>
      <w:rFonts w:ascii="Courier New" w:hAnsi="Courier New" w:eastAsia="宋体" w:cs="Courier New"/>
      <w:sz w:val="20"/>
      <w:szCs w:val="20"/>
    </w:rPr>
  </w:style>
  <w:style w:type="paragraph" w:customStyle="1" w:styleId="147">
    <w:name w:val="HTML 预设格式1"/>
    <w:basedOn w:val="1"/>
    <w:link w:val="146"/>
    <w:qFormat/>
    <w:uiPriority w:val="0"/>
    <w:rPr>
      <w:rFonts w:ascii="Courier New" w:hAnsi="Courier New" w:cs="Courier New"/>
      <w:sz w:val="20"/>
    </w:rPr>
  </w:style>
  <w:style w:type="character" w:customStyle="1" w:styleId="148">
    <w:name w:val="bemq"/>
    <w:qFormat/>
    <w:uiPriority w:val="0"/>
  </w:style>
  <w:style w:type="character" w:customStyle="1" w:styleId="149">
    <w:name w:val="标题 Char3"/>
    <w:qFormat/>
    <w:uiPriority w:val="0"/>
    <w:rPr>
      <w:b/>
      <w:sz w:val="24"/>
      <w:lang w:val="en-GB"/>
    </w:rPr>
  </w:style>
  <w:style w:type="character" w:customStyle="1" w:styleId="150">
    <w:name w:val="HTML 打字机1"/>
    <w:qFormat/>
    <w:uiPriority w:val="0"/>
    <w:rPr>
      <w:rFonts w:ascii="Courier New" w:hAnsi="Courier New"/>
      <w:sz w:val="20"/>
    </w:rPr>
  </w:style>
  <w:style w:type="character" w:customStyle="1" w:styleId="151">
    <w:name w:val="样式1 Char Char"/>
    <w:link w:val="103"/>
    <w:qFormat/>
    <w:uiPriority w:val="0"/>
    <w:rPr>
      <w:rFonts w:ascii="黑体"/>
      <w:b/>
      <w:sz w:val="32"/>
    </w:rPr>
  </w:style>
  <w:style w:type="character" w:customStyle="1" w:styleId="152">
    <w:name w:val="日期 Char1"/>
    <w:qFormat/>
    <w:uiPriority w:val="0"/>
    <w:rPr>
      <w:rFonts w:ascii="Times New Roman" w:hAnsi="Times New Roman" w:eastAsia="宋体"/>
    </w:rPr>
  </w:style>
  <w:style w:type="character" w:customStyle="1" w:styleId="153">
    <w:name w:val="标题 9 字符"/>
    <w:qFormat/>
    <w:uiPriority w:val="0"/>
    <w:rPr>
      <w:rFonts w:ascii="等线 Light" w:hAnsi="等线 Light" w:eastAsia="等线 Light"/>
      <w:kern w:val="2"/>
      <w:sz w:val="21"/>
    </w:rPr>
  </w:style>
  <w:style w:type="character" w:customStyle="1" w:styleId="154">
    <w:name w:val="标题 3 Char Char Char"/>
    <w:qFormat/>
    <w:uiPriority w:val="0"/>
    <w:rPr>
      <w:rFonts w:eastAsia="宋体"/>
      <w:b/>
      <w:kern w:val="2"/>
      <w:sz w:val="32"/>
      <w:lang w:val="en-US" w:eastAsia="zh-CN"/>
    </w:rPr>
  </w:style>
  <w:style w:type="character" w:customStyle="1" w:styleId="155">
    <w:name w:val="正文文本缩进 字符"/>
    <w:qFormat/>
    <w:uiPriority w:val="0"/>
    <w:rPr>
      <w:rFonts w:ascii="Times New Roman" w:hAnsi="Times New Roman" w:eastAsia="宋体"/>
      <w:kern w:val="2"/>
      <w:sz w:val="21"/>
    </w:rPr>
  </w:style>
  <w:style w:type="character" w:customStyle="1" w:styleId="156">
    <w:name w:val="style1 style6 style7"/>
    <w:qFormat/>
    <w:uiPriority w:val="0"/>
  </w:style>
  <w:style w:type="character" w:customStyle="1" w:styleId="157">
    <w:name w:val="h2 Char"/>
    <w:qFormat/>
    <w:uiPriority w:val="0"/>
    <w:rPr>
      <w:rFonts w:ascii="Arial" w:hAnsi="Arial" w:eastAsia="黑体"/>
      <w:color w:val="0000FF"/>
      <w:sz w:val="24"/>
      <w:lang w:val="en-US" w:eastAsia="zh-CN"/>
    </w:rPr>
  </w:style>
  <w:style w:type="character" w:customStyle="1" w:styleId="158">
    <w:name w:val="页脚 字符"/>
    <w:qFormat/>
    <w:uiPriority w:val="0"/>
    <w:rPr>
      <w:kern w:val="2"/>
      <w:sz w:val="18"/>
    </w:rPr>
  </w:style>
  <w:style w:type="character" w:customStyle="1" w:styleId="159">
    <w:name w:val="content3"/>
    <w:qFormat/>
    <w:uiPriority w:val="0"/>
    <w:rPr>
      <w:b/>
      <w:sz w:val="18"/>
    </w:rPr>
  </w:style>
  <w:style w:type="character" w:customStyle="1" w:styleId="160">
    <w:name w:val="street-address"/>
    <w:qFormat/>
    <w:uiPriority w:val="0"/>
  </w:style>
  <w:style w:type="character" w:customStyle="1" w:styleId="161">
    <w:name w:val="正文文本缩进 2 Char1"/>
    <w:qFormat/>
    <w:uiPriority w:val="0"/>
    <w:rPr>
      <w:rFonts w:ascii="黑体" w:eastAsia="黑体"/>
      <w:sz w:val="28"/>
    </w:rPr>
  </w:style>
  <w:style w:type="character" w:customStyle="1" w:styleId="162">
    <w:name w:val="标题 7 字符"/>
    <w:qFormat/>
    <w:uiPriority w:val="0"/>
    <w:rPr>
      <w:rFonts w:ascii="Times New Roman" w:hAnsi="Times New Roman" w:eastAsia="宋体"/>
      <w:b/>
      <w:kern w:val="2"/>
      <w:sz w:val="24"/>
    </w:rPr>
  </w:style>
  <w:style w:type="character" w:customStyle="1" w:styleId="163">
    <w:name w:val="正文（首行缩进两字） + Arial Char Char Char Char Char Char Char Char Char Char Char Char Char Char Char Char Char Char Char Char Char Char Char Char Char Char Char"/>
    <w:qFormat/>
    <w:uiPriority w:val="0"/>
    <w:rPr>
      <w:rFonts w:ascii="Arial" w:hAnsi="Arial" w:eastAsia="宋体"/>
      <w:sz w:val="24"/>
      <w:lang w:val="en-US" w:eastAsia="zh-CN"/>
    </w:rPr>
  </w:style>
  <w:style w:type="character" w:customStyle="1" w:styleId="164">
    <w:name w:val="内文 Char Char"/>
    <w:link w:val="165"/>
    <w:qFormat/>
    <w:uiPriority w:val="0"/>
    <w:rPr>
      <w:rFonts w:ascii="Arial" w:hAnsi="Arial" w:eastAsia="Times New Roman"/>
    </w:rPr>
  </w:style>
  <w:style w:type="paragraph" w:customStyle="1" w:styleId="165">
    <w:name w:val="内文"/>
    <w:link w:val="164"/>
    <w:qFormat/>
    <w:uiPriority w:val="0"/>
    <w:pPr>
      <w:adjustRightInd w:val="0"/>
      <w:snapToGrid w:val="0"/>
      <w:spacing w:line="400" w:lineRule="exact"/>
      <w:ind w:firstLine="200" w:firstLineChars="200"/>
      <w:jc w:val="both"/>
    </w:pPr>
    <w:rPr>
      <w:rFonts w:ascii="Arial" w:hAnsi="Arial" w:eastAsia="Times New Roman" w:cstheme="minorBidi"/>
      <w:kern w:val="2"/>
      <w:sz w:val="21"/>
      <w:szCs w:val="22"/>
      <w:lang w:val="en-US" w:eastAsia="zh-CN" w:bidi="ar-SA"/>
    </w:rPr>
  </w:style>
  <w:style w:type="character" w:customStyle="1" w:styleId="166">
    <w:name w:val="font14news1"/>
    <w:qFormat/>
    <w:uiPriority w:val="0"/>
    <w:rPr>
      <w:color w:val="333333"/>
      <w:sz w:val="21"/>
    </w:rPr>
  </w:style>
  <w:style w:type="character" w:customStyle="1" w:styleId="167">
    <w:name w:val="标题 6 Char1"/>
    <w:qFormat/>
    <w:uiPriority w:val="0"/>
    <w:rPr>
      <w:rFonts w:ascii="Arial" w:hAnsi="Arial" w:eastAsia="黑体"/>
      <w:b/>
      <w:sz w:val="24"/>
      <w:lang w:val="en-US" w:eastAsia="zh-CN"/>
    </w:rPr>
  </w:style>
  <w:style w:type="character" w:customStyle="1" w:styleId="168">
    <w:name w:val="HTML 变量1"/>
    <w:qFormat/>
    <w:uiPriority w:val="0"/>
    <w:rPr>
      <w:i/>
    </w:rPr>
  </w:style>
  <w:style w:type="character" w:customStyle="1" w:styleId="169">
    <w:name w:val="标题 2 Char1"/>
    <w:qFormat/>
    <w:uiPriority w:val="0"/>
    <w:rPr>
      <w:rFonts w:ascii="Arial" w:hAnsi="Arial" w:eastAsia="黑体"/>
      <w:b/>
      <w:sz w:val="32"/>
      <w:lang w:val="en-US" w:eastAsia="zh-CN"/>
    </w:rPr>
  </w:style>
  <w:style w:type="character" w:customStyle="1" w:styleId="170">
    <w:name w:val="样式10 Char"/>
    <w:link w:val="171"/>
    <w:qFormat/>
    <w:uiPriority w:val="0"/>
    <w:rPr>
      <w:b/>
      <w:sz w:val="24"/>
    </w:rPr>
  </w:style>
  <w:style w:type="paragraph" w:customStyle="1" w:styleId="171">
    <w:name w:val="样式10"/>
    <w:basedOn w:val="1"/>
    <w:link w:val="170"/>
    <w:qFormat/>
    <w:uiPriority w:val="0"/>
    <w:pPr>
      <w:spacing w:line="360" w:lineRule="auto"/>
    </w:pPr>
    <w:rPr>
      <w:rFonts w:asciiTheme="minorHAnsi" w:hAnsiTheme="minorHAnsi" w:eastAsiaTheme="minorEastAsia" w:cstheme="minorBidi"/>
      <w:b/>
      <w:sz w:val="24"/>
      <w:szCs w:val="22"/>
    </w:rPr>
  </w:style>
  <w:style w:type="character" w:customStyle="1" w:styleId="172">
    <w:name w:val="注释标题 字符"/>
    <w:qFormat/>
    <w:uiPriority w:val="0"/>
    <w:rPr>
      <w:kern w:val="2"/>
      <w:sz w:val="28"/>
    </w:rPr>
  </w:style>
  <w:style w:type="character" w:customStyle="1" w:styleId="173">
    <w:name w:val="标题 1 Char2"/>
    <w:qFormat/>
    <w:uiPriority w:val="0"/>
    <w:rPr>
      <w:rFonts w:ascii="Arial Unicode MS" w:hAnsi="Arial Unicode MS" w:eastAsia="Arial Unicode MS"/>
      <w:b/>
      <w:kern w:val="36"/>
      <w:sz w:val="48"/>
      <w:lang w:val="en-US" w:eastAsia="zh-CN"/>
    </w:rPr>
  </w:style>
  <w:style w:type="character" w:customStyle="1" w:styleId="174">
    <w:name w:val="Comment Text Char"/>
    <w:qFormat/>
    <w:uiPriority w:val="0"/>
    <w:rPr>
      <w:rFonts w:ascii="Times New Roman" w:hAnsi="Times New Roman" w:eastAsia="宋体"/>
      <w:sz w:val="24"/>
    </w:rPr>
  </w:style>
  <w:style w:type="character" w:customStyle="1" w:styleId="175">
    <w:name w:val="纯文本 字符"/>
    <w:qFormat/>
    <w:uiPriority w:val="0"/>
    <w:rPr>
      <w:rFonts w:ascii="宋体" w:hAnsi="Courier New" w:eastAsia="宋体"/>
      <w:kern w:val="2"/>
      <w:sz w:val="21"/>
    </w:rPr>
  </w:style>
  <w:style w:type="character" w:customStyle="1" w:styleId="176">
    <w:name w:val="页脚 Char2"/>
    <w:qFormat/>
    <w:uiPriority w:val="0"/>
    <w:rPr>
      <w:kern w:val="2"/>
      <w:sz w:val="18"/>
    </w:rPr>
  </w:style>
  <w:style w:type="character" w:customStyle="1" w:styleId="177">
    <w:name w:val="个人撰写风格"/>
    <w:qFormat/>
    <w:uiPriority w:val="0"/>
    <w:rPr>
      <w:rFonts w:ascii="Arial" w:hAnsi="Arial" w:eastAsia="宋体"/>
      <w:color w:val="auto"/>
      <w:sz w:val="20"/>
    </w:rPr>
  </w:style>
  <w:style w:type="character" w:customStyle="1" w:styleId="178">
    <w:name w:val="正文文本缩进 Char1"/>
    <w:qFormat/>
    <w:uiPriority w:val="0"/>
    <w:rPr>
      <w:rFonts w:ascii="宋体" w:hAnsi="宋体" w:eastAsia="宋体"/>
      <w:spacing w:val="-6"/>
      <w:kern w:val="2"/>
      <w:sz w:val="21"/>
      <w:lang w:val="en-US" w:eastAsia="zh-CN"/>
    </w:rPr>
  </w:style>
  <w:style w:type="character" w:customStyle="1" w:styleId="179">
    <w:name w:val="Char Char6"/>
    <w:qFormat/>
    <w:uiPriority w:val="0"/>
    <w:rPr>
      <w:rFonts w:ascii="宋体" w:hAnsi="Courier New" w:eastAsia="宋体"/>
      <w:kern w:val="2"/>
      <w:sz w:val="21"/>
      <w:lang w:val="en-US" w:eastAsia="zh-CN"/>
    </w:rPr>
  </w:style>
  <w:style w:type="character" w:customStyle="1" w:styleId="180">
    <w:name w:val="Char Char"/>
    <w:link w:val="181"/>
    <w:qFormat/>
    <w:uiPriority w:val="0"/>
    <w:rPr>
      <w:rFonts w:eastAsia="仿宋_GB2312"/>
      <w:sz w:val="28"/>
    </w:rPr>
  </w:style>
  <w:style w:type="paragraph" w:customStyle="1" w:styleId="181">
    <w:name w:val="Char12"/>
    <w:basedOn w:val="1"/>
    <w:link w:val="180"/>
    <w:qFormat/>
    <w:uiPriority w:val="0"/>
    <w:rPr>
      <w:rFonts w:eastAsia="仿宋_GB2312" w:asciiTheme="minorHAnsi" w:hAnsiTheme="minorHAnsi" w:cstheme="minorBidi"/>
      <w:szCs w:val="22"/>
    </w:rPr>
  </w:style>
  <w:style w:type="character" w:customStyle="1" w:styleId="182">
    <w:name w:val="Plain Text Char"/>
    <w:qFormat/>
    <w:uiPriority w:val="0"/>
    <w:rPr>
      <w:rFonts w:ascii="宋体" w:hAnsi="Courier New" w:eastAsia="宋体"/>
      <w:kern w:val="2"/>
      <w:sz w:val="21"/>
      <w:lang w:val="en-US" w:eastAsia="zh-CN"/>
    </w:rPr>
  </w:style>
  <w:style w:type="character" w:customStyle="1" w:styleId="183">
    <w:name w:val="zbggmain"/>
    <w:qFormat/>
    <w:uiPriority w:val="0"/>
  </w:style>
  <w:style w:type="character" w:customStyle="1" w:styleId="184">
    <w:name w:val="标题 2 字符"/>
    <w:link w:val="4"/>
    <w:qFormat/>
    <w:uiPriority w:val="0"/>
    <w:rPr>
      <w:rFonts w:ascii="Arial" w:hAnsi="Arial" w:eastAsia="黑体" w:cs="Times New Roman"/>
      <w:b/>
      <w:szCs w:val="20"/>
    </w:rPr>
  </w:style>
  <w:style w:type="character" w:customStyle="1" w:styleId="185">
    <w:name w:val="8953"/>
    <w:qFormat/>
    <w:uiPriority w:val="0"/>
  </w:style>
  <w:style w:type="character" w:customStyle="1" w:styleId="186">
    <w:name w:val="H1 Char"/>
    <w:qFormat/>
    <w:uiPriority w:val="0"/>
    <w:rPr>
      <w:rFonts w:ascii="Arial Unicode MS" w:hAnsi="Arial Unicode MS" w:eastAsia="Arial Unicode MS"/>
      <w:b/>
      <w:kern w:val="36"/>
      <w:sz w:val="48"/>
      <w:lang w:val="en-US" w:eastAsia="zh-CN"/>
    </w:rPr>
  </w:style>
  <w:style w:type="character" w:customStyle="1" w:styleId="187">
    <w:name w:val="样式 标题 3Heading 3 Char1Heading 3 Char Char列表编号33 bullet2ERM... Char"/>
    <w:link w:val="188"/>
    <w:qFormat/>
    <w:uiPriority w:val="0"/>
    <w:rPr>
      <w:b/>
    </w:rPr>
  </w:style>
  <w:style w:type="paragraph" w:customStyle="1" w:styleId="188">
    <w:name w:val="样式 标题 3Heading 3 Char1Heading 3 Char Char列表编号33 bullet2ERM..."/>
    <w:basedOn w:val="5"/>
    <w:link w:val="187"/>
    <w:qFormat/>
    <w:uiPriority w:val="0"/>
    <w:pPr>
      <w:widowControl w:val="0"/>
      <w:tabs>
        <w:tab w:val="clear" w:pos="720"/>
      </w:tabs>
      <w:adjustRightInd w:val="0"/>
      <w:snapToGrid w:val="0"/>
      <w:spacing w:before="0" w:after="0"/>
      <w:ind w:left="0" w:firstLine="0"/>
      <w:jc w:val="both"/>
    </w:pPr>
    <w:rPr>
      <w:rFonts w:asciiTheme="minorHAnsi" w:hAnsiTheme="minorHAnsi" w:eastAsiaTheme="minorEastAsia" w:cstheme="minorBidi"/>
      <w:kern w:val="2"/>
      <w:sz w:val="21"/>
      <w:szCs w:val="22"/>
    </w:rPr>
  </w:style>
  <w:style w:type="character" w:customStyle="1" w:styleId="189">
    <w:name w:val="Char Char12"/>
    <w:qFormat/>
    <w:uiPriority w:val="0"/>
    <w:rPr>
      <w:rFonts w:ascii="Arial" w:hAnsi="Arial" w:eastAsia="黑体"/>
      <w:b/>
      <w:sz w:val="24"/>
    </w:rPr>
  </w:style>
  <w:style w:type="character" w:customStyle="1" w:styleId="190">
    <w:name w:val="页眉 Char1"/>
    <w:qFormat/>
    <w:uiPriority w:val="0"/>
    <w:rPr>
      <w:rFonts w:eastAsia="宋体"/>
      <w:kern w:val="2"/>
      <w:sz w:val="18"/>
      <w:lang w:val="en-US" w:eastAsia="zh-CN"/>
    </w:rPr>
  </w:style>
  <w:style w:type="character" w:customStyle="1" w:styleId="191">
    <w:name w:val="正文文本缩进 2 字符"/>
    <w:qFormat/>
    <w:uiPriority w:val="0"/>
    <w:rPr>
      <w:rFonts w:ascii="Times New Roman" w:hAnsi="Times New Roman" w:eastAsia="宋体"/>
      <w:kern w:val="2"/>
      <w:sz w:val="21"/>
    </w:rPr>
  </w:style>
  <w:style w:type="character" w:customStyle="1" w:styleId="192">
    <w:name w:val="页眉 Char2"/>
    <w:qFormat/>
    <w:uiPriority w:val="0"/>
    <w:rPr>
      <w:kern w:val="2"/>
      <w:sz w:val="18"/>
    </w:rPr>
  </w:style>
  <w:style w:type="character" w:customStyle="1" w:styleId="193">
    <w:name w:val="批注主题 Char1"/>
    <w:qFormat/>
    <w:uiPriority w:val="0"/>
    <w:rPr>
      <w:b/>
    </w:rPr>
  </w:style>
  <w:style w:type="character" w:customStyle="1" w:styleId="194">
    <w:name w:val="qclx"/>
    <w:qFormat/>
    <w:uiPriority w:val="0"/>
  </w:style>
  <w:style w:type="character" w:customStyle="1" w:styleId="195">
    <w:name w:val="even Char Char"/>
    <w:qFormat/>
    <w:uiPriority w:val="0"/>
    <w:rPr>
      <w:rFonts w:ascii="Times New Roman" w:hAnsi="Times New Roman" w:eastAsia="宋体"/>
      <w:sz w:val="18"/>
    </w:rPr>
  </w:style>
  <w:style w:type="character" w:customStyle="1" w:styleId="196">
    <w:name w:val="正文文本缩进 3 Char1"/>
    <w:qFormat/>
    <w:uiPriority w:val="0"/>
    <w:rPr>
      <w:sz w:val="28"/>
    </w:rPr>
  </w:style>
  <w:style w:type="character" w:customStyle="1" w:styleId="197">
    <w:name w:val="信息标题 字符"/>
    <w:qFormat/>
    <w:uiPriority w:val="0"/>
    <w:rPr>
      <w:rFonts w:ascii="等线 Light" w:hAnsi="等线 Light" w:eastAsia="等线 Light"/>
      <w:kern w:val="2"/>
      <w:sz w:val="24"/>
      <w:shd w:val="pct20" w:color="auto" w:fill="auto"/>
    </w:rPr>
  </w:style>
  <w:style w:type="character" w:customStyle="1" w:styleId="198">
    <w:name w:val="标题 5 字符"/>
    <w:qFormat/>
    <w:uiPriority w:val="0"/>
    <w:rPr>
      <w:rFonts w:ascii="Times New Roman" w:hAnsi="Times New Roman" w:eastAsia="宋体"/>
      <w:b/>
      <w:kern w:val="2"/>
      <w:sz w:val="28"/>
    </w:rPr>
  </w:style>
  <w:style w:type="character" w:customStyle="1" w:styleId="199">
    <w:name w:val="HTML 预设格式 Char2"/>
    <w:qFormat/>
    <w:uiPriority w:val="0"/>
    <w:rPr>
      <w:rFonts w:ascii="黑体" w:hAnsi="Courier New" w:eastAsia="黑体"/>
    </w:rPr>
  </w:style>
  <w:style w:type="character" w:customStyle="1" w:styleId="200">
    <w:name w:val="p7"/>
    <w:qFormat/>
    <w:uiPriority w:val="0"/>
  </w:style>
  <w:style w:type="character" w:customStyle="1" w:styleId="201">
    <w:name w:val="签名 字符"/>
    <w:qFormat/>
    <w:uiPriority w:val="0"/>
    <w:rPr>
      <w:kern w:val="2"/>
      <w:sz w:val="28"/>
    </w:rPr>
  </w:style>
  <w:style w:type="character" w:customStyle="1" w:styleId="202">
    <w:name w:val="批注文字 Char1"/>
    <w:qFormat/>
    <w:uiPriority w:val="0"/>
    <w:rPr>
      <w:rFonts w:eastAsia="宋体"/>
      <w:kern w:val="2"/>
      <w:sz w:val="21"/>
      <w:lang w:val="en-US" w:eastAsia="zh-CN"/>
    </w:rPr>
  </w:style>
  <w:style w:type="character" w:customStyle="1" w:styleId="203">
    <w:name w:val="文档结构图 Char1"/>
    <w:qFormat/>
    <w:uiPriority w:val="0"/>
    <w:rPr>
      <w:rFonts w:eastAsia="宋体"/>
      <w:kern w:val="2"/>
      <w:sz w:val="21"/>
      <w:lang w:val="en-US" w:eastAsia="zh-CN"/>
    </w:rPr>
  </w:style>
  <w:style w:type="character" w:customStyle="1" w:styleId="204">
    <w:name w:val="纯文本 Char1"/>
    <w:qFormat/>
    <w:uiPriority w:val="0"/>
    <w:rPr>
      <w:rFonts w:ascii="宋体" w:hAnsi="Courier New" w:eastAsia="宋体"/>
      <w:kern w:val="2"/>
      <w:sz w:val="21"/>
    </w:rPr>
  </w:style>
  <w:style w:type="character" w:customStyle="1" w:styleId="205">
    <w:name w:val="无间隔 Char"/>
    <w:link w:val="206"/>
    <w:qFormat/>
    <w:locked/>
    <w:uiPriority w:val="0"/>
    <w:rPr>
      <w:rFonts w:ascii="宋体" w:hAnsi="宋体"/>
      <w:szCs w:val="24"/>
    </w:rPr>
  </w:style>
  <w:style w:type="paragraph" w:customStyle="1" w:styleId="206">
    <w:name w:val="无间隔1"/>
    <w:basedOn w:val="1"/>
    <w:link w:val="205"/>
    <w:qFormat/>
    <w:uiPriority w:val="0"/>
    <w:rPr>
      <w:rFonts w:ascii="宋体" w:hAnsi="宋体" w:eastAsiaTheme="minorEastAsia" w:cstheme="minorBidi"/>
      <w:sz w:val="21"/>
      <w:szCs w:val="24"/>
    </w:rPr>
  </w:style>
  <w:style w:type="character" w:customStyle="1" w:styleId="207">
    <w:name w:val="HTML 引文1"/>
    <w:qFormat/>
    <w:uiPriority w:val="0"/>
    <w:rPr>
      <w:i/>
    </w:rPr>
  </w:style>
  <w:style w:type="character" w:customStyle="1" w:styleId="208">
    <w:name w:val="Char Char13"/>
    <w:qFormat/>
    <w:uiPriority w:val="0"/>
    <w:rPr>
      <w:rFonts w:ascii="Times New Roman" w:hAnsi="Times New Roman" w:eastAsia="宋体"/>
      <w:b/>
      <w:sz w:val="28"/>
    </w:rPr>
  </w:style>
  <w:style w:type="character" w:customStyle="1" w:styleId="209">
    <w:name w:val="brown1"/>
    <w:qFormat/>
    <w:uiPriority w:val="0"/>
    <w:rPr>
      <w:color w:val="80786A"/>
    </w:rPr>
  </w:style>
  <w:style w:type="character" w:customStyle="1" w:styleId="210">
    <w:name w:val="正文首行缩进 2 字符"/>
    <w:basedOn w:val="211"/>
    <w:qFormat/>
    <w:uiPriority w:val="0"/>
    <w:rPr>
      <w:rFonts w:ascii="黑体" w:eastAsia="黑体"/>
      <w:sz w:val="28"/>
    </w:rPr>
  </w:style>
  <w:style w:type="character" w:customStyle="1" w:styleId="211">
    <w:name w:val="正文文本缩进 Char2"/>
    <w:qFormat/>
    <w:uiPriority w:val="0"/>
    <w:rPr>
      <w:rFonts w:ascii="黑体" w:eastAsia="黑体"/>
      <w:sz w:val="28"/>
    </w:rPr>
  </w:style>
  <w:style w:type="character" w:customStyle="1" w:styleId="212">
    <w:name w:val="正文非缩进 Char"/>
    <w:qFormat/>
    <w:uiPriority w:val="0"/>
    <w:rPr>
      <w:rFonts w:ascii="宋体" w:eastAsia="宋体"/>
      <w:snapToGrid w:val="0"/>
      <w:color w:val="000000"/>
      <w:kern w:val="28"/>
      <w:sz w:val="28"/>
      <w:lang w:val="en-US" w:eastAsia="zh-CN"/>
    </w:rPr>
  </w:style>
  <w:style w:type="character" w:customStyle="1" w:styleId="213">
    <w:name w:val="标题 1 1 Char"/>
    <w:qFormat/>
    <w:uiPriority w:val="0"/>
    <w:rPr>
      <w:rFonts w:ascii="Times New Roman" w:hAnsi="Times New Roman" w:eastAsia="宋体"/>
      <w:b/>
      <w:kern w:val="44"/>
      <w:sz w:val="44"/>
    </w:rPr>
  </w:style>
  <w:style w:type="character" w:customStyle="1" w:styleId="214">
    <w:name w:val="z-窗体底端 Char"/>
    <w:qFormat/>
    <w:uiPriority w:val="0"/>
    <w:rPr>
      <w:rFonts w:ascii="Arial" w:hAnsi="Arial"/>
      <w:vanish/>
      <w:sz w:val="16"/>
    </w:rPr>
  </w:style>
  <w:style w:type="paragraph" w:customStyle="1" w:styleId="215">
    <w:name w:val="z-窗体底端1"/>
    <w:basedOn w:val="1"/>
    <w:next w:val="1"/>
    <w:link w:val="380"/>
    <w:qFormat/>
    <w:uiPriority w:val="0"/>
    <w:pPr>
      <w:pBdr>
        <w:top w:val="single" w:color="auto" w:sz="6" w:space="1"/>
      </w:pBdr>
      <w:jc w:val="center"/>
    </w:pPr>
    <w:rPr>
      <w:rFonts w:ascii="Arial" w:hAnsi="Arial" w:eastAsiaTheme="minorEastAsia" w:cstheme="minorBidi"/>
      <w:vanish/>
      <w:sz w:val="16"/>
      <w:szCs w:val="22"/>
    </w:rPr>
  </w:style>
  <w:style w:type="character" w:customStyle="1" w:styleId="216">
    <w:name w:val="font161"/>
    <w:qFormat/>
    <w:uiPriority w:val="0"/>
    <w:rPr>
      <w:b/>
      <w:sz w:val="32"/>
    </w:rPr>
  </w:style>
  <w:style w:type="character" w:customStyle="1" w:styleId="217">
    <w:name w:val="脚注文本 字符"/>
    <w:qFormat/>
    <w:uiPriority w:val="0"/>
    <w:rPr>
      <w:kern w:val="2"/>
      <w:sz w:val="18"/>
    </w:rPr>
  </w:style>
  <w:style w:type="character" w:customStyle="1" w:styleId="218">
    <w:name w:val="HTML 代码1"/>
    <w:qFormat/>
    <w:uiPriority w:val="0"/>
    <w:rPr>
      <w:rFonts w:ascii="Courier New" w:hAnsi="Courier New"/>
      <w:sz w:val="20"/>
    </w:rPr>
  </w:style>
  <w:style w:type="character" w:customStyle="1" w:styleId="219">
    <w:name w:val="标题 Char2"/>
    <w:qFormat/>
    <w:uiPriority w:val="0"/>
    <w:rPr>
      <w:rFonts w:ascii="Arial" w:hAnsi="Arial" w:eastAsia="宋体"/>
      <w:b/>
      <w:sz w:val="32"/>
      <w:lang w:val="en-US" w:eastAsia="zh-CN"/>
    </w:rPr>
  </w:style>
  <w:style w:type="character" w:customStyle="1" w:styleId="220">
    <w:name w:val="正文文本 Char2"/>
    <w:qFormat/>
    <w:uiPriority w:val="0"/>
    <w:rPr>
      <w:sz w:val="24"/>
    </w:rPr>
  </w:style>
  <w:style w:type="character" w:customStyle="1" w:styleId="221">
    <w:name w:val="lemmatitleh11"/>
    <w:qFormat/>
    <w:uiPriority w:val="0"/>
  </w:style>
  <w:style w:type="character" w:customStyle="1" w:styleId="222">
    <w:name w:val="Char Char16"/>
    <w:qFormat/>
    <w:uiPriority w:val="0"/>
    <w:rPr>
      <w:kern w:val="2"/>
      <w:sz w:val="18"/>
    </w:rPr>
  </w:style>
  <w:style w:type="character" w:customStyle="1" w:styleId="223">
    <w:name w:val="正文首行缩进 Char1"/>
    <w:qFormat/>
    <w:uiPriority w:val="0"/>
    <w:rPr>
      <w:rFonts w:ascii="等线" w:hAnsi="等线" w:eastAsia="等线"/>
    </w:rPr>
  </w:style>
  <w:style w:type="character" w:customStyle="1" w:styleId="224">
    <w:name w:val="Char Char17"/>
    <w:qFormat/>
    <w:uiPriority w:val="0"/>
    <w:rPr>
      <w:kern w:val="2"/>
      <w:sz w:val="18"/>
    </w:rPr>
  </w:style>
  <w:style w:type="character" w:customStyle="1" w:styleId="225">
    <w:name w:val="font31"/>
    <w:qFormat/>
    <w:uiPriority w:val="0"/>
    <w:rPr>
      <w:rFonts w:hint="eastAsia" w:ascii="宋体" w:hAnsi="宋体" w:eastAsia="宋体"/>
      <w:color w:val="0000FF"/>
      <w:sz w:val="21"/>
      <w:u w:val="none"/>
      <w:vertAlign w:val="superscript"/>
    </w:rPr>
  </w:style>
  <w:style w:type="character" w:customStyle="1" w:styleId="226">
    <w:name w:val="标题 4 Char1"/>
    <w:qFormat/>
    <w:uiPriority w:val="0"/>
    <w:rPr>
      <w:rFonts w:ascii="Arial" w:hAnsi="Arial" w:eastAsia="黑体"/>
      <w:b/>
      <w:kern w:val="2"/>
      <w:sz w:val="28"/>
      <w:lang w:val="en-US" w:eastAsia="zh-CN"/>
    </w:rPr>
  </w:style>
  <w:style w:type="character" w:customStyle="1" w:styleId="227">
    <w:name w:val="p141"/>
    <w:qFormat/>
    <w:uiPriority w:val="0"/>
    <w:rPr>
      <w:sz w:val="21"/>
      <w:szCs w:val="21"/>
    </w:rPr>
  </w:style>
  <w:style w:type="character" w:customStyle="1" w:styleId="228">
    <w:name w:val="批注引用1"/>
    <w:qFormat/>
    <w:uiPriority w:val="0"/>
    <w:rPr>
      <w:sz w:val="21"/>
    </w:rPr>
  </w:style>
  <w:style w:type="character" w:customStyle="1" w:styleId="229">
    <w:name w:val="发布"/>
    <w:qFormat/>
    <w:uiPriority w:val="0"/>
    <w:rPr>
      <w:rFonts w:ascii="黑体" w:eastAsia="黑体"/>
      <w:spacing w:val="22"/>
      <w:w w:val="100"/>
      <w:position w:val="3"/>
      <w:sz w:val="28"/>
    </w:rPr>
  </w:style>
  <w:style w:type="character" w:customStyle="1" w:styleId="230">
    <w:name w:val="j23x"/>
    <w:qFormat/>
    <w:uiPriority w:val="0"/>
  </w:style>
  <w:style w:type="character" w:customStyle="1" w:styleId="231">
    <w:name w:val="纯文本 Char2"/>
    <w:qFormat/>
    <w:uiPriority w:val="0"/>
    <w:rPr>
      <w:rFonts w:ascii="宋体" w:hAnsi="Courier New" w:eastAsia="宋体"/>
      <w:kern w:val="2"/>
      <w:sz w:val="21"/>
      <w:lang w:val="en-US" w:eastAsia="zh-CN"/>
    </w:rPr>
  </w:style>
  <w:style w:type="character" w:customStyle="1" w:styleId="232">
    <w:name w:val="567r"/>
    <w:qFormat/>
    <w:uiPriority w:val="0"/>
  </w:style>
  <w:style w:type="character" w:customStyle="1" w:styleId="233">
    <w:name w:val="文档结构图 字符"/>
    <w:qFormat/>
    <w:uiPriority w:val="0"/>
    <w:rPr>
      <w:rFonts w:ascii="Microsoft YaHei UI" w:hAnsi="Times New Roman" w:eastAsia="Microsoft YaHei UI"/>
      <w:kern w:val="2"/>
      <w:sz w:val="18"/>
    </w:rPr>
  </w:style>
  <w:style w:type="character" w:customStyle="1" w:styleId="234">
    <w:name w:val="正文文本 2 字符"/>
    <w:qFormat/>
    <w:uiPriority w:val="0"/>
    <w:rPr>
      <w:kern w:val="2"/>
      <w:sz w:val="28"/>
    </w:rPr>
  </w:style>
  <w:style w:type="character" w:customStyle="1" w:styleId="235">
    <w:name w:val="font01"/>
    <w:basedOn w:val="90"/>
    <w:qFormat/>
    <w:uiPriority w:val="0"/>
    <w:rPr>
      <w:rFonts w:hint="eastAsia" w:ascii="宋体" w:hAnsi="宋体" w:eastAsia="宋体" w:cs="宋体"/>
      <w:color w:val="000000"/>
      <w:sz w:val="22"/>
      <w:szCs w:val="22"/>
      <w:u w:val="none"/>
    </w:rPr>
  </w:style>
  <w:style w:type="character" w:customStyle="1" w:styleId="236">
    <w:name w:val="Title Char"/>
    <w:qFormat/>
    <w:uiPriority w:val="0"/>
    <w:rPr>
      <w:rFonts w:ascii="Arial" w:hAnsi="Arial" w:eastAsia="宋体"/>
      <w:b/>
      <w:kern w:val="2"/>
      <w:sz w:val="32"/>
      <w:lang w:val="en-US" w:eastAsia="zh-CN"/>
    </w:rPr>
  </w:style>
  <w:style w:type="character" w:customStyle="1" w:styleId="237">
    <w:name w:val="宏文本 字符"/>
    <w:qFormat/>
    <w:uiPriority w:val="0"/>
    <w:rPr>
      <w:rFonts w:ascii="Courier New" w:hAnsi="Courier New"/>
      <w:kern w:val="2"/>
      <w:sz w:val="24"/>
    </w:rPr>
  </w:style>
  <w:style w:type="character" w:customStyle="1" w:styleId="238">
    <w:name w:val="Char Char22"/>
    <w:qFormat/>
    <w:uiPriority w:val="0"/>
    <w:rPr>
      <w:rFonts w:ascii="Arial" w:hAnsi="Arial" w:eastAsia="黑体"/>
      <w:b/>
      <w:kern w:val="2"/>
      <w:sz w:val="32"/>
      <w:lang w:val="en-US" w:eastAsia="zh-CN"/>
    </w:rPr>
  </w:style>
  <w:style w:type="character" w:customStyle="1" w:styleId="239">
    <w:name w:val="尾注文本 字符"/>
    <w:qFormat/>
    <w:uiPriority w:val="0"/>
    <w:rPr>
      <w:kern w:val="2"/>
      <w:sz w:val="28"/>
    </w:rPr>
  </w:style>
  <w:style w:type="character" w:customStyle="1" w:styleId="240">
    <w:name w:val="副标题 Char1"/>
    <w:qFormat/>
    <w:uiPriority w:val="0"/>
    <w:rPr>
      <w:rFonts w:ascii="Calibri Light" w:hAnsi="Calibri Light" w:eastAsia="宋体"/>
      <w:b/>
      <w:kern w:val="28"/>
      <w:sz w:val="32"/>
    </w:rPr>
  </w:style>
  <w:style w:type="character" w:customStyle="1" w:styleId="241">
    <w:name w:val="正文文本 Char1"/>
    <w:qFormat/>
    <w:uiPriority w:val="0"/>
    <w:rPr>
      <w:rFonts w:ascii="宋体" w:hAnsi="宋体" w:eastAsia="宋体"/>
      <w:spacing w:val="-6"/>
      <w:kern w:val="2"/>
      <w:sz w:val="21"/>
      <w:lang w:val="en-US" w:eastAsia="zh-CN"/>
    </w:rPr>
  </w:style>
  <w:style w:type="character" w:customStyle="1" w:styleId="242">
    <w:name w:val="HTML 缩写1"/>
    <w:qFormat/>
    <w:uiPriority w:val="0"/>
  </w:style>
  <w:style w:type="character" w:customStyle="1" w:styleId="243">
    <w:name w:val="标题 1 Char1"/>
    <w:qFormat/>
    <w:uiPriority w:val="0"/>
    <w:rPr>
      <w:rFonts w:eastAsia="宋体"/>
      <w:b/>
      <w:kern w:val="44"/>
      <w:sz w:val="44"/>
      <w:lang w:val="en-US" w:eastAsia="zh-CN"/>
    </w:rPr>
  </w:style>
  <w:style w:type="character" w:customStyle="1" w:styleId="244">
    <w:name w:val="15"/>
    <w:qFormat/>
    <w:uiPriority w:val="0"/>
  </w:style>
  <w:style w:type="character" w:customStyle="1" w:styleId="245">
    <w:name w:val="样式 正文文本 Char"/>
    <w:link w:val="246"/>
    <w:qFormat/>
    <w:uiPriority w:val="0"/>
    <w:rPr>
      <w:rFonts w:ascii="Arial" w:hAnsi="Arial"/>
      <w:color w:val="000000"/>
    </w:rPr>
  </w:style>
  <w:style w:type="paragraph" w:customStyle="1" w:styleId="246">
    <w:name w:val="样式 正文文本"/>
    <w:basedOn w:val="1"/>
    <w:link w:val="245"/>
    <w:qFormat/>
    <w:uiPriority w:val="0"/>
    <w:pPr>
      <w:adjustRightInd w:val="0"/>
      <w:snapToGrid w:val="0"/>
      <w:spacing w:line="400" w:lineRule="exact"/>
      <w:ind w:firstLine="200" w:firstLineChars="200"/>
    </w:pPr>
    <w:rPr>
      <w:rFonts w:ascii="Arial" w:hAnsi="Arial" w:eastAsiaTheme="minorEastAsia" w:cstheme="minorBidi"/>
      <w:color w:val="000000"/>
      <w:sz w:val="21"/>
      <w:szCs w:val="22"/>
    </w:rPr>
  </w:style>
  <w:style w:type="character" w:customStyle="1" w:styleId="247">
    <w:name w:val="正文格式 Char"/>
    <w:link w:val="248"/>
    <w:qFormat/>
    <w:uiPriority w:val="0"/>
    <w:rPr>
      <w:rFonts w:ascii="Times New Roman" w:hAnsi="Times New Roman"/>
      <w:sz w:val="24"/>
    </w:rPr>
  </w:style>
  <w:style w:type="paragraph" w:customStyle="1" w:styleId="248">
    <w:name w:val="正文格式"/>
    <w:basedOn w:val="1"/>
    <w:link w:val="247"/>
    <w:qFormat/>
    <w:uiPriority w:val="0"/>
    <w:pPr>
      <w:widowControl/>
      <w:adjustRightInd w:val="0"/>
      <w:spacing w:line="480" w:lineRule="atLeast"/>
      <w:ind w:firstLine="482"/>
      <w:textAlignment w:val="baseline"/>
    </w:pPr>
    <w:rPr>
      <w:rFonts w:ascii="Times New Roman" w:hAnsi="Times New Roman" w:eastAsiaTheme="minorEastAsia" w:cstheme="minorBidi"/>
      <w:sz w:val="24"/>
      <w:szCs w:val="22"/>
    </w:rPr>
  </w:style>
  <w:style w:type="character" w:customStyle="1" w:styleId="249">
    <w:name w:val="bulletintext1"/>
    <w:qFormat/>
    <w:uiPriority w:val="0"/>
    <w:rPr>
      <w:color w:val="000000"/>
      <w:sz w:val="18"/>
    </w:rPr>
  </w:style>
  <w:style w:type="character" w:customStyle="1" w:styleId="250">
    <w:name w:val="fonts11"/>
    <w:qFormat/>
    <w:uiPriority w:val="0"/>
    <w:rPr>
      <w:sz w:val="18"/>
    </w:rPr>
  </w:style>
  <w:style w:type="character" w:customStyle="1" w:styleId="251">
    <w:name w:val="locality"/>
    <w:qFormat/>
    <w:uiPriority w:val="0"/>
  </w:style>
  <w:style w:type="character" w:customStyle="1" w:styleId="252">
    <w:name w:val="标题 8 字符"/>
    <w:qFormat/>
    <w:uiPriority w:val="0"/>
    <w:rPr>
      <w:rFonts w:ascii="等线 Light" w:hAnsi="等线 Light" w:eastAsia="等线 Light"/>
      <w:kern w:val="2"/>
      <w:sz w:val="24"/>
    </w:rPr>
  </w:style>
  <w:style w:type="character" w:customStyle="1" w:styleId="253">
    <w:name w:val="批注主题 字符"/>
    <w:qFormat/>
    <w:uiPriority w:val="0"/>
    <w:rPr>
      <w:b/>
      <w:kern w:val="2"/>
      <w:sz w:val="28"/>
    </w:rPr>
  </w:style>
  <w:style w:type="character" w:customStyle="1" w:styleId="254">
    <w:name w:val="H3 Char"/>
    <w:qFormat/>
    <w:uiPriority w:val="0"/>
    <w:rPr>
      <w:rFonts w:eastAsia="宋体"/>
      <w:b/>
      <w:kern w:val="2"/>
      <w:sz w:val="32"/>
      <w:lang w:val="en-US" w:eastAsia="zh-CN"/>
    </w:rPr>
  </w:style>
  <w:style w:type="character" w:customStyle="1" w:styleId="255">
    <w:name w:val="标题 9 Char1"/>
    <w:qFormat/>
    <w:uiPriority w:val="0"/>
    <w:rPr>
      <w:rFonts w:ascii="Arial" w:hAnsi="Arial" w:eastAsia="黑体"/>
      <w:sz w:val="21"/>
      <w:lang w:val="en-US" w:eastAsia="zh-CN"/>
    </w:rPr>
  </w:style>
  <w:style w:type="character" w:customStyle="1" w:styleId="256">
    <w:name w:val="公文正文 Char"/>
    <w:link w:val="257"/>
    <w:qFormat/>
    <w:uiPriority w:val="0"/>
    <w:rPr>
      <w:rFonts w:ascii="仿宋_GB2312" w:eastAsia="仿宋_GB2312"/>
      <w:sz w:val="24"/>
    </w:rPr>
  </w:style>
  <w:style w:type="paragraph" w:customStyle="1" w:styleId="257">
    <w:name w:val="公文正文"/>
    <w:basedOn w:val="1"/>
    <w:link w:val="256"/>
    <w:qFormat/>
    <w:uiPriority w:val="0"/>
    <w:pPr>
      <w:spacing w:before="156" w:line="360" w:lineRule="auto"/>
      <w:ind w:firstLine="360" w:firstLineChars="200"/>
    </w:pPr>
    <w:rPr>
      <w:rFonts w:ascii="仿宋_GB2312" w:eastAsia="仿宋_GB2312" w:hAnsiTheme="minorHAnsi" w:cstheme="minorBidi"/>
      <w:sz w:val="24"/>
      <w:szCs w:val="22"/>
    </w:rPr>
  </w:style>
  <w:style w:type="character" w:customStyle="1" w:styleId="258">
    <w:name w:val="正文文本缩进 3 字符"/>
    <w:qFormat/>
    <w:uiPriority w:val="0"/>
    <w:rPr>
      <w:rFonts w:ascii="Times New Roman" w:hAnsi="Times New Roman" w:eastAsia="宋体"/>
      <w:kern w:val="2"/>
      <w:sz w:val="16"/>
    </w:rPr>
  </w:style>
  <w:style w:type="character" w:customStyle="1" w:styleId="259">
    <w:name w:val="my Char"/>
    <w:link w:val="260"/>
    <w:qFormat/>
    <w:uiPriority w:val="0"/>
    <w:rPr>
      <w:rFonts w:ascii="宋体" w:hAnsi="宋体"/>
      <w:sz w:val="24"/>
    </w:rPr>
  </w:style>
  <w:style w:type="paragraph" w:customStyle="1" w:styleId="260">
    <w:name w:val="my"/>
    <w:basedOn w:val="1"/>
    <w:link w:val="259"/>
    <w:qFormat/>
    <w:uiPriority w:val="0"/>
    <w:pPr>
      <w:widowControl/>
      <w:tabs>
        <w:tab w:val="left" w:pos="0"/>
        <w:tab w:val="left" w:pos="5823"/>
      </w:tabs>
      <w:adjustRightInd w:val="0"/>
      <w:ind w:firstLine="480" w:firstLineChars="200"/>
    </w:pPr>
    <w:rPr>
      <w:rFonts w:ascii="宋体" w:hAnsi="宋体" w:eastAsiaTheme="minorEastAsia" w:cstheme="minorBidi"/>
      <w:sz w:val="24"/>
      <w:szCs w:val="22"/>
    </w:rPr>
  </w:style>
  <w:style w:type="character" w:customStyle="1" w:styleId="261">
    <w:name w:val="info1"/>
    <w:qFormat/>
    <w:uiPriority w:val="99"/>
    <w:rPr>
      <w:color w:val="000000"/>
      <w:spacing w:val="15"/>
      <w:sz w:val="24"/>
    </w:rPr>
  </w:style>
  <w:style w:type="character" w:customStyle="1" w:styleId="262">
    <w:name w:val="正文文本 2 Char1"/>
    <w:qFormat/>
    <w:uiPriority w:val="0"/>
  </w:style>
  <w:style w:type="character" w:customStyle="1" w:styleId="263">
    <w:name w:val="HTML 预设格式 Char1"/>
    <w:qFormat/>
    <w:uiPriority w:val="0"/>
    <w:rPr>
      <w:rFonts w:ascii="Courier New" w:hAnsi="Courier New" w:eastAsia="宋体"/>
      <w:kern w:val="2"/>
    </w:rPr>
  </w:style>
  <w:style w:type="character" w:customStyle="1" w:styleId="264">
    <w:name w:val="电子邮件签名 字符"/>
    <w:qFormat/>
    <w:uiPriority w:val="0"/>
    <w:rPr>
      <w:kern w:val="2"/>
      <w:sz w:val="28"/>
    </w:rPr>
  </w:style>
  <w:style w:type="character" w:customStyle="1" w:styleId="265">
    <w:name w:val="称呼 字符"/>
    <w:qFormat/>
    <w:uiPriority w:val="0"/>
    <w:rPr>
      <w:kern w:val="2"/>
      <w:sz w:val="28"/>
    </w:rPr>
  </w:style>
  <w:style w:type="character" w:customStyle="1" w:styleId="266">
    <w:name w:val="标题 4 Char Char Char Char Char Char"/>
    <w:qFormat/>
    <w:uiPriority w:val="0"/>
    <w:rPr>
      <w:rFonts w:eastAsia="宋体"/>
      <w:kern w:val="2"/>
      <w:sz w:val="24"/>
      <w:lang w:val="en-US" w:eastAsia="zh-CN"/>
    </w:rPr>
  </w:style>
  <w:style w:type="character" w:customStyle="1" w:styleId="267">
    <w:name w:val="标题 6 字符"/>
    <w:qFormat/>
    <w:uiPriority w:val="0"/>
    <w:rPr>
      <w:rFonts w:ascii="等线 Light" w:hAnsi="等线 Light" w:eastAsia="等线 Light"/>
      <w:b/>
      <w:kern w:val="2"/>
      <w:sz w:val="24"/>
    </w:rPr>
  </w:style>
  <w:style w:type="character" w:customStyle="1" w:styleId="268">
    <w:name w:val="标题 7 Char1"/>
    <w:qFormat/>
    <w:uiPriority w:val="0"/>
    <w:rPr>
      <w:rFonts w:eastAsia="宋体"/>
      <w:b/>
      <w:sz w:val="24"/>
      <w:lang w:val="en-US" w:eastAsia="zh-CN"/>
    </w:rPr>
  </w:style>
  <w:style w:type="character" w:customStyle="1" w:styleId="269">
    <w:name w:val="副标题 字符"/>
    <w:qFormat/>
    <w:uiPriority w:val="0"/>
    <w:rPr>
      <w:rFonts w:ascii="等线 Light" w:hAnsi="等线 Light"/>
      <w:b/>
      <w:kern w:val="28"/>
      <w:sz w:val="32"/>
    </w:rPr>
  </w:style>
  <w:style w:type="character" w:customStyle="1" w:styleId="270">
    <w:name w:val="font21"/>
    <w:basedOn w:val="90"/>
    <w:qFormat/>
    <w:uiPriority w:val="0"/>
    <w:rPr>
      <w:rFonts w:hint="eastAsia" w:ascii="宋体" w:hAnsi="宋体" w:eastAsia="宋体"/>
      <w:color w:val="FF0000"/>
      <w:sz w:val="21"/>
      <w:u w:val="none"/>
      <w:vertAlign w:val="superscript"/>
    </w:rPr>
  </w:style>
  <w:style w:type="character" w:customStyle="1" w:styleId="271">
    <w:name w:val="font41"/>
    <w:qFormat/>
    <w:uiPriority w:val="0"/>
    <w:rPr>
      <w:rFonts w:hint="eastAsia" w:ascii="宋体" w:hAnsi="宋体" w:eastAsia="宋体" w:cs="宋体"/>
      <w:color w:val="000000"/>
      <w:sz w:val="20"/>
      <w:szCs w:val="20"/>
      <w:u w:val="none"/>
    </w:rPr>
  </w:style>
  <w:style w:type="character" w:customStyle="1" w:styleId="272">
    <w:name w:val="结束语 字符"/>
    <w:qFormat/>
    <w:uiPriority w:val="0"/>
    <w:rPr>
      <w:kern w:val="2"/>
      <w:sz w:val="28"/>
    </w:rPr>
  </w:style>
  <w:style w:type="character" w:customStyle="1" w:styleId="273">
    <w:name w:val="彩色列表 - 着色 1 字符"/>
    <w:link w:val="274"/>
    <w:qFormat/>
    <w:uiPriority w:val="0"/>
  </w:style>
  <w:style w:type="paragraph" w:customStyle="1" w:styleId="274">
    <w:name w:val="彩色列表 - 着色 12"/>
    <w:basedOn w:val="1"/>
    <w:link w:val="273"/>
    <w:qFormat/>
    <w:uiPriority w:val="0"/>
    <w:pPr>
      <w:ind w:firstLine="420" w:firstLineChars="200"/>
    </w:pPr>
    <w:rPr>
      <w:rFonts w:asciiTheme="minorHAnsi" w:hAnsiTheme="minorHAnsi" w:eastAsiaTheme="minorEastAsia" w:cstheme="minorBidi"/>
      <w:sz w:val="21"/>
      <w:szCs w:val="22"/>
    </w:rPr>
  </w:style>
  <w:style w:type="character" w:customStyle="1" w:styleId="275">
    <w:name w:val="正文文本 3 Char1"/>
    <w:qFormat/>
    <w:uiPriority w:val="0"/>
    <w:rPr>
      <w:rFonts w:eastAsia="宋体"/>
      <w:color w:val="FF0000"/>
      <w:kern w:val="2"/>
      <w:sz w:val="24"/>
      <w:lang w:val="en-US" w:eastAsia="zh-CN"/>
    </w:rPr>
  </w:style>
  <w:style w:type="character" w:customStyle="1" w:styleId="276">
    <w:name w:val="纯文本 Char3"/>
    <w:qFormat/>
    <w:uiPriority w:val="0"/>
    <w:rPr>
      <w:rFonts w:ascii="宋体" w:hAnsi="Courier New" w:eastAsia="宋体"/>
    </w:rPr>
  </w:style>
  <w:style w:type="character" w:customStyle="1" w:styleId="277">
    <w:name w:val="个人答复风格"/>
    <w:qFormat/>
    <w:uiPriority w:val="0"/>
    <w:rPr>
      <w:rFonts w:ascii="Arial" w:hAnsi="Arial" w:eastAsia="宋体"/>
      <w:color w:val="auto"/>
      <w:sz w:val="20"/>
    </w:rPr>
  </w:style>
  <w:style w:type="character" w:customStyle="1" w:styleId="278">
    <w:name w:val="标题 3 Char1"/>
    <w:qFormat/>
    <w:uiPriority w:val="0"/>
    <w:rPr>
      <w:rFonts w:eastAsia="宋体"/>
      <w:b/>
      <w:kern w:val="2"/>
      <w:sz w:val="32"/>
      <w:lang w:val="en-US" w:eastAsia="zh-CN"/>
    </w:rPr>
  </w:style>
  <w:style w:type="character" w:customStyle="1" w:styleId="279">
    <w:name w:val="脚注文本 Char1"/>
    <w:qFormat/>
    <w:uiPriority w:val="0"/>
    <w:rPr>
      <w:rFonts w:eastAsia="宋体"/>
      <w:kern w:val="2"/>
      <w:sz w:val="18"/>
      <w:lang w:val="en-US" w:eastAsia="zh-CN"/>
    </w:rPr>
  </w:style>
  <w:style w:type="character" w:customStyle="1" w:styleId="280">
    <w:name w:val="无格式表格 31"/>
    <w:qFormat/>
    <w:uiPriority w:val="0"/>
    <w:rPr>
      <w:i/>
      <w:color w:val="808080"/>
    </w:rPr>
  </w:style>
  <w:style w:type="character" w:customStyle="1" w:styleId="281">
    <w:name w:val="HTML 键盘1"/>
    <w:qFormat/>
    <w:uiPriority w:val="0"/>
    <w:rPr>
      <w:rFonts w:ascii="Courier New" w:hAnsi="Courier New"/>
      <w:sz w:val="20"/>
    </w:rPr>
  </w:style>
  <w:style w:type="character" w:customStyle="1" w:styleId="282">
    <w:name w:val="标题 Char1"/>
    <w:qFormat/>
    <w:uiPriority w:val="0"/>
    <w:rPr>
      <w:rFonts w:ascii="Cambria" w:hAnsi="Cambria" w:eastAsia="宋体"/>
      <w:b/>
      <w:sz w:val="32"/>
    </w:rPr>
  </w:style>
  <w:style w:type="character" w:customStyle="1" w:styleId="283">
    <w:name w:val="样式8 字符"/>
    <w:link w:val="284"/>
    <w:qFormat/>
    <w:uiPriority w:val="0"/>
    <w:rPr>
      <w:rFonts w:ascii="Times New Roman" w:hAnsi="Times New Roman"/>
      <w:sz w:val="24"/>
      <w:szCs w:val="27"/>
    </w:rPr>
  </w:style>
  <w:style w:type="paragraph" w:customStyle="1" w:styleId="284">
    <w:name w:val="样式8"/>
    <w:basedOn w:val="285"/>
    <w:link w:val="283"/>
    <w:qFormat/>
    <w:uiPriority w:val="0"/>
    <w:pPr>
      <w:tabs>
        <w:tab w:val="left" w:pos="1301"/>
        <w:tab w:val="left" w:pos="6043"/>
      </w:tabs>
      <w:ind w:right="0" w:rightChars="0"/>
    </w:pPr>
    <w:rPr>
      <w:rFonts w:eastAsiaTheme="minorEastAsia" w:cstheme="minorBidi"/>
    </w:rPr>
  </w:style>
  <w:style w:type="paragraph" w:customStyle="1" w:styleId="285">
    <w:name w:val="样式6"/>
    <w:basedOn w:val="1"/>
    <w:qFormat/>
    <w:uiPriority w:val="0"/>
    <w:pPr>
      <w:widowControl/>
      <w:tabs>
        <w:tab w:val="left" w:pos="1301"/>
        <w:tab w:val="left" w:pos="6043"/>
      </w:tabs>
      <w:adjustRightInd w:val="0"/>
      <w:snapToGrid w:val="0"/>
      <w:spacing w:line="360" w:lineRule="auto"/>
      <w:ind w:left="709" w:right="100" w:rightChars="100"/>
      <w:textAlignment w:val="baseline"/>
    </w:pPr>
    <w:rPr>
      <w:rFonts w:ascii="Times New Roman" w:hAnsi="Times New Roman"/>
      <w:sz w:val="24"/>
      <w:szCs w:val="27"/>
    </w:rPr>
  </w:style>
  <w:style w:type="character" w:customStyle="1" w:styleId="286">
    <w:name w:val="font11"/>
    <w:basedOn w:val="90"/>
    <w:qFormat/>
    <w:uiPriority w:val="0"/>
    <w:rPr>
      <w:rFonts w:hint="eastAsia" w:ascii="宋体" w:hAnsi="宋体" w:eastAsia="宋体"/>
      <w:color w:val="000000"/>
      <w:sz w:val="21"/>
      <w:u w:val="none"/>
      <w:vertAlign w:val="superscript"/>
    </w:rPr>
  </w:style>
  <w:style w:type="character" w:customStyle="1" w:styleId="287">
    <w:name w:val="页脚 Char1"/>
    <w:qFormat/>
    <w:uiPriority w:val="0"/>
    <w:rPr>
      <w:rFonts w:eastAsia="宋体"/>
      <w:kern w:val="2"/>
      <w:sz w:val="18"/>
      <w:lang w:val="en-US" w:eastAsia="zh-CN"/>
    </w:rPr>
  </w:style>
  <w:style w:type="character" w:customStyle="1" w:styleId="288">
    <w:name w:val="country-name"/>
    <w:qFormat/>
    <w:uiPriority w:val="0"/>
  </w:style>
  <w:style w:type="character" w:customStyle="1" w:styleId="289">
    <w:name w:val="HTML 样本1"/>
    <w:qFormat/>
    <w:uiPriority w:val="0"/>
    <w:rPr>
      <w:rFonts w:ascii="Courier New" w:hAnsi="Courier New"/>
    </w:rPr>
  </w:style>
  <w:style w:type="character" w:customStyle="1" w:styleId="290">
    <w:name w:val="标题 4 字符"/>
    <w:qFormat/>
    <w:uiPriority w:val="0"/>
    <w:rPr>
      <w:rFonts w:ascii="等线 Light" w:hAnsi="等线 Light" w:eastAsia="等线 Light"/>
      <w:b/>
      <w:kern w:val="2"/>
      <w:sz w:val="28"/>
    </w:rPr>
  </w:style>
  <w:style w:type="character" w:customStyle="1" w:styleId="291">
    <w:name w:val="zbggmain style9"/>
    <w:qFormat/>
    <w:uiPriority w:val="0"/>
  </w:style>
  <w:style w:type="character" w:customStyle="1" w:styleId="292">
    <w:name w:val="标题 1 Char Char"/>
    <w:qFormat/>
    <w:uiPriority w:val="0"/>
    <w:rPr>
      <w:rFonts w:ascii="Arial" w:hAnsi="Arial" w:eastAsia="黑体"/>
      <w:kern w:val="44"/>
      <w:sz w:val="24"/>
      <w:lang w:val="en-US" w:eastAsia="zh-CN"/>
    </w:rPr>
  </w:style>
  <w:style w:type="character" w:customStyle="1" w:styleId="293">
    <w:name w:val="批注框文本 Char1"/>
    <w:qFormat/>
    <w:uiPriority w:val="0"/>
    <w:rPr>
      <w:rFonts w:eastAsia="宋体"/>
      <w:kern w:val="2"/>
      <w:sz w:val="18"/>
      <w:lang w:val="en-US" w:eastAsia="zh-CN"/>
    </w:rPr>
  </w:style>
  <w:style w:type="character" w:customStyle="1" w:styleId="294">
    <w:name w:val="HTML 地址 字符"/>
    <w:qFormat/>
    <w:uiPriority w:val="0"/>
    <w:rPr>
      <w:i/>
      <w:kern w:val="2"/>
      <w:sz w:val="28"/>
    </w:rPr>
  </w:style>
  <w:style w:type="character" w:customStyle="1" w:styleId="295">
    <w:name w:val="正文文本 字符"/>
    <w:qFormat/>
    <w:uiPriority w:val="0"/>
    <w:rPr>
      <w:rFonts w:ascii="Times New Roman" w:hAnsi="Times New Roman" w:eastAsia="宋体"/>
      <w:kern w:val="2"/>
      <w:sz w:val="21"/>
    </w:rPr>
  </w:style>
  <w:style w:type="character" w:customStyle="1" w:styleId="296">
    <w:name w:val="页眉 字符"/>
    <w:qFormat/>
    <w:uiPriority w:val="0"/>
    <w:rPr>
      <w:kern w:val="2"/>
      <w:sz w:val="18"/>
    </w:rPr>
  </w:style>
  <w:style w:type="character" w:customStyle="1" w:styleId="297">
    <w:name w:val="标题 5 Char1"/>
    <w:qFormat/>
    <w:uiPriority w:val="0"/>
    <w:rPr>
      <w:rFonts w:eastAsia="宋体"/>
      <w:b/>
      <w:sz w:val="28"/>
      <w:lang w:val="en-US" w:eastAsia="zh-CN"/>
    </w:rPr>
  </w:style>
  <w:style w:type="character" w:customStyle="1" w:styleId="298">
    <w:name w:val="正文文字4 Char Char"/>
    <w:qFormat/>
    <w:uiPriority w:val="0"/>
    <w:rPr>
      <w:rFonts w:ascii="宋体" w:hAnsi="宋体" w:eastAsia="宋体"/>
      <w:spacing w:val="-6"/>
      <w:kern w:val="2"/>
      <w:sz w:val="21"/>
      <w:lang w:val="en-US" w:eastAsia="zh-CN"/>
    </w:rPr>
  </w:style>
  <w:style w:type="character" w:customStyle="1" w:styleId="299">
    <w:name w:val="z-窗体顶端 Char"/>
    <w:link w:val="300"/>
    <w:qFormat/>
    <w:uiPriority w:val="0"/>
    <w:rPr>
      <w:rFonts w:ascii="Arial" w:hAnsi="Arial"/>
      <w:vanish/>
      <w:sz w:val="16"/>
    </w:rPr>
  </w:style>
  <w:style w:type="paragraph" w:customStyle="1" w:styleId="300">
    <w:name w:val="z-窗体顶端1"/>
    <w:basedOn w:val="1"/>
    <w:next w:val="1"/>
    <w:link w:val="299"/>
    <w:qFormat/>
    <w:uiPriority w:val="0"/>
    <w:pPr>
      <w:pBdr>
        <w:bottom w:val="single" w:color="auto" w:sz="6" w:space="1"/>
      </w:pBdr>
      <w:jc w:val="center"/>
    </w:pPr>
    <w:rPr>
      <w:rFonts w:ascii="Arial" w:hAnsi="Arial" w:eastAsiaTheme="minorEastAsia" w:cstheme="minorBidi"/>
      <w:vanish/>
      <w:sz w:val="16"/>
      <w:szCs w:val="22"/>
    </w:rPr>
  </w:style>
  <w:style w:type="character" w:customStyle="1" w:styleId="301">
    <w:name w:val="正文文本 3 字符"/>
    <w:qFormat/>
    <w:uiPriority w:val="0"/>
    <w:rPr>
      <w:kern w:val="2"/>
      <w:sz w:val="16"/>
    </w:rPr>
  </w:style>
  <w:style w:type="character" w:customStyle="1" w:styleId="302">
    <w:name w:val="s81i"/>
    <w:qFormat/>
    <w:uiPriority w:val="0"/>
  </w:style>
  <w:style w:type="character" w:customStyle="1" w:styleId="303">
    <w:name w:val="正文缩进 字符"/>
    <w:link w:val="7"/>
    <w:qFormat/>
    <w:uiPriority w:val="0"/>
    <w:rPr>
      <w:rFonts w:eastAsia="宋体"/>
      <w:sz w:val="24"/>
    </w:rPr>
  </w:style>
  <w:style w:type="character" w:customStyle="1" w:styleId="304">
    <w:name w:val="Char Char23"/>
    <w:qFormat/>
    <w:uiPriority w:val="0"/>
    <w:rPr>
      <w:rFonts w:eastAsia="宋体"/>
      <w:b/>
      <w:kern w:val="44"/>
      <w:sz w:val="44"/>
      <w:lang w:val="en-US" w:eastAsia="zh-CN"/>
    </w:rPr>
  </w:style>
  <w:style w:type="character" w:customStyle="1" w:styleId="305">
    <w:name w:val="apple-converted-space"/>
    <w:qFormat/>
    <w:uiPriority w:val="0"/>
  </w:style>
  <w:style w:type="character" w:customStyle="1" w:styleId="306">
    <w:name w:val="highlight1"/>
    <w:qFormat/>
    <w:uiPriority w:val="0"/>
    <w:rPr>
      <w:color w:val="FF0000"/>
    </w:rPr>
  </w:style>
  <w:style w:type="character" w:customStyle="1" w:styleId="307">
    <w:name w:val="正文2 Char Char"/>
    <w:qFormat/>
    <w:uiPriority w:val="0"/>
    <w:rPr>
      <w:rFonts w:eastAsia="宋体"/>
      <w:kern w:val="2"/>
      <w:sz w:val="24"/>
      <w:lang w:val="en-US" w:eastAsia="zh-CN"/>
    </w:rPr>
  </w:style>
  <w:style w:type="character" w:customStyle="1" w:styleId="308">
    <w:name w:val="标题1"/>
    <w:qFormat/>
    <w:uiPriority w:val="0"/>
    <w:rPr>
      <w:b/>
      <w:sz w:val="28"/>
    </w:rPr>
  </w:style>
  <w:style w:type="character" w:customStyle="1" w:styleId="309">
    <w:name w:val="正文2 Char"/>
    <w:link w:val="310"/>
    <w:qFormat/>
    <w:uiPriority w:val="0"/>
    <w:rPr>
      <w:rFonts w:eastAsia="宋体"/>
      <w:sz w:val="24"/>
    </w:rPr>
  </w:style>
  <w:style w:type="paragraph" w:customStyle="1" w:styleId="310">
    <w:name w:val="正文2"/>
    <w:basedOn w:val="1"/>
    <w:next w:val="60"/>
    <w:link w:val="309"/>
    <w:qFormat/>
    <w:uiPriority w:val="0"/>
    <w:pPr>
      <w:spacing w:before="156" w:line="360" w:lineRule="auto"/>
      <w:ind w:firstLine="510" w:firstLineChars="200"/>
    </w:pPr>
    <w:rPr>
      <w:rFonts w:asciiTheme="minorHAnsi" w:hAnsiTheme="minorHAnsi" w:cstheme="minorBidi"/>
      <w:sz w:val="24"/>
      <w:szCs w:val="22"/>
    </w:rPr>
  </w:style>
  <w:style w:type="character" w:customStyle="1" w:styleId="311">
    <w:name w:val="HTML 定义1"/>
    <w:qFormat/>
    <w:uiPriority w:val="0"/>
    <w:rPr>
      <w:i/>
    </w:rPr>
  </w:style>
  <w:style w:type="character" w:customStyle="1" w:styleId="312">
    <w:name w:val="批注框文本 字符"/>
    <w:qFormat/>
    <w:uiPriority w:val="0"/>
    <w:rPr>
      <w:rFonts w:ascii="Times New Roman" w:hAnsi="Times New Roman" w:eastAsia="宋体"/>
      <w:kern w:val="2"/>
      <w:sz w:val="18"/>
    </w:rPr>
  </w:style>
  <w:style w:type="character" w:customStyle="1" w:styleId="313">
    <w:name w:val="75pk"/>
    <w:qFormat/>
    <w:uiPriority w:val="0"/>
  </w:style>
  <w:style w:type="character" w:customStyle="1" w:styleId="314">
    <w:name w:val="z-窗体底端 字符"/>
    <w:qFormat/>
    <w:uiPriority w:val="0"/>
    <w:rPr>
      <w:rFonts w:ascii="Arial" w:hAnsi="Arial"/>
      <w:vanish/>
      <w:kern w:val="2"/>
      <w:sz w:val="16"/>
    </w:rPr>
  </w:style>
  <w:style w:type="character" w:customStyle="1" w:styleId="315">
    <w:name w:val="页码1"/>
    <w:qFormat/>
    <w:uiPriority w:val="0"/>
  </w:style>
  <w:style w:type="character" w:customStyle="1" w:styleId="316">
    <w:name w:val="Char Char21"/>
    <w:qFormat/>
    <w:uiPriority w:val="0"/>
    <w:rPr>
      <w:rFonts w:eastAsia="楷体_GB2312"/>
      <w:kern w:val="2"/>
      <w:sz w:val="28"/>
      <w:lang w:val="en-US" w:eastAsia="zh-CN"/>
    </w:rPr>
  </w:style>
  <w:style w:type="character" w:customStyle="1" w:styleId="317">
    <w:name w:val="列出段落 字符"/>
    <w:qFormat/>
    <w:uiPriority w:val="0"/>
    <w:rPr>
      <w:kern w:val="2"/>
      <w:sz w:val="21"/>
    </w:rPr>
  </w:style>
  <w:style w:type="character" w:customStyle="1" w:styleId="318">
    <w:name w:val="批注文字 字符"/>
    <w:qFormat/>
    <w:uiPriority w:val="0"/>
    <w:rPr>
      <w:kern w:val="2"/>
      <w:sz w:val="28"/>
    </w:rPr>
  </w:style>
  <w:style w:type="character" w:customStyle="1" w:styleId="319">
    <w:name w:val="日期 Char2"/>
    <w:qFormat/>
    <w:uiPriority w:val="0"/>
    <w:rPr>
      <w:rFonts w:eastAsia="仿宋_GB2312"/>
      <w:b/>
      <w:sz w:val="28"/>
    </w:rPr>
  </w:style>
  <w:style w:type="character" w:customStyle="1" w:styleId="320">
    <w:name w:val="z-窗体顶端 Char1"/>
    <w:qFormat/>
    <w:uiPriority w:val="0"/>
    <w:rPr>
      <w:rFonts w:ascii="Arial" w:hAnsi="Arial"/>
      <w:vanish/>
      <w:sz w:val="16"/>
    </w:rPr>
  </w:style>
  <w:style w:type="paragraph" w:customStyle="1" w:styleId="321">
    <w:name w:val="z-窗体顶端2"/>
    <w:basedOn w:val="1"/>
    <w:next w:val="1"/>
    <w:link w:val="457"/>
    <w:qFormat/>
    <w:uiPriority w:val="0"/>
    <w:pPr>
      <w:pBdr>
        <w:bottom w:val="single" w:color="auto" w:sz="6" w:space="1"/>
      </w:pBdr>
      <w:jc w:val="center"/>
    </w:pPr>
    <w:rPr>
      <w:rFonts w:ascii="Arial" w:hAnsi="Arial" w:eastAsiaTheme="minorEastAsia" w:cstheme="minorBidi"/>
      <w:vanish/>
      <w:sz w:val="16"/>
      <w:szCs w:val="22"/>
    </w:rPr>
  </w:style>
  <w:style w:type="character" w:customStyle="1" w:styleId="322">
    <w:name w:val="标题 1 1 Char1"/>
    <w:qFormat/>
    <w:uiPriority w:val="0"/>
    <w:rPr>
      <w:rFonts w:ascii="Times New Roman" w:hAnsi="Times New Roman" w:eastAsia="宋体"/>
      <w:b/>
      <w:kern w:val="44"/>
      <w:sz w:val="44"/>
    </w:rPr>
  </w:style>
  <w:style w:type="character" w:customStyle="1" w:styleId="323">
    <w:name w:val="标题 8 Char1"/>
    <w:qFormat/>
    <w:uiPriority w:val="0"/>
    <w:rPr>
      <w:rFonts w:ascii="Arial" w:hAnsi="Arial" w:eastAsia="黑体"/>
      <w:sz w:val="24"/>
      <w:lang w:val="en-US" w:eastAsia="zh-CN"/>
    </w:rPr>
  </w:style>
  <w:style w:type="character" w:customStyle="1" w:styleId="324">
    <w:name w:val="font61"/>
    <w:qFormat/>
    <w:uiPriority w:val="0"/>
    <w:rPr>
      <w:rFonts w:hint="eastAsia" w:ascii="宋体" w:hAnsi="宋体" w:eastAsia="宋体" w:cs="宋体"/>
      <w:color w:val="000000"/>
      <w:sz w:val="20"/>
      <w:szCs w:val="20"/>
      <w:u w:val="none"/>
    </w:rPr>
  </w:style>
  <w:style w:type="character" w:customStyle="1" w:styleId="325">
    <w:name w:val="尾注文本 字符1"/>
    <w:basedOn w:val="90"/>
    <w:link w:val="53"/>
    <w:qFormat/>
    <w:uiPriority w:val="0"/>
  </w:style>
  <w:style w:type="character" w:customStyle="1" w:styleId="326">
    <w:name w:val="电子邮件签名 字符1"/>
    <w:basedOn w:val="90"/>
    <w:link w:val="20"/>
    <w:qFormat/>
    <w:uiPriority w:val="0"/>
  </w:style>
  <w:style w:type="character" w:customStyle="1" w:styleId="327">
    <w:name w:val="正文文本 2 字符1"/>
    <w:basedOn w:val="90"/>
    <w:link w:val="77"/>
    <w:qFormat/>
    <w:uiPriority w:val="0"/>
  </w:style>
  <w:style w:type="character" w:customStyle="1" w:styleId="328">
    <w:name w:val="正文文本 Char3"/>
    <w:basedOn w:val="90"/>
    <w:semiHidden/>
    <w:qFormat/>
    <w:uiPriority w:val="99"/>
    <w:rPr>
      <w:rFonts w:ascii="Calibri" w:hAnsi="Calibri" w:eastAsia="宋体" w:cs="Times New Roman"/>
      <w:sz w:val="28"/>
      <w:szCs w:val="20"/>
    </w:rPr>
  </w:style>
  <w:style w:type="character" w:customStyle="1" w:styleId="329">
    <w:name w:val="日期 字符"/>
    <w:basedOn w:val="90"/>
    <w:link w:val="51"/>
    <w:qFormat/>
    <w:uiPriority w:val="0"/>
    <w:rPr>
      <w:rFonts w:eastAsia="仿宋_GB2312"/>
      <w:b/>
      <w:sz w:val="28"/>
    </w:rPr>
  </w:style>
  <w:style w:type="character" w:customStyle="1" w:styleId="330">
    <w:name w:val="纯文本 字符1"/>
    <w:basedOn w:val="90"/>
    <w:link w:val="46"/>
    <w:qFormat/>
    <w:uiPriority w:val="0"/>
    <w:rPr>
      <w:rFonts w:ascii="宋体" w:hAnsi="Courier New" w:eastAsia="宋体"/>
    </w:rPr>
  </w:style>
  <w:style w:type="character" w:customStyle="1" w:styleId="331">
    <w:name w:val="结束语 字符1"/>
    <w:basedOn w:val="90"/>
    <w:link w:val="32"/>
    <w:qFormat/>
    <w:uiPriority w:val="0"/>
  </w:style>
  <w:style w:type="character" w:customStyle="1" w:styleId="332">
    <w:name w:val="注释标题 字符1"/>
    <w:basedOn w:val="90"/>
    <w:link w:val="17"/>
    <w:qFormat/>
    <w:uiPriority w:val="0"/>
  </w:style>
  <w:style w:type="character" w:customStyle="1" w:styleId="333">
    <w:name w:val="正文文本缩进 2 字符1"/>
    <w:basedOn w:val="90"/>
    <w:link w:val="52"/>
    <w:qFormat/>
    <w:uiPriority w:val="0"/>
    <w:rPr>
      <w:rFonts w:ascii="黑体" w:eastAsia="黑体"/>
      <w:sz w:val="28"/>
    </w:rPr>
  </w:style>
  <w:style w:type="character" w:customStyle="1" w:styleId="334">
    <w:name w:val="文档结构图 字符1"/>
    <w:basedOn w:val="90"/>
    <w:link w:val="26"/>
    <w:qFormat/>
    <w:uiPriority w:val="0"/>
    <w:rPr>
      <w:sz w:val="28"/>
      <w:shd w:val="clear" w:color="auto" w:fill="000080"/>
    </w:rPr>
  </w:style>
  <w:style w:type="character" w:customStyle="1" w:styleId="335">
    <w:name w:val="正文文本缩进 Char3"/>
    <w:basedOn w:val="90"/>
    <w:semiHidden/>
    <w:qFormat/>
    <w:uiPriority w:val="99"/>
    <w:rPr>
      <w:rFonts w:ascii="Calibri" w:hAnsi="Calibri" w:eastAsia="宋体" w:cs="Times New Roman"/>
      <w:sz w:val="28"/>
      <w:szCs w:val="20"/>
    </w:rPr>
  </w:style>
  <w:style w:type="character" w:customStyle="1" w:styleId="336">
    <w:name w:val="宏文本 字符1"/>
    <w:basedOn w:val="90"/>
    <w:link w:val="3"/>
    <w:qFormat/>
    <w:uiPriority w:val="0"/>
    <w:rPr>
      <w:rFonts w:ascii="Courier New" w:hAnsi="Courier New"/>
      <w:sz w:val="24"/>
    </w:rPr>
  </w:style>
  <w:style w:type="character" w:customStyle="1" w:styleId="337">
    <w:name w:val="HTML 地址 字符1"/>
    <w:basedOn w:val="90"/>
    <w:link w:val="42"/>
    <w:qFormat/>
    <w:uiPriority w:val="0"/>
    <w:rPr>
      <w:i/>
    </w:rPr>
  </w:style>
  <w:style w:type="character" w:customStyle="1" w:styleId="338">
    <w:name w:val="正文文本首行缩进 字符"/>
    <w:basedOn w:val="328"/>
    <w:link w:val="87"/>
    <w:qFormat/>
    <w:uiPriority w:val="0"/>
    <w:rPr>
      <w:rFonts w:ascii="等线" w:hAnsi="等线" w:eastAsia="等线" w:cs="Times New Roman"/>
      <w:sz w:val="28"/>
      <w:szCs w:val="20"/>
    </w:rPr>
  </w:style>
  <w:style w:type="character" w:customStyle="1" w:styleId="339">
    <w:name w:val="正文文本首行缩进 2 字符"/>
    <w:basedOn w:val="335"/>
    <w:link w:val="36"/>
    <w:qFormat/>
    <w:uiPriority w:val="0"/>
    <w:rPr>
      <w:rFonts w:ascii="等线" w:hAnsi="等线" w:eastAsia="等线" w:cs="Times New Roman"/>
      <w:sz w:val="28"/>
      <w:szCs w:val="20"/>
    </w:rPr>
  </w:style>
  <w:style w:type="character" w:customStyle="1" w:styleId="340">
    <w:name w:val="标题 字符"/>
    <w:basedOn w:val="90"/>
    <w:link w:val="85"/>
    <w:qFormat/>
    <w:uiPriority w:val="0"/>
    <w:rPr>
      <w:b/>
      <w:sz w:val="24"/>
      <w:lang w:val="en-GB"/>
    </w:rPr>
  </w:style>
  <w:style w:type="character" w:customStyle="1" w:styleId="341">
    <w:name w:val="批注框文本 字符1"/>
    <w:basedOn w:val="90"/>
    <w:link w:val="55"/>
    <w:qFormat/>
    <w:uiPriority w:val="99"/>
    <w:rPr>
      <w:sz w:val="18"/>
    </w:rPr>
  </w:style>
  <w:style w:type="character" w:customStyle="1" w:styleId="342">
    <w:name w:val="称呼 字符1"/>
    <w:basedOn w:val="90"/>
    <w:link w:val="30"/>
    <w:qFormat/>
    <w:uiPriority w:val="0"/>
    <w:rPr>
      <w:rFonts w:ascii="宋体"/>
      <w:sz w:val="28"/>
    </w:rPr>
  </w:style>
  <w:style w:type="character" w:customStyle="1" w:styleId="343">
    <w:name w:val="批注文字 Char2"/>
    <w:basedOn w:val="90"/>
    <w:semiHidden/>
    <w:qFormat/>
    <w:uiPriority w:val="99"/>
    <w:rPr>
      <w:rFonts w:ascii="Calibri" w:hAnsi="Calibri" w:eastAsia="宋体" w:cs="Times New Roman"/>
      <w:sz w:val="28"/>
      <w:szCs w:val="20"/>
    </w:rPr>
  </w:style>
  <w:style w:type="character" w:customStyle="1" w:styleId="344">
    <w:name w:val="正文文本缩进 3 字符1"/>
    <w:basedOn w:val="90"/>
    <w:link w:val="71"/>
    <w:qFormat/>
    <w:uiPriority w:val="0"/>
    <w:rPr>
      <w:sz w:val="28"/>
    </w:rPr>
  </w:style>
  <w:style w:type="character" w:customStyle="1" w:styleId="345">
    <w:name w:val="签名 字符1"/>
    <w:basedOn w:val="90"/>
    <w:link w:val="59"/>
    <w:qFormat/>
    <w:uiPriority w:val="0"/>
  </w:style>
  <w:style w:type="character" w:customStyle="1" w:styleId="346">
    <w:name w:val="正文文本 3 字符1"/>
    <w:basedOn w:val="90"/>
    <w:link w:val="31"/>
    <w:qFormat/>
    <w:uiPriority w:val="0"/>
    <w:rPr>
      <w:sz w:val="16"/>
    </w:rPr>
  </w:style>
  <w:style w:type="character" w:customStyle="1" w:styleId="347">
    <w:name w:val="副标题 字符1"/>
    <w:basedOn w:val="90"/>
    <w:link w:val="65"/>
    <w:qFormat/>
    <w:uiPriority w:val="0"/>
    <w:rPr>
      <w:rFonts w:ascii="Cambria" w:hAnsi="Cambria"/>
      <w:b/>
      <w:kern w:val="28"/>
      <w:sz w:val="32"/>
    </w:rPr>
  </w:style>
  <w:style w:type="character" w:customStyle="1" w:styleId="348">
    <w:name w:val="脚注文本 字符1"/>
    <w:basedOn w:val="90"/>
    <w:link w:val="68"/>
    <w:qFormat/>
    <w:uiPriority w:val="0"/>
    <w:rPr>
      <w:sz w:val="18"/>
    </w:rPr>
  </w:style>
  <w:style w:type="character" w:customStyle="1" w:styleId="349">
    <w:name w:val="信息标题 字符1"/>
    <w:basedOn w:val="90"/>
    <w:link w:val="80"/>
    <w:qFormat/>
    <w:uiPriority w:val="0"/>
    <w:rPr>
      <w:rFonts w:ascii="Arial" w:hAnsi="Arial"/>
      <w:sz w:val="24"/>
      <w:shd w:val="pct20" w:color="auto" w:fill="auto"/>
    </w:rPr>
  </w:style>
  <w:style w:type="character" w:customStyle="1" w:styleId="350">
    <w:name w:val="HTML 预设格式 字符"/>
    <w:basedOn w:val="90"/>
    <w:link w:val="81"/>
    <w:qFormat/>
    <w:uiPriority w:val="0"/>
    <w:rPr>
      <w:rFonts w:ascii="黑体" w:hAnsi="Courier New" w:eastAsia="黑体"/>
    </w:rPr>
  </w:style>
  <w:style w:type="character" w:customStyle="1" w:styleId="351">
    <w:name w:val="批注主题 字符1"/>
    <w:basedOn w:val="343"/>
    <w:link w:val="86"/>
    <w:qFormat/>
    <w:uiPriority w:val="0"/>
    <w:rPr>
      <w:rFonts w:ascii="Calibri" w:hAnsi="Calibri" w:eastAsia="宋体" w:cs="Times New Roman"/>
      <w:b/>
      <w:sz w:val="28"/>
      <w:szCs w:val="20"/>
    </w:rPr>
  </w:style>
  <w:style w:type="paragraph" w:customStyle="1" w:styleId="352">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kern w:val="0"/>
      <w:sz w:val="24"/>
    </w:rPr>
  </w:style>
  <w:style w:type="paragraph" w:customStyle="1" w:styleId="353">
    <w:name w:val="xl39"/>
    <w:basedOn w:val="1"/>
    <w:qFormat/>
    <w:uiPriority w:val="0"/>
    <w:pPr>
      <w:widowControl/>
      <w:pBdr>
        <w:bottom w:val="single" w:color="auto" w:sz="8" w:space="0"/>
      </w:pBdr>
      <w:spacing w:before="100" w:beforeAutospacing="1" w:after="100" w:afterAutospacing="1"/>
    </w:pPr>
    <w:rPr>
      <w:rFonts w:ascii="Arial Unicode MS" w:hAnsi="Arial Unicode MS" w:eastAsia="Arial Unicode MS"/>
      <w:kern w:val="0"/>
      <w:sz w:val="24"/>
    </w:rPr>
  </w:style>
  <w:style w:type="paragraph" w:customStyle="1" w:styleId="354">
    <w:name w:val="6'"/>
    <w:basedOn w:val="1"/>
    <w:qFormat/>
    <w:uiPriority w:val="0"/>
    <w:pPr>
      <w:autoSpaceDE w:val="0"/>
      <w:autoSpaceDN w:val="0"/>
      <w:adjustRightInd w:val="0"/>
      <w:snapToGrid w:val="0"/>
      <w:spacing w:line="320" w:lineRule="exact"/>
      <w:textAlignment w:val="baseline"/>
    </w:pPr>
    <w:rPr>
      <w:spacing w:val="20"/>
      <w:kern w:val="28"/>
      <w:sz w:val="21"/>
    </w:rPr>
  </w:style>
  <w:style w:type="paragraph" w:customStyle="1" w:styleId="355">
    <w:name w:val="正文A"/>
    <w:qFormat/>
    <w:uiPriority w:val="0"/>
    <w:pPr>
      <w:tabs>
        <w:tab w:val="left" w:pos="0"/>
      </w:tabs>
      <w:adjustRightInd w:val="0"/>
      <w:spacing w:before="120" w:line="360" w:lineRule="auto"/>
      <w:ind w:firstLine="480"/>
      <w:jc w:val="both"/>
    </w:pPr>
    <w:rPr>
      <w:rFonts w:ascii="Calibri" w:hAnsi="Calibri" w:eastAsia="宋体" w:cs="Times New Roman"/>
      <w:snapToGrid w:val="0"/>
      <w:sz w:val="24"/>
      <w:lang w:val="en-US" w:eastAsia="zh-CN" w:bidi="ar-SA"/>
    </w:rPr>
  </w:style>
  <w:style w:type="paragraph" w:customStyle="1" w:styleId="356">
    <w:name w:val="三级条标题"/>
    <w:basedOn w:val="357"/>
    <w:next w:val="358"/>
    <w:qFormat/>
    <w:uiPriority w:val="0"/>
    <w:pPr>
      <w:tabs>
        <w:tab w:val="left" w:pos="360"/>
        <w:tab w:val="left" w:pos="720"/>
        <w:tab w:val="left" w:pos="3600"/>
      </w:tabs>
      <w:ind w:left="2100" w:hanging="420"/>
      <w:jc w:val="left"/>
      <w:outlineLvl w:val="4"/>
    </w:pPr>
    <w:rPr>
      <w:rFonts w:ascii="Times New Roman"/>
      <w:sz w:val="20"/>
    </w:rPr>
  </w:style>
  <w:style w:type="paragraph" w:customStyle="1" w:styleId="357">
    <w:name w:val="二级条标题"/>
    <w:basedOn w:val="1"/>
    <w:next w:val="358"/>
    <w:qFormat/>
    <w:uiPriority w:val="0"/>
    <w:pPr>
      <w:widowControl/>
      <w:tabs>
        <w:tab w:val="left" w:pos="360"/>
      </w:tabs>
      <w:outlineLvl w:val="3"/>
    </w:pPr>
    <w:rPr>
      <w:rFonts w:ascii="黑体" w:eastAsia="黑体"/>
      <w:kern w:val="0"/>
      <w:sz w:val="21"/>
    </w:rPr>
  </w:style>
  <w:style w:type="paragraph" w:customStyle="1" w:styleId="358">
    <w:name w:val="段"/>
    <w:qFormat/>
    <w:uiPriority w:val="0"/>
    <w:pPr>
      <w:ind w:firstLine="200" w:firstLineChars="200"/>
      <w:jc w:val="both"/>
    </w:pPr>
    <w:rPr>
      <w:rFonts w:ascii="宋体" w:hAnsi="Calibri" w:eastAsia="宋体" w:cs="Times New Roman"/>
      <w:sz w:val="21"/>
      <w:lang w:val="en-US" w:eastAsia="zh-CN" w:bidi="ar-SA"/>
    </w:rPr>
  </w:style>
  <w:style w:type="paragraph" w:customStyle="1" w:styleId="359">
    <w:name w:val="reader-word-layer"/>
    <w:basedOn w:val="1"/>
    <w:qFormat/>
    <w:uiPriority w:val="0"/>
    <w:pPr>
      <w:widowControl/>
      <w:spacing w:before="100" w:beforeAutospacing="1" w:after="100" w:afterAutospacing="1"/>
      <w:jc w:val="left"/>
    </w:pPr>
    <w:rPr>
      <w:rFonts w:ascii="宋体" w:hAnsi="宋体"/>
      <w:kern w:val="0"/>
      <w:sz w:val="24"/>
    </w:rPr>
  </w:style>
  <w:style w:type="paragraph" w:customStyle="1" w:styleId="360">
    <w:name w:val="样式 居中"/>
    <w:basedOn w:val="1"/>
    <w:qFormat/>
    <w:uiPriority w:val="0"/>
    <w:pPr>
      <w:spacing w:line="360" w:lineRule="auto"/>
      <w:jc w:val="center"/>
    </w:pPr>
    <w:rPr>
      <w:sz w:val="21"/>
    </w:rPr>
  </w:style>
  <w:style w:type="paragraph" w:customStyle="1" w:styleId="361">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2">
    <w:name w:val="正文文本缩进1"/>
    <w:basedOn w:val="1"/>
    <w:qFormat/>
    <w:uiPriority w:val="0"/>
    <w:pPr>
      <w:spacing w:after="120"/>
      <w:ind w:left="420" w:leftChars="200"/>
    </w:pPr>
    <w:rPr>
      <w:sz w:val="21"/>
    </w:rPr>
  </w:style>
  <w:style w:type="paragraph" w:customStyle="1" w:styleId="363">
    <w:name w:val="编号列项（三级）"/>
    <w:qFormat/>
    <w:uiPriority w:val="0"/>
    <w:pPr>
      <w:ind w:left="800" w:leftChars="600" w:hanging="200" w:hangingChars="200"/>
    </w:pPr>
    <w:rPr>
      <w:rFonts w:ascii="宋体" w:hAnsi="Calibri" w:eastAsia="宋体" w:cs="Times New Roman"/>
      <w:lang w:val="en-US" w:eastAsia="zh-CN" w:bidi="ar-SA"/>
    </w:rPr>
  </w:style>
  <w:style w:type="paragraph" w:customStyle="1" w:styleId="364">
    <w:name w:val="正文文本缩进 21"/>
    <w:basedOn w:val="1"/>
    <w:qFormat/>
    <w:uiPriority w:val="0"/>
    <w:pPr>
      <w:adjustRightInd w:val="0"/>
      <w:spacing w:line="400" w:lineRule="atLeast"/>
      <w:ind w:firstLine="540"/>
      <w:textAlignment w:val="baseline"/>
    </w:pPr>
    <w:rPr>
      <w:rFonts w:ascii="宋体"/>
      <w:kern w:val="0"/>
      <w:sz w:val="24"/>
    </w:rPr>
  </w:style>
  <w:style w:type="paragraph" w:customStyle="1" w:styleId="365">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66">
    <w:name w:val="表名A"/>
    <w:basedOn w:val="1"/>
    <w:qFormat/>
    <w:uiPriority w:val="0"/>
    <w:pPr>
      <w:widowControl/>
      <w:tabs>
        <w:tab w:val="left" w:pos="0"/>
      </w:tabs>
      <w:adjustRightInd w:val="0"/>
      <w:snapToGrid w:val="0"/>
      <w:spacing w:beforeLines="80" w:afterLines="20"/>
    </w:pPr>
    <w:rPr>
      <w:b/>
      <w:snapToGrid w:val="0"/>
      <w:kern w:val="0"/>
      <w:sz w:val="21"/>
    </w:rPr>
  </w:style>
  <w:style w:type="paragraph" w:customStyle="1" w:styleId="367">
    <w:name w:val="样式 正文（首行缩进两字） + 首行缩进:  2 字符"/>
    <w:basedOn w:val="7"/>
    <w:qFormat/>
    <w:uiPriority w:val="0"/>
    <w:pPr>
      <w:widowControl w:val="0"/>
      <w:autoSpaceDE w:val="0"/>
      <w:autoSpaceDN w:val="0"/>
      <w:adjustRightInd w:val="0"/>
      <w:spacing w:line="460" w:lineRule="exact"/>
      <w:ind w:firstLine="536"/>
    </w:pPr>
    <w:rPr>
      <w:rFonts w:hint="eastAsia" w:ascii="宋体"/>
      <w:spacing w:val="6"/>
      <w:kern w:val="24"/>
    </w:rPr>
  </w:style>
  <w:style w:type="paragraph" w:customStyle="1" w:styleId="368">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6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0">
    <w:name w:val="xl5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color w:val="FF0000"/>
      <w:kern w:val="0"/>
      <w:sz w:val="20"/>
    </w:rPr>
  </w:style>
  <w:style w:type="paragraph" w:customStyle="1" w:styleId="371">
    <w:name w:val="文档结构图1"/>
    <w:basedOn w:val="1"/>
    <w:qFormat/>
    <w:uiPriority w:val="0"/>
    <w:pPr>
      <w:shd w:val="clear" w:color="auto" w:fill="000080"/>
    </w:pPr>
    <w:rPr>
      <w:kern w:val="0"/>
      <w:sz w:val="20"/>
      <w:shd w:val="clear" w:color="auto" w:fill="000080"/>
    </w:rPr>
  </w:style>
  <w:style w:type="paragraph" w:customStyle="1" w:styleId="372">
    <w:name w:val="简单回函地址"/>
    <w:basedOn w:val="1"/>
    <w:qFormat/>
    <w:uiPriority w:val="0"/>
    <w:pPr>
      <w:adjustRightInd w:val="0"/>
      <w:spacing w:line="312" w:lineRule="atLeast"/>
      <w:textAlignment w:val="baseline"/>
    </w:pPr>
    <w:rPr>
      <w:kern w:val="0"/>
      <w:sz w:val="21"/>
    </w:rPr>
  </w:style>
  <w:style w:type="paragraph" w:customStyle="1" w:styleId="373">
    <w:name w:val="Char Char Char Char Char Char3 Char Char Char Char Char Char Char"/>
    <w:basedOn w:val="1"/>
    <w:next w:val="1"/>
    <w:qFormat/>
    <w:uiPriority w:val="0"/>
    <w:rPr>
      <w:rFonts w:eastAsia="黑体"/>
    </w:rPr>
  </w:style>
  <w:style w:type="paragraph" w:customStyle="1" w:styleId="374">
    <w:name w:val="彩色列表 - 强调文字颜色 11"/>
    <w:basedOn w:val="1"/>
    <w:qFormat/>
    <w:uiPriority w:val="0"/>
    <w:pPr>
      <w:spacing w:before="100" w:beforeAutospacing="1" w:after="100" w:afterAutospacing="1" w:line="300" w:lineRule="auto"/>
      <w:ind w:firstLine="420" w:firstLineChars="200"/>
    </w:pPr>
    <w:rPr>
      <w:sz w:val="21"/>
    </w:rPr>
  </w:style>
  <w:style w:type="paragraph" w:customStyle="1" w:styleId="375">
    <w:name w:val="0"/>
    <w:basedOn w:val="1"/>
    <w:qFormat/>
    <w:uiPriority w:val="0"/>
    <w:pPr>
      <w:widowControl/>
    </w:pPr>
    <w:rPr>
      <w:kern w:val="0"/>
      <w:sz w:val="21"/>
    </w:rPr>
  </w:style>
  <w:style w:type="paragraph" w:customStyle="1" w:styleId="376">
    <w:name w:val="正文21"/>
    <w:basedOn w:val="1"/>
    <w:qFormat/>
    <w:uiPriority w:val="0"/>
    <w:pPr>
      <w:adjustRightInd w:val="0"/>
      <w:spacing w:line="420" w:lineRule="atLeast"/>
      <w:textAlignment w:val="baseline"/>
    </w:pPr>
    <w:rPr>
      <w:kern w:val="0"/>
      <w:sz w:val="21"/>
    </w:rPr>
  </w:style>
  <w:style w:type="paragraph" w:customStyle="1" w:styleId="377">
    <w:name w:val="标准书脚_偶数页"/>
    <w:qFormat/>
    <w:uiPriority w:val="0"/>
    <w:pPr>
      <w:spacing w:before="120"/>
    </w:pPr>
    <w:rPr>
      <w:rFonts w:ascii="Calibri" w:hAnsi="Calibri" w:eastAsia="宋体" w:cs="Times New Roman"/>
      <w:sz w:val="18"/>
      <w:lang w:val="en-US" w:eastAsia="zh-CN" w:bidi="ar-SA"/>
    </w:rPr>
  </w:style>
  <w:style w:type="paragraph" w:customStyle="1" w:styleId="378">
    <w:name w:val="目次、索引正文"/>
    <w:qFormat/>
    <w:uiPriority w:val="0"/>
    <w:pPr>
      <w:spacing w:line="320" w:lineRule="exact"/>
      <w:jc w:val="both"/>
    </w:pPr>
    <w:rPr>
      <w:rFonts w:ascii="宋体" w:hAnsi="Calibri" w:eastAsia="宋体" w:cs="Times New Roman"/>
      <w:lang w:val="en-US" w:eastAsia="zh-CN" w:bidi="ar-SA"/>
    </w:rPr>
  </w:style>
  <w:style w:type="paragraph" w:customStyle="1" w:styleId="379">
    <w:name w:val="网格表 31"/>
    <w:basedOn w:val="2"/>
    <w:next w:val="1"/>
    <w:qFormat/>
    <w:uiPriority w:val="0"/>
    <w:pPr>
      <w:keepLines/>
      <w:spacing w:before="480" w:line="276" w:lineRule="auto"/>
      <w:jc w:val="left"/>
      <w:outlineLvl w:val="9"/>
    </w:pPr>
    <w:rPr>
      <w:rFonts w:ascii="Cambria" w:hAnsi="Cambria"/>
      <w:color w:val="365F91"/>
      <w:sz w:val="28"/>
    </w:rPr>
  </w:style>
  <w:style w:type="character" w:customStyle="1" w:styleId="380">
    <w:name w:val="z-窗体底端 Char1"/>
    <w:basedOn w:val="90"/>
    <w:link w:val="215"/>
    <w:qFormat/>
    <w:uiPriority w:val="0"/>
    <w:rPr>
      <w:rFonts w:ascii="Arial" w:hAnsi="Arial"/>
      <w:vanish/>
      <w:sz w:val="16"/>
    </w:rPr>
  </w:style>
  <w:style w:type="paragraph" w:customStyle="1" w:styleId="381">
    <w:name w:val="正文表标题"/>
    <w:next w:val="358"/>
    <w:qFormat/>
    <w:uiPriority w:val="0"/>
    <w:pPr>
      <w:jc w:val="center"/>
    </w:pPr>
    <w:rPr>
      <w:rFonts w:ascii="黑体" w:hAnsi="Calibri" w:eastAsia="黑体" w:cs="Times New Roman"/>
      <w:sz w:val="21"/>
      <w:lang w:val="en-US" w:eastAsia="zh-CN" w:bidi="ar-SA"/>
    </w:rPr>
  </w:style>
  <w:style w:type="paragraph" w:customStyle="1" w:styleId="382">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u w:color="000000"/>
    </w:rPr>
  </w:style>
  <w:style w:type="paragraph" w:customStyle="1" w:styleId="38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84">
    <w:name w:val="网格表 32"/>
    <w:basedOn w:val="2"/>
    <w:next w:val="1"/>
    <w:qFormat/>
    <w:uiPriority w:val="0"/>
    <w:pPr>
      <w:keepLines/>
      <w:spacing w:before="480" w:line="276" w:lineRule="auto"/>
      <w:jc w:val="left"/>
      <w:outlineLvl w:val="9"/>
    </w:pPr>
    <w:rPr>
      <w:rFonts w:ascii="等线 Light" w:hAnsi="等线 Light" w:eastAsia="等线 Light"/>
      <w:color w:val="2E74B5"/>
      <w:sz w:val="28"/>
    </w:rPr>
  </w:style>
  <w:style w:type="paragraph" w:customStyle="1" w:styleId="385">
    <w:name w:val="四级条标题"/>
    <w:basedOn w:val="356"/>
    <w:next w:val="358"/>
    <w:qFormat/>
    <w:uiPriority w:val="0"/>
    <w:pPr>
      <w:ind w:left="0" w:firstLine="0"/>
      <w:outlineLvl w:val="5"/>
    </w:pPr>
  </w:style>
  <w:style w:type="paragraph" w:customStyle="1" w:styleId="386">
    <w:name w:val="xl5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18"/>
    </w:rPr>
  </w:style>
  <w:style w:type="paragraph" w:customStyle="1" w:styleId="387">
    <w:name w:val="font8"/>
    <w:basedOn w:val="1"/>
    <w:qFormat/>
    <w:uiPriority w:val="0"/>
    <w:pPr>
      <w:widowControl/>
      <w:spacing w:before="100" w:beforeAutospacing="1" w:after="100" w:afterAutospacing="1"/>
    </w:pPr>
    <w:rPr>
      <w:rFonts w:eastAsia="Arial Unicode MS"/>
      <w:kern w:val="0"/>
      <w:sz w:val="24"/>
    </w:rPr>
  </w:style>
  <w:style w:type="paragraph" w:customStyle="1" w:styleId="388">
    <w:name w:val="xl2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Arial Unicode MS" w:hAnsi="Arial Unicode MS" w:eastAsia="Arial Unicode MS"/>
      <w:kern w:val="0"/>
      <w:sz w:val="24"/>
    </w:rPr>
  </w:style>
  <w:style w:type="paragraph" w:customStyle="1" w:styleId="389">
    <w:name w:val="彩色列表 - 着色 11"/>
    <w:basedOn w:val="1"/>
    <w:qFormat/>
    <w:uiPriority w:val="0"/>
    <w:pPr>
      <w:widowControl/>
      <w:ind w:firstLine="420" w:firstLineChars="200"/>
      <w:jc w:val="left"/>
    </w:pPr>
    <w:rPr>
      <w:rFonts w:ascii="宋体" w:hAnsi="宋体"/>
      <w:kern w:val="0"/>
      <w:sz w:val="24"/>
    </w:rPr>
  </w:style>
  <w:style w:type="paragraph" w:customStyle="1" w:styleId="390">
    <w:name w:val="Char Char20"/>
    <w:basedOn w:val="1"/>
    <w:qFormat/>
    <w:uiPriority w:val="0"/>
    <w:pPr>
      <w:snapToGrid w:val="0"/>
      <w:spacing w:afterLines="30" w:line="360" w:lineRule="auto"/>
      <w:ind w:firstLine="200" w:firstLineChars="200"/>
    </w:pPr>
    <w:rPr>
      <w:sz w:val="21"/>
    </w:rPr>
  </w:style>
  <w:style w:type="paragraph" w:customStyle="1" w:styleId="391">
    <w:name w:val="附录一级条标题"/>
    <w:basedOn w:val="392"/>
    <w:next w:val="358"/>
    <w:qFormat/>
    <w:uiPriority w:val="0"/>
    <w:pPr>
      <w:tabs>
        <w:tab w:val="left" w:pos="720"/>
        <w:tab w:val="left" w:pos="840"/>
        <w:tab w:val="left" w:pos="1440"/>
      </w:tabs>
      <w:autoSpaceDN w:val="0"/>
      <w:ind w:left="0" w:firstLine="0"/>
      <w:outlineLvl w:val="2"/>
    </w:pPr>
  </w:style>
  <w:style w:type="paragraph" w:customStyle="1" w:styleId="392">
    <w:name w:val="附录章标题"/>
    <w:next w:val="358"/>
    <w:qFormat/>
    <w:uiPriority w:val="0"/>
    <w:pPr>
      <w:tabs>
        <w:tab w:val="left" w:pos="720"/>
        <w:tab w:val="left" w:pos="1440"/>
      </w:tabs>
      <w:wordWrap w:val="0"/>
      <w:overflowPunct w:val="0"/>
      <w:autoSpaceDE w:val="0"/>
      <w:spacing w:beforeLines="50" w:afterLines="50"/>
      <w:ind w:left="840" w:hanging="420"/>
      <w:jc w:val="both"/>
      <w:textAlignment w:val="baseline"/>
      <w:outlineLvl w:val="1"/>
    </w:pPr>
    <w:rPr>
      <w:rFonts w:ascii="黑体" w:hAnsi="Calibri" w:eastAsia="黑体" w:cs="Times New Roman"/>
      <w:kern w:val="21"/>
      <w:lang w:val="en-US" w:eastAsia="zh-CN" w:bidi="ar-SA"/>
    </w:rPr>
  </w:style>
  <w:style w:type="paragraph" w:customStyle="1" w:styleId="393">
    <w:name w:val="表格3"/>
    <w:basedOn w:val="1"/>
    <w:qFormat/>
    <w:uiPriority w:val="0"/>
    <w:pPr>
      <w:adjustRightInd w:val="0"/>
      <w:spacing w:line="420" w:lineRule="atLeast"/>
      <w:textAlignment w:val="baseline"/>
    </w:pPr>
    <w:rPr>
      <w:rFonts w:eastAsia="楷体"/>
      <w:kern w:val="0"/>
      <w:sz w:val="21"/>
    </w:rPr>
  </w:style>
  <w:style w:type="paragraph" w:customStyle="1" w:styleId="394">
    <w:name w:val="样式 一号 加粗 居中"/>
    <w:basedOn w:val="1"/>
    <w:qFormat/>
    <w:uiPriority w:val="0"/>
    <w:pPr>
      <w:jc w:val="center"/>
    </w:pPr>
    <w:rPr>
      <w:sz w:val="52"/>
    </w:rPr>
  </w:style>
  <w:style w:type="paragraph" w:customStyle="1" w:styleId="395">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b/>
      <w:kern w:val="0"/>
      <w:sz w:val="24"/>
    </w:rPr>
  </w:style>
  <w:style w:type="paragraph" w:customStyle="1" w:styleId="396">
    <w:name w:val="字母编号列项（一级）"/>
    <w:qFormat/>
    <w:uiPriority w:val="0"/>
    <w:pPr>
      <w:ind w:left="840" w:leftChars="200" w:hanging="420" w:hangingChars="200"/>
      <w:jc w:val="both"/>
    </w:pPr>
    <w:rPr>
      <w:rFonts w:ascii="宋体" w:hAnsi="Calibri" w:eastAsia="宋体" w:cs="Times New Roman"/>
      <w:lang w:val="en-US" w:eastAsia="zh-CN" w:bidi="ar-SA"/>
    </w:rPr>
  </w:style>
  <w:style w:type="paragraph" w:customStyle="1" w:styleId="397">
    <w:name w:val="aspnumfaautoadjustrightr"/>
    <w:qFormat/>
    <w:uiPriority w:val="0"/>
    <w:pPr>
      <w:widowControl w:val="0"/>
      <w:autoSpaceDE w:val="0"/>
      <w:autoSpaceDN w:val="0"/>
      <w:adjustRightInd w:val="0"/>
      <w:ind w:firstLine="720"/>
      <w:jc w:val="both"/>
    </w:pPr>
    <w:rPr>
      <w:rFonts w:ascii="Calibri" w:hAnsi="Calibri" w:eastAsia="宋体" w:cs="Times New Roman"/>
      <w:lang w:val="en-US" w:eastAsia="zh-CN" w:bidi="ar-SA"/>
    </w:rPr>
  </w:style>
  <w:style w:type="paragraph" w:customStyle="1" w:styleId="398">
    <w:name w:val="表格文字居中"/>
    <w:basedOn w:val="1"/>
    <w:qFormat/>
    <w:uiPriority w:val="0"/>
    <w:pPr>
      <w:adjustRightInd w:val="0"/>
      <w:snapToGrid w:val="0"/>
      <w:textAlignment w:val="center"/>
    </w:pPr>
    <w:rPr>
      <w:rFonts w:ascii="宋体"/>
      <w:snapToGrid w:val="0"/>
      <w:spacing w:val="12"/>
      <w:kern w:val="0"/>
      <w:sz w:val="21"/>
    </w:rPr>
  </w:style>
  <w:style w:type="paragraph" w:customStyle="1" w:styleId="399">
    <w:name w:val="p0"/>
    <w:basedOn w:val="1"/>
    <w:qFormat/>
    <w:uiPriority w:val="0"/>
    <w:pPr>
      <w:widowControl/>
      <w:spacing w:before="100" w:beforeAutospacing="1" w:after="100" w:afterAutospacing="1"/>
      <w:jc w:val="left"/>
    </w:pPr>
    <w:rPr>
      <w:rFonts w:ascii="宋体" w:hAnsi="宋体"/>
      <w:kern w:val="0"/>
      <w:sz w:val="24"/>
    </w:rPr>
  </w:style>
  <w:style w:type="paragraph" w:customStyle="1" w:styleId="400">
    <w:name w:val="正文缩进2"/>
    <w:basedOn w:val="1"/>
    <w:qFormat/>
    <w:uiPriority w:val="0"/>
    <w:pPr>
      <w:ind w:firstLine="420"/>
    </w:pPr>
    <w:rPr>
      <w:sz w:val="21"/>
    </w:rPr>
  </w:style>
  <w:style w:type="paragraph" w:customStyle="1" w:styleId="401">
    <w:name w:val="表头"/>
    <w:basedOn w:val="402"/>
    <w:qFormat/>
    <w:uiPriority w:val="0"/>
    <w:pPr>
      <w:spacing w:before="120" w:after="60"/>
    </w:pPr>
    <w:rPr>
      <w:rFonts w:ascii="黑体" w:eastAsia="黑体"/>
      <w:b/>
    </w:rPr>
  </w:style>
  <w:style w:type="paragraph" w:customStyle="1" w:styleId="402">
    <w:name w:val="表格方字"/>
    <w:basedOn w:val="1"/>
    <w:qFormat/>
    <w:uiPriority w:val="0"/>
    <w:pPr>
      <w:adjustRightInd w:val="0"/>
      <w:spacing w:line="420" w:lineRule="atLeast"/>
      <w:textAlignment w:val="baseline"/>
    </w:pPr>
    <w:rPr>
      <w:kern w:val="0"/>
      <w:sz w:val="21"/>
    </w:rPr>
  </w:style>
  <w:style w:type="paragraph" w:customStyle="1" w:styleId="403">
    <w:name w:val="正文段"/>
    <w:basedOn w:val="1"/>
    <w:qFormat/>
    <w:uiPriority w:val="0"/>
    <w:pPr>
      <w:widowControl/>
      <w:snapToGrid w:val="0"/>
      <w:spacing w:afterLines="50"/>
      <w:ind w:firstLine="200" w:firstLineChars="200"/>
    </w:pPr>
    <w:rPr>
      <w:kern w:val="0"/>
      <w:sz w:val="24"/>
    </w:rPr>
  </w:style>
  <w:style w:type="paragraph" w:customStyle="1" w:styleId="404">
    <w:name w:val="正文A Char Char Char"/>
    <w:qFormat/>
    <w:uiPriority w:val="0"/>
    <w:pPr>
      <w:tabs>
        <w:tab w:val="left" w:pos="0"/>
      </w:tabs>
      <w:adjustRightInd w:val="0"/>
      <w:spacing w:before="120" w:line="360" w:lineRule="auto"/>
      <w:ind w:firstLine="480"/>
      <w:jc w:val="both"/>
    </w:pPr>
    <w:rPr>
      <w:rFonts w:ascii="Calibri" w:hAnsi="Calibri" w:eastAsia="宋体" w:cs="Times New Roman"/>
      <w:snapToGrid w:val="0"/>
      <w:sz w:val="24"/>
      <w:lang w:val="en-US" w:eastAsia="zh-CN" w:bidi="ar-SA"/>
    </w:rPr>
  </w:style>
  <w:style w:type="paragraph" w:customStyle="1" w:styleId="405">
    <w:name w:val="列项●（二级）"/>
    <w:qFormat/>
    <w:uiPriority w:val="0"/>
    <w:pPr>
      <w:tabs>
        <w:tab w:val="left" w:pos="720"/>
        <w:tab w:val="left" w:pos="760"/>
        <w:tab w:val="left" w:pos="840"/>
      </w:tabs>
      <w:ind w:left="600" w:leftChars="400" w:hanging="200" w:hangingChars="200"/>
      <w:jc w:val="both"/>
    </w:pPr>
    <w:rPr>
      <w:rFonts w:ascii="宋体" w:hAnsi="Calibri" w:eastAsia="宋体" w:cs="Times New Roman"/>
      <w:lang w:val="en-US" w:eastAsia="zh-CN" w:bidi="ar-SA"/>
    </w:rPr>
  </w:style>
  <w:style w:type="paragraph" w:customStyle="1" w:styleId="406">
    <w:name w:val="xl560"/>
    <w:basedOn w:val="1"/>
    <w:qFormat/>
    <w:uiPriority w:val="0"/>
    <w:pPr>
      <w:widowControl/>
      <w:spacing w:before="100" w:beforeAutospacing="1" w:after="100" w:afterAutospacing="1"/>
      <w:jc w:val="left"/>
    </w:pPr>
    <w:rPr>
      <w:rFonts w:ascii="宋体" w:hAnsi="宋体"/>
      <w:color w:val="000000"/>
      <w:kern w:val="0"/>
      <w:sz w:val="20"/>
    </w:rPr>
  </w:style>
  <w:style w:type="paragraph" w:customStyle="1" w:styleId="40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408">
    <w:name w:val="xl557"/>
    <w:basedOn w:val="1"/>
    <w:qFormat/>
    <w:uiPriority w:val="0"/>
    <w:pPr>
      <w:widowControl/>
      <w:spacing w:before="100" w:beforeAutospacing="1" w:after="100" w:afterAutospacing="1"/>
      <w:jc w:val="left"/>
    </w:pPr>
    <w:rPr>
      <w:rFonts w:ascii="宋体" w:hAnsi="宋体"/>
      <w:color w:val="FF0000"/>
      <w:kern w:val="0"/>
      <w:sz w:val="20"/>
    </w:rPr>
  </w:style>
  <w:style w:type="paragraph" w:customStyle="1" w:styleId="409">
    <w:name w:val="1"/>
    <w:basedOn w:val="1"/>
    <w:qFormat/>
    <w:uiPriority w:val="0"/>
    <w:pPr>
      <w:adjustRightInd w:val="0"/>
      <w:spacing w:before="360" w:after="240" w:line="420" w:lineRule="atLeast"/>
      <w:ind w:firstLine="454"/>
      <w:textAlignment w:val="baseline"/>
    </w:pPr>
    <w:rPr>
      <w:b/>
      <w:kern w:val="0"/>
      <w:sz w:val="21"/>
    </w:rPr>
  </w:style>
  <w:style w:type="paragraph" w:customStyle="1" w:styleId="410">
    <w:name w:val="附录四级条标题"/>
    <w:basedOn w:val="411"/>
    <w:next w:val="358"/>
    <w:qFormat/>
    <w:uiPriority w:val="0"/>
    <w:pPr>
      <w:tabs>
        <w:tab w:val="left" w:pos="720"/>
        <w:tab w:val="left" w:pos="840"/>
        <w:tab w:val="left" w:pos="1440"/>
      </w:tabs>
      <w:outlineLvl w:val="5"/>
    </w:pPr>
  </w:style>
  <w:style w:type="paragraph" w:customStyle="1" w:styleId="411">
    <w:name w:val="附录三级条标题"/>
    <w:basedOn w:val="412"/>
    <w:next w:val="358"/>
    <w:qFormat/>
    <w:uiPriority w:val="0"/>
    <w:pPr>
      <w:tabs>
        <w:tab w:val="left" w:pos="720"/>
        <w:tab w:val="left" w:pos="840"/>
        <w:tab w:val="left" w:pos="1440"/>
      </w:tabs>
      <w:outlineLvl w:val="4"/>
    </w:pPr>
  </w:style>
  <w:style w:type="paragraph" w:customStyle="1" w:styleId="412">
    <w:name w:val="附录二级条标题"/>
    <w:basedOn w:val="391"/>
    <w:next w:val="358"/>
    <w:qFormat/>
    <w:uiPriority w:val="0"/>
    <w:pPr>
      <w:outlineLvl w:val="3"/>
    </w:pPr>
  </w:style>
  <w:style w:type="paragraph" w:customStyle="1" w:styleId="413">
    <w:name w:val="引文目录标题1"/>
    <w:basedOn w:val="1"/>
    <w:next w:val="1"/>
    <w:qFormat/>
    <w:uiPriority w:val="0"/>
    <w:pPr>
      <w:spacing w:before="120"/>
    </w:pPr>
    <w:rPr>
      <w:rFonts w:ascii="Arial" w:hAnsi="Arial"/>
      <w:sz w:val="24"/>
    </w:rPr>
  </w:style>
  <w:style w:type="paragraph" w:customStyle="1" w:styleId="414">
    <w:name w:val="Char Char Char Char Char Char Char Char Char"/>
    <w:basedOn w:val="1"/>
    <w:qFormat/>
    <w:uiPriority w:val="0"/>
    <w:pPr>
      <w:widowControl/>
      <w:spacing w:after="160" w:line="240" w:lineRule="exact"/>
      <w:jc w:val="left"/>
    </w:pPr>
    <w:rPr>
      <w:sz w:val="21"/>
    </w:rPr>
  </w:style>
  <w:style w:type="paragraph" w:customStyle="1" w:styleId="415">
    <w:name w:val="默认段落字体 Para Char Char Char Char"/>
    <w:basedOn w:val="1"/>
    <w:qFormat/>
    <w:uiPriority w:val="0"/>
    <w:pPr>
      <w:spacing w:line="360" w:lineRule="auto"/>
      <w:ind w:firstLine="200" w:firstLineChars="200"/>
    </w:pPr>
    <w:rPr>
      <w:rFonts w:ascii="宋体" w:hAnsi="宋体"/>
      <w:sz w:val="24"/>
    </w:rPr>
  </w:style>
  <w:style w:type="paragraph" w:customStyle="1" w:styleId="416">
    <w:name w:val="Char Char Char1 Char"/>
    <w:basedOn w:val="1"/>
    <w:next w:val="1"/>
    <w:qFormat/>
    <w:uiPriority w:val="0"/>
    <w:rPr>
      <w:sz w:val="21"/>
    </w:rPr>
  </w:style>
  <w:style w:type="paragraph" w:customStyle="1" w:styleId="417">
    <w:name w:val="列出段落3"/>
    <w:basedOn w:val="1"/>
    <w:qFormat/>
    <w:uiPriority w:val="0"/>
    <w:pPr>
      <w:spacing w:before="100" w:beforeAutospacing="1" w:after="100" w:afterAutospacing="1" w:line="300" w:lineRule="auto"/>
      <w:ind w:firstLine="420" w:firstLineChars="200"/>
    </w:pPr>
    <w:rPr>
      <w:sz w:val="21"/>
    </w:rPr>
  </w:style>
  <w:style w:type="paragraph" w:customStyle="1" w:styleId="41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kern w:val="0"/>
      <w:sz w:val="24"/>
    </w:rPr>
  </w:style>
  <w:style w:type="paragraph" w:customStyle="1" w:styleId="419">
    <w:name w:val="实施日期"/>
    <w:basedOn w:val="420"/>
    <w:qFormat/>
    <w:uiPriority w:val="0"/>
    <w:pPr>
      <w:jc w:val="right"/>
    </w:pPr>
  </w:style>
  <w:style w:type="paragraph" w:customStyle="1" w:styleId="420">
    <w:name w:val="发布日期"/>
    <w:qFormat/>
    <w:uiPriority w:val="0"/>
    <w:rPr>
      <w:rFonts w:ascii="Calibri" w:hAnsi="Calibri" w:eastAsia="黑体" w:cs="Times New Roman"/>
      <w:sz w:val="28"/>
      <w:lang w:val="en-US" w:eastAsia="zh-CN" w:bidi="ar-SA"/>
    </w:rPr>
  </w:style>
  <w:style w:type="paragraph" w:customStyle="1" w:styleId="421">
    <w:name w:val="一般格式"/>
    <w:basedOn w:val="1"/>
    <w:qFormat/>
    <w:uiPriority w:val="0"/>
    <w:pPr>
      <w:spacing w:line="360" w:lineRule="auto"/>
      <w:ind w:firstLine="200" w:firstLineChars="200"/>
    </w:pPr>
    <w:rPr>
      <w:sz w:val="24"/>
    </w:rPr>
  </w:style>
  <w:style w:type="paragraph" w:customStyle="1" w:styleId="422">
    <w:name w:val="附录图标题"/>
    <w:next w:val="358"/>
    <w:qFormat/>
    <w:uiPriority w:val="0"/>
    <w:pPr>
      <w:tabs>
        <w:tab w:val="left" w:pos="360"/>
      </w:tabs>
      <w:jc w:val="center"/>
    </w:pPr>
    <w:rPr>
      <w:rFonts w:ascii="黑体" w:hAnsi="Calibri" w:eastAsia="黑体" w:cs="Times New Roman"/>
      <w:sz w:val="21"/>
      <w:lang w:val="en-US" w:eastAsia="zh-CN" w:bidi="ar-SA"/>
    </w:rPr>
  </w:style>
  <w:style w:type="paragraph" w:customStyle="1" w:styleId="423">
    <w:name w:val="1.4"/>
    <w:basedOn w:val="1"/>
    <w:qFormat/>
    <w:uiPriority w:val="0"/>
    <w:pPr>
      <w:widowControl/>
      <w:spacing w:line="288" w:lineRule="auto"/>
      <w:ind w:left="3" w:firstLine="503"/>
    </w:pPr>
    <w:rPr>
      <w:rFonts w:ascii="宋体" w:hAnsi="宋体"/>
      <w:kern w:val="0"/>
      <w:sz w:val="24"/>
    </w:rPr>
  </w:style>
  <w:style w:type="paragraph" w:customStyle="1" w:styleId="424">
    <w:name w:val="正文3"/>
    <w:qFormat/>
    <w:uiPriority w:val="0"/>
    <w:pPr>
      <w:widowControl w:val="0"/>
      <w:adjustRightInd w:val="0"/>
      <w:spacing w:line="360" w:lineRule="atLeast"/>
      <w:textAlignment w:val="baseline"/>
    </w:pPr>
    <w:rPr>
      <w:rFonts w:ascii="宋体" w:hAnsi="Calibri" w:eastAsia="宋体" w:cs="Times New Roman"/>
      <w:sz w:val="34"/>
      <w:lang w:val="en-US" w:eastAsia="zh-CN" w:bidi="ar-SA"/>
    </w:rPr>
  </w:style>
  <w:style w:type="paragraph" w:customStyle="1" w:styleId="425">
    <w:name w:val="p17"/>
    <w:basedOn w:val="1"/>
    <w:qFormat/>
    <w:uiPriority w:val="0"/>
    <w:pPr>
      <w:widowControl/>
      <w:spacing w:before="100" w:after="100" w:line="432" w:lineRule="auto"/>
      <w:jc w:val="left"/>
    </w:pPr>
    <w:rPr>
      <w:rFonts w:ascii="宋体" w:hAnsi="宋体"/>
      <w:kern w:val="0"/>
      <w:sz w:val="27"/>
    </w:rPr>
  </w:style>
  <w:style w:type="paragraph" w:customStyle="1" w:styleId="426">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427">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kern w:val="0"/>
      <w:sz w:val="24"/>
    </w:rPr>
  </w:style>
  <w:style w:type="paragraph" w:customStyle="1" w:styleId="428">
    <w:name w:val="xl5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29">
    <w:name w:val="正文缩进3"/>
    <w:basedOn w:val="1"/>
    <w:qFormat/>
    <w:uiPriority w:val="0"/>
    <w:pPr>
      <w:ind w:firstLine="420"/>
    </w:pPr>
    <w:rPr>
      <w:sz w:val="21"/>
    </w:rPr>
  </w:style>
  <w:style w:type="paragraph" w:customStyle="1" w:styleId="430">
    <w:name w:val="五级条标题"/>
    <w:basedOn w:val="385"/>
    <w:next w:val="358"/>
    <w:qFormat/>
    <w:uiPriority w:val="0"/>
    <w:pPr>
      <w:outlineLvl w:val="6"/>
    </w:pPr>
  </w:style>
  <w:style w:type="paragraph" w:customStyle="1" w:styleId="431">
    <w:name w:val="正文文本 31"/>
    <w:basedOn w:val="1"/>
    <w:qFormat/>
    <w:uiPriority w:val="0"/>
    <w:rPr>
      <w:rFonts w:eastAsia="隶书"/>
      <w:kern w:val="0"/>
      <w:sz w:val="24"/>
    </w:rPr>
  </w:style>
  <w:style w:type="paragraph" w:customStyle="1" w:styleId="432">
    <w:name w:val="杭州页脚"/>
    <w:basedOn w:val="1"/>
    <w:qFormat/>
    <w:uiPriority w:val="0"/>
    <w:pPr>
      <w:tabs>
        <w:tab w:val="left" w:pos="340"/>
      </w:tabs>
      <w:adjustRightInd w:val="0"/>
      <w:snapToGrid w:val="0"/>
      <w:ind w:left="340" w:hanging="340"/>
    </w:pPr>
    <w:rPr>
      <w:rFonts w:eastAsia="HYKai U3HK"/>
      <w:sz w:val="20"/>
    </w:rPr>
  </w:style>
  <w:style w:type="paragraph" w:customStyle="1" w:styleId="433">
    <w:name w:val="xl38"/>
    <w:basedOn w:val="1"/>
    <w:qFormat/>
    <w:uiPriority w:val="0"/>
    <w:pPr>
      <w:widowControl/>
      <w:pBdr>
        <w:top w:val="single" w:color="auto" w:sz="4" w:space="0"/>
        <w:bottom w:val="single" w:color="auto" w:sz="8" w:space="0"/>
        <w:right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434">
    <w:name w:val="p16"/>
    <w:basedOn w:val="1"/>
    <w:qFormat/>
    <w:uiPriority w:val="0"/>
    <w:pPr>
      <w:widowControl/>
      <w:spacing w:before="100" w:beforeAutospacing="1" w:after="100" w:afterAutospacing="1"/>
      <w:jc w:val="left"/>
    </w:pPr>
    <w:rPr>
      <w:rFonts w:ascii="宋体" w:hAnsi="宋体"/>
      <w:kern w:val="0"/>
      <w:sz w:val="24"/>
    </w:rPr>
  </w:style>
  <w:style w:type="paragraph" w:customStyle="1" w:styleId="435">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rPr>
  </w:style>
  <w:style w:type="paragraph" w:customStyle="1" w:styleId="436">
    <w:name w:val="Char Char Char"/>
    <w:basedOn w:val="1"/>
    <w:qFormat/>
    <w:uiPriority w:val="0"/>
    <w:pPr>
      <w:spacing w:line="360" w:lineRule="auto"/>
      <w:ind w:firstLine="200" w:firstLineChars="200"/>
    </w:pPr>
    <w:rPr>
      <w:rFonts w:ascii="宋体" w:hAnsi="宋体"/>
      <w:sz w:val="24"/>
    </w:rPr>
  </w:style>
  <w:style w:type="paragraph" w:customStyle="1" w:styleId="437">
    <w:name w:val="样式 标题 3 + (中文) 黑体 小四 非加粗 段前: 7.8 磅 段后: 0 磅 行距: 固定值 20 磅"/>
    <w:basedOn w:val="5"/>
    <w:qFormat/>
    <w:uiPriority w:val="0"/>
    <w:pPr>
      <w:widowControl w:val="0"/>
      <w:tabs>
        <w:tab w:val="clear" w:pos="720"/>
      </w:tabs>
      <w:spacing w:before="0" w:after="0" w:line="400" w:lineRule="exact"/>
      <w:ind w:left="0" w:firstLine="0"/>
      <w:jc w:val="both"/>
    </w:pPr>
    <w:rPr>
      <w:rFonts w:eastAsia="黑体"/>
      <w:b w:val="0"/>
      <w:kern w:val="2"/>
      <w:sz w:val="24"/>
    </w:rPr>
  </w:style>
  <w:style w:type="paragraph" w:customStyle="1" w:styleId="438">
    <w:name w:val="纯文本1"/>
    <w:basedOn w:val="1"/>
    <w:qFormat/>
    <w:uiPriority w:val="0"/>
    <w:pPr>
      <w:widowControl/>
      <w:jc w:val="left"/>
    </w:pPr>
    <w:rPr>
      <w:rFonts w:ascii="宋体" w:hAnsi="Courier New"/>
      <w:kern w:val="0"/>
      <w:sz w:val="20"/>
    </w:rPr>
  </w:style>
  <w:style w:type="paragraph" w:customStyle="1" w:styleId="439">
    <w:name w:val="列出段落1"/>
    <w:basedOn w:val="1"/>
    <w:qFormat/>
    <w:uiPriority w:val="0"/>
    <w:pPr>
      <w:ind w:firstLine="420" w:firstLineChars="200"/>
    </w:pPr>
    <w:rPr>
      <w:sz w:val="21"/>
    </w:rPr>
  </w:style>
  <w:style w:type="paragraph" w:customStyle="1" w:styleId="440">
    <w:name w:val="正文文本 21"/>
    <w:basedOn w:val="1"/>
    <w:qFormat/>
    <w:uiPriority w:val="0"/>
    <w:pPr>
      <w:adjustRightInd w:val="0"/>
      <w:spacing w:line="300" w:lineRule="auto"/>
      <w:jc w:val="center"/>
    </w:pPr>
    <w:rPr>
      <w:rFonts w:hint="eastAsia" w:ascii="宋体" w:hAnsi="宋体"/>
      <w:sz w:val="24"/>
    </w:rPr>
  </w:style>
  <w:style w:type="paragraph" w:customStyle="1" w:styleId="441">
    <w:name w:val="表格文字2"/>
    <w:basedOn w:val="1"/>
    <w:qFormat/>
    <w:uiPriority w:val="0"/>
    <w:rPr>
      <w:spacing w:val="-4"/>
      <w:sz w:val="24"/>
    </w:rPr>
  </w:style>
  <w:style w:type="paragraph" w:customStyle="1" w:styleId="442">
    <w:name w:val="图表左对齐"/>
    <w:basedOn w:val="1"/>
    <w:qFormat/>
    <w:uiPriority w:val="0"/>
    <w:pPr>
      <w:spacing w:line="360" w:lineRule="exact"/>
      <w:jc w:val="left"/>
    </w:pPr>
    <w:rPr>
      <w:spacing w:val="-10"/>
      <w:sz w:val="24"/>
    </w:rPr>
  </w:style>
  <w:style w:type="paragraph" w:customStyle="1" w:styleId="443">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444">
    <w:name w:val="样式 标题 2 + Times New Roman 四号 非加粗 段前: 5 磅 段后: 0 磅 行距: 固定值 20..."/>
    <w:basedOn w:val="4"/>
    <w:qFormat/>
    <w:uiPriority w:val="0"/>
    <w:pPr>
      <w:tabs>
        <w:tab w:val="clear" w:pos="706"/>
      </w:tabs>
      <w:spacing w:before="100" w:line="400" w:lineRule="exact"/>
      <w:ind w:left="0" w:firstLine="0"/>
    </w:pPr>
    <w:rPr>
      <w:rFonts w:ascii="Times New Roman" w:hAnsi="Times New Roman"/>
      <w:b w:val="0"/>
      <w:kern w:val="0"/>
      <w:sz w:val="28"/>
    </w:rPr>
  </w:style>
  <w:style w:type="paragraph" w:customStyle="1" w:styleId="445">
    <w:name w:val="Char Char Char Char Char Char Char"/>
    <w:basedOn w:val="1"/>
    <w:qFormat/>
    <w:uiPriority w:val="0"/>
    <w:pPr>
      <w:widowControl/>
      <w:spacing w:after="160" w:line="240" w:lineRule="exact"/>
      <w:jc w:val="left"/>
    </w:pPr>
    <w:rPr>
      <w:rFonts w:ascii="Verdana" w:hAnsi="Verdana" w:eastAsia="仿宋_GB2312"/>
      <w:kern w:val="0"/>
      <w:sz w:val="30"/>
      <w:lang w:eastAsia="en-US"/>
    </w:rPr>
  </w:style>
  <w:style w:type="paragraph" w:customStyle="1" w:styleId="446">
    <w:name w:val="正文1"/>
    <w:basedOn w:val="1"/>
    <w:qFormat/>
    <w:uiPriority w:val="0"/>
    <w:pPr>
      <w:autoSpaceDE w:val="0"/>
      <w:autoSpaceDN w:val="0"/>
      <w:adjustRightInd w:val="0"/>
      <w:spacing w:before="120" w:line="360" w:lineRule="auto"/>
      <w:ind w:left="1366" w:hanging="686"/>
      <w:textAlignment w:val="baseline"/>
    </w:pPr>
    <w:rPr>
      <w:sz w:val="21"/>
    </w:rPr>
  </w:style>
  <w:style w:type="paragraph" w:customStyle="1" w:styleId="447">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448">
    <w:name w:val="纯文本3"/>
    <w:basedOn w:val="1"/>
    <w:qFormat/>
    <w:uiPriority w:val="0"/>
    <w:pPr>
      <w:widowControl/>
      <w:jc w:val="left"/>
    </w:pPr>
    <w:rPr>
      <w:rFonts w:ascii="宋体" w:hAnsi="Courier New"/>
      <w:kern w:val="0"/>
      <w:sz w:val="20"/>
    </w:rPr>
  </w:style>
  <w:style w:type="paragraph" w:customStyle="1" w:styleId="449">
    <w:name w:val="表格6"/>
    <w:basedOn w:val="1"/>
    <w:qFormat/>
    <w:uiPriority w:val="0"/>
    <w:pPr>
      <w:adjustRightInd w:val="0"/>
      <w:spacing w:line="420" w:lineRule="atLeast"/>
      <w:ind w:left="737"/>
      <w:textAlignment w:val="baseline"/>
    </w:pPr>
    <w:rPr>
      <w:rFonts w:ascii="宋体"/>
      <w:kern w:val="0"/>
      <w:sz w:val="21"/>
    </w:rPr>
  </w:style>
  <w:style w:type="paragraph" w:customStyle="1" w:styleId="450">
    <w:name w:val="reader-word-layer reader-word-s1-8"/>
    <w:basedOn w:val="1"/>
    <w:qFormat/>
    <w:uiPriority w:val="0"/>
    <w:pPr>
      <w:widowControl/>
      <w:spacing w:before="100" w:beforeAutospacing="1" w:after="100" w:afterAutospacing="1"/>
      <w:jc w:val="left"/>
    </w:pPr>
    <w:rPr>
      <w:rFonts w:ascii="宋体" w:hAnsi="宋体"/>
      <w:kern w:val="0"/>
      <w:sz w:val="24"/>
    </w:rPr>
  </w:style>
  <w:style w:type="paragraph" w:customStyle="1" w:styleId="451">
    <w:name w:val="默认段落字体 Para Char Char Char Char Char Char Char Char Char Char Char Char Char"/>
    <w:basedOn w:val="1"/>
    <w:qFormat/>
    <w:uiPriority w:val="0"/>
    <w:rPr>
      <w:sz w:val="21"/>
    </w:rPr>
  </w:style>
  <w:style w:type="paragraph" w:customStyle="1" w:styleId="452">
    <w:name w:val="修订1"/>
    <w:qFormat/>
    <w:uiPriority w:val="0"/>
    <w:rPr>
      <w:rFonts w:ascii="宋体" w:hAnsi="Calibri" w:eastAsia="宋体" w:cs="Times New Roman"/>
      <w:kern w:val="2"/>
      <w:sz w:val="28"/>
      <w:lang w:val="en-US" w:eastAsia="zh-CN" w:bidi="ar-SA"/>
    </w:rPr>
  </w:style>
  <w:style w:type="paragraph" w:customStyle="1" w:styleId="453">
    <w:name w:val="xl5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454">
    <w:name w:val="列项◆（三级）"/>
    <w:qFormat/>
    <w:uiPriority w:val="0"/>
    <w:pPr>
      <w:tabs>
        <w:tab w:val="left" w:pos="720"/>
        <w:tab w:val="left" w:pos="960"/>
      </w:tabs>
      <w:ind w:left="800" w:leftChars="600" w:hanging="200" w:hangingChars="200"/>
    </w:pPr>
    <w:rPr>
      <w:rFonts w:ascii="宋体" w:hAnsi="Calibri" w:eastAsia="宋体" w:cs="Times New Roman"/>
      <w:lang w:val="en-US" w:eastAsia="zh-CN" w:bidi="ar-SA"/>
    </w:rPr>
  </w:style>
  <w:style w:type="paragraph" w:customStyle="1" w:styleId="455">
    <w:name w:val="目录3"/>
    <w:basedOn w:val="1"/>
    <w:qFormat/>
    <w:uiPriority w:val="0"/>
    <w:pPr>
      <w:adjustRightInd w:val="0"/>
      <w:spacing w:line="420" w:lineRule="atLeast"/>
      <w:ind w:left="454"/>
      <w:textAlignment w:val="baseline"/>
    </w:pPr>
    <w:rPr>
      <w:kern w:val="0"/>
      <w:sz w:val="21"/>
    </w:rPr>
  </w:style>
  <w:style w:type="paragraph" w:customStyle="1" w:styleId="456">
    <w:name w:val="默认段落字体 Para Char Char Char Char Char Char Char Char Char1 Char Char Char Char"/>
    <w:basedOn w:val="1"/>
    <w:qFormat/>
    <w:uiPriority w:val="0"/>
    <w:rPr>
      <w:rFonts w:ascii="Tahoma" w:hAnsi="Tahoma"/>
      <w:sz w:val="24"/>
    </w:rPr>
  </w:style>
  <w:style w:type="character" w:customStyle="1" w:styleId="457">
    <w:name w:val="z-窗体顶端 Char2"/>
    <w:basedOn w:val="90"/>
    <w:link w:val="321"/>
    <w:qFormat/>
    <w:uiPriority w:val="0"/>
    <w:rPr>
      <w:rFonts w:ascii="Arial" w:hAnsi="Arial"/>
      <w:vanish/>
      <w:sz w:val="16"/>
    </w:rPr>
  </w:style>
  <w:style w:type="paragraph" w:customStyle="1" w:styleId="45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kern w:val="0"/>
      <w:sz w:val="24"/>
    </w:rPr>
  </w:style>
  <w:style w:type="paragraph" w:customStyle="1" w:styleId="459">
    <w:name w:val="样式3"/>
    <w:basedOn w:val="5"/>
    <w:qFormat/>
    <w:uiPriority w:val="0"/>
    <w:pPr>
      <w:widowControl w:val="0"/>
      <w:tabs>
        <w:tab w:val="clear" w:pos="720"/>
      </w:tabs>
      <w:ind w:left="0" w:firstLine="0"/>
      <w:jc w:val="both"/>
    </w:pPr>
    <w:rPr>
      <w:b w:val="0"/>
      <w:kern w:val="2"/>
      <w:sz w:val="24"/>
    </w:rPr>
  </w:style>
  <w:style w:type="paragraph" w:customStyle="1" w:styleId="460">
    <w:name w:val="样式 居中 行距: 固定值 60 磅"/>
    <w:basedOn w:val="1"/>
    <w:qFormat/>
    <w:uiPriority w:val="0"/>
    <w:pPr>
      <w:spacing w:line="360" w:lineRule="auto"/>
      <w:jc w:val="center"/>
    </w:pPr>
    <w:rPr>
      <w:sz w:val="21"/>
    </w:rPr>
  </w:style>
  <w:style w:type="paragraph" w:customStyle="1" w:styleId="461">
    <w:name w:val="其他发布部门"/>
    <w:basedOn w:val="462"/>
    <w:qFormat/>
    <w:uiPriority w:val="0"/>
    <w:pPr>
      <w:spacing w:line="0" w:lineRule="atLeast"/>
    </w:pPr>
    <w:rPr>
      <w:rFonts w:ascii="黑体" w:eastAsia="黑体"/>
      <w:b w:val="0"/>
    </w:rPr>
  </w:style>
  <w:style w:type="paragraph" w:customStyle="1" w:styleId="462">
    <w:name w:val="发布部门"/>
    <w:next w:val="358"/>
    <w:qFormat/>
    <w:uiPriority w:val="0"/>
    <w:pPr>
      <w:jc w:val="center"/>
    </w:pPr>
    <w:rPr>
      <w:rFonts w:ascii="宋体" w:hAnsi="Calibri" w:eastAsia="宋体" w:cs="Times New Roman"/>
      <w:b/>
      <w:spacing w:val="20"/>
      <w:w w:val="135"/>
      <w:sz w:val="36"/>
      <w:lang w:val="en-US" w:eastAsia="zh-CN" w:bidi="ar-SA"/>
    </w:rPr>
  </w:style>
  <w:style w:type="paragraph" w:customStyle="1" w:styleId="463">
    <w:name w:val="示例"/>
    <w:next w:val="358"/>
    <w:qFormat/>
    <w:uiPriority w:val="0"/>
    <w:pPr>
      <w:tabs>
        <w:tab w:val="left" w:pos="720"/>
        <w:tab w:val="left" w:pos="816"/>
      </w:tabs>
      <w:ind w:firstLine="419" w:firstLineChars="233"/>
      <w:jc w:val="both"/>
    </w:pPr>
    <w:rPr>
      <w:rFonts w:ascii="宋体" w:hAnsi="Calibri" w:eastAsia="宋体" w:cs="Times New Roman"/>
      <w:sz w:val="18"/>
      <w:lang w:val="en-US" w:eastAsia="zh-CN" w:bidi="ar-SA"/>
    </w:rPr>
  </w:style>
  <w:style w:type="paragraph" w:customStyle="1" w:styleId="464">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华文楷体" w:hAnsi="华文楷体" w:eastAsia="华文楷体"/>
      <w:kern w:val="0"/>
      <w:sz w:val="24"/>
    </w:rPr>
  </w:style>
  <w:style w:type="paragraph" w:customStyle="1" w:styleId="465">
    <w:name w:val="样式 标题 1 + 黑体 三号 非加粗 居中 段前: 6 磅 段后: 6 磅 行距: 固定值 20 磅"/>
    <w:basedOn w:val="2"/>
    <w:qFormat/>
    <w:uiPriority w:val="0"/>
    <w:pPr>
      <w:keepLines/>
      <w:widowControl w:val="0"/>
      <w:spacing w:before="120" w:after="120" w:line="400" w:lineRule="exact"/>
      <w:jc w:val="both"/>
    </w:pPr>
    <w:rPr>
      <w:rFonts w:hAnsi="黑体" w:eastAsia="黑体"/>
      <w:b w:val="0"/>
      <w:kern w:val="44"/>
    </w:rPr>
  </w:style>
  <w:style w:type="paragraph" w:customStyle="1" w:styleId="466">
    <w:name w:val="标题2"/>
    <w:basedOn w:val="1"/>
    <w:qFormat/>
    <w:uiPriority w:val="0"/>
    <w:rPr>
      <w:rFonts w:ascii="宋体" w:hAnsi="宋体"/>
      <w:b/>
      <w:sz w:val="21"/>
    </w:rPr>
  </w:style>
  <w:style w:type="paragraph" w:customStyle="1" w:styleId="467">
    <w:name w:val="Char"/>
    <w:basedOn w:val="1"/>
    <w:qFormat/>
    <w:uiPriority w:val="0"/>
    <w:rPr>
      <w:rFonts w:ascii="仿宋_GB2312" w:eastAsia="仿宋_GB2312"/>
      <w:b/>
      <w:sz w:val="32"/>
    </w:rPr>
  </w:style>
  <w:style w:type="paragraph" w:customStyle="1" w:styleId="468">
    <w:name w:val="无间隔2"/>
    <w:qFormat/>
    <w:uiPriority w:val="0"/>
    <w:rPr>
      <w:rFonts w:ascii="Calibri" w:hAnsi="Calibri" w:eastAsia="宋体" w:cs="Times New Roman"/>
      <w:sz w:val="22"/>
      <w:lang w:val="en-US" w:eastAsia="en-US" w:bidi="ar-SA"/>
    </w:rPr>
  </w:style>
  <w:style w:type="paragraph" w:customStyle="1" w:styleId="469">
    <w:name w:val="xl5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rPr>
  </w:style>
  <w:style w:type="paragraph" w:customStyle="1" w:styleId="470">
    <w:name w:val="Char Char Char 字元 字元"/>
    <w:basedOn w:val="1"/>
    <w:qFormat/>
    <w:uiPriority w:val="0"/>
    <w:rPr>
      <w:rFonts w:ascii="Tahoma" w:hAnsi="Tahoma"/>
      <w:sz w:val="24"/>
    </w:rPr>
  </w:style>
  <w:style w:type="paragraph" w:customStyle="1" w:styleId="471">
    <w:name w:val="标准书眉_偶数页"/>
    <w:basedOn w:val="1"/>
    <w:next w:val="1"/>
    <w:qFormat/>
    <w:uiPriority w:val="0"/>
    <w:pPr>
      <w:widowControl/>
      <w:tabs>
        <w:tab w:val="center" w:pos="4154"/>
        <w:tab w:val="right" w:pos="8306"/>
      </w:tabs>
      <w:spacing w:after="120"/>
    </w:pPr>
    <w:rPr>
      <w:kern w:val="0"/>
      <w:sz w:val="21"/>
    </w:rPr>
  </w:style>
  <w:style w:type="paragraph" w:customStyle="1" w:styleId="47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kern w:val="0"/>
      <w:sz w:val="24"/>
    </w:rPr>
  </w:style>
  <w:style w:type="paragraph" w:customStyle="1" w:styleId="473">
    <w:name w:val="样式 正文缩进 + 首行缩进:  2 字符"/>
    <w:basedOn w:val="474"/>
    <w:qFormat/>
    <w:uiPriority w:val="99"/>
    <w:pPr>
      <w:spacing w:line="360" w:lineRule="auto"/>
      <w:ind w:firstLine="200"/>
    </w:pPr>
    <w:rPr>
      <w:rFonts w:ascii="Calibri" w:hAnsi="Calibri"/>
      <w:sz w:val="24"/>
      <w:szCs w:val="24"/>
    </w:rPr>
  </w:style>
  <w:style w:type="paragraph" w:customStyle="1" w:styleId="474">
    <w:name w:val="正文缩进_0"/>
    <w:basedOn w:val="369"/>
    <w:qFormat/>
    <w:uiPriority w:val="0"/>
    <w:pPr>
      <w:ind w:firstLine="420"/>
    </w:pPr>
    <w:rPr>
      <w:rFonts w:ascii="Times New Roman" w:hAnsi="Times New Roman"/>
      <w:kern w:val="0"/>
      <w:szCs w:val="20"/>
    </w:rPr>
  </w:style>
  <w:style w:type="paragraph" w:customStyle="1" w:styleId="475">
    <w:name w:val="列出段落2"/>
    <w:basedOn w:val="1"/>
    <w:qFormat/>
    <w:uiPriority w:val="0"/>
    <w:pPr>
      <w:spacing w:before="100" w:beforeAutospacing="1" w:after="100" w:afterAutospacing="1" w:line="300" w:lineRule="auto"/>
      <w:ind w:firstLine="420" w:firstLineChars="200"/>
    </w:pPr>
    <w:rPr>
      <w:sz w:val="21"/>
    </w:rPr>
  </w:style>
  <w:style w:type="paragraph" w:customStyle="1" w:styleId="476">
    <w:name w:val="xl5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477">
    <w:name w:val="font1"/>
    <w:basedOn w:val="1"/>
    <w:qFormat/>
    <w:uiPriority w:val="0"/>
    <w:pPr>
      <w:widowControl/>
      <w:spacing w:before="100" w:beforeAutospacing="1" w:after="100" w:afterAutospacing="1"/>
      <w:jc w:val="left"/>
    </w:pPr>
    <w:rPr>
      <w:rFonts w:ascii="宋体" w:hAnsi="宋体"/>
      <w:color w:val="000000"/>
      <w:kern w:val="0"/>
      <w:sz w:val="20"/>
    </w:rPr>
  </w:style>
  <w:style w:type="paragraph" w:customStyle="1" w:styleId="478">
    <w:name w:val="表格"/>
    <w:basedOn w:val="1"/>
    <w:qFormat/>
    <w:uiPriority w:val="0"/>
    <w:pPr>
      <w:textAlignment w:val="center"/>
    </w:pPr>
    <w:rPr>
      <w:rFonts w:ascii="华文细黑" w:hAnsi="华文细黑"/>
      <w:kern w:val="0"/>
      <w:sz w:val="21"/>
    </w:rPr>
  </w:style>
  <w:style w:type="paragraph" w:customStyle="1" w:styleId="479">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480">
    <w:name w:val="图表脚注"/>
    <w:next w:val="358"/>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481">
    <w:name w:val="末级"/>
    <w:basedOn w:val="1"/>
    <w:qFormat/>
    <w:uiPriority w:val="0"/>
    <w:pPr>
      <w:tabs>
        <w:tab w:val="left" w:pos="851"/>
      </w:tabs>
      <w:spacing w:line="360" w:lineRule="auto"/>
      <w:ind w:firstLine="510"/>
    </w:pPr>
    <w:rPr>
      <w:sz w:val="24"/>
    </w:rPr>
  </w:style>
  <w:style w:type="paragraph" w:customStyle="1" w:styleId="48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483">
    <w:name w:val="Char Char Char Char Char Char Char Char Char Char Char Char Char Char Char Char Char Char Char Char Char Char Char Char Char"/>
    <w:basedOn w:val="1"/>
    <w:qFormat/>
    <w:uiPriority w:val="0"/>
    <w:rPr>
      <w:rFonts w:ascii="Tahoma" w:hAnsi="Tahoma"/>
      <w:sz w:val="24"/>
    </w:rPr>
  </w:style>
  <w:style w:type="paragraph" w:customStyle="1" w:styleId="484">
    <w:name w:val="bold_10"/>
    <w:basedOn w:val="1"/>
    <w:next w:val="1"/>
    <w:qFormat/>
    <w:uiPriority w:val="0"/>
    <w:pPr>
      <w:widowControl/>
    </w:pPr>
    <w:rPr>
      <w:rFonts w:ascii="Arial" w:hAnsi="Arial"/>
      <w:b/>
      <w:kern w:val="0"/>
      <w:sz w:val="20"/>
      <w:lang w:val="en-AU"/>
    </w:rPr>
  </w:style>
  <w:style w:type="paragraph" w:customStyle="1" w:styleId="48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6">
    <w:name w:val="p18"/>
    <w:basedOn w:val="1"/>
    <w:qFormat/>
    <w:uiPriority w:val="99"/>
    <w:pPr>
      <w:widowControl/>
      <w:spacing w:line="500" w:lineRule="atLeast"/>
      <w:ind w:firstLine="420"/>
    </w:pPr>
    <w:rPr>
      <w:kern w:val="0"/>
      <w:szCs w:val="28"/>
    </w:rPr>
  </w:style>
  <w:style w:type="paragraph" w:customStyle="1" w:styleId="487">
    <w:name w:val="xl5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488">
    <w:name w:val="xl5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color w:val="000000"/>
      <w:kern w:val="0"/>
      <w:sz w:val="20"/>
    </w:rPr>
  </w:style>
  <w:style w:type="paragraph" w:customStyle="1" w:styleId="489">
    <w:name w:val="xl32"/>
    <w:basedOn w:val="1"/>
    <w:qFormat/>
    <w:uiPriority w:val="0"/>
    <w:pPr>
      <w:widowControl/>
      <w:spacing w:before="100" w:beforeAutospacing="1" w:after="100" w:afterAutospacing="1"/>
    </w:pPr>
    <w:rPr>
      <w:rFonts w:ascii="Arial Unicode MS" w:hAnsi="Arial Unicode MS" w:eastAsia="Arial Unicode MS"/>
      <w:b/>
      <w:kern w:val="0"/>
      <w:sz w:val="40"/>
    </w:rPr>
  </w:style>
  <w:style w:type="paragraph" w:customStyle="1" w:styleId="490">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491">
    <w:name w:val="Char Char3"/>
    <w:basedOn w:val="26"/>
    <w:qFormat/>
    <w:uiPriority w:val="0"/>
    <w:rPr>
      <w:rFonts w:ascii="Tahoma" w:hAnsi="Tahoma"/>
      <w:sz w:val="24"/>
    </w:rPr>
  </w:style>
  <w:style w:type="paragraph" w:customStyle="1" w:styleId="492">
    <w:name w:val="多级符号2"/>
    <w:basedOn w:val="493"/>
    <w:qFormat/>
    <w:uiPriority w:val="0"/>
    <w:pPr>
      <w:outlineLvl w:val="9"/>
    </w:pPr>
    <w:rPr>
      <w:b w:val="0"/>
      <w:sz w:val="24"/>
    </w:rPr>
  </w:style>
  <w:style w:type="paragraph" w:customStyle="1" w:styleId="493">
    <w:name w:val="多级符号1"/>
    <w:basedOn w:val="1"/>
    <w:next w:val="1"/>
    <w:qFormat/>
    <w:uiPriority w:val="0"/>
    <w:pPr>
      <w:spacing w:line="360" w:lineRule="auto"/>
      <w:jc w:val="left"/>
      <w:outlineLvl w:val="0"/>
    </w:pPr>
    <w:rPr>
      <w:rFonts w:eastAsia="仿宋_GB2312"/>
      <w:b/>
      <w:sz w:val="30"/>
    </w:rPr>
  </w:style>
  <w:style w:type="paragraph" w:customStyle="1" w:styleId="494">
    <w:name w:val="reader-word-layer reader-word-s1-9"/>
    <w:basedOn w:val="1"/>
    <w:qFormat/>
    <w:uiPriority w:val="0"/>
    <w:pPr>
      <w:widowControl/>
      <w:spacing w:before="100" w:beforeAutospacing="1" w:after="100" w:afterAutospacing="1"/>
      <w:jc w:val="left"/>
    </w:pPr>
    <w:rPr>
      <w:rFonts w:ascii="宋体" w:hAnsi="宋体"/>
      <w:kern w:val="0"/>
      <w:sz w:val="24"/>
    </w:rPr>
  </w:style>
  <w:style w:type="paragraph" w:customStyle="1" w:styleId="495">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b/>
      <w:color w:val="FF0000"/>
      <w:kern w:val="0"/>
      <w:sz w:val="24"/>
    </w:rPr>
  </w:style>
  <w:style w:type="paragraph" w:customStyle="1" w:styleId="49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97">
    <w:name w:val="彩色底纹 - 着色 11"/>
    <w:qFormat/>
    <w:uiPriority w:val="0"/>
    <w:rPr>
      <w:rFonts w:ascii="Calibri" w:hAnsi="Calibri" w:eastAsia="宋体" w:cs="Times New Roman"/>
      <w:kern w:val="2"/>
      <w:sz w:val="21"/>
      <w:lang w:val="en-US" w:eastAsia="zh-CN" w:bidi="ar-SA"/>
    </w:rPr>
  </w:style>
  <w:style w:type="paragraph" w:customStyle="1" w:styleId="498">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99">
    <w:name w:val="正文文字缩进 2"/>
    <w:basedOn w:val="1"/>
    <w:qFormat/>
    <w:uiPriority w:val="0"/>
    <w:pPr>
      <w:widowControl/>
      <w:spacing w:line="351" w:lineRule="atLeast"/>
      <w:ind w:firstLine="481"/>
      <w:textAlignment w:val="baseline"/>
    </w:pPr>
    <w:rPr>
      <w:rFonts w:ascii="仿宋_GB2312" w:eastAsia="仿宋_GB2312"/>
      <w:color w:val="000000"/>
      <w:kern w:val="0"/>
      <w:sz w:val="24"/>
      <w:u w:color="000000"/>
    </w:rPr>
  </w:style>
  <w:style w:type="paragraph" w:customStyle="1" w:styleId="500">
    <w:name w:val="xl558"/>
    <w:basedOn w:val="1"/>
    <w:qFormat/>
    <w:uiPriority w:val="0"/>
    <w:pPr>
      <w:widowControl/>
      <w:spacing w:before="100" w:beforeAutospacing="1" w:after="100" w:afterAutospacing="1"/>
      <w:jc w:val="left"/>
    </w:pPr>
    <w:rPr>
      <w:rFonts w:ascii="宋体" w:hAnsi="宋体"/>
      <w:kern w:val="0"/>
      <w:sz w:val="20"/>
    </w:rPr>
  </w:style>
  <w:style w:type="paragraph" w:customStyle="1" w:styleId="501">
    <w:name w:val="Table textB"/>
    <w:basedOn w:val="1"/>
    <w:next w:val="1"/>
    <w:qFormat/>
    <w:uiPriority w:val="0"/>
    <w:pPr>
      <w:widowControl/>
      <w:spacing w:before="80" w:after="80"/>
      <w:jc w:val="center"/>
    </w:pPr>
    <w:rPr>
      <w:rFonts w:ascii="Arial" w:hAnsi="Arial"/>
      <w:b/>
      <w:spacing w:val="-5"/>
      <w:kern w:val="0"/>
      <w:sz w:val="18"/>
    </w:rPr>
  </w:style>
  <w:style w:type="paragraph" w:customStyle="1" w:styleId="502">
    <w:name w:val="封面标准代替信息"/>
    <w:basedOn w:val="503"/>
    <w:qFormat/>
    <w:uiPriority w:val="0"/>
    <w:pPr>
      <w:spacing w:before="57"/>
    </w:pPr>
    <w:rPr>
      <w:rFonts w:ascii="宋体"/>
      <w:sz w:val="21"/>
    </w:rPr>
  </w:style>
  <w:style w:type="paragraph" w:customStyle="1" w:styleId="503">
    <w:name w:val="封面标准号2"/>
    <w:basedOn w:val="504"/>
    <w:qFormat/>
    <w:uiPriority w:val="0"/>
    <w:pPr>
      <w:adjustRightInd w:val="0"/>
      <w:spacing w:before="357" w:line="280" w:lineRule="exact"/>
    </w:pPr>
  </w:style>
  <w:style w:type="paragraph" w:customStyle="1" w:styleId="504">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505">
    <w:name w:val="flName"/>
    <w:basedOn w:val="1"/>
    <w:qFormat/>
    <w:uiPriority w:val="0"/>
    <w:pPr>
      <w:adjustRightInd w:val="0"/>
      <w:spacing w:before="320" w:after="160" w:line="360" w:lineRule="atLeast"/>
      <w:jc w:val="center"/>
      <w:textAlignment w:val="baseline"/>
    </w:pPr>
    <w:rPr>
      <w:rFonts w:ascii="Arial" w:eastAsia="黑体"/>
      <w:kern w:val="0"/>
      <w:sz w:val="32"/>
    </w:rPr>
  </w:style>
  <w:style w:type="paragraph" w:customStyle="1" w:styleId="506">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507">
    <w:name w:val="目次、标准名称标题"/>
    <w:basedOn w:val="1"/>
    <w:next w:val="358"/>
    <w:qFormat/>
    <w:uiPriority w:val="0"/>
    <w:pPr>
      <w:widowControl/>
      <w:shd w:val="clear" w:color="FFFFFF" w:fill="FFFFFF"/>
      <w:spacing w:before="640" w:after="560" w:line="460" w:lineRule="exact"/>
      <w:jc w:val="center"/>
      <w:outlineLvl w:val="0"/>
    </w:pPr>
    <w:rPr>
      <w:rFonts w:ascii="黑体" w:eastAsia="黑体"/>
      <w:kern w:val="0"/>
      <w:sz w:val="32"/>
    </w:rPr>
  </w:style>
  <w:style w:type="paragraph" w:customStyle="1" w:styleId="508">
    <w:name w:val="表中"/>
    <w:basedOn w:val="1"/>
    <w:qFormat/>
    <w:uiPriority w:val="0"/>
    <w:pPr>
      <w:autoSpaceDE w:val="0"/>
      <w:autoSpaceDN w:val="0"/>
      <w:adjustRightInd w:val="0"/>
      <w:spacing w:line="360" w:lineRule="atLeast"/>
    </w:pPr>
    <w:rPr>
      <w:rFonts w:ascii="宋体"/>
      <w:kern w:val="0"/>
      <w:sz w:val="21"/>
    </w:rPr>
  </w:style>
  <w:style w:type="paragraph" w:customStyle="1" w:styleId="509">
    <w:name w:val="1 Char Char Char"/>
    <w:basedOn w:val="1"/>
    <w:next w:val="5"/>
    <w:qFormat/>
    <w:uiPriority w:val="0"/>
    <w:pPr>
      <w:spacing w:line="500" w:lineRule="exact"/>
      <w:ind w:firstLine="200"/>
      <w:jc w:val="center"/>
    </w:pPr>
    <w:rPr>
      <w:rFonts w:ascii="仿宋_GB2312" w:hAnsi="Arial" w:eastAsia="仿宋_GB2312"/>
      <w:sz w:val="32"/>
    </w:rPr>
  </w:style>
  <w:style w:type="paragraph" w:customStyle="1" w:styleId="510">
    <w:name w:val="样式2"/>
    <w:basedOn w:val="74"/>
    <w:qFormat/>
    <w:uiPriority w:val="0"/>
    <w:pPr>
      <w:ind w:left="200" w:leftChars="200" w:hanging="200" w:hangingChars="200"/>
      <w:jc w:val="both"/>
    </w:pPr>
    <w:rPr>
      <w:rFonts w:ascii="Times New Roman" w:hAnsi="Times New Roman"/>
      <w:smallCaps w:val="0"/>
      <w:sz w:val="21"/>
    </w:rPr>
  </w:style>
  <w:style w:type="paragraph" w:customStyle="1" w:styleId="511">
    <w:name w:val="样式 标题 4 + 五号"/>
    <w:basedOn w:val="6"/>
    <w:qFormat/>
    <w:uiPriority w:val="0"/>
    <w:rPr>
      <w:kern w:val="0"/>
      <w:sz w:val="21"/>
    </w:rPr>
  </w:style>
  <w:style w:type="paragraph" w:customStyle="1" w:styleId="51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olor w:val="FF0000"/>
      <w:kern w:val="0"/>
      <w:sz w:val="24"/>
    </w:rPr>
  </w:style>
  <w:style w:type="paragraph" w:customStyle="1" w:styleId="513">
    <w:name w:val="字元 字元 Char Char Char 字元 字元 Char 字元 字元 Char Char 字元 字元1 Char Char Char Char Char Char 字元 字元"/>
    <w:basedOn w:val="1"/>
    <w:qFormat/>
    <w:uiPriority w:val="0"/>
    <w:rPr>
      <w:rFonts w:ascii="Tahoma" w:hAnsi="Tahoma"/>
      <w:sz w:val="24"/>
    </w:rPr>
  </w:style>
  <w:style w:type="paragraph" w:customStyle="1" w:styleId="514">
    <w:name w:val="Default"/>
    <w:qFormat/>
    <w:uiPriority w:val="0"/>
    <w:pPr>
      <w:widowControl w:val="0"/>
      <w:autoSpaceDE w:val="0"/>
      <w:autoSpaceDN w:val="0"/>
      <w:adjustRightInd w:val="0"/>
    </w:pPr>
    <w:rPr>
      <w:rFonts w:ascii="Arial" w:hAnsi="Arial" w:eastAsia="宋体" w:cs="Times New Roman"/>
      <w:color w:val="000000"/>
      <w:sz w:val="24"/>
      <w:lang w:val="en-US" w:eastAsia="zh-CN" w:bidi="ar-SA"/>
    </w:rPr>
  </w:style>
  <w:style w:type="paragraph" w:customStyle="1" w:styleId="515">
    <w:name w:val="Char11"/>
    <w:basedOn w:val="1"/>
    <w:qFormat/>
    <w:uiPriority w:val="0"/>
    <w:pPr>
      <w:widowControl/>
      <w:spacing w:after="160" w:line="240" w:lineRule="exact"/>
      <w:jc w:val="left"/>
    </w:pPr>
    <w:rPr>
      <w:rFonts w:ascii="Tahoma" w:hAnsi="Tahoma"/>
      <w:kern w:val="0"/>
      <w:sz w:val="24"/>
      <w:lang w:eastAsia="en-US"/>
    </w:rPr>
  </w:style>
  <w:style w:type="paragraph" w:customStyle="1" w:styleId="516">
    <w:name w:val="数字编号列项（二级）"/>
    <w:qFormat/>
    <w:uiPriority w:val="0"/>
    <w:pPr>
      <w:ind w:left="1260" w:leftChars="400" w:hanging="420" w:hangingChars="200"/>
      <w:jc w:val="both"/>
    </w:pPr>
    <w:rPr>
      <w:rFonts w:ascii="宋体" w:hAnsi="Calibri" w:eastAsia="宋体" w:cs="Times New Roman"/>
      <w:lang w:val="en-US" w:eastAsia="zh-CN" w:bidi="ar-SA"/>
    </w:rPr>
  </w:style>
  <w:style w:type="paragraph" w:customStyle="1" w:styleId="517">
    <w:name w:val="Char Char Char1 Char Char Char Char Char Char Char Char Char Char Char Char Char"/>
    <w:basedOn w:val="1"/>
    <w:qFormat/>
    <w:uiPriority w:val="0"/>
    <w:rPr>
      <w:rFonts w:ascii="Tahoma" w:hAnsi="Tahoma"/>
      <w:sz w:val="24"/>
    </w:rPr>
  </w:style>
  <w:style w:type="paragraph" w:customStyle="1" w:styleId="518">
    <w:name w:val="参考文献、索引标题"/>
    <w:basedOn w:val="447"/>
    <w:next w:val="1"/>
    <w:qFormat/>
    <w:uiPriority w:val="0"/>
    <w:pPr>
      <w:spacing w:after="200"/>
    </w:pPr>
    <w:rPr>
      <w:sz w:val="21"/>
    </w:rPr>
  </w:style>
  <w:style w:type="paragraph" w:customStyle="1" w:styleId="519">
    <w:name w:val="xl36"/>
    <w:basedOn w:val="1"/>
    <w:qFormat/>
    <w:uiPriority w:val="0"/>
    <w:pPr>
      <w:widowControl/>
      <w:pBdr>
        <w:top w:val="single" w:color="auto" w:sz="4" w:space="0"/>
        <w:left w:val="single" w:color="auto" w:sz="8" w:space="0"/>
        <w:bottom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520">
    <w:name w:val="xl3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pPr>
    <w:rPr>
      <w:rFonts w:ascii="Arial Unicode MS" w:hAnsi="Arial Unicode MS" w:eastAsia="Arial Unicode MS"/>
      <w:b/>
      <w:kern w:val="0"/>
      <w:sz w:val="36"/>
    </w:rPr>
  </w:style>
  <w:style w:type="paragraph" w:customStyle="1" w:styleId="521">
    <w:name w:val="纯文本2"/>
    <w:basedOn w:val="1"/>
    <w:qFormat/>
    <w:uiPriority w:val="0"/>
    <w:pPr>
      <w:adjustRightInd w:val="0"/>
      <w:spacing w:line="360" w:lineRule="atLeast"/>
      <w:textAlignment w:val="baseline"/>
    </w:pPr>
    <w:rPr>
      <w:rFonts w:ascii="宋体" w:hAnsi="Courier New"/>
    </w:rPr>
  </w:style>
  <w:style w:type="paragraph" w:customStyle="1" w:styleId="522">
    <w:name w:val="Körper"/>
    <w:basedOn w:val="1"/>
    <w:qFormat/>
    <w:uiPriority w:val="0"/>
    <w:pPr>
      <w:widowControl/>
      <w:spacing w:before="120" w:line="240" w:lineRule="exact"/>
    </w:pPr>
    <w:rPr>
      <w:rFonts w:ascii="Arial" w:hAnsi="Arial"/>
      <w:kern w:val="0"/>
      <w:sz w:val="20"/>
      <w:lang w:val="de-DE" w:eastAsia="de-DE"/>
    </w:rPr>
  </w:style>
  <w:style w:type="paragraph" w:customStyle="1" w:styleId="523">
    <w:name w:val="2"/>
    <w:basedOn w:val="1"/>
    <w:qFormat/>
    <w:uiPriority w:val="0"/>
    <w:rPr>
      <w:rFonts w:ascii="Tahoma" w:hAnsi="Tahoma"/>
      <w:sz w:val="24"/>
    </w:rPr>
  </w:style>
  <w:style w:type="paragraph" w:customStyle="1" w:styleId="524">
    <w:name w:val="正文2 Char Char Char Char Char Char Char Char Char Char Char Char1 Char Char Char Char Char Char Char Char1 Char Char Char Char Char Char"/>
    <w:basedOn w:val="1"/>
    <w:qFormat/>
    <w:uiPriority w:val="0"/>
    <w:pPr>
      <w:widowControl/>
      <w:spacing w:line="400" w:lineRule="exact"/>
    </w:pPr>
    <w:rPr>
      <w:rFonts w:ascii="Verdana" w:hAnsi="Verdana" w:eastAsia="楷体_GB2312"/>
      <w:kern w:val="0"/>
      <w:lang w:eastAsia="en-US"/>
    </w:rPr>
  </w:style>
  <w:style w:type="paragraph" w:customStyle="1" w:styleId="525">
    <w:name w:val="金宏发行正文 Char"/>
    <w:basedOn w:val="1"/>
    <w:qFormat/>
    <w:uiPriority w:val="99"/>
    <w:pPr>
      <w:spacing w:line="500" w:lineRule="atLeast"/>
      <w:ind w:firstLine="560" w:firstLineChars="200"/>
    </w:pPr>
    <w:rPr>
      <w:rFonts w:ascii="Times New Roman" w:hAnsi="Times New Roman" w:eastAsia="仿宋_GB2312"/>
      <w:szCs w:val="28"/>
    </w:rPr>
  </w:style>
  <w:style w:type="paragraph" w:customStyle="1" w:styleId="526">
    <w:name w:val="样式 三号 加粗 居中"/>
    <w:basedOn w:val="1"/>
    <w:qFormat/>
    <w:uiPriority w:val="0"/>
    <w:pPr>
      <w:spacing w:line="360" w:lineRule="auto"/>
      <w:jc w:val="center"/>
    </w:pPr>
    <w:rPr>
      <w:b/>
      <w:sz w:val="32"/>
    </w:rPr>
  </w:style>
  <w:style w:type="paragraph" w:customStyle="1" w:styleId="527">
    <w:name w:val="标准称谓"/>
    <w:next w:val="1"/>
    <w:qFormat/>
    <w:uiPriority w:val="0"/>
    <w:pPr>
      <w:widowControl w:val="0"/>
      <w:kinsoku w:val="0"/>
      <w:overflowPunct w:val="0"/>
      <w:autoSpaceDE w:val="0"/>
      <w:autoSpaceDN w:val="0"/>
      <w:spacing w:line="0" w:lineRule="atLeast"/>
      <w:jc w:val="distribute"/>
    </w:pPr>
    <w:rPr>
      <w:rFonts w:ascii="宋体" w:hAnsi="Calibri" w:eastAsia="宋体" w:cs="Times New Roman"/>
      <w:b/>
      <w:spacing w:val="20"/>
      <w:w w:val="148"/>
      <w:sz w:val="52"/>
      <w:lang w:val="en-US" w:eastAsia="zh-CN" w:bidi="ar-SA"/>
    </w:rPr>
  </w:style>
  <w:style w:type="paragraph" w:customStyle="1" w:styleId="528">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52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kern w:val="0"/>
      <w:sz w:val="24"/>
    </w:rPr>
  </w:style>
  <w:style w:type="paragraph" w:customStyle="1" w:styleId="530">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华文楷体" w:hAnsi="华文楷体" w:eastAsia="华文楷体"/>
      <w:kern w:val="0"/>
      <w:sz w:val="24"/>
    </w:rPr>
  </w:style>
  <w:style w:type="paragraph" w:customStyle="1" w:styleId="531">
    <w:name w:val="xl31"/>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532">
    <w:name w:val="修订2"/>
    <w:qFormat/>
    <w:uiPriority w:val="0"/>
    <w:rPr>
      <w:rFonts w:ascii="Calibri" w:hAnsi="Calibri" w:eastAsia="宋体" w:cs="Times New Roman"/>
      <w:kern w:val="2"/>
      <w:sz w:val="28"/>
      <w:lang w:val="en-US" w:eastAsia="zh-CN" w:bidi="ar-SA"/>
    </w:rPr>
  </w:style>
  <w:style w:type="paragraph" w:customStyle="1" w:styleId="533">
    <w:name w:val="标题4"/>
    <w:basedOn w:val="1"/>
    <w:qFormat/>
    <w:uiPriority w:val="0"/>
    <w:rPr>
      <w:rFonts w:eastAsia="仿宋_GB2312"/>
      <w:sz w:val="32"/>
    </w:rPr>
  </w:style>
  <w:style w:type="paragraph" w:customStyle="1" w:styleId="534">
    <w:name w:val="3级"/>
    <w:basedOn w:val="1"/>
    <w:qFormat/>
    <w:uiPriority w:val="0"/>
    <w:pPr>
      <w:snapToGrid w:val="0"/>
      <w:spacing w:afterLines="30" w:line="360" w:lineRule="auto"/>
      <w:ind w:firstLine="200" w:firstLineChars="200"/>
    </w:pPr>
    <w:rPr>
      <w:rFonts w:ascii="宋体" w:hAnsi="Tahoma"/>
      <w:b/>
      <w:color w:val="0000FF"/>
    </w:rPr>
  </w:style>
  <w:style w:type="paragraph" w:customStyle="1" w:styleId="535">
    <w:name w:val="章标题"/>
    <w:next w:val="358"/>
    <w:qFormat/>
    <w:uiPriority w:val="0"/>
    <w:pPr>
      <w:tabs>
        <w:tab w:val="left" w:pos="420"/>
        <w:tab w:val="left" w:pos="480"/>
      </w:tabs>
      <w:spacing w:beforeLines="50" w:afterLines="50"/>
      <w:ind w:left="480" w:hanging="480"/>
      <w:jc w:val="both"/>
      <w:outlineLvl w:val="1"/>
    </w:pPr>
    <w:rPr>
      <w:rFonts w:ascii="黑体" w:hAnsi="Calibri" w:eastAsia="黑体" w:cs="Times New Roman"/>
      <w:b/>
      <w:lang w:val="en-US" w:eastAsia="zh-CN" w:bidi="ar-SA"/>
    </w:rPr>
  </w:style>
  <w:style w:type="paragraph" w:customStyle="1" w:styleId="536">
    <w:name w:val="xl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b/>
      <w:kern w:val="0"/>
      <w:sz w:val="36"/>
    </w:rPr>
  </w:style>
  <w:style w:type="paragraph" w:customStyle="1" w:styleId="537">
    <w:name w:val="图表小四中对齐"/>
    <w:basedOn w:val="1"/>
    <w:qFormat/>
    <w:uiPriority w:val="0"/>
    <w:pPr>
      <w:adjustRightInd w:val="0"/>
      <w:spacing w:line="360" w:lineRule="exact"/>
      <w:jc w:val="center"/>
      <w:textAlignment w:val="baseline"/>
    </w:pPr>
    <w:rPr>
      <w:color w:val="000000"/>
      <w:spacing w:val="-10"/>
      <w:sz w:val="24"/>
    </w:rPr>
  </w:style>
  <w:style w:type="paragraph" w:customStyle="1" w:styleId="538">
    <w:name w:val="标准书眉一"/>
    <w:qFormat/>
    <w:uiPriority w:val="0"/>
    <w:pPr>
      <w:jc w:val="both"/>
    </w:pPr>
    <w:rPr>
      <w:rFonts w:ascii="Calibri" w:hAnsi="Calibri" w:eastAsia="宋体" w:cs="Times New Roman"/>
      <w:lang w:val="en-US" w:eastAsia="zh-CN" w:bidi="ar-SA"/>
    </w:rPr>
  </w:style>
  <w:style w:type="paragraph" w:customStyle="1" w:styleId="539">
    <w:name w:val="Char Char Char Char Char Char3 Char Char Char Char Char Char Char Char Char Char"/>
    <w:basedOn w:val="1"/>
    <w:next w:val="1"/>
    <w:qFormat/>
    <w:uiPriority w:val="0"/>
    <w:rPr>
      <w:rFonts w:eastAsia="黑体"/>
    </w:rPr>
  </w:style>
  <w:style w:type="paragraph" w:customStyle="1" w:styleId="540">
    <w:name w:val="xl5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541">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542">
    <w:name w:val="Char Char Char Char1"/>
    <w:basedOn w:val="1"/>
    <w:qFormat/>
    <w:uiPriority w:val="0"/>
    <w:rPr>
      <w:sz w:val="21"/>
    </w:rPr>
  </w:style>
  <w:style w:type="paragraph" w:customStyle="1" w:styleId="543">
    <w:name w:val="表文C"/>
    <w:basedOn w:val="1"/>
    <w:qFormat/>
    <w:uiPriority w:val="0"/>
    <w:pPr>
      <w:widowControl/>
      <w:tabs>
        <w:tab w:val="left" w:pos="0"/>
      </w:tabs>
      <w:adjustRightInd w:val="0"/>
      <w:snapToGrid w:val="0"/>
    </w:pPr>
    <w:rPr>
      <w:snapToGrid w:val="0"/>
      <w:kern w:val="0"/>
      <w:sz w:val="21"/>
    </w:rPr>
  </w:style>
  <w:style w:type="paragraph" w:customStyle="1" w:styleId="544">
    <w:name w:val="_Style 3"/>
    <w:qFormat/>
    <w:uiPriority w:val="0"/>
    <w:rPr>
      <w:rFonts w:ascii="Calibri" w:hAnsi="Calibri" w:eastAsia="宋体" w:cs="Times New Roman"/>
      <w:sz w:val="22"/>
      <w:szCs w:val="22"/>
      <w:lang w:val="en-US" w:eastAsia="zh-CN" w:bidi="ar-SA"/>
    </w:rPr>
  </w:style>
  <w:style w:type="paragraph" w:customStyle="1" w:styleId="545">
    <w:name w:val="font0"/>
    <w:basedOn w:val="1"/>
    <w:qFormat/>
    <w:uiPriority w:val="0"/>
    <w:pPr>
      <w:widowControl/>
      <w:spacing w:before="100" w:beforeAutospacing="1" w:after="100" w:afterAutospacing="1"/>
    </w:pPr>
    <w:rPr>
      <w:rFonts w:hint="eastAsia" w:ascii="宋体" w:hAnsi="宋体"/>
      <w:kern w:val="0"/>
      <w:sz w:val="24"/>
    </w:rPr>
  </w:style>
  <w:style w:type="paragraph" w:customStyle="1" w:styleId="546">
    <w:name w:val="一级条标题"/>
    <w:next w:val="358"/>
    <w:qFormat/>
    <w:uiPriority w:val="0"/>
    <w:pPr>
      <w:outlineLvl w:val="2"/>
    </w:pPr>
    <w:rPr>
      <w:rFonts w:ascii="Calibri" w:hAnsi="Calibri" w:eastAsia="黑体" w:cs="Times New Roman"/>
      <w:sz w:val="21"/>
      <w:lang w:val="en-US" w:eastAsia="zh-CN" w:bidi="ar-SA"/>
    </w:rPr>
  </w:style>
  <w:style w:type="paragraph" w:customStyle="1" w:styleId="547">
    <w:name w:val="注×："/>
    <w:qFormat/>
    <w:uiPriority w:val="0"/>
    <w:pPr>
      <w:widowControl w:val="0"/>
      <w:tabs>
        <w:tab w:val="left" w:pos="630"/>
        <w:tab w:val="left" w:pos="720"/>
      </w:tabs>
      <w:autoSpaceDE w:val="0"/>
      <w:autoSpaceDN w:val="0"/>
      <w:ind w:left="360" w:hanging="360"/>
      <w:jc w:val="both"/>
    </w:pPr>
    <w:rPr>
      <w:rFonts w:ascii="宋体" w:hAnsi="Calibri" w:eastAsia="宋体" w:cs="Times New Roman"/>
      <w:sz w:val="18"/>
      <w:lang w:val="en-US" w:eastAsia="zh-CN" w:bidi="ar-SA"/>
    </w:rPr>
  </w:style>
  <w:style w:type="paragraph" w:customStyle="1" w:styleId="548">
    <w:name w:val="投标正文"/>
    <w:basedOn w:val="1"/>
    <w:qFormat/>
    <w:uiPriority w:val="0"/>
    <w:pPr>
      <w:spacing w:line="360" w:lineRule="auto"/>
      <w:ind w:left="100" w:firstLine="480" w:firstLineChars="200"/>
    </w:pPr>
    <w:rPr>
      <w:sz w:val="24"/>
      <w:szCs w:val="24"/>
    </w:rPr>
  </w:style>
  <w:style w:type="paragraph" w:customStyle="1" w:styleId="549">
    <w:name w:val="标题 0"/>
    <w:basedOn w:val="2"/>
    <w:qFormat/>
    <w:uiPriority w:val="0"/>
    <w:pPr>
      <w:keepNext w:val="0"/>
      <w:widowControl w:val="0"/>
      <w:autoSpaceDE w:val="0"/>
      <w:autoSpaceDN w:val="0"/>
      <w:adjustRightInd w:val="0"/>
      <w:spacing w:line="240" w:lineRule="auto"/>
      <w:jc w:val="left"/>
    </w:pPr>
    <w:rPr>
      <w:rFonts w:ascii="宋体"/>
      <w:snapToGrid w:val="0"/>
      <w:color w:val="000000"/>
      <w:sz w:val="44"/>
    </w:rPr>
  </w:style>
  <w:style w:type="paragraph" w:customStyle="1" w:styleId="550">
    <w:name w:val="标准标志"/>
    <w:next w:val="1"/>
    <w:qFormat/>
    <w:uiPriority w:val="0"/>
    <w:pPr>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551">
    <w:name w:val="条文脚注"/>
    <w:basedOn w:val="68"/>
    <w:qFormat/>
    <w:uiPriority w:val="0"/>
    <w:pPr>
      <w:ind w:left="780" w:leftChars="200" w:hanging="360" w:hangingChars="200"/>
      <w:jc w:val="both"/>
    </w:pPr>
    <w:rPr>
      <w:rFonts w:ascii="宋体"/>
    </w:rPr>
  </w:style>
  <w:style w:type="paragraph" w:customStyle="1" w:styleId="552">
    <w:name w:val="HTML 地址1"/>
    <w:basedOn w:val="1"/>
    <w:qFormat/>
    <w:uiPriority w:val="0"/>
    <w:rPr>
      <w:i/>
      <w:kern w:val="0"/>
      <w:sz w:val="20"/>
    </w:rPr>
  </w:style>
  <w:style w:type="paragraph" w:customStyle="1" w:styleId="553">
    <w:name w:val="表格5"/>
    <w:basedOn w:val="554"/>
    <w:qFormat/>
    <w:uiPriority w:val="0"/>
    <w:pPr>
      <w:ind w:left="1021" w:hanging="284"/>
    </w:pPr>
    <w:rPr>
      <w:rFonts w:ascii="宋体"/>
    </w:rPr>
  </w:style>
  <w:style w:type="paragraph" w:customStyle="1" w:styleId="554">
    <w:name w:val="表格2"/>
    <w:basedOn w:val="1"/>
    <w:qFormat/>
    <w:uiPriority w:val="0"/>
    <w:pPr>
      <w:adjustRightInd w:val="0"/>
      <w:spacing w:line="420" w:lineRule="atLeast"/>
      <w:ind w:left="284" w:firstLine="454"/>
      <w:textAlignment w:val="baseline"/>
    </w:pPr>
    <w:rPr>
      <w:kern w:val="0"/>
      <w:sz w:val="21"/>
    </w:rPr>
  </w:style>
  <w:style w:type="paragraph" w:customStyle="1" w:styleId="555">
    <w:name w:val="_Style 10"/>
    <w:basedOn w:val="1"/>
    <w:next w:val="1"/>
    <w:qFormat/>
    <w:uiPriority w:val="0"/>
    <w:rPr>
      <w:sz w:val="21"/>
    </w:rPr>
  </w:style>
  <w:style w:type="paragraph" w:customStyle="1" w:styleId="556">
    <w:name w:val="Char1"/>
    <w:basedOn w:val="1"/>
    <w:qFormat/>
    <w:uiPriority w:val="0"/>
    <w:rPr>
      <w:rFonts w:ascii="仿宋_GB2312" w:eastAsia="仿宋_GB2312"/>
      <w:b/>
      <w:sz w:val="32"/>
    </w:rPr>
  </w:style>
  <w:style w:type="paragraph" w:customStyle="1" w:styleId="557">
    <w:name w:val="Char Char Char Char Char Char Char Char Char Char Char Char1 Char"/>
    <w:basedOn w:val="26"/>
    <w:qFormat/>
    <w:uiPriority w:val="0"/>
    <w:rPr>
      <w:rFonts w:ascii="等线" w:hAnsi="等线"/>
      <w:sz w:val="21"/>
    </w:rPr>
  </w:style>
  <w:style w:type="paragraph" w:customStyle="1" w:styleId="558">
    <w:name w:val="Char Char2"/>
    <w:basedOn w:val="1"/>
    <w:qFormat/>
    <w:uiPriority w:val="0"/>
    <w:rPr>
      <w:rFonts w:ascii="Tahoma" w:hAnsi="Tahoma"/>
      <w:sz w:val="24"/>
    </w:rPr>
  </w:style>
  <w:style w:type="paragraph" w:customStyle="1" w:styleId="559">
    <w:name w:val="目录1"/>
    <w:basedOn w:val="1"/>
    <w:qFormat/>
    <w:uiPriority w:val="0"/>
    <w:pPr>
      <w:adjustRightInd w:val="0"/>
      <w:spacing w:line="420" w:lineRule="atLeast"/>
      <w:textAlignment w:val="baseline"/>
    </w:pPr>
    <w:rPr>
      <w:rFonts w:eastAsia="黑体"/>
      <w:b/>
      <w:kern w:val="0"/>
      <w:sz w:val="21"/>
    </w:rPr>
  </w:style>
  <w:style w:type="paragraph" w:customStyle="1" w:styleId="560">
    <w:name w:val="收件单位"/>
    <w:basedOn w:val="1"/>
    <w:qFormat/>
    <w:uiPriority w:val="0"/>
    <w:pPr>
      <w:tabs>
        <w:tab w:val="left" w:pos="1365"/>
      </w:tabs>
      <w:spacing w:beforeLines="100"/>
    </w:pPr>
    <w:rPr>
      <w:rFonts w:eastAsia="华文仿宋"/>
      <w:sz w:val="30"/>
    </w:rPr>
  </w:style>
  <w:style w:type="paragraph" w:customStyle="1" w:styleId="561">
    <w:name w:val="表内居中"/>
    <w:qFormat/>
    <w:uiPriority w:val="0"/>
    <w:pPr>
      <w:jc w:val="center"/>
    </w:pPr>
    <w:rPr>
      <w:rFonts w:ascii="Calibri" w:hAnsi="Calibri" w:eastAsia="宋体" w:cs="Times New Roman"/>
      <w:lang w:val="en-US" w:eastAsia="zh-CN" w:bidi="ar-SA"/>
    </w:rPr>
  </w:style>
  <w:style w:type="paragraph" w:customStyle="1" w:styleId="562">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63">
    <w:name w:val="文献分类号"/>
    <w:qFormat/>
    <w:uiPriority w:val="0"/>
    <w:pPr>
      <w:widowControl w:val="0"/>
      <w:textAlignment w:val="center"/>
    </w:pPr>
    <w:rPr>
      <w:rFonts w:ascii="Calibri" w:hAnsi="Calibri" w:eastAsia="黑体" w:cs="Times New Roman"/>
      <w:sz w:val="21"/>
      <w:lang w:val="en-US" w:eastAsia="zh-CN" w:bidi="ar-SA"/>
    </w:rPr>
  </w:style>
  <w:style w:type="paragraph" w:customStyle="1" w:styleId="564">
    <w:name w:val="封面正文"/>
    <w:qFormat/>
    <w:uiPriority w:val="0"/>
    <w:pPr>
      <w:jc w:val="both"/>
    </w:pPr>
    <w:rPr>
      <w:rFonts w:ascii="Calibri" w:hAnsi="Calibri" w:eastAsia="宋体" w:cs="Times New Roman"/>
      <w:lang w:val="en-US" w:eastAsia="zh-CN" w:bidi="ar-SA"/>
    </w:rPr>
  </w:style>
  <w:style w:type="paragraph" w:customStyle="1" w:styleId="565">
    <w:name w:val="表格1"/>
    <w:basedOn w:val="1"/>
    <w:qFormat/>
    <w:uiPriority w:val="0"/>
    <w:pPr>
      <w:adjustRightInd w:val="0"/>
      <w:spacing w:line="420" w:lineRule="atLeast"/>
      <w:ind w:left="284"/>
      <w:textAlignment w:val="baseline"/>
    </w:pPr>
    <w:rPr>
      <w:kern w:val="0"/>
      <w:sz w:val="21"/>
    </w:rPr>
  </w:style>
  <w:style w:type="paragraph" w:customStyle="1" w:styleId="5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567">
    <w:name w:val="xl2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1"/>
    </w:rPr>
  </w:style>
  <w:style w:type="paragraph" w:customStyle="1" w:styleId="568">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spacing w:before="100" w:beforeAutospacing="1" w:after="100" w:afterAutospacing="1"/>
    </w:pPr>
    <w:rPr>
      <w:rFonts w:ascii="Arial Unicode MS" w:hAnsi="Arial Unicode MS" w:eastAsia="Arial Unicode MS"/>
      <w:kern w:val="0"/>
      <w:sz w:val="24"/>
    </w:rPr>
  </w:style>
  <w:style w:type="paragraph" w:customStyle="1" w:styleId="569">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olor w:val="000000"/>
      <w:kern w:val="0"/>
      <w:sz w:val="21"/>
    </w:rPr>
  </w:style>
  <w:style w:type="paragraph" w:customStyle="1" w:styleId="570">
    <w:name w:val="附录表标题"/>
    <w:next w:val="358"/>
    <w:qFormat/>
    <w:uiPriority w:val="0"/>
    <w:pPr>
      <w:tabs>
        <w:tab w:val="left" w:pos="360"/>
        <w:tab w:val="left" w:pos="720"/>
      </w:tabs>
      <w:jc w:val="center"/>
      <w:textAlignment w:val="baseline"/>
    </w:pPr>
    <w:rPr>
      <w:rFonts w:ascii="黑体" w:hAnsi="Calibri" w:eastAsia="黑体" w:cs="Times New Roman"/>
      <w:kern w:val="21"/>
      <w:lang w:val="en-US" w:eastAsia="zh-CN" w:bidi="ar-SA"/>
    </w:rPr>
  </w:style>
  <w:style w:type="paragraph" w:customStyle="1" w:styleId="571">
    <w:name w:val="_Style 32"/>
    <w:basedOn w:val="1"/>
    <w:next w:val="439"/>
    <w:qFormat/>
    <w:uiPriority w:val="34"/>
    <w:pPr>
      <w:ind w:firstLine="420" w:firstLineChars="200"/>
    </w:pPr>
  </w:style>
  <w:style w:type="paragraph" w:customStyle="1" w:styleId="572">
    <w:name w:val="日期1"/>
    <w:basedOn w:val="1"/>
    <w:next w:val="1"/>
    <w:qFormat/>
    <w:uiPriority w:val="0"/>
    <w:pPr>
      <w:ind w:left="100" w:leftChars="2500"/>
    </w:pPr>
    <w:rPr>
      <w:kern w:val="0"/>
      <w:sz w:val="20"/>
    </w:rPr>
  </w:style>
  <w:style w:type="paragraph" w:customStyle="1" w:styleId="573">
    <w:name w:val="xl5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0"/>
    </w:rPr>
  </w:style>
  <w:style w:type="paragraph" w:customStyle="1" w:styleId="574">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575">
    <w:name w:val="font6"/>
    <w:basedOn w:val="1"/>
    <w:qFormat/>
    <w:uiPriority w:val="0"/>
    <w:pPr>
      <w:widowControl/>
      <w:spacing w:before="100" w:beforeAutospacing="1" w:after="100" w:afterAutospacing="1"/>
    </w:pPr>
    <w:rPr>
      <w:rFonts w:hint="eastAsia" w:ascii="宋体" w:hAnsi="宋体"/>
      <w:b/>
      <w:kern w:val="0"/>
      <w:sz w:val="36"/>
      <w:u w:val="single"/>
    </w:rPr>
  </w:style>
  <w:style w:type="paragraph" w:customStyle="1" w:styleId="576">
    <w:name w:val="列项——（一级）"/>
    <w:qFormat/>
    <w:uiPriority w:val="0"/>
    <w:pPr>
      <w:widowControl w:val="0"/>
      <w:tabs>
        <w:tab w:val="left" w:pos="720"/>
        <w:tab w:val="left" w:pos="854"/>
      </w:tabs>
      <w:ind w:left="200" w:leftChars="200" w:hanging="200" w:hangingChars="200"/>
      <w:jc w:val="both"/>
    </w:pPr>
    <w:rPr>
      <w:rFonts w:ascii="宋体" w:hAnsi="Calibri" w:eastAsia="宋体" w:cs="Times New Roman"/>
      <w:lang w:val="en-US" w:eastAsia="zh-CN" w:bidi="ar-SA"/>
    </w:rPr>
  </w:style>
  <w:style w:type="paragraph" w:customStyle="1" w:styleId="577">
    <w:name w:val="19"/>
    <w:basedOn w:val="1"/>
    <w:qFormat/>
    <w:uiPriority w:val="0"/>
    <w:pPr>
      <w:widowControl/>
      <w:snapToGrid w:val="0"/>
      <w:spacing w:before="100" w:beforeAutospacing="1" w:after="120" w:line="360" w:lineRule="atLeast"/>
      <w:jc w:val="left"/>
    </w:pPr>
    <w:rPr>
      <w:rFonts w:ascii="宋体" w:hAnsi="宋体"/>
      <w:kern w:val="0"/>
    </w:rPr>
  </w:style>
  <w:style w:type="paragraph" w:customStyle="1" w:styleId="578">
    <w:name w:val="附录五级条标题"/>
    <w:basedOn w:val="410"/>
    <w:next w:val="358"/>
    <w:qFormat/>
    <w:uiPriority w:val="0"/>
    <w:pPr>
      <w:outlineLvl w:val="6"/>
    </w:pPr>
  </w:style>
  <w:style w:type="paragraph" w:customStyle="1" w:styleId="579">
    <w:name w:val="彩色底纹 - 强调文字颜色 11"/>
    <w:qFormat/>
    <w:uiPriority w:val="0"/>
    <w:rPr>
      <w:rFonts w:ascii="Calibri" w:hAnsi="Calibri" w:eastAsia="宋体" w:cs="Times New Roman"/>
      <w:kern w:val="2"/>
      <w:sz w:val="21"/>
      <w:lang w:val="en-US" w:eastAsia="zh-CN" w:bidi="ar-SA"/>
    </w:rPr>
  </w:style>
  <w:style w:type="paragraph" w:customStyle="1" w:styleId="580">
    <w:name w:val="xl559"/>
    <w:basedOn w:val="1"/>
    <w:qFormat/>
    <w:uiPriority w:val="0"/>
    <w:pPr>
      <w:widowControl/>
      <w:spacing w:before="100" w:beforeAutospacing="1" w:after="100" w:afterAutospacing="1"/>
      <w:jc w:val="center"/>
    </w:pPr>
    <w:rPr>
      <w:rFonts w:ascii="宋体" w:hAnsi="宋体"/>
      <w:color w:val="000000"/>
      <w:kern w:val="0"/>
      <w:sz w:val="20"/>
    </w:rPr>
  </w:style>
  <w:style w:type="paragraph" w:customStyle="1" w:styleId="581">
    <w:name w:val="正文内"/>
    <w:basedOn w:val="1"/>
    <w:qFormat/>
    <w:uiPriority w:val="0"/>
    <w:pPr>
      <w:spacing w:line="400" w:lineRule="exact"/>
      <w:ind w:firstLine="200" w:firstLineChars="200"/>
    </w:pPr>
    <w:rPr>
      <w:rFonts w:ascii="宋体" w:hAnsi="宋体"/>
      <w:sz w:val="21"/>
    </w:rPr>
  </w:style>
  <w:style w:type="paragraph" w:customStyle="1" w:styleId="582">
    <w:name w:val="表"/>
    <w:basedOn w:val="1"/>
    <w:qFormat/>
    <w:uiPriority w:val="0"/>
    <w:pPr>
      <w:spacing w:line="360" w:lineRule="auto"/>
      <w:jc w:val="center"/>
    </w:pPr>
    <w:rPr>
      <w:color w:val="000000"/>
      <w:sz w:val="21"/>
    </w:rPr>
  </w:style>
  <w:style w:type="paragraph" w:customStyle="1" w:styleId="583">
    <w:name w:val="附录标识"/>
    <w:basedOn w:val="447"/>
    <w:qFormat/>
    <w:uiPriority w:val="0"/>
    <w:pPr>
      <w:tabs>
        <w:tab w:val="left" w:pos="720"/>
        <w:tab w:val="left" w:pos="6405"/>
      </w:tabs>
      <w:spacing w:after="200"/>
      <w:ind w:left="360" w:hanging="360"/>
    </w:pPr>
    <w:rPr>
      <w:sz w:val="21"/>
    </w:rPr>
  </w:style>
  <w:style w:type="paragraph" w:customStyle="1" w:styleId="584">
    <w:name w:val="正文 A"/>
    <w:qFormat/>
    <w:uiPriority w:val="0"/>
    <w:rPr>
      <w:rFonts w:ascii="Calibri" w:hAnsi="Calibri" w:eastAsia="ヒラギノ角ゴ Pro W3" w:cs="Times New Roman"/>
      <w:color w:val="000000"/>
      <w:sz w:val="24"/>
      <w:lang w:val="en-US" w:eastAsia="zh-CN" w:bidi="ar-SA"/>
    </w:rPr>
  </w:style>
  <w:style w:type="paragraph" w:customStyle="1" w:styleId="585">
    <w:name w:val="标题C"/>
    <w:qFormat/>
    <w:uiPriority w:val="0"/>
    <w:pPr>
      <w:tabs>
        <w:tab w:val="left" w:pos="0"/>
      </w:tabs>
      <w:adjustRightInd w:val="0"/>
      <w:snapToGrid w:val="0"/>
      <w:spacing w:before="300"/>
      <w:outlineLvl w:val="2"/>
    </w:pPr>
    <w:rPr>
      <w:rFonts w:ascii="Calibri" w:hAnsi="Calibri" w:eastAsia="宋体" w:cs="Times New Roman"/>
      <w:b/>
      <w:snapToGrid w:val="0"/>
      <w:sz w:val="28"/>
      <w:lang w:val="en-US" w:eastAsia="zh-CN" w:bidi="ar-SA"/>
    </w:rPr>
  </w:style>
  <w:style w:type="paragraph" w:customStyle="1" w:styleId="5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87">
    <w:name w:val="默认段落字体 Para Char"/>
    <w:basedOn w:val="1"/>
    <w:qFormat/>
    <w:uiPriority w:val="0"/>
    <w:pPr>
      <w:tabs>
        <w:tab w:val="left" w:pos="425"/>
      </w:tabs>
      <w:ind w:left="425" w:hanging="425"/>
    </w:pPr>
    <w:rPr>
      <w:sz w:val="21"/>
    </w:rPr>
  </w:style>
  <w:style w:type="paragraph" w:customStyle="1" w:styleId="588">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589">
    <w:name w:val="_Style 40"/>
    <w:basedOn w:val="1"/>
    <w:qFormat/>
    <w:uiPriority w:val="0"/>
    <w:rPr>
      <w:sz w:val="21"/>
    </w:rPr>
  </w:style>
  <w:style w:type="paragraph" w:customStyle="1" w:styleId="590">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Calibri" w:eastAsia="宋体" w:cs="Times New Roman"/>
      <w:sz w:val="21"/>
      <w:lang w:val="en-US" w:eastAsia="zh-CN" w:bidi="ar-SA"/>
    </w:rPr>
  </w:style>
  <w:style w:type="paragraph" w:customStyle="1" w:styleId="591">
    <w:name w:val="注："/>
    <w:next w:val="358"/>
    <w:qFormat/>
    <w:uiPriority w:val="0"/>
    <w:pPr>
      <w:widowControl w:val="0"/>
      <w:tabs>
        <w:tab w:val="left" w:pos="720"/>
      </w:tabs>
      <w:autoSpaceDE w:val="0"/>
      <w:autoSpaceDN w:val="0"/>
      <w:ind w:left="360" w:hanging="360"/>
      <w:jc w:val="both"/>
    </w:pPr>
    <w:rPr>
      <w:rFonts w:ascii="宋体" w:hAnsi="Calibri" w:eastAsia="宋体" w:cs="Times New Roman"/>
      <w:sz w:val="18"/>
      <w:lang w:val="en-US" w:eastAsia="zh-CN" w:bidi="ar-SA"/>
    </w:rPr>
  </w:style>
  <w:style w:type="paragraph" w:customStyle="1" w:styleId="592">
    <w:name w:val="font7"/>
    <w:basedOn w:val="1"/>
    <w:qFormat/>
    <w:uiPriority w:val="0"/>
    <w:pPr>
      <w:widowControl/>
      <w:spacing w:before="100" w:beforeAutospacing="1" w:after="100" w:afterAutospacing="1"/>
    </w:pPr>
    <w:rPr>
      <w:rFonts w:hint="eastAsia" w:ascii="宋体" w:hAnsi="宋体"/>
      <w:kern w:val="0"/>
      <w:sz w:val="24"/>
    </w:rPr>
  </w:style>
  <w:style w:type="paragraph" w:customStyle="1" w:styleId="593">
    <w:name w:val="彩色列表 - 强调文字颜色 12"/>
    <w:basedOn w:val="1"/>
    <w:qFormat/>
    <w:uiPriority w:val="0"/>
    <w:pPr>
      <w:ind w:firstLine="420" w:firstLineChars="200"/>
    </w:pPr>
    <w:rPr>
      <w:sz w:val="21"/>
    </w:rPr>
  </w:style>
  <w:style w:type="paragraph" w:customStyle="1" w:styleId="594">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kern w:val="0"/>
      <w:sz w:val="20"/>
    </w:rPr>
  </w:style>
  <w:style w:type="paragraph" w:customStyle="1" w:styleId="595">
    <w:name w:val="xl37"/>
    <w:basedOn w:val="1"/>
    <w:qFormat/>
    <w:uiPriority w:val="0"/>
    <w:pPr>
      <w:widowControl/>
      <w:pBdr>
        <w:top w:val="single" w:color="auto" w:sz="4" w:space="0"/>
        <w:bottom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596">
    <w:name w:val="正文样式"/>
    <w:basedOn w:val="1"/>
    <w:qFormat/>
    <w:uiPriority w:val="0"/>
    <w:pPr>
      <w:ind w:firstLine="480" w:firstLineChars="200"/>
    </w:pPr>
    <w:rPr>
      <w:rFonts w:eastAsia="华文仿宋"/>
      <w:szCs w:val="24"/>
    </w:rPr>
  </w:style>
  <w:style w:type="paragraph" w:customStyle="1" w:styleId="597">
    <w:name w:val="标题D"/>
    <w:qFormat/>
    <w:uiPriority w:val="0"/>
    <w:pPr>
      <w:adjustRightInd w:val="0"/>
      <w:snapToGrid w:val="0"/>
      <w:spacing w:before="240" w:line="360" w:lineRule="auto"/>
      <w:outlineLvl w:val="3"/>
    </w:pPr>
    <w:rPr>
      <w:rFonts w:ascii="Calibri" w:hAnsi="Calibri" w:eastAsia="宋体" w:cs="Times New Roman"/>
      <w:b/>
      <w:sz w:val="24"/>
      <w:lang w:val="en-US" w:eastAsia="zh-CN" w:bidi="ar-SA"/>
    </w:rPr>
  </w:style>
  <w:style w:type="paragraph" w:customStyle="1" w:styleId="598">
    <w:name w:val="正文图标题"/>
    <w:next w:val="358"/>
    <w:qFormat/>
    <w:uiPriority w:val="0"/>
    <w:pPr>
      <w:tabs>
        <w:tab w:val="left" w:pos="720"/>
      </w:tabs>
      <w:ind w:left="780" w:hanging="360"/>
      <w:jc w:val="center"/>
    </w:pPr>
    <w:rPr>
      <w:rFonts w:ascii="黑体" w:hAnsi="Calibri" w:eastAsia="黑体" w:cs="Times New Roman"/>
      <w:lang w:val="en-US" w:eastAsia="zh-CN" w:bidi="ar-SA"/>
    </w:rPr>
  </w:style>
  <w:style w:type="paragraph" w:customStyle="1" w:styleId="599">
    <w:name w:val="表格一"/>
    <w:basedOn w:val="1"/>
    <w:qFormat/>
    <w:uiPriority w:val="0"/>
    <w:pPr>
      <w:spacing w:line="240" w:lineRule="exact"/>
      <w:ind w:left="105" w:leftChars="50"/>
    </w:pPr>
    <w:rPr>
      <w:sz w:val="18"/>
    </w:rPr>
  </w:style>
  <w:style w:type="paragraph" w:customStyle="1" w:styleId="600">
    <w:name w:val="[Normal]"/>
    <w:qFormat/>
    <w:uiPriority w:val="0"/>
    <w:rPr>
      <w:rFonts w:ascii="宋体" w:hAnsi="宋体" w:eastAsia="宋体" w:cs="Times New Roman"/>
      <w:sz w:val="24"/>
      <w:szCs w:val="22"/>
      <w:lang w:val="zh-CN" w:eastAsia="zh-CN" w:bidi="ar-SA"/>
    </w:rPr>
  </w:style>
  <w:style w:type="paragraph" w:customStyle="1" w:styleId="601">
    <w:name w:val="无间隔3"/>
    <w:qFormat/>
    <w:uiPriority w:val="0"/>
    <w:pPr>
      <w:adjustRightInd w:val="0"/>
      <w:snapToGrid w:val="0"/>
    </w:pPr>
    <w:rPr>
      <w:rFonts w:ascii="Tahoma" w:hAnsi="Tahoma" w:eastAsia="微软雅黑" w:cs="Tahoma"/>
      <w:sz w:val="22"/>
      <w:szCs w:val="22"/>
      <w:lang w:val="en-US" w:eastAsia="zh-CN" w:bidi="ar-SA"/>
    </w:rPr>
  </w:style>
  <w:style w:type="paragraph" w:customStyle="1" w:styleId="602">
    <w:name w:val="Heading #2|1"/>
    <w:basedOn w:val="1"/>
    <w:qFormat/>
    <w:uiPriority w:val="0"/>
    <w:pPr>
      <w:spacing w:after="720" w:line="648" w:lineRule="exact"/>
      <w:ind w:firstLine="310"/>
      <w:jc w:val="center"/>
      <w:outlineLvl w:val="1"/>
    </w:pPr>
    <w:rPr>
      <w:rFonts w:ascii="宋体" w:hAnsi="宋体" w:cs="宋体"/>
      <w:sz w:val="42"/>
      <w:szCs w:val="42"/>
      <w:lang w:val="zh-TW" w:eastAsia="zh-TW" w:bidi="zh-TW"/>
    </w:rPr>
  </w:style>
  <w:style w:type="paragraph" w:customStyle="1" w:styleId="603">
    <w:name w:val="Body text|1"/>
    <w:basedOn w:val="1"/>
    <w:qFormat/>
    <w:uiPriority w:val="0"/>
    <w:pPr>
      <w:spacing w:line="401" w:lineRule="auto"/>
      <w:ind w:firstLine="400"/>
    </w:pPr>
    <w:rPr>
      <w:rFonts w:ascii="宋体" w:hAnsi="宋体" w:cs="宋体"/>
      <w:sz w:val="30"/>
      <w:szCs w:val="30"/>
      <w:lang w:val="zh-TW" w:eastAsia="zh-TW" w:bidi="zh-TW"/>
    </w:rPr>
  </w:style>
  <w:style w:type="paragraph" w:customStyle="1" w:styleId="604">
    <w:name w:val="Body text|3"/>
    <w:basedOn w:val="1"/>
    <w:qFormat/>
    <w:uiPriority w:val="0"/>
    <w:rPr>
      <w:rFonts w:ascii="宋体" w:hAnsi="宋体" w:cs="宋体"/>
      <w:sz w:val="17"/>
      <w:szCs w:val="17"/>
      <w:lang w:val="zh-TW" w:eastAsia="zh-TW" w:bidi="zh-TW"/>
    </w:rPr>
  </w:style>
  <w:style w:type="paragraph" w:styleId="605">
    <w:name w:val="List Paragraph"/>
    <w:basedOn w:val="1"/>
    <w:qFormat/>
    <w:uiPriority w:val="0"/>
    <w:pPr>
      <w:ind w:firstLine="420" w:firstLineChars="200"/>
    </w:pPr>
    <w:rPr>
      <w:rFonts w:eastAsia="仿宋_GB2312"/>
      <w:szCs w:val="22"/>
    </w:rPr>
  </w:style>
  <w:style w:type="paragraph" w:customStyle="1" w:styleId="606">
    <w:name w:val="纯文本11"/>
    <w:qFormat/>
    <w:uiPriority w:val="99"/>
    <w:pPr>
      <w:widowControl w:val="0"/>
      <w:jc w:val="both"/>
    </w:pPr>
    <w:rPr>
      <w:rFonts w:ascii="宋体" w:hAnsi="宋体" w:eastAsia="宋体" w:cs="宋体"/>
      <w:color w:val="000000"/>
      <w:kern w:val="2"/>
      <w:sz w:val="21"/>
      <w:szCs w:val="21"/>
      <w:lang w:val="en-US" w:eastAsia="zh-CN" w:bidi="ar-SA"/>
    </w:rPr>
  </w:style>
  <w:style w:type="paragraph" w:customStyle="1" w:styleId="607">
    <w:name w:val="HtmlNormal"/>
    <w:basedOn w:val="1"/>
    <w:qFormat/>
    <w:uiPriority w:val="0"/>
    <w:pPr>
      <w:spacing w:before="100" w:beforeAutospacing="1" w:after="100" w:afterAutospacing="1"/>
      <w:jc w:val="left"/>
    </w:pPr>
    <w:rPr>
      <w:kern w:val="0"/>
      <w:sz w:val="24"/>
      <w:szCs w:val="24"/>
    </w:rPr>
  </w:style>
  <w:style w:type="character" w:customStyle="1" w:styleId="608">
    <w:name w:val="large1"/>
    <w:qFormat/>
    <w:uiPriority w:val="0"/>
    <w:rPr>
      <w:rFonts w:hint="eastAsia" w:ascii="宋体" w:hAnsi="宋体" w:eastAsia="宋体"/>
      <w:sz w:val="21"/>
      <w:szCs w:val="21"/>
    </w:rPr>
  </w:style>
  <w:style w:type="paragraph" w:customStyle="1" w:styleId="609">
    <w:name w:val="默认"/>
    <w:qFormat/>
    <w:uiPriority w:val="0"/>
    <w:rPr>
      <w:rFonts w:ascii="Arial Unicode MS" w:hAnsi="Arial Unicode MS" w:eastAsia="Arial Unicode MS" w:cs="Arial Unicode MS"/>
      <w:color w:val="000000"/>
      <w:sz w:val="22"/>
      <w:szCs w:val="22"/>
      <w:lang w:val="zh-TW" w:eastAsia="zh-TW" w:bidi="ar-SA"/>
    </w:rPr>
  </w:style>
  <w:style w:type="character" w:customStyle="1" w:styleId="610">
    <w:name w:val="无"/>
    <w:qFormat/>
    <w:uiPriority w:val="99"/>
  </w:style>
  <w:style w:type="paragraph" w:customStyle="1" w:styleId="61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2">
    <w:name w:val="正文缩进2格"/>
    <w:qFormat/>
    <w:uiPriority w:val="99"/>
    <w:pPr>
      <w:widowControl w:val="0"/>
      <w:pBdr>
        <w:top w:val="none" w:color="FFFFFF" w:sz="0" w:space="31"/>
        <w:left w:val="none" w:color="FFFFFF" w:sz="0" w:space="31"/>
        <w:bottom w:val="none" w:color="FFFFFF" w:sz="0" w:space="31"/>
        <w:right w:val="none" w:color="FFFFFF" w:sz="0" w:space="31"/>
      </w:pBdr>
      <w:spacing w:line="600" w:lineRule="exact"/>
      <w:ind w:firstLine="639"/>
      <w:jc w:val="both"/>
    </w:pPr>
    <w:rPr>
      <w:rFonts w:ascii="??_GB2312" w:hAnsi="??_GB2312" w:eastAsia="宋体" w:cs="??_GB2312"/>
      <w:color w:val="000000"/>
      <w:kern w:val="2"/>
      <w:sz w:val="31"/>
      <w:szCs w:val="31"/>
      <w:lang w:val="en-US" w:eastAsia="zh-CN" w:bidi="ar-SA"/>
    </w:rPr>
  </w:style>
  <w:style w:type="paragraph" w:customStyle="1" w:styleId="613">
    <w:name w:val="纯文本4"/>
    <w:basedOn w:val="1"/>
    <w:qFormat/>
    <w:uiPriority w:val="0"/>
    <w:rPr>
      <w:rFonts w:ascii="宋体" w:hAnsi="Courier New"/>
      <w:sz w:val="24"/>
      <w:szCs w:val="24"/>
    </w:rPr>
  </w:style>
  <w:style w:type="paragraph" w:customStyle="1" w:styleId="614">
    <w:name w:val="正文4"/>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37258</Words>
  <Characters>39185</Characters>
  <Lines>46</Lines>
  <Paragraphs>87</Paragraphs>
  <TotalTime>18</TotalTime>
  <ScaleCrop>false</ScaleCrop>
  <LinksUpToDate>false</LinksUpToDate>
  <CharactersWithSpaces>41262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2023-09-06T01:13:00Z</dcterms:created>
  <dc:creator>yht</dc:creator>
  <cp:lastModifiedBy>浙江中正工程项目管理有限公司</cp:lastModifiedBy>
  <cp:lastPrinted>2022-12-05T11:05:00Z</cp:lastPrinted>
  <dcterms:modified xsi:type="dcterms:W3CDTF">2023-09-21T01:11:10Z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7B8AD55FCCB14A87B99E41B3DA3CAF8E</vt:lpwstr>
  </property>
</Properties>
</file>