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0"/>
        </w:tabs>
        <w:autoSpaceDE w:val="0"/>
        <w:autoSpaceDN w:val="0"/>
        <w:adjustRightInd w:val="0"/>
        <w:snapToGrid w:val="0"/>
        <w:spacing w:line="360" w:lineRule="auto"/>
        <w:jc w:val="center"/>
        <w:textAlignment w:val="bottom"/>
        <w:rPr>
          <w:rFonts w:hint="eastAsia" w:ascii="宋体" w:hAnsi="宋体" w:eastAsia="宋体"/>
          <w:b/>
          <w:sz w:val="52"/>
          <w:highlight w:val="none"/>
          <w:lang w:eastAsia="zh-CN"/>
        </w:rPr>
      </w:pPr>
    </w:p>
    <w:p>
      <w:pPr>
        <w:tabs>
          <w:tab w:val="left" w:pos="4500"/>
        </w:tabs>
        <w:autoSpaceDE w:val="0"/>
        <w:autoSpaceDN w:val="0"/>
        <w:adjustRightInd w:val="0"/>
        <w:snapToGrid w:val="0"/>
        <w:spacing w:line="360" w:lineRule="auto"/>
        <w:jc w:val="center"/>
        <w:textAlignment w:val="bottom"/>
        <w:rPr>
          <w:rFonts w:ascii="宋体" w:hAnsi="宋体"/>
          <w:highlight w:val="none"/>
        </w:rPr>
      </w:pPr>
      <w:r>
        <w:rPr>
          <w:rFonts w:hint="eastAsia" w:ascii="宋体" w:hAnsi="宋体"/>
          <w:b/>
          <w:sz w:val="52"/>
          <w:highlight w:val="none"/>
        </w:rPr>
        <w:t>公开招标采购文件</w:t>
      </w:r>
    </w:p>
    <w:p>
      <w:pPr>
        <w:spacing w:before="24" w:beforeLines="10" w:line="360" w:lineRule="auto"/>
        <w:ind w:firstLine="361" w:firstLineChars="100"/>
        <w:jc w:val="left"/>
        <w:rPr>
          <w:rFonts w:ascii="宋体" w:hAnsi="宋体"/>
          <w:b/>
          <w:sz w:val="36"/>
          <w:highlight w:val="none"/>
        </w:rPr>
      </w:pPr>
    </w:p>
    <w:p>
      <w:pPr>
        <w:spacing w:before="24" w:beforeLines="10" w:line="360" w:lineRule="auto"/>
        <w:ind w:firstLine="361" w:firstLineChars="100"/>
        <w:jc w:val="left"/>
        <w:rPr>
          <w:rFonts w:ascii="宋体" w:hAnsi="宋体"/>
          <w:b/>
          <w:sz w:val="36"/>
          <w:highlight w:val="none"/>
        </w:rPr>
      </w:pPr>
    </w:p>
    <w:p>
      <w:pPr>
        <w:spacing w:before="24" w:beforeLines="10" w:line="360" w:lineRule="auto"/>
        <w:ind w:firstLine="361" w:firstLineChars="100"/>
        <w:jc w:val="left"/>
        <w:rPr>
          <w:rFonts w:hint="default" w:ascii="宋体" w:hAnsi="宋体" w:eastAsia="宋体"/>
          <w:b/>
          <w:sz w:val="36"/>
          <w:highlight w:val="none"/>
          <w:lang w:val="en-US" w:eastAsia="zh-CN"/>
        </w:rPr>
      </w:pPr>
      <w:r>
        <w:rPr>
          <w:rFonts w:hint="eastAsia" w:ascii="宋体" w:hAnsi="宋体"/>
          <w:b/>
          <w:sz w:val="36"/>
          <w:highlight w:val="none"/>
        </w:rPr>
        <w:t>项目编号：</w:t>
      </w:r>
      <w:r>
        <w:rPr>
          <w:rFonts w:hint="eastAsia" w:ascii="宋体" w:hAnsi="宋体"/>
          <w:b/>
          <w:sz w:val="36"/>
          <w:highlight w:val="none"/>
          <w:lang w:eastAsia="zh-CN"/>
        </w:rPr>
        <w:t>ZZCG2022102-1</w:t>
      </w:r>
    </w:p>
    <w:p>
      <w:pPr>
        <w:spacing w:before="24" w:beforeLines="10" w:line="360" w:lineRule="auto"/>
        <w:ind w:firstLine="361" w:firstLineChars="100"/>
        <w:jc w:val="left"/>
        <w:rPr>
          <w:rFonts w:hint="eastAsia" w:ascii="宋体" w:hAnsi="宋体"/>
          <w:b/>
          <w:sz w:val="36"/>
          <w:highlight w:val="none"/>
          <w:lang w:eastAsia="zh-CN"/>
        </w:rPr>
      </w:pPr>
      <w:r>
        <w:rPr>
          <w:rFonts w:hint="eastAsia" w:ascii="宋体" w:hAnsi="宋体"/>
          <w:b/>
          <w:sz w:val="36"/>
          <w:highlight w:val="none"/>
        </w:rPr>
        <w:t>项目名称：</w:t>
      </w:r>
      <w:r>
        <w:rPr>
          <w:rFonts w:hint="eastAsia" w:ascii="宋体" w:hAnsi="宋体"/>
          <w:b/>
          <w:sz w:val="36"/>
          <w:highlight w:val="none"/>
          <w:lang w:eastAsia="zh-CN"/>
        </w:rPr>
        <w:t>衢州市智慧新城二期范围保洁作业服务</w:t>
      </w:r>
    </w:p>
    <w:p>
      <w:pPr>
        <w:spacing w:before="24" w:beforeLines="10" w:line="360" w:lineRule="auto"/>
        <w:ind w:firstLine="2168" w:firstLineChars="600"/>
        <w:jc w:val="left"/>
        <w:rPr>
          <w:highlight w:val="none"/>
        </w:rPr>
      </w:pPr>
      <w:r>
        <w:rPr>
          <w:rFonts w:hint="eastAsia" w:ascii="宋体" w:hAnsi="宋体"/>
          <w:b/>
          <w:sz w:val="36"/>
          <w:highlight w:val="none"/>
        </w:rPr>
        <w:t xml:space="preserve">采购项目          </w:t>
      </w:r>
    </w:p>
    <w:p>
      <w:pPr>
        <w:pStyle w:val="5"/>
        <w:ind w:left="560" w:firstLine="0"/>
        <w:rPr>
          <w:rFonts w:ascii="宋体" w:hAnsi="宋体" w:eastAsia="宋体"/>
          <w:highlight w:val="none"/>
        </w:rPr>
      </w:pPr>
    </w:p>
    <w:p>
      <w:pPr>
        <w:rPr>
          <w:rFonts w:ascii="宋体" w:hAnsi="宋体"/>
          <w:highlight w:val="none"/>
        </w:rPr>
      </w:pPr>
    </w:p>
    <w:p>
      <w:pPr>
        <w:pStyle w:val="8"/>
        <w:rPr>
          <w:highlight w:val="none"/>
        </w:rPr>
      </w:pPr>
    </w:p>
    <w:p>
      <w:pPr>
        <w:autoSpaceDE w:val="0"/>
        <w:autoSpaceDN w:val="0"/>
        <w:adjustRightInd w:val="0"/>
        <w:snapToGrid w:val="0"/>
        <w:spacing w:before="24" w:beforeLines="10" w:line="360" w:lineRule="auto"/>
        <w:jc w:val="center"/>
        <w:textAlignment w:val="bottom"/>
        <w:rPr>
          <w:rFonts w:ascii="宋体" w:hAnsi="宋体"/>
          <w:b/>
          <w:highlight w:val="none"/>
        </w:rPr>
      </w:pPr>
    </w:p>
    <w:p>
      <w:pPr>
        <w:autoSpaceDE w:val="0"/>
        <w:autoSpaceDN w:val="0"/>
        <w:adjustRightInd w:val="0"/>
        <w:snapToGrid w:val="0"/>
        <w:spacing w:before="24" w:beforeLines="10" w:line="360" w:lineRule="auto"/>
        <w:jc w:val="center"/>
        <w:textAlignment w:val="bottom"/>
        <w:rPr>
          <w:rFonts w:ascii="宋体" w:hAnsi="宋体"/>
          <w:b/>
          <w:highlight w:val="none"/>
        </w:rPr>
      </w:pPr>
    </w:p>
    <w:p>
      <w:pPr>
        <w:pStyle w:val="87"/>
        <w:ind w:left="560"/>
        <w:rPr>
          <w:highlight w:val="none"/>
        </w:rPr>
      </w:pPr>
    </w:p>
    <w:p>
      <w:pPr>
        <w:pStyle w:val="2"/>
        <w:ind w:firstLine="210"/>
        <w:rPr>
          <w:highlight w:val="none"/>
        </w:rPr>
      </w:pPr>
    </w:p>
    <w:p>
      <w:pPr>
        <w:pStyle w:val="2"/>
        <w:ind w:firstLine="210"/>
        <w:rPr>
          <w:highlight w:val="none"/>
        </w:rPr>
      </w:pPr>
    </w:p>
    <w:p>
      <w:pPr>
        <w:autoSpaceDE w:val="0"/>
        <w:autoSpaceDN w:val="0"/>
        <w:adjustRightInd w:val="0"/>
        <w:snapToGrid w:val="0"/>
        <w:spacing w:before="24" w:beforeLines="10" w:line="360" w:lineRule="auto"/>
        <w:jc w:val="center"/>
        <w:textAlignment w:val="bottom"/>
        <w:rPr>
          <w:rFonts w:ascii="宋体" w:hAnsi="宋体"/>
          <w:b/>
          <w:highlight w:val="none"/>
        </w:rPr>
      </w:pPr>
    </w:p>
    <w:p>
      <w:pPr>
        <w:pStyle w:val="35"/>
        <w:rPr>
          <w:highlight w:val="none"/>
        </w:rPr>
      </w:pPr>
    </w:p>
    <w:p>
      <w:pPr>
        <w:autoSpaceDE w:val="0"/>
        <w:autoSpaceDN w:val="0"/>
        <w:adjustRightInd w:val="0"/>
        <w:snapToGrid w:val="0"/>
        <w:spacing w:line="360" w:lineRule="auto"/>
        <w:ind w:firstLine="321" w:firstLineChars="100"/>
        <w:textAlignment w:val="bottom"/>
        <w:rPr>
          <w:rFonts w:ascii="宋体" w:hAnsi="宋体"/>
          <w:b/>
          <w:sz w:val="32"/>
          <w:szCs w:val="32"/>
          <w:highlight w:val="none"/>
        </w:rPr>
      </w:pPr>
      <w:r>
        <w:rPr>
          <w:rFonts w:hint="eastAsia" w:ascii="宋体" w:hAnsi="宋体"/>
          <w:b/>
          <w:sz w:val="32"/>
          <w:szCs w:val="32"/>
          <w:highlight w:val="none"/>
        </w:rPr>
        <w:t>采   购   人：</w:t>
      </w:r>
      <w:r>
        <w:rPr>
          <w:rFonts w:hint="eastAsia" w:ascii="宋体" w:hAnsi="宋体"/>
          <w:b/>
          <w:sz w:val="32"/>
          <w:szCs w:val="32"/>
          <w:highlight w:val="none"/>
          <w:u w:val="single"/>
          <w:lang w:eastAsia="zh-CN"/>
        </w:rPr>
        <w:t>衢州智慧新城管理委员会</w:t>
      </w:r>
      <w:r>
        <w:rPr>
          <w:rFonts w:hint="eastAsia" w:ascii="宋体" w:hAnsi="宋体"/>
          <w:b/>
          <w:sz w:val="32"/>
          <w:szCs w:val="32"/>
          <w:highlight w:val="none"/>
        </w:rPr>
        <w:t>(盖章）</w:t>
      </w:r>
    </w:p>
    <w:p>
      <w:pPr>
        <w:autoSpaceDE w:val="0"/>
        <w:autoSpaceDN w:val="0"/>
        <w:adjustRightInd w:val="0"/>
        <w:snapToGrid w:val="0"/>
        <w:spacing w:line="360" w:lineRule="auto"/>
        <w:ind w:firstLine="321" w:firstLineChars="100"/>
        <w:textAlignment w:val="bottom"/>
        <w:rPr>
          <w:rFonts w:ascii="宋体" w:hAnsi="宋体"/>
          <w:b/>
          <w:sz w:val="32"/>
          <w:szCs w:val="32"/>
          <w:highlight w:val="none"/>
        </w:rPr>
      </w:pPr>
      <w:r>
        <w:rPr>
          <w:rFonts w:hint="eastAsia" w:ascii="宋体" w:hAnsi="宋体"/>
          <w:b/>
          <w:sz w:val="32"/>
          <w:szCs w:val="32"/>
          <w:highlight w:val="none"/>
        </w:rPr>
        <w:t>招标代理机构：</w:t>
      </w:r>
      <w:r>
        <w:rPr>
          <w:rFonts w:hint="eastAsia" w:ascii="宋体" w:hAnsi="宋体"/>
          <w:b/>
          <w:sz w:val="32"/>
          <w:szCs w:val="32"/>
          <w:highlight w:val="none"/>
          <w:u w:val="single"/>
        </w:rPr>
        <w:t>浙江中正工程项目管理有限公司</w:t>
      </w:r>
      <w:r>
        <w:rPr>
          <w:rFonts w:hint="eastAsia" w:ascii="宋体" w:hAnsi="宋体"/>
          <w:b/>
          <w:sz w:val="32"/>
          <w:szCs w:val="32"/>
          <w:highlight w:val="none"/>
        </w:rPr>
        <w:t>(盖章）</w:t>
      </w:r>
    </w:p>
    <w:p>
      <w:pPr>
        <w:pStyle w:val="51"/>
        <w:spacing w:before="24" w:beforeLines="10" w:line="360" w:lineRule="auto"/>
        <w:ind w:firstLine="321" w:firstLineChars="100"/>
        <w:jc w:val="left"/>
        <w:rPr>
          <w:rFonts w:ascii="宋体" w:hAnsi="宋体" w:eastAsia="宋体"/>
          <w:highlight w:val="none"/>
        </w:rPr>
      </w:pPr>
      <w:r>
        <w:rPr>
          <w:rFonts w:hint="eastAsia" w:ascii="宋体" w:hAnsi="宋体" w:eastAsia="宋体"/>
          <w:sz w:val="32"/>
          <w:szCs w:val="32"/>
          <w:highlight w:val="none"/>
        </w:rPr>
        <w:t>日        期：202</w:t>
      </w:r>
      <w:r>
        <w:rPr>
          <w:rFonts w:hint="eastAsia" w:ascii="宋体" w:hAnsi="宋体" w:eastAsia="宋体"/>
          <w:sz w:val="32"/>
          <w:szCs w:val="32"/>
          <w:highlight w:val="none"/>
          <w:lang w:val="en-US" w:eastAsia="zh-CN"/>
        </w:rPr>
        <w:t>2</w:t>
      </w:r>
      <w:r>
        <w:rPr>
          <w:rFonts w:hint="eastAsia" w:ascii="宋体" w:hAnsi="宋体" w:eastAsia="宋体"/>
          <w:sz w:val="32"/>
          <w:szCs w:val="32"/>
          <w:highlight w:val="none"/>
        </w:rPr>
        <w:t>年</w:t>
      </w:r>
      <w:r>
        <w:rPr>
          <w:rFonts w:hint="eastAsia" w:ascii="宋体" w:hAnsi="宋体" w:eastAsia="宋体"/>
          <w:sz w:val="32"/>
          <w:szCs w:val="32"/>
          <w:highlight w:val="none"/>
          <w:lang w:val="en-US" w:eastAsia="zh-CN"/>
        </w:rPr>
        <w:t>12</w:t>
      </w:r>
      <w:r>
        <w:rPr>
          <w:rFonts w:hint="eastAsia" w:ascii="宋体" w:hAnsi="宋体" w:eastAsia="宋体"/>
          <w:sz w:val="32"/>
          <w:szCs w:val="32"/>
          <w:highlight w:val="none"/>
        </w:rPr>
        <w:t>月</w:t>
      </w:r>
      <w:r>
        <w:rPr>
          <w:rFonts w:ascii="宋体" w:hAnsi="宋体" w:eastAsia="宋体"/>
          <w:highlight w:val="none"/>
        </w:rPr>
        <w:br w:type="page"/>
      </w:r>
    </w:p>
    <w:p>
      <w:pPr>
        <w:pStyle w:val="51"/>
        <w:spacing w:before="24" w:beforeLines="10" w:line="360" w:lineRule="auto"/>
        <w:ind w:firstLine="361" w:firstLineChars="100"/>
        <w:jc w:val="center"/>
        <w:rPr>
          <w:rFonts w:hint="eastAsia" w:ascii="宋体" w:hAnsi="宋体" w:eastAsia="宋体"/>
          <w:b/>
          <w:bCs/>
          <w:sz w:val="36"/>
          <w:highlight w:val="none"/>
        </w:rPr>
      </w:pPr>
    </w:p>
    <w:p>
      <w:pPr>
        <w:pStyle w:val="51"/>
        <w:spacing w:before="24" w:beforeLines="10" w:line="360" w:lineRule="auto"/>
        <w:ind w:firstLine="361" w:firstLineChars="100"/>
        <w:jc w:val="center"/>
        <w:rPr>
          <w:rFonts w:ascii="宋体" w:hAnsi="宋体" w:eastAsia="宋体"/>
          <w:b/>
          <w:bCs/>
          <w:sz w:val="36"/>
          <w:highlight w:val="none"/>
        </w:rPr>
      </w:pPr>
      <w:r>
        <w:rPr>
          <w:rFonts w:hint="eastAsia" w:ascii="宋体" w:hAnsi="宋体" w:eastAsia="宋体"/>
          <w:b/>
          <w:bCs/>
          <w:sz w:val="36"/>
          <w:highlight w:val="none"/>
        </w:rPr>
        <w:t>目  录</w:t>
      </w:r>
    </w:p>
    <w:p>
      <w:pPr>
        <w:rPr>
          <w:highlight w:val="none"/>
        </w:rPr>
      </w:pPr>
    </w:p>
    <w:p>
      <w:pPr>
        <w:pStyle w:val="60"/>
        <w:tabs>
          <w:tab w:val="right" w:leader="dot" w:pos="9026"/>
          <w:tab w:val="clear" w:pos="8364"/>
        </w:tabs>
        <w:rPr>
          <w:rFonts w:ascii="宋体" w:hAnsi="宋体"/>
          <w:sz w:val="24"/>
          <w:szCs w:val="24"/>
          <w:highlight w:val="none"/>
        </w:rPr>
      </w:pPr>
      <w:r>
        <w:rPr>
          <w:rFonts w:ascii="宋体" w:hAnsi="宋体"/>
          <w:b w:val="0"/>
          <w:sz w:val="24"/>
          <w:szCs w:val="24"/>
          <w:highlight w:val="none"/>
        </w:rPr>
        <w:fldChar w:fldCharType="begin"/>
      </w:r>
      <w:r>
        <w:rPr>
          <w:rFonts w:hint="eastAsia" w:ascii="宋体" w:hAnsi="宋体"/>
          <w:b w:val="0"/>
          <w:sz w:val="24"/>
          <w:szCs w:val="24"/>
          <w:highlight w:val="none"/>
        </w:rPr>
        <w:instrText xml:space="preserve">TOC \o "1-2" \h \z \u</w:instrText>
      </w:r>
      <w:r>
        <w:rPr>
          <w:rFonts w:ascii="宋体" w:hAnsi="宋体"/>
          <w:b w:val="0"/>
          <w:sz w:val="24"/>
          <w:szCs w:val="24"/>
          <w:highlight w:val="none"/>
        </w:rPr>
        <w:fldChar w:fldCharType="separate"/>
      </w: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sz w:val="24"/>
          <w:szCs w:val="24"/>
          <w:highlight w:val="none"/>
        </w:rPr>
        <w:t>第一部分  招标公告</w:t>
      </w:r>
      <w:r>
        <w:rPr>
          <w:rFonts w:ascii="宋体" w:hAnsi="宋体"/>
          <w:sz w:val="24"/>
          <w:szCs w:val="24"/>
          <w:highlight w:val="none"/>
        </w:rPr>
        <w:tab/>
      </w:r>
      <w:r>
        <w:rPr>
          <w:rFonts w:ascii="宋体" w:hAnsi="宋体"/>
          <w:sz w:val="24"/>
          <w:szCs w:val="24"/>
          <w:highlight w:val="none"/>
        </w:rPr>
        <w:fldChar w:fldCharType="begin"/>
      </w:r>
      <w:r>
        <w:rPr>
          <w:rFonts w:ascii="宋体" w:hAnsi="宋体"/>
          <w:sz w:val="24"/>
          <w:szCs w:val="24"/>
          <w:highlight w:val="none"/>
        </w:rPr>
        <w:instrText xml:space="preserve"> PAGEREF _Toc32624 </w:instrText>
      </w:r>
      <w:r>
        <w:rPr>
          <w:rFonts w:ascii="宋体" w:hAnsi="宋体"/>
          <w:sz w:val="24"/>
          <w:szCs w:val="24"/>
          <w:highlight w:val="none"/>
        </w:rPr>
        <w:fldChar w:fldCharType="separate"/>
      </w:r>
      <w:r>
        <w:rPr>
          <w:rFonts w:ascii="宋体" w:hAnsi="宋体"/>
          <w:sz w:val="24"/>
          <w:szCs w:val="24"/>
          <w:highlight w:val="none"/>
        </w:rPr>
        <w:t>3</w:t>
      </w:r>
      <w:r>
        <w:rPr>
          <w:rFonts w:ascii="宋体" w:hAnsi="宋体"/>
          <w:sz w:val="24"/>
          <w:szCs w:val="24"/>
          <w:highlight w:val="none"/>
        </w:rPr>
        <w:fldChar w:fldCharType="end"/>
      </w:r>
      <w:r>
        <w:rPr>
          <w:rFonts w:ascii="宋体" w:hAnsi="宋体"/>
          <w:sz w:val="24"/>
          <w:szCs w:val="24"/>
          <w:highlight w:val="none"/>
        </w:rPr>
        <w:fldChar w:fldCharType="end"/>
      </w:r>
    </w:p>
    <w:p>
      <w:pPr>
        <w:pStyle w:val="60"/>
        <w:tabs>
          <w:tab w:val="right" w:leader="dot" w:pos="9026"/>
          <w:tab w:val="clear" w:pos="8364"/>
        </w:tabs>
        <w:rPr>
          <w:rFonts w:ascii="宋体" w:hAnsi="宋体"/>
          <w:sz w:val="24"/>
          <w:szCs w:val="24"/>
          <w:highlight w:val="none"/>
        </w:rPr>
      </w:pPr>
      <w:r>
        <w:rPr>
          <w:highlight w:val="none"/>
        </w:rPr>
        <w:fldChar w:fldCharType="begin"/>
      </w:r>
      <w:r>
        <w:rPr>
          <w:highlight w:val="none"/>
        </w:rPr>
        <w:instrText xml:space="preserve"> HYPERLINK \l "_Toc31506" </w:instrText>
      </w:r>
      <w:r>
        <w:rPr>
          <w:highlight w:val="none"/>
        </w:rPr>
        <w:fldChar w:fldCharType="separate"/>
      </w:r>
      <w:r>
        <w:rPr>
          <w:rFonts w:hint="eastAsia" w:ascii="宋体" w:hAnsi="宋体"/>
          <w:sz w:val="24"/>
          <w:szCs w:val="24"/>
          <w:highlight w:val="none"/>
        </w:rPr>
        <w:t>第二部分  投标人须知</w:t>
      </w:r>
      <w:r>
        <w:rPr>
          <w:rFonts w:ascii="宋体" w:hAnsi="宋体"/>
          <w:sz w:val="24"/>
          <w:szCs w:val="24"/>
          <w:highlight w:val="none"/>
        </w:rPr>
        <w:tab/>
      </w:r>
      <w:r>
        <w:rPr>
          <w:rFonts w:hint="eastAsia" w:ascii="宋体" w:hAnsi="宋体"/>
          <w:sz w:val="24"/>
          <w:szCs w:val="24"/>
          <w:highlight w:val="none"/>
          <w:lang w:val="en-US" w:eastAsia="zh-CN"/>
        </w:rPr>
        <w:t>8</w:t>
      </w:r>
      <w:r>
        <w:rPr>
          <w:rFonts w:hint="eastAsia" w:ascii="宋体" w:hAnsi="宋体"/>
          <w:sz w:val="24"/>
          <w:szCs w:val="24"/>
          <w:highlight w:val="none"/>
        </w:rPr>
        <w:fldChar w:fldCharType="end"/>
      </w:r>
    </w:p>
    <w:p>
      <w:pPr>
        <w:pStyle w:val="60"/>
        <w:tabs>
          <w:tab w:val="right" w:leader="dot" w:pos="9026"/>
          <w:tab w:val="clear" w:pos="8364"/>
        </w:tabs>
        <w:rPr>
          <w:rFonts w:hint="eastAsia" w:ascii="宋体" w:hAnsi="宋体" w:eastAsia="宋体"/>
          <w:sz w:val="24"/>
          <w:szCs w:val="24"/>
          <w:highlight w:val="none"/>
          <w:lang w:val="en-US" w:eastAsia="zh-CN"/>
        </w:rPr>
      </w:pPr>
      <w:r>
        <w:rPr>
          <w:highlight w:val="none"/>
        </w:rPr>
        <w:fldChar w:fldCharType="begin"/>
      </w:r>
      <w:r>
        <w:rPr>
          <w:highlight w:val="none"/>
        </w:rPr>
        <w:instrText xml:space="preserve"> HYPERLINK \l "_Toc4895" </w:instrText>
      </w:r>
      <w:r>
        <w:rPr>
          <w:highlight w:val="none"/>
        </w:rPr>
        <w:fldChar w:fldCharType="separate"/>
      </w:r>
      <w:r>
        <w:rPr>
          <w:rFonts w:hint="eastAsia" w:ascii="宋体" w:hAnsi="宋体"/>
          <w:sz w:val="24"/>
          <w:szCs w:val="24"/>
          <w:highlight w:val="none"/>
        </w:rPr>
        <w:t>第三部分  采购内容及需求</w:t>
      </w:r>
      <w:r>
        <w:rPr>
          <w:rFonts w:ascii="宋体" w:hAnsi="宋体"/>
          <w:sz w:val="24"/>
          <w:szCs w:val="24"/>
          <w:highlight w:val="none"/>
        </w:rPr>
        <w:tab/>
      </w:r>
      <w:r>
        <w:rPr>
          <w:rFonts w:hint="eastAsia" w:ascii="宋体" w:hAnsi="宋体"/>
          <w:sz w:val="24"/>
          <w:szCs w:val="24"/>
          <w:highlight w:val="none"/>
          <w:lang w:val="en-US" w:eastAsia="zh-CN"/>
        </w:rPr>
        <w:t>30</w:t>
      </w:r>
      <w:r>
        <w:rPr>
          <w:rFonts w:hint="eastAsia" w:ascii="宋体" w:hAnsi="宋体"/>
          <w:sz w:val="24"/>
          <w:szCs w:val="24"/>
          <w:highlight w:val="none"/>
        </w:rPr>
        <w:fldChar w:fldCharType="end"/>
      </w:r>
    </w:p>
    <w:p>
      <w:pPr>
        <w:pStyle w:val="60"/>
        <w:tabs>
          <w:tab w:val="right" w:leader="dot" w:pos="9026"/>
          <w:tab w:val="clear" w:pos="8364"/>
        </w:tabs>
        <w:rPr>
          <w:rFonts w:ascii="宋体" w:hAnsi="宋体"/>
          <w:sz w:val="24"/>
          <w:szCs w:val="24"/>
          <w:highlight w:val="none"/>
        </w:rPr>
      </w:pPr>
      <w:r>
        <w:rPr>
          <w:highlight w:val="none"/>
        </w:rPr>
        <w:fldChar w:fldCharType="begin"/>
      </w:r>
      <w:r>
        <w:rPr>
          <w:highlight w:val="none"/>
        </w:rPr>
        <w:instrText xml:space="preserve"> HYPERLINK \l "_Toc1203" </w:instrText>
      </w:r>
      <w:r>
        <w:rPr>
          <w:highlight w:val="none"/>
        </w:rPr>
        <w:fldChar w:fldCharType="separate"/>
      </w:r>
      <w:r>
        <w:rPr>
          <w:rFonts w:hint="eastAsia" w:ascii="宋体" w:hAnsi="宋体"/>
          <w:sz w:val="24"/>
          <w:szCs w:val="24"/>
          <w:highlight w:val="none"/>
        </w:rPr>
        <w:t>第四部分  合同文本</w:t>
      </w:r>
      <w:r>
        <w:rPr>
          <w:rFonts w:ascii="宋体" w:hAnsi="宋体"/>
          <w:sz w:val="24"/>
          <w:szCs w:val="24"/>
          <w:highlight w:val="none"/>
        </w:rPr>
        <w:tab/>
      </w:r>
      <w:r>
        <w:rPr>
          <w:rFonts w:hint="eastAsia" w:ascii="宋体" w:hAnsi="宋体"/>
          <w:sz w:val="24"/>
          <w:szCs w:val="24"/>
          <w:highlight w:val="none"/>
          <w:lang w:val="en-US" w:eastAsia="zh-CN"/>
        </w:rPr>
        <w:t>36</w:t>
      </w:r>
      <w:r>
        <w:rPr>
          <w:rFonts w:hint="eastAsia" w:ascii="宋体" w:hAnsi="宋体"/>
          <w:sz w:val="24"/>
          <w:szCs w:val="24"/>
          <w:highlight w:val="none"/>
        </w:rPr>
        <w:fldChar w:fldCharType="end"/>
      </w:r>
    </w:p>
    <w:p>
      <w:pPr>
        <w:pStyle w:val="75"/>
        <w:tabs>
          <w:tab w:val="right" w:leader="dot" w:pos="9026"/>
          <w:tab w:val="clear" w:pos="8364"/>
        </w:tabs>
        <w:ind w:left="0"/>
        <w:rPr>
          <w:rFonts w:hint="default" w:ascii="宋体" w:hAnsi="宋体" w:eastAsia="宋体"/>
          <w:szCs w:val="24"/>
          <w:highlight w:val="none"/>
          <w:lang w:val="en-US"/>
        </w:rPr>
      </w:pPr>
      <w:r>
        <w:rPr>
          <w:rFonts w:hint="eastAsia" w:ascii="宋体" w:hAnsi="宋体" w:eastAsia="宋体"/>
          <w:caps/>
          <w:smallCaps w:val="0"/>
          <w:szCs w:val="24"/>
          <w:highlight w:val="none"/>
        </w:rPr>
        <w:t xml:space="preserve">第五部分  </w:t>
      </w:r>
      <w:r>
        <w:rPr>
          <w:highlight w:val="none"/>
        </w:rPr>
        <w:fldChar w:fldCharType="begin"/>
      </w:r>
      <w:r>
        <w:rPr>
          <w:highlight w:val="none"/>
        </w:rPr>
        <w:instrText xml:space="preserve"> HYPERLINK \l "_Toc2553" </w:instrText>
      </w:r>
      <w:r>
        <w:rPr>
          <w:highlight w:val="none"/>
        </w:rPr>
        <w:fldChar w:fldCharType="separate"/>
      </w:r>
      <w:r>
        <w:rPr>
          <w:rFonts w:hint="eastAsia" w:ascii="宋体" w:hAnsi="宋体" w:eastAsia="宋体"/>
          <w:caps/>
          <w:smallCaps w:val="0"/>
          <w:szCs w:val="24"/>
          <w:highlight w:val="none"/>
        </w:rPr>
        <w:t>投标文件部分格式文件</w:t>
      </w:r>
      <w:r>
        <w:rPr>
          <w:rFonts w:ascii="宋体" w:hAnsi="宋体" w:eastAsia="宋体"/>
          <w:caps/>
          <w:smallCaps w:val="0"/>
          <w:szCs w:val="24"/>
          <w:highlight w:val="none"/>
        </w:rPr>
        <w:tab/>
      </w:r>
      <w:r>
        <w:rPr>
          <w:rFonts w:ascii="宋体" w:hAnsi="宋体" w:eastAsia="宋体"/>
          <w:caps/>
          <w:smallCaps w:val="0"/>
          <w:szCs w:val="24"/>
          <w:highlight w:val="none"/>
        </w:rPr>
        <w:fldChar w:fldCharType="end"/>
      </w:r>
      <w:r>
        <w:rPr>
          <w:rFonts w:hint="eastAsia" w:ascii="宋体" w:hAnsi="宋体" w:eastAsia="宋体"/>
          <w:caps/>
          <w:smallCaps w:val="0"/>
          <w:szCs w:val="24"/>
          <w:highlight w:val="none"/>
          <w:lang w:val="en-US" w:eastAsia="zh-CN"/>
        </w:rPr>
        <w:t>65</w:t>
      </w:r>
    </w:p>
    <w:p>
      <w:pPr>
        <w:pStyle w:val="60"/>
        <w:tabs>
          <w:tab w:val="right" w:leader="dot" w:pos="9026"/>
          <w:tab w:val="clear" w:pos="8364"/>
        </w:tabs>
        <w:rPr>
          <w:rFonts w:hint="default" w:ascii="宋体" w:hAnsi="宋体" w:eastAsia="宋体"/>
          <w:sz w:val="24"/>
          <w:szCs w:val="24"/>
          <w:highlight w:val="none"/>
          <w:lang w:val="en-US" w:eastAsia="zh-CN"/>
        </w:rPr>
      </w:pPr>
      <w:r>
        <w:rPr>
          <w:highlight w:val="none"/>
        </w:rPr>
        <w:fldChar w:fldCharType="begin"/>
      </w:r>
      <w:r>
        <w:rPr>
          <w:highlight w:val="none"/>
        </w:rPr>
        <w:instrText xml:space="preserve"> HYPERLINK \l "_Toc15453" </w:instrText>
      </w:r>
      <w:r>
        <w:rPr>
          <w:highlight w:val="none"/>
        </w:rPr>
        <w:fldChar w:fldCharType="separate"/>
      </w:r>
      <w:r>
        <w:rPr>
          <w:rFonts w:hint="eastAsia" w:ascii="宋体" w:hAnsi="宋体"/>
          <w:sz w:val="24"/>
          <w:szCs w:val="24"/>
          <w:highlight w:val="none"/>
        </w:rPr>
        <w:t>第六部分  评分办法</w:t>
      </w:r>
      <w:r>
        <w:rPr>
          <w:rFonts w:ascii="宋体" w:hAnsi="宋体"/>
          <w:sz w:val="24"/>
          <w:szCs w:val="24"/>
          <w:highlight w:val="none"/>
        </w:rPr>
        <w:tab/>
      </w:r>
      <w:r>
        <w:rPr>
          <w:rFonts w:hint="eastAsia" w:ascii="宋体" w:hAnsi="宋体"/>
          <w:sz w:val="24"/>
          <w:szCs w:val="24"/>
          <w:highlight w:val="none"/>
        </w:rPr>
        <w:fldChar w:fldCharType="end"/>
      </w:r>
      <w:r>
        <w:rPr>
          <w:rFonts w:hint="eastAsia" w:ascii="宋体" w:hAnsi="宋体"/>
          <w:sz w:val="24"/>
          <w:szCs w:val="24"/>
          <w:highlight w:val="none"/>
          <w:lang w:val="en-US" w:eastAsia="zh-CN"/>
        </w:rPr>
        <w:t>83</w:t>
      </w:r>
    </w:p>
    <w:p>
      <w:pPr>
        <w:rPr>
          <w:sz w:val="24"/>
          <w:szCs w:val="24"/>
          <w:highlight w:val="none"/>
        </w:rPr>
      </w:pPr>
    </w:p>
    <w:p>
      <w:pPr>
        <w:tabs>
          <w:tab w:val="left" w:pos="1806"/>
        </w:tabs>
        <w:jc w:val="left"/>
        <w:rPr>
          <w:highlight w:val="none"/>
        </w:rPr>
      </w:pPr>
      <w:r>
        <w:rPr>
          <w:rFonts w:hint="eastAsia"/>
          <w:highlight w:val="none"/>
        </w:rPr>
        <w:tab/>
      </w:r>
    </w:p>
    <w:p>
      <w:pPr>
        <w:pStyle w:val="46"/>
        <w:pageBreakBefore/>
        <w:adjustRightInd w:val="0"/>
        <w:snapToGrid w:val="0"/>
        <w:spacing w:line="360" w:lineRule="auto"/>
        <w:jc w:val="center"/>
        <w:outlineLvl w:val="0"/>
        <w:rPr>
          <w:rFonts w:hAnsi="宋体"/>
          <w:b/>
          <w:sz w:val="36"/>
          <w:highlight w:val="none"/>
        </w:rPr>
      </w:pPr>
      <w:r>
        <w:rPr>
          <w:rFonts w:hAnsi="宋体"/>
          <w:sz w:val="24"/>
          <w:szCs w:val="24"/>
          <w:highlight w:val="none"/>
        </w:rPr>
        <w:fldChar w:fldCharType="end"/>
      </w:r>
      <w:bookmarkStart w:id="0" w:name="_Toc32624"/>
      <w:r>
        <w:rPr>
          <w:rFonts w:hint="eastAsia" w:hAnsi="宋体"/>
          <w:b/>
          <w:sz w:val="36"/>
          <w:highlight w:val="none"/>
        </w:rPr>
        <w:t xml:space="preserve"> 第一部分  招标公告</w:t>
      </w:r>
    </w:p>
    <w:tbl>
      <w:tblPr>
        <w:tblStyle w:val="89"/>
        <w:tblW w:w="988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885" w:type="dxa"/>
          </w:tcPr>
          <w:p>
            <w:pPr>
              <w:pStyle w:val="82"/>
              <w:spacing w:before="0" w:beforeAutospacing="0" w:after="0" w:afterAutospacing="0" w:line="420" w:lineRule="exact"/>
              <w:ind w:firstLine="480" w:firstLineChars="200"/>
              <w:rPr>
                <w:rFonts w:cs="宋体"/>
                <w:szCs w:val="24"/>
                <w:highlight w:val="none"/>
              </w:rPr>
            </w:pPr>
            <w:r>
              <w:rPr>
                <w:rFonts w:hint="eastAsia" w:cs="宋体"/>
                <w:color w:val="000000"/>
                <w:szCs w:val="24"/>
                <w:highlight w:val="none"/>
              </w:rPr>
              <w:t>项目概况</w:t>
            </w:r>
          </w:p>
          <w:p>
            <w:pPr>
              <w:pStyle w:val="82"/>
              <w:spacing w:before="0" w:beforeAutospacing="0" w:after="0" w:afterAutospacing="0" w:line="420" w:lineRule="exact"/>
              <w:ind w:firstLine="480" w:firstLineChars="200"/>
              <w:rPr>
                <w:rFonts w:cs="宋体"/>
                <w:color w:val="000000"/>
                <w:szCs w:val="24"/>
                <w:highlight w:val="none"/>
              </w:rPr>
            </w:pPr>
            <w:r>
              <w:rPr>
                <w:rFonts w:hint="eastAsia" w:cs="宋体"/>
                <w:szCs w:val="24"/>
                <w:highlight w:val="none"/>
                <w:u w:val="single"/>
                <w:lang w:eastAsia="zh-CN"/>
              </w:rPr>
              <w:t>衢州市智慧新城二期范围保洁作业服务采购项目</w:t>
            </w:r>
            <w:r>
              <w:rPr>
                <w:rFonts w:hint="eastAsia" w:cs="宋体"/>
                <w:szCs w:val="24"/>
                <w:highlight w:val="none"/>
              </w:rPr>
              <w:t>的潜在</w:t>
            </w:r>
            <w:r>
              <w:rPr>
                <w:rFonts w:hint="eastAsia" w:cs="宋体"/>
                <w:color w:val="000000"/>
                <w:szCs w:val="24"/>
                <w:highlight w:val="none"/>
              </w:rPr>
              <w:t>投标人应在</w:t>
            </w:r>
            <w:r>
              <w:rPr>
                <w:rFonts w:hint="eastAsia" w:cs="宋体"/>
                <w:color w:val="000000"/>
                <w:szCs w:val="24"/>
                <w:highlight w:val="none"/>
                <w:u w:val="single"/>
              </w:rPr>
              <w:t>http://www.zcygov.cn/</w:t>
            </w:r>
            <w:r>
              <w:rPr>
                <w:rFonts w:hint="eastAsia" w:cs="宋体"/>
                <w:color w:val="000000"/>
                <w:szCs w:val="24"/>
                <w:highlight w:val="none"/>
                <w:u w:val="single"/>
                <w:lang w:val="en-US" w:eastAsia="zh-CN"/>
              </w:rPr>
              <w:t xml:space="preserve"> </w:t>
            </w:r>
            <w:r>
              <w:rPr>
                <w:rFonts w:hint="eastAsia" w:cs="宋体"/>
                <w:color w:val="000000"/>
                <w:szCs w:val="24"/>
                <w:highlight w:val="none"/>
              </w:rPr>
              <w:t>获取（下载）招标文件，并于</w:t>
            </w:r>
            <w:r>
              <w:rPr>
                <w:rFonts w:hint="eastAsia" w:cs="宋体"/>
                <w:color w:val="000000"/>
                <w:szCs w:val="24"/>
                <w:highlight w:val="none"/>
                <w:u w:val="single"/>
              </w:rPr>
              <w:t>202</w:t>
            </w:r>
            <w:r>
              <w:rPr>
                <w:rFonts w:hint="eastAsia" w:cs="宋体"/>
                <w:color w:val="000000"/>
                <w:szCs w:val="24"/>
                <w:highlight w:val="none"/>
                <w:u w:val="single"/>
                <w:lang w:val="en-US" w:eastAsia="zh-CN"/>
              </w:rPr>
              <w:t>2</w:t>
            </w:r>
            <w:r>
              <w:rPr>
                <w:rFonts w:hint="eastAsia" w:cs="宋体"/>
                <w:color w:val="000000"/>
                <w:szCs w:val="24"/>
                <w:highlight w:val="none"/>
                <w:u w:val="single"/>
              </w:rPr>
              <w:t>年</w:t>
            </w:r>
            <w:r>
              <w:rPr>
                <w:rFonts w:hint="eastAsia" w:cs="宋体"/>
                <w:color w:val="000000"/>
                <w:szCs w:val="24"/>
                <w:highlight w:val="none"/>
                <w:u w:val="single"/>
                <w:lang w:val="en-US" w:eastAsia="zh-CN"/>
              </w:rPr>
              <w:t>12</w:t>
            </w:r>
            <w:r>
              <w:rPr>
                <w:rFonts w:hint="eastAsia" w:cs="宋体"/>
                <w:color w:val="000000"/>
                <w:szCs w:val="24"/>
                <w:highlight w:val="none"/>
                <w:u w:val="single"/>
              </w:rPr>
              <w:t>月</w:t>
            </w:r>
            <w:r>
              <w:rPr>
                <w:rFonts w:hint="eastAsia" w:cs="宋体"/>
                <w:color w:val="000000"/>
                <w:szCs w:val="24"/>
                <w:highlight w:val="none"/>
                <w:u w:val="single"/>
                <w:lang w:val="en-US" w:eastAsia="zh-CN"/>
              </w:rPr>
              <w:t>27</w:t>
            </w:r>
            <w:r>
              <w:rPr>
                <w:rFonts w:hint="eastAsia" w:cs="宋体"/>
                <w:color w:val="000000"/>
                <w:szCs w:val="24"/>
                <w:highlight w:val="none"/>
                <w:u w:val="single"/>
              </w:rPr>
              <w:t>日09:00:00秒</w:t>
            </w:r>
            <w:r>
              <w:rPr>
                <w:rFonts w:hint="eastAsia" w:cs="宋体"/>
                <w:color w:val="000000"/>
                <w:szCs w:val="24"/>
                <w:highlight w:val="none"/>
              </w:rPr>
              <w:t>（北京时间）前递交（上传）投标文件。</w:t>
            </w:r>
          </w:p>
        </w:tc>
      </w:tr>
    </w:tbl>
    <w:p>
      <w:pPr>
        <w:snapToGrid w:val="0"/>
        <w:spacing w:line="400" w:lineRule="exact"/>
        <w:jc w:val="left"/>
        <w:outlineLvl w:val="0"/>
        <w:rPr>
          <w:rFonts w:ascii="宋体" w:hAnsi="宋体" w:cs="宋体"/>
          <w:b/>
          <w:bCs/>
          <w:sz w:val="24"/>
          <w:szCs w:val="24"/>
          <w:highlight w:val="none"/>
        </w:rPr>
      </w:pPr>
      <w:r>
        <w:rPr>
          <w:rFonts w:hint="eastAsia" w:ascii="宋体" w:hAnsi="宋体" w:cs="宋体"/>
          <w:b/>
          <w:bCs/>
          <w:sz w:val="24"/>
          <w:szCs w:val="24"/>
          <w:highlight w:val="none"/>
        </w:rPr>
        <w:t>一、项目基本情况</w:t>
      </w:r>
    </w:p>
    <w:p>
      <w:pPr>
        <w:snapToGrid w:val="0"/>
        <w:spacing w:line="400" w:lineRule="exact"/>
        <w:ind w:firstLine="480" w:firstLineChars="200"/>
        <w:jc w:val="left"/>
        <w:outlineLvl w:val="0"/>
        <w:rPr>
          <w:rFonts w:hint="eastAsia" w:ascii="宋体" w:hAnsi="宋体" w:eastAsia="宋体" w:cs="宋体"/>
          <w:sz w:val="24"/>
          <w:szCs w:val="24"/>
          <w:highlight w:val="none"/>
          <w:lang w:eastAsia="zh-CN"/>
        </w:rPr>
      </w:pPr>
      <w:r>
        <w:rPr>
          <w:rFonts w:hint="eastAsia" w:ascii="宋体" w:hAnsi="宋体" w:cs="宋体"/>
          <w:sz w:val="24"/>
          <w:szCs w:val="24"/>
          <w:highlight w:val="none"/>
        </w:rPr>
        <w:t>项目编号：</w:t>
      </w:r>
      <w:r>
        <w:rPr>
          <w:rFonts w:hint="eastAsia" w:ascii="宋体" w:hAnsi="宋体" w:cs="宋体"/>
          <w:sz w:val="24"/>
          <w:szCs w:val="24"/>
          <w:highlight w:val="none"/>
          <w:lang w:eastAsia="zh-CN"/>
        </w:rPr>
        <w:t>ZZCG2022102-1</w:t>
      </w:r>
    </w:p>
    <w:p>
      <w:pPr>
        <w:snapToGrid w:val="0"/>
        <w:spacing w:line="400" w:lineRule="exact"/>
        <w:ind w:firstLine="480" w:firstLineChars="200"/>
        <w:jc w:val="left"/>
        <w:outlineLvl w:val="0"/>
        <w:rPr>
          <w:rFonts w:hint="eastAsia" w:ascii="宋体" w:hAnsi="宋体" w:eastAsia="宋体" w:cs="宋体"/>
          <w:sz w:val="24"/>
          <w:szCs w:val="24"/>
          <w:highlight w:val="none"/>
          <w:lang w:eastAsia="zh-CN"/>
        </w:rPr>
      </w:pPr>
      <w:r>
        <w:rPr>
          <w:rFonts w:hint="eastAsia" w:ascii="宋体" w:hAnsi="宋体" w:cs="宋体"/>
          <w:sz w:val="24"/>
          <w:szCs w:val="24"/>
          <w:highlight w:val="none"/>
        </w:rPr>
        <w:t>项目名称：</w:t>
      </w:r>
      <w:r>
        <w:rPr>
          <w:rFonts w:hint="eastAsia" w:ascii="宋体" w:hAnsi="宋体" w:cs="宋体"/>
          <w:sz w:val="24"/>
          <w:szCs w:val="24"/>
          <w:highlight w:val="none"/>
          <w:lang w:eastAsia="zh-CN"/>
        </w:rPr>
        <w:t>衢州市智慧新城二期范围保洁作业服务采购项目</w:t>
      </w:r>
    </w:p>
    <w:p>
      <w:pPr>
        <w:snapToGrid w:val="0"/>
        <w:spacing w:line="400" w:lineRule="exact"/>
        <w:ind w:firstLine="480" w:firstLineChars="200"/>
        <w:jc w:val="left"/>
        <w:outlineLvl w:val="0"/>
        <w:rPr>
          <w:rFonts w:ascii="宋体" w:hAnsi="宋体" w:cs="宋体"/>
          <w:color w:val="auto"/>
          <w:sz w:val="24"/>
          <w:szCs w:val="24"/>
          <w:highlight w:val="none"/>
        </w:rPr>
      </w:pPr>
      <w:r>
        <w:rPr>
          <w:rFonts w:hint="eastAsia" w:ascii="宋体" w:hAnsi="宋体" w:cs="宋体"/>
          <w:color w:val="auto"/>
          <w:sz w:val="24"/>
          <w:szCs w:val="24"/>
          <w:highlight w:val="none"/>
        </w:rPr>
        <w:t>预算金额：29984065元</w:t>
      </w:r>
    </w:p>
    <w:p>
      <w:pPr>
        <w:snapToGrid w:val="0"/>
        <w:spacing w:line="400" w:lineRule="exact"/>
        <w:ind w:firstLine="480" w:firstLineChars="200"/>
        <w:jc w:val="left"/>
        <w:outlineLvl w:val="0"/>
        <w:rPr>
          <w:rFonts w:ascii="宋体" w:hAnsi="宋体" w:cs="宋体"/>
          <w:color w:val="auto"/>
          <w:sz w:val="24"/>
          <w:szCs w:val="24"/>
          <w:highlight w:val="none"/>
        </w:rPr>
      </w:pPr>
      <w:r>
        <w:rPr>
          <w:rFonts w:hint="eastAsia" w:ascii="宋体" w:hAnsi="宋体" w:cs="宋体"/>
          <w:color w:val="auto"/>
          <w:sz w:val="24"/>
          <w:szCs w:val="24"/>
          <w:highlight w:val="none"/>
        </w:rPr>
        <w:t>最高限价：29984065元</w:t>
      </w:r>
    </w:p>
    <w:p>
      <w:pPr>
        <w:snapToGrid w:val="0"/>
        <w:spacing w:line="400" w:lineRule="exact"/>
        <w:ind w:firstLine="480" w:firstLineChars="200"/>
        <w:jc w:val="left"/>
        <w:outlineLvl w:val="0"/>
        <w:rPr>
          <w:rFonts w:ascii="宋体" w:hAnsi="宋体" w:cs="宋体"/>
          <w:b/>
          <w:bCs/>
          <w:color w:val="auto"/>
          <w:sz w:val="24"/>
          <w:szCs w:val="24"/>
          <w:highlight w:val="none"/>
        </w:rPr>
      </w:pPr>
      <w:r>
        <w:rPr>
          <w:rFonts w:hint="eastAsia" w:ascii="宋体" w:hAnsi="宋体" w:cs="宋体"/>
          <w:color w:val="auto"/>
          <w:sz w:val="24"/>
          <w:szCs w:val="24"/>
          <w:highlight w:val="none"/>
        </w:rPr>
        <w:t>采购需求（内容、用途、数量、简要技术要求等）：</w:t>
      </w:r>
    </w:p>
    <w:tbl>
      <w:tblPr>
        <w:tblStyle w:val="88"/>
        <w:tblW w:w="5413" w:type="pct"/>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2302"/>
        <w:gridCol w:w="859"/>
        <w:gridCol w:w="834"/>
        <w:gridCol w:w="1492"/>
        <w:gridCol w:w="247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标项</w:t>
            </w:r>
          </w:p>
        </w:tc>
        <w:tc>
          <w:tcPr>
            <w:tcW w:w="1176"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标项内容</w:t>
            </w:r>
          </w:p>
        </w:tc>
        <w:tc>
          <w:tcPr>
            <w:tcW w:w="439"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426"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单位</w:t>
            </w:r>
          </w:p>
        </w:tc>
        <w:tc>
          <w:tcPr>
            <w:tcW w:w="76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预算金额</w:t>
            </w:r>
          </w:p>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(最高限价)</w:t>
            </w:r>
          </w:p>
        </w:tc>
        <w:tc>
          <w:tcPr>
            <w:tcW w:w="126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简要技术、服务要求</w:t>
            </w:r>
          </w:p>
        </w:tc>
        <w:tc>
          <w:tcPr>
            <w:tcW w:w="571"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76"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lang w:eastAsia="zh-CN"/>
              </w:rPr>
              <w:t>衢州市智慧新城二期范围保洁作业服务</w:t>
            </w:r>
          </w:p>
        </w:tc>
        <w:tc>
          <w:tcPr>
            <w:tcW w:w="439"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p>
        </w:tc>
        <w:tc>
          <w:tcPr>
            <w:tcW w:w="426"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7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29984065元</w:t>
            </w:r>
          </w:p>
        </w:tc>
        <w:tc>
          <w:tcPr>
            <w:tcW w:w="12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详见</w:t>
            </w:r>
            <w:r>
              <w:rPr>
                <w:rFonts w:hint="eastAsia" w:ascii="宋体" w:hAnsi="宋体" w:cs="宋体"/>
                <w:color w:val="auto"/>
                <w:sz w:val="24"/>
                <w:szCs w:val="24"/>
                <w:highlight w:val="none"/>
              </w:rPr>
              <w:t>采购文件第三部分</w:t>
            </w:r>
            <w:r>
              <w:rPr>
                <w:rFonts w:hint="eastAsia" w:ascii="宋体" w:hAnsi="宋体" w:cs="宋体"/>
                <w:color w:val="auto"/>
                <w:sz w:val="24"/>
                <w:szCs w:val="24"/>
                <w:highlight w:val="none"/>
                <w:lang w:eastAsia="zh-CN"/>
              </w:rPr>
              <w:t>采购内容及需求</w:t>
            </w:r>
          </w:p>
        </w:tc>
        <w:tc>
          <w:tcPr>
            <w:tcW w:w="571" w:type="pct"/>
            <w:tcBorders>
              <w:left w:val="single" w:color="auto" w:sz="4" w:space="0"/>
              <w:right w:val="single" w:color="auto" w:sz="4" w:space="0"/>
            </w:tcBorders>
            <w:vAlign w:val="center"/>
          </w:tcPr>
          <w:p>
            <w:pPr>
              <w:snapToGrid w:val="0"/>
              <w:spacing w:line="440" w:lineRule="exact"/>
              <w:jc w:val="center"/>
              <w:outlineLvl w:val="0"/>
              <w:rPr>
                <w:rFonts w:ascii="宋体" w:hAnsi="宋体" w:cs="宋体"/>
                <w:color w:val="auto"/>
                <w:sz w:val="24"/>
                <w:szCs w:val="24"/>
                <w:highlight w:val="none"/>
              </w:rPr>
            </w:pPr>
            <w:r>
              <w:rPr>
                <w:rFonts w:hint="eastAsia" w:ascii="宋体" w:hAnsi="宋体" w:cs="宋体"/>
                <w:color w:val="auto"/>
                <w:sz w:val="24"/>
                <w:szCs w:val="24"/>
                <w:highlight w:val="none"/>
              </w:rPr>
              <w:t>服务期</w:t>
            </w:r>
            <w:r>
              <w:rPr>
                <w:rFonts w:hint="eastAsia" w:ascii="宋体" w:hAnsi="宋体" w:cs="宋体"/>
                <w:color w:val="auto"/>
                <w:sz w:val="24"/>
                <w:szCs w:val="24"/>
                <w:highlight w:val="none"/>
                <w:lang w:eastAsia="zh-CN"/>
              </w:rPr>
              <w:t>为</w:t>
            </w:r>
            <w:r>
              <w:rPr>
                <w:rFonts w:hint="eastAsia" w:ascii="宋体" w:hAnsi="宋体" w:cs="宋体"/>
                <w:color w:val="auto"/>
                <w:sz w:val="24"/>
                <w:szCs w:val="24"/>
                <w:highlight w:val="none"/>
                <w:lang w:val="en-US" w:eastAsia="zh-CN"/>
              </w:rPr>
              <w:t>三年</w:t>
            </w:r>
          </w:p>
        </w:tc>
      </w:tr>
    </w:tbl>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 xml:space="preserve"> </w:t>
      </w:r>
      <w:r>
        <w:rPr>
          <w:rFonts w:hint="eastAsia" w:ascii="宋体" w:hAnsi="宋体" w:cs="宋体"/>
          <w:b w:val="0"/>
          <w:bCs/>
          <w:sz w:val="24"/>
          <w:szCs w:val="24"/>
          <w:highlight w:val="none"/>
          <w:lang w:eastAsia="zh-CN"/>
        </w:rPr>
        <w:t>合同履约期限：详见采购文件。</w:t>
      </w:r>
    </w:p>
    <w:p>
      <w:pPr>
        <w:pageBreakBefore w:val="0"/>
        <w:kinsoku/>
        <w:wordWrap/>
        <w:overflowPunct/>
        <w:topLinePunct w:val="0"/>
        <w:autoSpaceDE w:val="0"/>
        <w:autoSpaceDN w:val="0"/>
        <w:bidi w:val="0"/>
        <w:adjustRightInd w:val="0"/>
        <w:spacing w:line="440" w:lineRule="exact"/>
        <w:textAlignment w:val="auto"/>
        <w:rPr>
          <w:rFonts w:ascii="宋体" w:hAnsi="宋体" w:cs="宋体"/>
          <w:sz w:val="24"/>
          <w:szCs w:val="24"/>
          <w:highlight w:val="none"/>
        </w:rPr>
      </w:pPr>
      <w:r>
        <w:rPr>
          <w:rFonts w:hint="eastAsia" w:ascii="宋体" w:hAnsi="宋体" w:cs="宋体"/>
          <w:b/>
          <w:sz w:val="24"/>
          <w:szCs w:val="24"/>
          <w:highlight w:val="none"/>
        </w:rPr>
        <w:t>二、申请人的资格要求：</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1．基本条件：</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（1）符合《中华人民共和国政府采购法》第二十二条规定的合格投标人：1）具有独立承担民事责任的能力或根据《关于规范政府采购投标人资格设定及资格审查的通知》 （浙财采监[2013]24 号）第 6 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2）具有良好的商业信誉和健全的财务会计制度；3）具有履行合同所必需的设备和专业技术能力；4）有依法缴纳税收和社会保障资金的良好记录；5）参加政府采购活动前三年内（新成立不满三年的公司自成立之日起算）在经营活动中没有重大违法记录；6）法律、行政法规规定的其他条件。</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（2）投标人未被列入失信被执行人名单、重大税收违法案件当事人名单、政府采购严重违法失信行为记录名单，信用信息以信用中国网站（www.creditchina.gov.cn）、中国政府采购网（www.ccgp.gov.cn）公布为准。</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（3）单位负责人为同一人或者存在直接控股、管理关系的不同投标人，不得参加同一合同项下的政府采购活动。</w:t>
      </w:r>
    </w:p>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b w:val="0"/>
          <w:bCs w:val="0"/>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落实政府采购政策需满足的资格要求：</w:t>
      </w:r>
      <w:r>
        <w:rPr>
          <w:rFonts w:hint="eastAsia" w:ascii="宋体" w:hAnsi="宋体" w:cs="宋体"/>
          <w:b w:val="0"/>
          <w:bCs w:val="0"/>
          <w:sz w:val="24"/>
          <w:szCs w:val="24"/>
          <w:highlight w:val="none"/>
          <w:lang w:eastAsia="zh-CN"/>
        </w:rPr>
        <w:t>无</w:t>
      </w:r>
      <w:r>
        <w:rPr>
          <w:rFonts w:hint="eastAsia" w:ascii="宋体" w:hAnsi="宋体" w:cs="宋体"/>
          <w:b w:val="0"/>
          <w:bCs w:val="0"/>
          <w:sz w:val="24"/>
          <w:szCs w:val="24"/>
          <w:highlight w:val="none"/>
        </w:rPr>
        <w:t>。</w:t>
      </w:r>
    </w:p>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w:t>
      </w:r>
      <w:r>
        <w:rPr>
          <w:rFonts w:hint="eastAsia" w:ascii="宋体" w:hAnsi="宋体" w:cs="宋体"/>
          <w:sz w:val="24"/>
          <w:szCs w:val="24"/>
        </w:rPr>
        <w:t>本项目的特定资格要求：</w:t>
      </w:r>
      <w:r>
        <w:rPr>
          <w:rFonts w:hint="eastAsia" w:ascii="宋体" w:hAnsi="宋体" w:cs="宋体"/>
          <w:sz w:val="24"/>
          <w:szCs w:val="24"/>
          <w:highlight w:val="none"/>
          <w:lang w:eastAsia="zh-CN"/>
        </w:rPr>
        <w:t>投标人须具备有主管部门颁发的城市生活垃圾经营性清扫、收集、运输服务许可证。</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lang w:val="en-US" w:eastAsia="zh-CN"/>
        </w:rPr>
        <w:t>3.</w:t>
      </w:r>
      <w:r>
        <w:rPr>
          <w:rFonts w:hint="eastAsia" w:ascii="宋体" w:hAnsi="宋体" w:cs="宋体"/>
          <w:sz w:val="24"/>
          <w:szCs w:val="24"/>
          <w:highlight w:val="none"/>
        </w:rPr>
        <w:t>本项目不接受联合体投标。</w:t>
      </w:r>
    </w:p>
    <w:p>
      <w:pPr>
        <w:pStyle w:val="5"/>
        <w:pageBreakBefore w:val="0"/>
        <w:kinsoku/>
        <w:wordWrap/>
        <w:overflowPunct/>
        <w:topLinePunct w:val="0"/>
        <w:bidi w:val="0"/>
        <w:adjustRightInd w:val="0"/>
        <w:snapToGrid w:val="0"/>
        <w:spacing w:line="440" w:lineRule="exact"/>
        <w:ind w:left="0" w:firstLine="0"/>
        <w:textAlignment w:val="auto"/>
        <w:rPr>
          <w:rFonts w:ascii="宋体" w:hAnsi="宋体" w:eastAsia="宋体" w:cs="宋体"/>
          <w:sz w:val="24"/>
          <w:szCs w:val="24"/>
          <w:highlight w:val="none"/>
        </w:rPr>
      </w:pPr>
      <w:bookmarkStart w:id="1" w:name="_Toc35393792"/>
      <w:bookmarkStart w:id="2" w:name="_Toc35393623"/>
      <w:r>
        <w:rPr>
          <w:rFonts w:hint="eastAsia" w:ascii="宋体" w:hAnsi="宋体" w:eastAsia="宋体" w:cs="宋体"/>
          <w:sz w:val="24"/>
          <w:szCs w:val="24"/>
          <w:highlight w:val="none"/>
        </w:rPr>
        <w:t>三、获取招标文件</w:t>
      </w:r>
      <w:bookmarkEnd w:id="1"/>
      <w:bookmarkEnd w:id="2"/>
    </w:p>
    <w:p>
      <w:pPr>
        <w:pStyle w:val="82"/>
        <w:pageBreakBefore w:val="0"/>
        <w:kinsoku/>
        <w:wordWrap/>
        <w:overflowPunct/>
        <w:topLinePunct w:val="0"/>
        <w:bidi w:val="0"/>
        <w:spacing w:before="0" w:beforeAutospacing="0" w:after="0" w:afterAutospacing="0" w:line="440" w:lineRule="exact"/>
        <w:ind w:firstLine="480" w:firstLineChars="200"/>
        <w:textAlignment w:val="auto"/>
        <w:rPr>
          <w:rFonts w:cs="宋体"/>
          <w:bCs/>
          <w:szCs w:val="24"/>
          <w:highlight w:val="none"/>
        </w:rPr>
      </w:pPr>
      <w:r>
        <w:rPr>
          <w:rFonts w:hint="eastAsia" w:cs="宋体"/>
          <w:bCs/>
          <w:szCs w:val="24"/>
          <w:highlight w:val="none"/>
        </w:rPr>
        <w:t>时间：/至</w:t>
      </w:r>
      <w:r>
        <w:rPr>
          <w:rFonts w:hint="eastAsia" w:cs="宋体"/>
          <w:bCs/>
          <w:szCs w:val="24"/>
          <w:highlight w:val="none"/>
          <w:lang w:val="zh-CN"/>
        </w:rPr>
        <w:t>202</w:t>
      </w:r>
      <w:r>
        <w:rPr>
          <w:rFonts w:hint="eastAsia" w:cs="宋体"/>
          <w:bCs/>
          <w:szCs w:val="24"/>
          <w:highlight w:val="none"/>
          <w:lang w:val="en-US" w:eastAsia="zh-CN"/>
        </w:rPr>
        <w:t>2</w:t>
      </w:r>
      <w:r>
        <w:rPr>
          <w:rFonts w:hint="eastAsia" w:cs="宋体"/>
          <w:bCs/>
          <w:szCs w:val="24"/>
          <w:highlight w:val="none"/>
          <w:lang w:val="zh-CN"/>
        </w:rPr>
        <w:t>年</w:t>
      </w:r>
      <w:r>
        <w:rPr>
          <w:rFonts w:hint="eastAsia" w:cs="宋体"/>
          <w:bCs/>
          <w:szCs w:val="24"/>
          <w:highlight w:val="none"/>
          <w:lang w:val="en-US" w:eastAsia="zh-CN"/>
        </w:rPr>
        <w:t>12</w:t>
      </w:r>
      <w:r>
        <w:rPr>
          <w:rFonts w:hint="eastAsia" w:cs="宋体"/>
          <w:bCs/>
          <w:szCs w:val="24"/>
          <w:highlight w:val="none"/>
          <w:lang w:val="zh-CN"/>
        </w:rPr>
        <w:t>月</w:t>
      </w:r>
      <w:r>
        <w:rPr>
          <w:rFonts w:hint="eastAsia" w:cs="宋体"/>
          <w:bCs/>
          <w:szCs w:val="24"/>
          <w:highlight w:val="none"/>
          <w:lang w:val="en-US" w:eastAsia="zh-CN"/>
        </w:rPr>
        <w:t>27</w:t>
      </w:r>
      <w:r>
        <w:rPr>
          <w:rFonts w:hint="eastAsia" w:cs="宋体"/>
          <w:bCs/>
          <w:szCs w:val="24"/>
          <w:highlight w:val="none"/>
          <w:lang w:val="zh-CN"/>
        </w:rPr>
        <w:t>日</w:t>
      </w:r>
      <w:r>
        <w:rPr>
          <w:rFonts w:hint="eastAsia" w:cs="宋体"/>
          <w:bCs/>
          <w:szCs w:val="24"/>
          <w:highlight w:val="none"/>
        </w:rPr>
        <w:t>，每天上午00:00至12:00 ，下午12:00至23:59（北京时间，线上获取法定节假日均可，线下获取文件法定节假日除外）</w:t>
      </w:r>
    </w:p>
    <w:p>
      <w:pPr>
        <w:pStyle w:val="82"/>
        <w:pageBreakBefore w:val="0"/>
        <w:kinsoku/>
        <w:wordWrap/>
        <w:overflowPunct/>
        <w:topLinePunct w:val="0"/>
        <w:bidi w:val="0"/>
        <w:spacing w:before="0" w:beforeAutospacing="0" w:after="0" w:afterAutospacing="0" w:line="440" w:lineRule="exact"/>
        <w:ind w:firstLine="480" w:firstLineChars="200"/>
        <w:textAlignment w:val="auto"/>
        <w:rPr>
          <w:rFonts w:cs="宋体"/>
          <w:bCs/>
          <w:szCs w:val="24"/>
          <w:highlight w:val="none"/>
        </w:rPr>
      </w:pPr>
      <w:r>
        <w:rPr>
          <w:rFonts w:hint="eastAsia" w:cs="宋体"/>
          <w:bCs/>
          <w:szCs w:val="24"/>
          <w:highlight w:val="none"/>
        </w:rPr>
        <w:t xml:space="preserve">地点（网址）：浙江政府采购网（http://zfcg.czt.zj.gov.cn/） </w:t>
      </w:r>
    </w:p>
    <w:p>
      <w:pPr>
        <w:pStyle w:val="82"/>
        <w:pageBreakBefore w:val="0"/>
        <w:kinsoku/>
        <w:wordWrap/>
        <w:overflowPunct/>
        <w:topLinePunct w:val="0"/>
        <w:bidi w:val="0"/>
        <w:spacing w:before="0" w:beforeAutospacing="0" w:after="0" w:afterAutospacing="0" w:line="440" w:lineRule="exact"/>
        <w:ind w:firstLine="480" w:firstLineChars="200"/>
        <w:textAlignment w:val="auto"/>
        <w:rPr>
          <w:rFonts w:cs="宋体"/>
          <w:bCs/>
          <w:szCs w:val="24"/>
          <w:highlight w:val="none"/>
        </w:rPr>
      </w:pPr>
      <w:r>
        <w:rPr>
          <w:rFonts w:hint="eastAsia" w:cs="宋体"/>
          <w:bCs/>
          <w:szCs w:val="24"/>
          <w:highlight w:val="none"/>
        </w:rPr>
        <w:t xml:space="preserve">方式：供应商通过“浙江政府采购网”在线获取（招标公告下方选取“潜在供应商”处“获取采购文件”），不提供纸制版招标文件；供应商只有在“浙江政府采购网”完成获取招标文件申请并下载了招标文件后才视作依法获取招标文件。 </w:t>
      </w:r>
    </w:p>
    <w:p>
      <w:pPr>
        <w:pStyle w:val="82"/>
        <w:pageBreakBefore w:val="0"/>
        <w:kinsoku/>
        <w:wordWrap/>
        <w:overflowPunct/>
        <w:topLinePunct w:val="0"/>
        <w:bidi w:val="0"/>
        <w:spacing w:before="0" w:beforeAutospacing="0" w:after="0" w:afterAutospacing="0" w:line="440" w:lineRule="exact"/>
        <w:ind w:firstLine="480" w:firstLineChars="200"/>
        <w:textAlignment w:val="auto"/>
        <w:rPr>
          <w:rFonts w:cs="宋体"/>
          <w:bCs/>
          <w:szCs w:val="24"/>
          <w:highlight w:val="none"/>
        </w:rPr>
      </w:pPr>
      <w:r>
        <w:rPr>
          <w:rFonts w:hint="eastAsia" w:cs="宋体"/>
          <w:bCs/>
          <w:szCs w:val="24"/>
          <w:highlight w:val="none"/>
        </w:rPr>
        <w:t>售价（元）：0</w:t>
      </w:r>
    </w:p>
    <w:p>
      <w:pPr>
        <w:pageBreakBefore w:val="0"/>
        <w:kinsoku/>
        <w:wordWrap/>
        <w:overflowPunct/>
        <w:topLinePunct w:val="0"/>
        <w:bidi w:val="0"/>
        <w:snapToGrid w:val="0"/>
        <w:spacing w:line="440" w:lineRule="exact"/>
        <w:textAlignment w:val="auto"/>
        <w:rPr>
          <w:rFonts w:ascii="宋体" w:hAnsi="宋体" w:cs="宋体"/>
          <w:b/>
          <w:bCs/>
          <w:color w:val="000000"/>
          <w:sz w:val="24"/>
          <w:szCs w:val="24"/>
          <w:highlight w:val="none"/>
        </w:rPr>
      </w:pPr>
      <w:bookmarkStart w:id="3" w:name="_Toc28359084"/>
      <w:bookmarkStart w:id="4" w:name="_Toc35393625"/>
      <w:bookmarkStart w:id="5" w:name="_Toc35393794"/>
      <w:bookmarkStart w:id="6" w:name="_Toc28359007"/>
      <w:r>
        <w:rPr>
          <w:rFonts w:hint="eastAsia" w:ascii="宋体" w:hAnsi="宋体" w:cs="宋体"/>
          <w:b/>
          <w:bCs/>
          <w:color w:val="000000"/>
          <w:sz w:val="24"/>
          <w:szCs w:val="24"/>
          <w:highlight w:val="none"/>
        </w:rPr>
        <w:t>四、提交投标文件截止时间、开标时间和地点</w:t>
      </w:r>
    </w:p>
    <w:p>
      <w:pPr>
        <w:pageBreakBefore w:val="0"/>
        <w:kinsoku/>
        <w:wordWrap/>
        <w:overflowPunct/>
        <w:topLinePunct w:val="0"/>
        <w:bidi w:val="0"/>
        <w:spacing w:line="440" w:lineRule="exact"/>
        <w:ind w:firstLine="480" w:firstLineChars="200"/>
        <w:jc w:val="left"/>
        <w:textAlignment w:val="auto"/>
        <w:rPr>
          <w:rFonts w:ascii="宋体" w:hAnsi="宋体" w:cs="宋体"/>
          <w:sz w:val="24"/>
          <w:szCs w:val="24"/>
          <w:highlight w:val="none"/>
          <w:lang w:val="zh-CN"/>
        </w:rPr>
      </w:pPr>
      <w:r>
        <w:rPr>
          <w:rFonts w:hint="eastAsia" w:ascii="宋体" w:hAnsi="宋体" w:cs="宋体"/>
          <w:sz w:val="24"/>
          <w:szCs w:val="24"/>
          <w:highlight w:val="none"/>
          <w:lang w:val="zh-CN"/>
        </w:rPr>
        <w:t>提交投标文件截止时间：202</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27</w:t>
      </w:r>
      <w:r>
        <w:rPr>
          <w:rFonts w:hint="eastAsia" w:ascii="宋体" w:hAnsi="宋体" w:cs="宋体"/>
          <w:sz w:val="24"/>
          <w:szCs w:val="24"/>
          <w:highlight w:val="none"/>
          <w:lang w:val="zh-CN"/>
        </w:rPr>
        <w:t xml:space="preserve">日 </w:t>
      </w:r>
      <w:r>
        <w:rPr>
          <w:rFonts w:hint="eastAsia" w:ascii="宋体" w:hAnsi="宋体" w:cs="宋体"/>
          <w:sz w:val="24"/>
          <w:szCs w:val="24"/>
          <w:highlight w:val="none"/>
        </w:rPr>
        <w:t>09</w:t>
      </w:r>
      <w:r>
        <w:rPr>
          <w:rFonts w:hint="eastAsia" w:ascii="宋体" w:hAnsi="宋体" w:cs="宋体"/>
          <w:sz w:val="24"/>
          <w:szCs w:val="24"/>
          <w:highlight w:val="none"/>
          <w:lang w:val="zh-CN"/>
        </w:rPr>
        <w:t>:00</w:t>
      </w:r>
      <w:r>
        <w:rPr>
          <w:rFonts w:hint="eastAsia" w:ascii="宋体" w:hAnsi="宋体" w:cs="宋体"/>
          <w:sz w:val="24"/>
          <w:szCs w:val="24"/>
          <w:highlight w:val="none"/>
        </w:rPr>
        <w:t>:00</w:t>
      </w:r>
      <w:r>
        <w:rPr>
          <w:rFonts w:hint="eastAsia" w:ascii="宋体" w:hAnsi="宋体" w:cs="宋体"/>
          <w:sz w:val="24"/>
          <w:szCs w:val="24"/>
          <w:highlight w:val="none"/>
          <w:lang w:val="zh-CN"/>
        </w:rPr>
        <w:t>（北京时间）</w:t>
      </w:r>
    </w:p>
    <w:p>
      <w:pPr>
        <w:pageBreakBefore w:val="0"/>
        <w:kinsoku/>
        <w:wordWrap/>
        <w:overflowPunct/>
        <w:topLinePunct w:val="0"/>
        <w:bidi w:val="0"/>
        <w:spacing w:line="440" w:lineRule="exact"/>
        <w:ind w:firstLine="480" w:firstLineChars="200"/>
        <w:jc w:val="left"/>
        <w:textAlignment w:val="auto"/>
        <w:rPr>
          <w:rFonts w:ascii="宋体" w:hAnsi="宋体" w:cs="宋体"/>
          <w:sz w:val="24"/>
          <w:szCs w:val="24"/>
          <w:highlight w:val="none"/>
          <w:lang w:val="zh-CN"/>
        </w:rPr>
      </w:pPr>
      <w:r>
        <w:rPr>
          <w:rFonts w:hint="eastAsia" w:ascii="宋体" w:hAnsi="宋体" w:cs="宋体"/>
          <w:sz w:val="24"/>
          <w:szCs w:val="24"/>
          <w:highlight w:val="none"/>
          <w:lang w:val="zh-CN"/>
        </w:rPr>
        <w:t>投标地点（网址）：</w:t>
      </w:r>
      <w:r>
        <w:rPr>
          <w:rFonts w:hint="eastAsia" w:ascii="宋体" w:hAnsi="宋体" w:cs="宋体"/>
          <w:b/>
          <w:bCs/>
          <w:sz w:val="24"/>
          <w:szCs w:val="24"/>
          <w:highlight w:val="none"/>
          <w:lang w:val="zh-CN"/>
        </w:rPr>
        <w:t>通过“政府采购云平台（www.zcygov.cn）”在线投标响应。未按采购公告规定获取采购文件的潜在供应商，其投标将被拒绝。</w:t>
      </w:r>
    </w:p>
    <w:p>
      <w:pPr>
        <w:pageBreakBefore w:val="0"/>
        <w:kinsoku/>
        <w:wordWrap/>
        <w:overflowPunct/>
        <w:topLinePunct w:val="0"/>
        <w:bidi w:val="0"/>
        <w:spacing w:line="440" w:lineRule="exact"/>
        <w:ind w:firstLine="480" w:firstLineChars="200"/>
        <w:jc w:val="left"/>
        <w:textAlignment w:val="auto"/>
        <w:rPr>
          <w:rFonts w:ascii="宋体" w:hAnsi="宋体" w:cs="宋体"/>
          <w:sz w:val="24"/>
          <w:szCs w:val="24"/>
          <w:highlight w:val="none"/>
          <w:lang w:val="zh-CN"/>
        </w:rPr>
      </w:pPr>
      <w:r>
        <w:rPr>
          <w:rFonts w:hint="eastAsia" w:ascii="宋体" w:hAnsi="宋体" w:cs="宋体"/>
          <w:sz w:val="24"/>
          <w:szCs w:val="24"/>
          <w:highlight w:val="none"/>
          <w:lang w:val="zh-CN"/>
        </w:rPr>
        <w:t>开标时间：202</w:t>
      </w: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27</w:t>
      </w:r>
      <w:r>
        <w:rPr>
          <w:rFonts w:hint="eastAsia" w:ascii="宋体" w:hAnsi="宋体" w:cs="宋体"/>
          <w:sz w:val="24"/>
          <w:szCs w:val="24"/>
          <w:highlight w:val="none"/>
          <w:lang w:val="zh-CN"/>
        </w:rPr>
        <w:t xml:space="preserve">日 </w:t>
      </w:r>
      <w:r>
        <w:rPr>
          <w:rFonts w:hint="eastAsia" w:ascii="宋体" w:hAnsi="宋体" w:cs="宋体"/>
          <w:sz w:val="24"/>
          <w:szCs w:val="24"/>
          <w:highlight w:val="none"/>
        </w:rPr>
        <w:t>09</w:t>
      </w:r>
      <w:r>
        <w:rPr>
          <w:rFonts w:hint="eastAsia" w:ascii="宋体" w:hAnsi="宋体" w:cs="宋体"/>
          <w:sz w:val="24"/>
          <w:szCs w:val="24"/>
          <w:highlight w:val="none"/>
          <w:lang w:val="zh-CN"/>
        </w:rPr>
        <w:t>:00</w:t>
      </w:r>
      <w:r>
        <w:rPr>
          <w:rFonts w:hint="eastAsia" w:ascii="宋体" w:hAnsi="宋体" w:cs="宋体"/>
          <w:sz w:val="24"/>
          <w:szCs w:val="24"/>
          <w:highlight w:val="none"/>
        </w:rPr>
        <w:t>:00</w:t>
      </w:r>
      <w:r>
        <w:rPr>
          <w:rFonts w:hint="eastAsia" w:ascii="宋体" w:hAnsi="宋体" w:cs="宋体"/>
          <w:sz w:val="24"/>
          <w:szCs w:val="24"/>
          <w:highlight w:val="none"/>
          <w:lang w:val="zh-CN"/>
        </w:rPr>
        <w:t xml:space="preserve">（北京时间） </w:t>
      </w:r>
    </w:p>
    <w:p>
      <w:pPr>
        <w:pageBreakBefore w:val="0"/>
        <w:kinsoku/>
        <w:wordWrap/>
        <w:overflowPunct/>
        <w:topLinePunct w:val="0"/>
        <w:bidi w:val="0"/>
        <w:spacing w:line="440" w:lineRule="exact"/>
        <w:ind w:firstLine="480" w:firstLineChars="200"/>
        <w:jc w:val="left"/>
        <w:textAlignment w:val="auto"/>
        <w:rPr>
          <w:rFonts w:ascii="宋体" w:hAnsi="宋体" w:cs="宋体"/>
          <w:b w:val="0"/>
          <w:bCs w:val="0"/>
          <w:sz w:val="24"/>
          <w:szCs w:val="24"/>
          <w:highlight w:val="none"/>
          <w:lang w:val="zh-CN"/>
        </w:rPr>
      </w:pPr>
      <w:r>
        <w:rPr>
          <w:rFonts w:hint="eastAsia" w:ascii="宋体" w:hAnsi="宋体" w:cs="宋体"/>
          <w:sz w:val="24"/>
          <w:szCs w:val="24"/>
          <w:highlight w:val="none"/>
          <w:lang w:val="zh-CN"/>
        </w:rPr>
        <w:t>开标地点（网址）：政府采购云平台（www.zcygov.cn）</w:t>
      </w:r>
      <w:r>
        <w:rPr>
          <w:rFonts w:hint="eastAsia" w:ascii="宋体" w:hAnsi="宋体" w:cs="宋体"/>
          <w:b w:val="0"/>
          <w:bCs w:val="0"/>
          <w:sz w:val="24"/>
          <w:szCs w:val="24"/>
          <w:highlight w:val="none"/>
          <w:lang w:val="zh-CN"/>
        </w:rPr>
        <w:t>。</w:t>
      </w:r>
    </w:p>
    <w:p>
      <w:pPr>
        <w:pageBreakBefore w:val="0"/>
        <w:kinsoku/>
        <w:wordWrap/>
        <w:overflowPunct/>
        <w:topLinePunct w:val="0"/>
        <w:bidi w:val="0"/>
        <w:snapToGrid w:val="0"/>
        <w:spacing w:line="440" w:lineRule="exact"/>
        <w:textAlignment w:val="auto"/>
        <w:rPr>
          <w:rFonts w:ascii="宋体" w:hAnsi="宋体" w:cs="宋体"/>
          <w:b/>
          <w:bCs/>
          <w:color w:val="000000"/>
          <w:sz w:val="24"/>
          <w:szCs w:val="24"/>
          <w:highlight w:val="none"/>
        </w:rPr>
      </w:pPr>
      <w:r>
        <w:rPr>
          <w:rFonts w:hint="eastAsia" w:ascii="宋体" w:hAnsi="宋体" w:cs="宋体"/>
          <w:b/>
          <w:bCs/>
          <w:color w:val="000000"/>
          <w:sz w:val="24"/>
          <w:szCs w:val="24"/>
          <w:highlight w:val="none"/>
        </w:rPr>
        <w:t>五、公告期限</w:t>
      </w:r>
      <w:bookmarkEnd w:id="3"/>
      <w:bookmarkEnd w:id="4"/>
      <w:bookmarkEnd w:id="5"/>
      <w:bookmarkEnd w:id="6"/>
    </w:p>
    <w:p>
      <w:pPr>
        <w:pStyle w:val="82"/>
        <w:pageBreakBefore w:val="0"/>
        <w:kinsoku/>
        <w:wordWrap/>
        <w:overflowPunct/>
        <w:topLinePunct w:val="0"/>
        <w:bidi w:val="0"/>
        <w:spacing w:before="0" w:beforeAutospacing="0" w:after="0" w:afterAutospacing="0" w:line="440" w:lineRule="exact"/>
        <w:ind w:firstLine="480" w:firstLineChars="200"/>
        <w:textAlignment w:val="auto"/>
        <w:rPr>
          <w:rFonts w:hint="eastAsia" w:cs="宋体"/>
          <w:bCs/>
          <w:szCs w:val="24"/>
          <w:highlight w:val="none"/>
        </w:rPr>
      </w:pPr>
      <w:r>
        <w:rPr>
          <w:rFonts w:hint="eastAsia" w:cs="宋体"/>
          <w:bCs/>
          <w:szCs w:val="24"/>
          <w:highlight w:val="none"/>
        </w:rPr>
        <w:t>自本公告发布之日起5个工作日。</w:t>
      </w:r>
      <w:bookmarkStart w:id="124" w:name="_GoBack"/>
      <w:bookmarkEnd w:id="124"/>
    </w:p>
    <w:p>
      <w:pPr>
        <w:pageBreakBefore w:val="0"/>
        <w:kinsoku/>
        <w:wordWrap/>
        <w:overflowPunct/>
        <w:topLinePunct w:val="0"/>
        <w:bidi w:val="0"/>
        <w:snapToGrid w:val="0"/>
        <w:spacing w:line="440" w:lineRule="exact"/>
        <w:textAlignment w:val="auto"/>
        <w:rPr>
          <w:rFonts w:ascii="宋体" w:hAnsi="宋体" w:cs="宋体"/>
          <w:b/>
          <w:bCs/>
          <w:color w:val="000000"/>
          <w:sz w:val="24"/>
          <w:szCs w:val="24"/>
          <w:highlight w:val="none"/>
        </w:rPr>
      </w:pPr>
      <w:bookmarkStart w:id="7" w:name="_Toc28359005"/>
      <w:bookmarkStart w:id="8" w:name="_Toc28359082"/>
      <w:bookmarkStart w:id="9" w:name="_Toc35393624"/>
      <w:bookmarkStart w:id="10" w:name="_Toc35393793"/>
      <w:r>
        <w:rPr>
          <w:rFonts w:hint="eastAsia" w:ascii="宋体" w:hAnsi="宋体" w:cs="宋体"/>
          <w:b/>
          <w:bCs/>
          <w:color w:val="000000"/>
          <w:sz w:val="24"/>
          <w:szCs w:val="24"/>
          <w:highlight w:val="none"/>
        </w:rPr>
        <w:t>六、</w:t>
      </w:r>
      <w:bookmarkEnd w:id="7"/>
      <w:bookmarkEnd w:id="8"/>
      <w:bookmarkEnd w:id="9"/>
      <w:bookmarkEnd w:id="10"/>
      <w:r>
        <w:rPr>
          <w:rFonts w:hint="eastAsia" w:ascii="宋体" w:hAnsi="宋体" w:cs="宋体"/>
          <w:b/>
          <w:bCs/>
          <w:color w:val="000000"/>
          <w:sz w:val="24"/>
          <w:szCs w:val="24"/>
          <w:highlight w:val="none"/>
        </w:rPr>
        <w:t>其他补充事宜</w:t>
      </w:r>
    </w:p>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.其他事项：</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.1投标保证金：</w:t>
      </w:r>
      <w:r>
        <w:rPr>
          <w:rFonts w:hint="eastAsia" w:ascii="宋体" w:hAnsi="宋体"/>
          <w:sz w:val="24"/>
          <w:highlight w:val="none"/>
        </w:rPr>
        <w:t>本项目不需交纳投标保证金。</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.2未按采购公告规定获取采购文件的潜在投标人不得对采购文件提出质疑，其投标将被拒绝。</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b/>
          <w:bCs/>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 xml:space="preserve">.3 在线投标响应（电子投标）说明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u w:val="single"/>
        </w:rPr>
      </w:pPr>
      <w:r>
        <w:rPr>
          <w:rFonts w:hint="eastAsia" w:ascii="宋体" w:hAnsi="宋体"/>
          <w:sz w:val="24"/>
          <w:highlight w:val="none"/>
        </w:rPr>
        <w:t>1）</w:t>
      </w:r>
      <w:r>
        <w:rPr>
          <w:rFonts w:hint="eastAsia" w:ascii="宋体" w:hAnsi="宋体"/>
          <w:sz w:val="24"/>
          <w:highlight w:val="none"/>
          <w:u w:val="single"/>
        </w:rPr>
        <w:t xml:space="preserve">本项目通过“政府采购云平台（www.zcygov.cn）”实行在线投标响应（电子投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u w:val="single"/>
        </w:rPr>
      </w:pPr>
      <w:r>
        <w:rPr>
          <w:rFonts w:hint="eastAsia" w:ascii="宋体" w:hAnsi="宋体"/>
          <w:sz w:val="24"/>
          <w:highlight w:val="none"/>
          <w:u w:val="single"/>
        </w:rPr>
        <w:t>标），供应商应先安装“政采云电子交易客户端”，并按照本招标文件和“政府采购云平台”的要求，通过“政采云电子交易客户端”编制并加密投标文件。供应商未按规定 加密的投标文件，“政府采购云平台”将予以拒收。</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“政采云电子交易客户端”请自行前往“浙江政府采购网-下载专区-电子交易客户端”进行下载；通过“政府采购云平台”参与在线投标时如遇平台技术问题详询</w:t>
      </w:r>
      <w:r>
        <w:rPr>
          <w:rFonts w:hint="eastAsia" w:ascii="宋体" w:hAnsi="宋体"/>
          <w:sz w:val="24"/>
          <w:highlight w:val="none"/>
          <w:lang w:eastAsia="zh-CN"/>
        </w:rPr>
        <w:t>95763</w:t>
      </w:r>
      <w:r>
        <w:rPr>
          <w:rFonts w:hint="eastAsia" w:ascii="宋体" w:hAnsi="宋体"/>
          <w:sz w:val="24"/>
          <w:highlight w:val="none"/>
        </w:rPr>
        <w:t xml:space="preserve">。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u w:val="single"/>
        </w:rPr>
      </w:pPr>
      <w:r>
        <w:rPr>
          <w:rFonts w:hint="eastAsia" w:ascii="宋体" w:hAnsi="宋体"/>
          <w:sz w:val="24"/>
          <w:highlight w:val="none"/>
        </w:rPr>
        <w:t>2）</w:t>
      </w:r>
      <w:r>
        <w:rPr>
          <w:rFonts w:hint="eastAsia" w:ascii="宋体" w:hAnsi="宋体"/>
          <w:sz w:val="24"/>
          <w:highlight w:val="none"/>
          <w:u w:val="single"/>
        </w:rPr>
        <w:t xml:space="preserve">为确保网上操作合法、有效和安全，投标供应商应当在投标截止时间前完成在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u w:val="single"/>
        </w:rPr>
        <w:t>“政府采购云平台”的身份认证，确保在电子投标过程中能够对相关数据电文进行加密和使用电子签章。</w:t>
      </w:r>
      <w:r>
        <w:rPr>
          <w:rFonts w:hint="eastAsia" w:ascii="宋体" w:hAnsi="宋体"/>
          <w:sz w:val="24"/>
          <w:highlight w:val="none"/>
        </w:rPr>
        <w:t>使用“政采云电子交易客户端”需要提前申领 CA 数字证书，申领流程请自行前往“浙江政府采购网-下载专区-电子交易客户端-CA 驱动和申领流程”进行查阅；</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u w:val="single"/>
        </w:rPr>
      </w:pPr>
      <w:r>
        <w:rPr>
          <w:rFonts w:hint="eastAsia" w:ascii="宋体" w:hAnsi="宋体"/>
          <w:sz w:val="24"/>
          <w:highlight w:val="none"/>
        </w:rPr>
        <w:t>3）</w:t>
      </w:r>
      <w:r>
        <w:rPr>
          <w:rFonts w:hint="eastAsia" w:ascii="宋体" w:hAnsi="宋体"/>
          <w:sz w:val="24"/>
          <w:highlight w:val="none"/>
          <w:u w:val="single"/>
        </w:rPr>
        <w:t xml:space="preserve">投标供应商应当在投标截止时间前，将生成的“电子加密投标文件”上传递交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u w:val="single"/>
        </w:rPr>
      </w:pPr>
      <w:r>
        <w:rPr>
          <w:rFonts w:hint="eastAsia" w:ascii="宋体" w:hAnsi="宋体"/>
          <w:sz w:val="24"/>
          <w:highlight w:val="none"/>
          <w:u w:val="single"/>
        </w:rPr>
        <w:t xml:space="preserve">至“政府采购云平台”。投标截止时间以后上传递交的投标文件将被“政府采购云平台”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u w:val="single"/>
        </w:rPr>
        <w:t>拒收。</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u w:val="single"/>
        </w:rPr>
      </w:pPr>
      <w:r>
        <w:rPr>
          <w:rFonts w:hint="eastAsia" w:ascii="宋体" w:hAnsi="宋体"/>
          <w:sz w:val="24"/>
          <w:highlight w:val="none"/>
        </w:rPr>
        <w:t>4）</w:t>
      </w:r>
      <w:r>
        <w:rPr>
          <w:rFonts w:hint="eastAsia" w:ascii="宋体" w:hAnsi="宋体"/>
          <w:sz w:val="24"/>
          <w:highlight w:val="none"/>
          <w:u w:val="single"/>
        </w:rPr>
        <w:t xml:space="preserve">投标供应商在“政府采购云平台”完成“电子加密投标文件”的上传递交后，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u w:val="single"/>
        </w:rPr>
      </w:pPr>
      <w:r>
        <w:rPr>
          <w:rFonts w:hint="eastAsia" w:ascii="宋体" w:hAnsi="宋体"/>
          <w:sz w:val="24"/>
          <w:highlight w:val="none"/>
          <w:u w:val="single"/>
        </w:rPr>
        <w:t xml:space="preserve">还可以（EMS 邮寄形式）在投标截止时间前递交以介质（U 盘）存储的数据电文形式的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u w:val="single"/>
        </w:rPr>
      </w:pPr>
      <w:r>
        <w:rPr>
          <w:rFonts w:hint="eastAsia" w:ascii="宋体" w:hAnsi="宋体"/>
          <w:sz w:val="24"/>
          <w:highlight w:val="none"/>
          <w:u w:val="single"/>
        </w:rPr>
        <w:t xml:space="preserve">“备份投标文件”，“备份投标文件”应当密封包装并在包装上标注投标项目名称、投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u w:val="single"/>
        </w:rPr>
        <w:t>标单位名称并加盖公章。</w:t>
      </w:r>
      <w:r>
        <w:rPr>
          <w:rFonts w:hint="eastAsia" w:ascii="宋体" w:hAnsi="宋体"/>
          <w:sz w:val="24"/>
          <w:highlight w:val="none"/>
        </w:rPr>
        <w:t xml:space="preserve">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 xml:space="preserve">5）通过“政府采购云平台”上传递交的“电子加密投标文件”无法按时解密，投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标供应商递交了备份投标文件的，以备份投标文件为依据，否则视为投标文件撤回。通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过“政府采购云平台”上传递交的“电子加密投标文件”已按时解密的，“备份投标文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件”自动失效。投标供应商仅递交备份投标文件的，投标无效。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.4 信用记录：</w:t>
      </w:r>
      <w:r>
        <w:rPr>
          <w:rFonts w:hint="eastAsia" w:ascii="宋体" w:hAnsi="宋体"/>
          <w:sz w:val="24"/>
          <w:highlight w:val="none"/>
        </w:rPr>
        <w:t xml:space="preserve">根据财库[2016]125号《关于在政府采购活动中查询及使用信用记录有关问题的通知》要求，采购代理机构会对投标人信用记录进行查询并甄别。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 xml:space="preserve">1）信用信息查询的截止时点：投标截止时间；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 xml:space="preserve">2）查询渠道：“信用中国”（www.creditchina.gov.cn）、“中国政府采购网”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（www.ccgp.gov.cn）、“浙江政府采购网（http://zfcg.czt.zj.gov.cn/）；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 xml:space="preserve">3）信用信息查询记录和证据留存具体方式：采购代理机构经办人和监督人员将查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询网页打印、签字与其他采购文件一并保存；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sz w:val="24"/>
          <w:highlight w:val="none"/>
        </w:rPr>
        <w:t xml:space="preserve">4）信用信息的使用规则：投标人存在不良信用记录的，其投标将被作为无效投标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被拒绝。不良信用记录指：被列入失信被执行人、重大税收违法案件当事人名单、政府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 xml:space="preserve">采购严重违法失信行为记录名单或浙江政府采购网曝光台中尚在行政处罚期内的。 </w:t>
      </w:r>
    </w:p>
    <w:p>
      <w:pPr>
        <w:pageBreakBefore w:val="0"/>
        <w:widowControl/>
        <w:kinsoku/>
        <w:wordWrap/>
        <w:overflowPunct/>
        <w:topLinePunct w:val="0"/>
        <w:bidi w:val="0"/>
        <w:adjustRightInd w:val="0"/>
        <w:snapToGrid w:val="0"/>
        <w:spacing w:line="440" w:lineRule="exact"/>
        <w:ind w:firstLine="401"/>
        <w:jc w:val="left"/>
        <w:textAlignment w:val="auto"/>
        <w:rPr>
          <w:rFonts w:ascii="宋体" w:hAnsi="宋体"/>
          <w:sz w:val="24"/>
          <w:highlight w:val="none"/>
        </w:rPr>
      </w:pPr>
      <w:r>
        <w:rPr>
          <w:rFonts w:hint="eastAsia" w:ascii="宋体" w:hAnsi="宋体"/>
          <w:b/>
          <w:bCs/>
          <w:sz w:val="24"/>
          <w:highlight w:val="none"/>
          <w:lang w:val="en-US" w:eastAsia="zh-CN"/>
        </w:rPr>
        <w:t>4</w:t>
      </w: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本项目相关公告</w:t>
      </w:r>
      <w:r>
        <w:rPr>
          <w:rFonts w:hint="eastAsia" w:ascii="宋体" w:hAnsi="宋体"/>
          <w:sz w:val="24"/>
          <w:highlight w:val="none"/>
        </w:rPr>
        <w:t xml:space="preserve">（包括招标公告、中标公告及更正公告等）均以浙江政府采购 </w:t>
      </w:r>
    </w:p>
    <w:p>
      <w:pPr>
        <w:pageBreakBefore w:val="0"/>
        <w:widowControl/>
        <w:kinsoku/>
        <w:wordWrap/>
        <w:overflowPunct/>
        <w:topLinePunct w:val="0"/>
        <w:bidi w:val="0"/>
        <w:adjustRightInd w:val="0"/>
        <w:snapToGrid w:val="0"/>
        <w:spacing w:line="440" w:lineRule="exact"/>
        <w:jc w:val="left"/>
        <w:textAlignment w:val="auto"/>
        <w:rPr>
          <w:rFonts w:ascii="宋体" w:hAnsi="宋体"/>
          <w:sz w:val="24"/>
          <w:highlight w:val="none"/>
        </w:rPr>
      </w:pPr>
      <w:r>
        <w:rPr>
          <w:rFonts w:hint="eastAsia" w:ascii="宋体" w:hAnsi="宋体"/>
          <w:sz w:val="24"/>
          <w:highlight w:val="none"/>
        </w:rPr>
        <w:t>网（http://zfcg.czt.zj.gov.cn/）发布的为准。</w:t>
      </w:r>
    </w:p>
    <w:p>
      <w:pPr>
        <w:pStyle w:val="5"/>
        <w:pageBreakBefore w:val="0"/>
        <w:kinsoku/>
        <w:wordWrap/>
        <w:overflowPunct/>
        <w:topLinePunct w:val="0"/>
        <w:bidi w:val="0"/>
        <w:adjustRightInd w:val="0"/>
        <w:snapToGrid w:val="0"/>
        <w:spacing w:line="440" w:lineRule="exact"/>
        <w:ind w:left="0" w:firstLine="0"/>
        <w:textAlignment w:val="auto"/>
        <w:rPr>
          <w:rFonts w:ascii="宋体" w:hAnsi="宋体" w:eastAsia="宋体" w:cs="宋体"/>
          <w:bCs/>
          <w:sz w:val="24"/>
          <w:szCs w:val="24"/>
          <w:highlight w:val="none"/>
        </w:rPr>
      </w:pPr>
      <w:bookmarkStart w:id="11" w:name="_Toc35393796"/>
      <w:bookmarkStart w:id="12" w:name="_Toc28359085"/>
      <w:bookmarkStart w:id="13" w:name="_Toc35393627"/>
      <w:bookmarkStart w:id="14" w:name="_Toc28359008"/>
      <w:r>
        <w:rPr>
          <w:rFonts w:hint="eastAsia" w:ascii="宋体" w:hAnsi="宋体" w:eastAsia="宋体" w:cs="宋体"/>
          <w:bCs/>
          <w:sz w:val="24"/>
          <w:szCs w:val="24"/>
          <w:highlight w:val="none"/>
        </w:rPr>
        <w:t>七、对本次招标提出询问，请按以下方式联系</w:t>
      </w:r>
      <w:bookmarkEnd w:id="11"/>
      <w:bookmarkEnd w:id="12"/>
      <w:bookmarkEnd w:id="13"/>
      <w:bookmarkEnd w:id="14"/>
      <w:r>
        <w:rPr>
          <w:rFonts w:hint="eastAsia" w:ascii="宋体" w:hAnsi="宋体" w:eastAsia="宋体" w:cs="宋体"/>
          <w:bCs/>
          <w:sz w:val="24"/>
          <w:szCs w:val="24"/>
          <w:highlight w:val="none"/>
        </w:rPr>
        <w:t>：</w:t>
      </w:r>
    </w:p>
    <w:p>
      <w:pPr>
        <w:pStyle w:val="82"/>
        <w:pageBreakBefore w:val="0"/>
        <w:kinsoku/>
        <w:wordWrap/>
        <w:overflowPunct/>
        <w:topLinePunct w:val="0"/>
        <w:bidi w:val="0"/>
        <w:spacing w:before="0" w:beforeAutospacing="0" w:after="0" w:afterAutospacing="0" w:line="440" w:lineRule="exact"/>
        <w:ind w:firstLine="482"/>
        <w:textAlignment w:val="auto"/>
        <w:rPr>
          <w:rFonts w:hint="eastAsia" w:eastAsia="宋体" w:cs="宋体"/>
          <w:color w:val="000000"/>
          <w:szCs w:val="24"/>
          <w:highlight w:val="none"/>
          <w:lang w:eastAsia="zh-CN"/>
        </w:rPr>
      </w:pPr>
      <w:r>
        <w:rPr>
          <w:rFonts w:hint="eastAsia" w:cs="宋体"/>
          <w:color w:val="000000"/>
          <w:szCs w:val="24"/>
          <w:highlight w:val="none"/>
        </w:rPr>
        <w:t>1.采购人信息：</w:t>
      </w:r>
      <w:r>
        <w:rPr>
          <w:rFonts w:hint="eastAsia" w:cs="宋体"/>
          <w:color w:val="000000"/>
          <w:szCs w:val="24"/>
          <w:highlight w:val="none"/>
          <w:lang w:eastAsia="zh-CN"/>
        </w:rPr>
        <w:t>衢州智慧新城管理委员会</w:t>
      </w:r>
    </w:p>
    <w:p>
      <w:pPr>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sz w:val="24"/>
          <w:szCs w:val="24"/>
          <w:highlight w:val="none"/>
        </w:rPr>
      </w:pPr>
      <w:r>
        <w:rPr>
          <w:rFonts w:hint="eastAsia" w:cs="宋体"/>
          <w:color w:val="000000"/>
          <w:sz w:val="24"/>
          <w:szCs w:val="24"/>
          <w:highlight w:val="none"/>
        </w:rPr>
        <w:t xml:space="preserve">地址：衢州市九华北大道333号 </w:t>
      </w:r>
    </w:p>
    <w:p>
      <w:pPr>
        <w:pageBreakBefore w:val="0"/>
        <w:kinsoku/>
        <w:wordWrap/>
        <w:overflowPunct/>
        <w:topLinePunct w:val="0"/>
        <w:bidi w:val="0"/>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廖</w:t>
      </w:r>
      <w:r>
        <w:rPr>
          <w:rFonts w:hint="eastAsia" w:ascii="宋体" w:hAnsi="宋体" w:cs="宋体"/>
          <w:sz w:val="24"/>
          <w:szCs w:val="24"/>
          <w:highlight w:val="none"/>
        </w:rPr>
        <w:t xml:space="preserve">先生 </w:t>
      </w:r>
    </w:p>
    <w:p>
      <w:pPr>
        <w:pageBreakBefore w:val="0"/>
        <w:kinsoku/>
        <w:wordWrap/>
        <w:overflowPunct/>
        <w:topLinePunct w:val="0"/>
        <w:bidi w:val="0"/>
        <w:spacing w:line="440" w:lineRule="exact"/>
        <w:ind w:firstLine="480" w:firstLineChars="200"/>
        <w:jc w:val="left"/>
        <w:textAlignment w:val="auto"/>
        <w:rPr>
          <w:rFonts w:ascii="宋体" w:hAnsi="宋体" w:cs="宋体"/>
          <w:sz w:val="24"/>
          <w:szCs w:val="24"/>
          <w:highlight w:val="none"/>
        </w:rPr>
      </w:pPr>
      <w:r>
        <w:rPr>
          <w:rFonts w:hint="eastAsia" w:ascii="宋体" w:hAnsi="宋体" w:cs="宋体"/>
          <w:sz w:val="24"/>
          <w:szCs w:val="24"/>
          <w:highlight w:val="none"/>
        </w:rPr>
        <w:t>联系方式：</w:t>
      </w:r>
      <w:r>
        <w:rPr>
          <w:rFonts w:hint="eastAsia" w:ascii="宋体" w:hAnsi="宋体" w:cs="宋体"/>
          <w:sz w:val="24"/>
          <w:szCs w:val="24"/>
          <w:highlight w:val="none"/>
          <w:lang w:val="en-US" w:eastAsia="zh-CN"/>
        </w:rPr>
        <w:t>0570-3116573</w:t>
      </w:r>
      <w:r>
        <w:rPr>
          <w:rFonts w:hint="eastAsia" w:ascii="宋体" w:hAnsi="宋体" w:cs="宋体"/>
          <w:sz w:val="24"/>
          <w:szCs w:val="24"/>
          <w:highlight w:val="none"/>
        </w:rPr>
        <w:t xml:space="preserve"> 　</w:t>
      </w:r>
    </w:p>
    <w:p>
      <w:pPr>
        <w:pageBreakBefore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质疑联系人：蔡</w:t>
      </w:r>
      <w:r>
        <w:rPr>
          <w:rFonts w:hint="eastAsia" w:ascii="宋体" w:hAnsi="宋体" w:cs="宋体"/>
          <w:sz w:val="24"/>
          <w:szCs w:val="24"/>
          <w:highlight w:val="none"/>
          <w:lang w:val="en-US" w:eastAsia="zh-CN"/>
        </w:rPr>
        <w:t>女士</w:t>
      </w:r>
      <w:r>
        <w:rPr>
          <w:rFonts w:hint="eastAsia" w:ascii="宋体" w:hAnsi="宋体" w:cs="宋体"/>
          <w:sz w:val="24"/>
          <w:szCs w:val="24"/>
          <w:highlight w:val="none"/>
        </w:rPr>
        <w:t xml:space="preserve"> </w:t>
      </w:r>
    </w:p>
    <w:p>
      <w:pPr>
        <w:pStyle w:val="82"/>
        <w:pageBreakBefore w:val="0"/>
        <w:kinsoku/>
        <w:wordWrap/>
        <w:overflowPunct/>
        <w:topLinePunct w:val="0"/>
        <w:bidi w:val="0"/>
        <w:spacing w:before="0" w:beforeAutospacing="0" w:after="0" w:afterAutospacing="0" w:line="440" w:lineRule="exact"/>
        <w:ind w:firstLine="482"/>
        <w:textAlignment w:val="auto"/>
        <w:rPr>
          <w:rFonts w:hint="eastAsia" w:cs="宋体"/>
          <w:szCs w:val="24"/>
          <w:highlight w:val="none"/>
          <w:lang w:val="en-US" w:eastAsia="zh-CN"/>
        </w:rPr>
      </w:pPr>
      <w:r>
        <w:rPr>
          <w:rFonts w:hint="eastAsia" w:cs="宋体"/>
          <w:szCs w:val="24"/>
          <w:highlight w:val="none"/>
        </w:rPr>
        <w:t>联系电话：</w:t>
      </w:r>
      <w:r>
        <w:rPr>
          <w:rFonts w:hint="eastAsia" w:cs="宋体"/>
          <w:szCs w:val="24"/>
          <w:highlight w:val="none"/>
          <w:lang w:val="en-US" w:eastAsia="zh-CN"/>
        </w:rPr>
        <w:t>0570-</w:t>
      </w:r>
      <w:r>
        <w:rPr>
          <w:rFonts w:hint="eastAsia" w:ascii="宋体" w:hAnsi="宋体" w:cs="宋体"/>
          <w:sz w:val="24"/>
          <w:szCs w:val="24"/>
          <w:highlight w:val="none"/>
          <w:lang w:val="en-US" w:eastAsia="zh-CN"/>
        </w:rPr>
        <w:t>3116573</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2.采购代理机构名称：浙江中正工程项目管理有限公司</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地点：</w:t>
      </w:r>
      <w:r>
        <w:rPr>
          <w:rFonts w:hint="eastAsia" w:cs="宋体"/>
          <w:szCs w:val="24"/>
          <w:highlight w:val="none"/>
        </w:rPr>
        <w:t>衢州市九华北大道509号合屹大厦2#楼二单元9楼</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传    真：0570-3850156</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项目联系人（询问）：周女士</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项目联系方式（询问）：0570-3850117</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质疑联系人：</w:t>
      </w:r>
      <w:r>
        <w:rPr>
          <w:rFonts w:hint="eastAsia" w:cs="宋体"/>
          <w:color w:val="000000"/>
          <w:szCs w:val="24"/>
          <w:highlight w:val="none"/>
          <w:lang w:eastAsia="zh-CN"/>
        </w:rPr>
        <w:t>朱</w:t>
      </w:r>
      <w:r>
        <w:rPr>
          <w:rFonts w:hint="eastAsia" w:cs="宋体"/>
          <w:color w:val="000000"/>
          <w:szCs w:val="24"/>
          <w:highlight w:val="none"/>
        </w:rPr>
        <w:t>女士</w:t>
      </w:r>
    </w:p>
    <w:p>
      <w:pPr>
        <w:pStyle w:val="82"/>
        <w:pageBreakBefore w:val="0"/>
        <w:kinsoku/>
        <w:wordWrap/>
        <w:overflowPunct/>
        <w:topLinePunct w:val="0"/>
        <w:bidi w:val="0"/>
        <w:spacing w:before="0" w:beforeAutospacing="0" w:after="0" w:afterAutospacing="0" w:line="440" w:lineRule="exact"/>
        <w:ind w:firstLine="482"/>
        <w:textAlignment w:val="auto"/>
        <w:rPr>
          <w:rFonts w:hint="eastAsia" w:eastAsia="宋体" w:cs="宋体"/>
          <w:color w:val="000000"/>
          <w:szCs w:val="24"/>
          <w:highlight w:val="none"/>
          <w:lang w:val="en-US" w:eastAsia="zh-CN"/>
        </w:rPr>
      </w:pPr>
      <w:r>
        <w:rPr>
          <w:rFonts w:hint="eastAsia" w:cs="宋体"/>
          <w:color w:val="000000"/>
          <w:szCs w:val="24"/>
          <w:highlight w:val="none"/>
        </w:rPr>
        <w:t>质疑联系方式：0570-385011</w:t>
      </w:r>
      <w:r>
        <w:rPr>
          <w:rFonts w:hint="eastAsia" w:cs="宋体"/>
          <w:color w:val="000000"/>
          <w:szCs w:val="24"/>
          <w:highlight w:val="none"/>
          <w:lang w:val="en-US" w:eastAsia="zh-CN"/>
        </w:rPr>
        <w:t>6</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 xml:space="preserve">3.同级政府采购监督管理部门 </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 xml:space="preserve">名称：衢州市财政局 </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 xml:space="preserve">地址：衢州市西区三江东路 28 号 </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 xml:space="preserve">联系人：徐先生 </w:t>
      </w:r>
    </w:p>
    <w:p>
      <w:pPr>
        <w:pStyle w:val="82"/>
        <w:pageBreakBefore w:val="0"/>
        <w:kinsoku/>
        <w:wordWrap/>
        <w:overflowPunct/>
        <w:topLinePunct w:val="0"/>
        <w:bidi w:val="0"/>
        <w:spacing w:before="0" w:beforeAutospacing="0" w:after="0" w:afterAutospacing="0" w:line="440" w:lineRule="exact"/>
        <w:ind w:firstLine="482"/>
        <w:textAlignment w:val="auto"/>
        <w:rPr>
          <w:rFonts w:cs="宋体"/>
          <w:color w:val="000000"/>
          <w:szCs w:val="24"/>
          <w:highlight w:val="none"/>
        </w:rPr>
      </w:pPr>
      <w:r>
        <w:rPr>
          <w:rFonts w:hint="eastAsia" w:cs="宋体"/>
          <w:color w:val="000000"/>
          <w:szCs w:val="24"/>
          <w:highlight w:val="none"/>
        </w:rPr>
        <w:t>监督投诉电话：0570-8757615 、0570-3027726</w:t>
      </w:r>
    </w:p>
    <w:p>
      <w:pPr>
        <w:pStyle w:val="82"/>
        <w:pageBreakBefore w:val="0"/>
        <w:kinsoku/>
        <w:wordWrap/>
        <w:overflowPunct/>
        <w:topLinePunct w:val="0"/>
        <w:bidi w:val="0"/>
        <w:spacing w:before="0" w:beforeAutospacing="0" w:after="0" w:afterAutospacing="0" w:line="440" w:lineRule="exact"/>
        <w:ind w:firstLine="482"/>
        <w:textAlignment w:val="auto"/>
        <w:rPr>
          <w:rFonts w:cs="宋体"/>
          <w:szCs w:val="24"/>
          <w:highlight w:val="none"/>
        </w:rPr>
      </w:pPr>
    </w:p>
    <w:p>
      <w:pPr>
        <w:pStyle w:val="82"/>
        <w:pageBreakBefore w:val="0"/>
        <w:kinsoku/>
        <w:wordWrap/>
        <w:overflowPunct/>
        <w:topLinePunct w:val="0"/>
        <w:bidi w:val="0"/>
        <w:spacing w:before="0" w:beforeAutospacing="0" w:after="0" w:afterAutospacing="0" w:line="440" w:lineRule="exact"/>
        <w:ind w:firstLine="482"/>
        <w:textAlignment w:val="auto"/>
        <w:rPr>
          <w:rFonts w:cs="宋体"/>
          <w:szCs w:val="24"/>
          <w:highlight w:val="none"/>
        </w:rPr>
      </w:pPr>
      <w:r>
        <w:rPr>
          <w:rFonts w:hint="eastAsia" w:cs="宋体"/>
          <w:szCs w:val="24"/>
          <w:highlight w:val="none"/>
        </w:rPr>
        <w:t>若对项目采购电子交易系统操作有疑问，可登录政采云https://www.zcygov.cn，点击右侧咨询小采，获取采小蜜智能服务管家帮助，或拨打政采云服务热线</w:t>
      </w:r>
      <w:r>
        <w:rPr>
          <w:rFonts w:hint="eastAsia" w:cs="宋体"/>
          <w:szCs w:val="24"/>
          <w:highlight w:val="none"/>
          <w:lang w:eastAsia="zh-CN"/>
        </w:rPr>
        <w:t>95763</w:t>
      </w:r>
      <w:r>
        <w:rPr>
          <w:rFonts w:hint="eastAsia" w:cs="宋体"/>
          <w:szCs w:val="24"/>
          <w:highlight w:val="none"/>
        </w:rPr>
        <w:t>获取热线服务帮助。CA问题联系电话（人工）：汇信CA 400-888-4636；天谷CA 400-087-8198。</w:t>
      </w:r>
    </w:p>
    <w:bookmarkEnd w:id="0"/>
    <w:p>
      <w:pPr>
        <w:pStyle w:val="46"/>
        <w:pageBreakBefore/>
        <w:adjustRightInd w:val="0"/>
        <w:snapToGrid w:val="0"/>
        <w:spacing w:line="360" w:lineRule="auto"/>
        <w:jc w:val="center"/>
        <w:outlineLvl w:val="0"/>
        <w:rPr>
          <w:rFonts w:hAnsi="宋体"/>
          <w:b/>
          <w:sz w:val="36"/>
          <w:highlight w:val="none"/>
        </w:rPr>
      </w:pPr>
      <w:bookmarkStart w:id="15" w:name="_Toc31506"/>
      <w:bookmarkStart w:id="16" w:name="_Toc225840107"/>
      <w:r>
        <w:rPr>
          <w:rFonts w:hint="eastAsia" w:hAnsi="宋体"/>
          <w:b/>
          <w:sz w:val="36"/>
          <w:highlight w:val="none"/>
        </w:rPr>
        <w:t>第二部分  投标人须知</w:t>
      </w:r>
      <w:bookmarkEnd w:id="15"/>
    </w:p>
    <w:p>
      <w:pPr>
        <w:pStyle w:val="5"/>
        <w:ind w:left="560" w:firstLine="0"/>
        <w:jc w:val="center"/>
        <w:rPr>
          <w:rFonts w:ascii="宋体" w:hAnsi="宋体" w:eastAsia="宋体"/>
          <w:sz w:val="32"/>
          <w:highlight w:val="none"/>
        </w:rPr>
      </w:pPr>
      <w:bookmarkStart w:id="17" w:name="_Toc519670190"/>
      <w:bookmarkStart w:id="18" w:name="_Toc16117"/>
      <w:bookmarkStart w:id="19" w:name="_Toc522530040"/>
      <w:r>
        <w:rPr>
          <w:rFonts w:hint="eastAsia" w:ascii="宋体" w:hAnsi="宋体" w:eastAsia="宋体"/>
          <w:sz w:val="32"/>
          <w:highlight w:val="none"/>
        </w:rPr>
        <w:t>前 附 表</w:t>
      </w:r>
      <w:bookmarkEnd w:id="17"/>
      <w:bookmarkEnd w:id="18"/>
      <w:bookmarkEnd w:id="19"/>
    </w:p>
    <w:tbl>
      <w:tblPr>
        <w:tblStyle w:val="88"/>
        <w:tblW w:w="972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15"/>
        <w:gridCol w:w="768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pPr>
              <w:spacing w:line="276" w:lineRule="auto"/>
              <w:jc w:val="center"/>
              <w:rPr>
                <w:rFonts w:ascii="宋体" w:hAnsi="宋体"/>
                <w:b/>
                <w:sz w:val="24"/>
                <w:highlight w:val="none"/>
              </w:rPr>
            </w:pPr>
            <w:r>
              <w:rPr>
                <w:rFonts w:hint="eastAsia" w:ascii="宋体" w:hAnsi="宋体"/>
                <w:b/>
                <w:sz w:val="24"/>
                <w:highlight w:val="none"/>
              </w:rPr>
              <w:t>序号</w:t>
            </w:r>
          </w:p>
        </w:tc>
        <w:tc>
          <w:tcPr>
            <w:tcW w:w="1215" w:type="dxa"/>
            <w:vAlign w:val="center"/>
          </w:tcPr>
          <w:p>
            <w:pPr>
              <w:spacing w:line="276" w:lineRule="auto"/>
              <w:jc w:val="center"/>
              <w:rPr>
                <w:rFonts w:ascii="宋体" w:hAnsi="宋体"/>
                <w:b/>
                <w:sz w:val="24"/>
                <w:highlight w:val="none"/>
              </w:rPr>
            </w:pPr>
            <w:r>
              <w:rPr>
                <w:rFonts w:hint="eastAsia" w:ascii="宋体" w:hAnsi="宋体"/>
                <w:b/>
                <w:sz w:val="24"/>
                <w:highlight w:val="none"/>
              </w:rPr>
              <w:t>名称</w:t>
            </w:r>
          </w:p>
        </w:tc>
        <w:tc>
          <w:tcPr>
            <w:tcW w:w="7680" w:type="dxa"/>
            <w:vAlign w:val="center"/>
          </w:tcPr>
          <w:p>
            <w:pPr>
              <w:spacing w:line="276" w:lineRule="auto"/>
              <w:jc w:val="center"/>
              <w:rPr>
                <w:rFonts w:ascii="宋体" w:hAnsi="宋体"/>
                <w:b/>
                <w:sz w:val="24"/>
                <w:highlight w:val="none"/>
              </w:rPr>
            </w:pPr>
            <w:r>
              <w:rPr>
                <w:rFonts w:hint="eastAsia" w:ascii="宋体" w:hAnsi="宋体"/>
                <w:b/>
                <w:sz w:val="24"/>
                <w:highlight w:val="none"/>
              </w:rPr>
              <w:t>内容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1</w:t>
            </w:r>
          </w:p>
        </w:tc>
        <w:tc>
          <w:tcPr>
            <w:tcW w:w="1215" w:type="dxa"/>
            <w:vAlign w:val="center"/>
          </w:tcPr>
          <w:p>
            <w:pPr>
              <w:spacing w:line="276" w:lineRule="auto"/>
              <w:jc w:val="center"/>
              <w:rPr>
                <w:rFonts w:ascii="宋体" w:hAnsi="宋体"/>
                <w:sz w:val="24"/>
                <w:highlight w:val="none"/>
              </w:rPr>
            </w:pPr>
            <w:r>
              <w:rPr>
                <w:rFonts w:hint="eastAsia" w:ascii="宋体" w:hAnsi="宋体"/>
                <w:sz w:val="24"/>
                <w:highlight w:val="none"/>
              </w:rPr>
              <w:t>是否允许分包</w:t>
            </w:r>
          </w:p>
        </w:tc>
        <w:tc>
          <w:tcPr>
            <w:tcW w:w="7680" w:type="dxa"/>
            <w:vAlign w:val="center"/>
          </w:tcPr>
          <w:p>
            <w:pPr>
              <w:spacing w:line="276" w:lineRule="auto"/>
              <w:rPr>
                <w:rFonts w:ascii="宋体" w:hAnsi="宋体"/>
                <w:sz w:val="24"/>
                <w:highlight w:val="none"/>
              </w:rPr>
            </w:pPr>
            <w:r>
              <w:rPr>
                <w:rFonts w:hint="eastAsia" w:ascii="宋体" w:hAnsi="宋体"/>
                <w:sz w:val="24"/>
                <w:highlight w:val="none"/>
              </w:rPr>
              <w:t>☑不允许</w:t>
            </w:r>
          </w:p>
          <w:p>
            <w:pPr>
              <w:spacing w:line="276" w:lineRule="auto"/>
              <w:rPr>
                <w:rFonts w:ascii="宋体" w:hAnsi="宋体"/>
                <w:sz w:val="24"/>
                <w:highlight w:val="none"/>
              </w:rPr>
            </w:pPr>
            <w:r>
              <w:rPr>
                <w:rFonts w:ascii="宋体" w:hAnsi="宋体"/>
                <w:sz w:val="24"/>
                <w:highlight w:val="none"/>
              </w:rPr>
              <w:sym w:font="Wingdings" w:char="00A8"/>
            </w:r>
            <w:r>
              <w:rPr>
                <w:rFonts w:hint="eastAsia" w:ascii="宋体" w:hAnsi="宋体"/>
                <w:sz w:val="24"/>
                <w:highlight w:val="none"/>
              </w:rPr>
              <w:t>允许  分包内容要求：      分包金额要求：</w:t>
            </w:r>
          </w:p>
          <w:p>
            <w:pPr>
              <w:spacing w:line="276" w:lineRule="auto"/>
              <w:rPr>
                <w:rFonts w:ascii="宋体" w:hAnsi="宋体"/>
                <w:sz w:val="24"/>
                <w:highlight w:val="none"/>
              </w:rPr>
            </w:pPr>
            <w:r>
              <w:rPr>
                <w:rFonts w:hint="eastAsia" w:ascii="宋体" w:hAnsi="宋体"/>
                <w:sz w:val="24"/>
                <w:highlight w:val="none"/>
              </w:rPr>
              <w:t>接受分包的第三人资质要求：</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2</w:t>
            </w:r>
          </w:p>
        </w:tc>
        <w:tc>
          <w:tcPr>
            <w:tcW w:w="1215" w:type="dxa"/>
            <w:vAlign w:val="center"/>
          </w:tcPr>
          <w:p>
            <w:pPr>
              <w:spacing w:line="276" w:lineRule="auto"/>
              <w:jc w:val="center"/>
              <w:rPr>
                <w:rFonts w:ascii="宋体" w:hAnsi="宋体"/>
                <w:spacing w:val="-2"/>
                <w:kern w:val="0"/>
                <w:position w:val="-3"/>
                <w:sz w:val="24"/>
                <w:highlight w:val="none"/>
              </w:rPr>
            </w:pPr>
            <w:r>
              <w:rPr>
                <w:rFonts w:ascii="宋体" w:hAnsi="宋体"/>
                <w:spacing w:val="-2"/>
                <w:kern w:val="0"/>
                <w:position w:val="-3"/>
                <w:sz w:val="24"/>
                <w:highlight w:val="none"/>
              </w:rPr>
              <w:t>踏勘现场</w:t>
            </w:r>
          </w:p>
        </w:tc>
        <w:tc>
          <w:tcPr>
            <w:tcW w:w="7680" w:type="dxa"/>
            <w:vAlign w:val="center"/>
          </w:tcPr>
          <w:p>
            <w:pPr>
              <w:spacing w:line="276" w:lineRule="auto"/>
              <w:rPr>
                <w:rFonts w:ascii="宋体" w:hAnsi="宋体"/>
                <w:spacing w:val="-2"/>
                <w:kern w:val="0"/>
                <w:position w:val="-3"/>
                <w:sz w:val="24"/>
                <w:highlight w:val="none"/>
              </w:rPr>
            </w:pPr>
            <w:r>
              <w:rPr>
                <w:rFonts w:ascii="宋体" w:hAnsi="宋体"/>
                <w:spacing w:val="-2"/>
                <w:kern w:val="0"/>
                <w:position w:val="-3"/>
                <w:sz w:val="24"/>
                <w:highlight w:val="none"/>
              </w:rPr>
              <w:sym w:font="Wingdings" w:char="F0FE"/>
            </w:r>
            <w:r>
              <w:rPr>
                <w:rFonts w:ascii="宋体" w:hAnsi="宋体"/>
                <w:spacing w:val="-2"/>
                <w:kern w:val="0"/>
                <w:position w:val="-3"/>
                <w:sz w:val="24"/>
                <w:highlight w:val="none"/>
              </w:rPr>
              <w:t>不组织</w:t>
            </w:r>
            <w:r>
              <w:rPr>
                <w:rFonts w:hint="eastAsia" w:ascii="宋体" w:hAnsi="宋体"/>
                <w:spacing w:val="-2"/>
                <w:kern w:val="0"/>
                <w:position w:val="-3"/>
                <w:sz w:val="24"/>
                <w:highlight w:val="none"/>
              </w:rPr>
              <w:t xml:space="preserve">    投标人如有需要可</w:t>
            </w:r>
            <w:r>
              <w:rPr>
                <w:rFonts w:ascii="宋体" w:hAnsi="宋体"/>
                <w:spacing w:val="-2"/>
                <w:kern w:val="0"/>
                <w:position w:val="-3"/>
                <w:sz w:val="24"/>
                <w:highlight w:val="none"/>
              </w:rPr>
              <w:t>自行</w:t>
            </w:r>
            <w:r>
              <w:rPr>
                <w:rFonts w:hint="eastAsia" w:ascii="宋体" w:hAnsi="宋体"/>
                <w:spacing w:val="-2"/>
                <w:kern w:val="0"/>
                <w:position w:val="-3"/>
                <w:sz w:val="24"/>
                <w:highlight w:val="none"/>
              </w:rPr>
              <w:t>前往</w:t>
            </w:r>
            <w:r>
              <w:rPr>
                <w:rFonts w:ascii="宋体" w:hAnsi="宋体"/>
                <w:spacing w:val="-2"/>
                <w:kern w:val="0"/>
                <w:position w:val="-3"/>
                <w:sz w:val="24"/>
                <w:highlight w:val="none"/>
              </w:rPr>
              <w:t>踏勘</w:t>
            </w:r>
            <w:r>
              <w:rPr>
                <w:rFonts w:hint="eastAsia" w:ascii="宋体" w:hAnsi="宋体"/>
                <w:spacing w:val="-2"/>
                <w:kern w:val="0"/>
                <w:position w:val="-3"/>
                <w:sz w:val="24"/>
                <w:highlight w:val="none"/>
              </w:rPr>
              <w:t>，联系方式见招标公告。</w:t>
            </w:r>
          </w:p>
          <w:p>
            <w:pPr>
              <w:spacing w:line="276" w:lineRule="auto"/>
              <w:rPr>
                <w:rFonts w:ascii="宋体" w:hAnsi="宋体"/>
                <w:spacing w:val="-2"/>
                <w:kern w:val="0"/>
                <w:position w:val="-3"/>
                <w:sz w:val="24"/>
                <w:highlight w:val="none"/>
              </w:rPr>
            </w:pPr>
            <w:r>
              <w:rPr>
                <w:rFonts w:ascii="宋体" w:hAnsi="宋体"/>
                <w:spacing w:val="-2"/>
                <w:kern w:val="0"/>
                <w:position w:val="-3"/>
                <w:sz w:val="24"/>
                <w:highlight w:val="none"/>
              </w:rPr>
              <w:t xml:space="preserve">□统一组织踏勘时间：踏勘集中地点：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3</w:t>
            </w:r>
          </w:p>
        </w:tc>
        <w:tc>
          <w:tcPr>
            <w:tcW w:w="1215" w:type="dxa"/>
            <w:vAlign w:val="center"/>
          </w:tcPr>
          <w:p>
            <w:pPr>
              <w:spacing w:line="276" w:lineRule="auto"/>
              <w:jc w:val="center"/>
              <w:rPr>
                <w:rFonts w:ascii="宋体" w:hAnsi="宋体"/>
                <w:spacing w:val="-2"/>
                <w:kern w:val="0"/>
                <w:position w:val="-3"/>
                <w:sz w:val="24"/>
                <w:highlight w:val="none"/>
              </w:rPr>
            </w:pPr>
            <w:r>
              <w:rPr>
                <w:rFonts w:ascii="宋体" w:hAnsi="宋体"/>
                <w:spacing w:val="-2"/>
                <w:kern w:val="0"/>
                <w:position w:val="-3"/>
                <w:sz w:val="24"/>
                <w:highlight w:val="none"/>
              </w:rPr>
              <w:t>投标预备</w:t>
            </w:r>
            <w:r>
              <w:rPr>
                <w:rFonts w:hint="eastAsia" w:ascii="宋体" w:hAnsi="宋体"/>
                <w:spacing w:val="-2"/>
                <w:kern w:val="0"/>
                <w:position w:val="-3"/>
                <w:sz w:val="24"/>
                <w:highlight w:val="none"/>
              </w:rPr>
              <w:t>答疑会</w:t>
            </w:r>
          </w:p>
        </w:tc>
        <w:tc>
          <w:tcPr>
            <w:tcW w:w="7680" w:type="dxa"/>
            <w:vAlign w:val="center"/>
          </w:tcPr>
          <w:p>
            <w:pPr>
              <w:spacing w:line="276" w:lineRule="auto"/>
              <w:rPr>
                <w:rFonts w:ascii="宋体" w:hAnsi="宋体"/>
                <w:spacing w:val="-2"/>
                <w:kern w:val="0"/>
                <w:position w:val="-3"/>
                <w:sz w:val="24"/>
                <w:highlight w:val="none"/>
              </w:rPr>
            </w:pPr>
            <w:r>
              <w:rPr>
                <w:rFonts w:ascii="宋体" w:hAnsi="宋体"/>
                <w:spacing w:val="-2"/>
                <w:kern w:val="0"/>
                <w:position w:val="-3"/>
                <w:sz w:val="24"/>
                <w:highlight w:val="none"/>
              </w:rPr>
              <w:sym w:font="Wingdings" w:char="F0FE"/>
            </w:r>
            <w:r>
              <w:rPr>
                <w:rFonts w:ascii="宋体" w:hAnsi="宋体"/>
                <w:spacing w:val="-2"/>
                <w:kern w:val="0"/>
                <w:position w:val="-3"/>
                <w:sz w:val="24"/>
                <w:highlight w:val="none"/>
              </w:rPr>
              <w:t>不召开</w:t>
            </w:r>
          </w:p>
          <w:p>
            <w:pPr>
              <w:spacing w:line="276" w:lineRule="auto"/>
              <w:rPr>
                <w:rFonts w:ascii="宋体" w:hAnsi="宋体"/>
                <w:spacing w:val="-2"/>
                <w:kern w:val="0"/>
                <w:position w:val="-3"/>
                <w:sz w:val="24"/>
                <w:highlight w:val="none"/>
              </w:rPr>
            </w:pPr>
            <w:r>
              <w:rPr>
                <w:rFonts w:hint="eastAsia" w:ascii="宋体" w:hAnsi="宋体"/>
                <w:spacing w:val="-2"/>
                <w:kern w:val="0"/>
                <w:position w:val="-3"/>
                <w:sz w:val="24"/>
                <w:highlight w:val="none"/>
              </w:rPr>
              <w:t>□</w:t>
            </w:r>
            <w:r>
              <w:rPr>
                <w:rFonts w:ascii="宋体" w:hAnsi="宋体"/>
                <w:spacing w:val="-2"/>
                <w:kern w:val="0"/>
                <w:position w:val="-3"/>
                <w:sz w:val="24"/>
                <w:highlight w:val="none"/>
              </w:rPr>
              <w:t>召开召开时间：召开地点：</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4</w:t>
            </w:r>
          </w:p>
        </w:tc>
        <w:tc>
          <w:tcPr>
            <w:tcW w:w="1215" w:type="dxa"/>
            <w:vAlign w:val="center"/>
          </w:tcPr>
          <w:p>
            <w:pPr>
              <w:spacing w:line="276" w:lineRule="auto"/>
              <w:jc w:val="center"/>
              <w:rPr>
                <w:rFonts w:ascii="宋体" w:hAnsi="宋体"/>
                <w:sz w:val="24"/>
                <w:highlight w:val="none"/>
              </w:rPr>
            </w:pPr>
            <w:r>
              <w:rPr>
                <w:rFonts w:hint="eastAsia" w:ascii="宋体" w:hAnsi="宋体"/>
                <w:kern w:val="0"/>
                <w:position w:val="-3"/>
                <w:sz w:val="24"/>
                <w:highlight w:val="none"/>
              </w:rPr>
              <w:t>是否</w:t>
            </w:r>
            <w:r>
              <w:rPr>
                <w:rFonts w:hint="eastAsia" w:ascii="宋体" w:hAnsi="宋体"/>
                <w:spacing w:val="-2"/>
                <w:kern w:val="0"/>
                <w:position w:val="-3"/>
                <w:sz w:val="24"/>
                <w:highlight w:val="none"/>
              </w:rPr>
              <w:t>接</w:t>
            </w:r>
            <w:r>
              <w:rPr>
                <w:rFonts w:hint="eastAsia" w:ascii="宋体" w:hAnsi="宋体"/>
                <w:kern w:val="0"/>
                <w:position w:val="-3"/>
                <w:sz w:val="24"/>
                <w:highlight w:val="none"/>
              </w:rPr>
              <w:t>受</w:t>
            </w:r>
            <w:r>
              <w:rPr>
                <w:rFonts w:hint="eastAsia" w:ascii="宋体" w:hAnsi="宋体"/>
                <w:spacing w:val="-2"/>
                <w:kern w:val="0"/>
                <w:position w:val="-3"/>
                <w:sz w:val="24"/>
                <w:highlight w:val="none"/>
              </w:rPr>
              <w:t>联</w:t>
            </w:r>
            <w:r>
              <w:rPr>
                <w:rFonts w:hint="eastAsia" w:ascii="宋体" w:hAnsi="宋体"/>
                <w:kern w:val="0"/>
                <w:position w:val="-3"/>
                <w:sz w:val="24"/>
                <w:highlight w:val="none"/>
              </w:rPr>
              <w:t>合</w:t>
            </w:r>
            <w:r>
              <w:rPr>
                <w:rFonts w:hint="eastAsia" w:ascii="宋体" w:hAnsi="宋体"/>
                <w:spacing w:val="-2"/>
                <w:kern w:val="0"/>
                <w:position w:val="-3"/>
                <w:sz w:val="24"/>
                <w:highlight w:val="none"/>
              </w:rPr>
              <w:t>体</w:t>
            </w:r>
            <w:r>
              <w:rPr>
                <w:rFonts w:hint="eastAsia" w:ascii="宋体" w:hAnsi="宋体"/>
                <w:kern w:val="0"/>
                <w:position w:val="-3"/>
                <w:sz w:val="24"/>
                <w:highlight w:val="none"/>
              </w:rPr>
              <w:t>投标</w:t>
            </w:r>
          </w:p>
        </w:tc>
        <w:tc>
          <w:tcPr>
            <w:tcW w:w="7680" w:type="dxa"/>
            <w:vAlign w:val="center"/>
          </w:tcPr>
          <w:p>
            <w:pPr>
              <w:autoSpaceDE w:val="0"/>
              <w:autoSpaceDN w:val="0"/>
              <w:adjustRightInd w:val="0"/>
              <w:spacing w:line="276" w:lineRule="auto"/>
              <w:ind w:right="-20"/>
              <w:rPr>
                <w:rFonts w:ascii="宋体" w:hAnsi="宋体"/>
                <w:sz w:val="24"/>
                <w:highlight w:val="none"/>
                <w:lang w:val="zh-CN"/>
              </w:rPr>
            </w:pPr>
            <w:r>
              <w:rPr>
                <w:rFonts w:ascii="宋体" w:hAnsi="宋体"/>
                <w:sz w:val="24"/>
                <w:highlight w:val="none"/>
              </w:rPr>
              <w:sym w:font="Wingdings" w:char="F0FE"/>
            </w:r>
            <w:r>
              <w:rPr>
                <w:rFonts w:hint="eastAsia" w:ascii="宋体" w:hAnsi="宋体"/>
                <w:sz w:val="24"/>
                <w:highlight w:val="none"/>
                <w:lang w:val="zh-CN"/>
              </w:rPr>
              <w:t>否。</w:t>
            </w:r>
          </w:p>
          <w:p>
            <w:pPr>
              <w:spacing w:line="276" w:lineRule="auto"/>
              <w:rPr>
                <w:rFonts w:ascii="宋体" w:hAnsi="宋体"/>
                <w:sz w:val="24"/>
                <w:highlight w:val="none"/>
              </w:rPr>
            </w:pPr>
            <w:r>
              <w:rPr>
                <w:rFonts w:ascii="宋体" w:hAnsi="宋体"/>
                <w:sz w:val="24"/>
                <w:highlight w:val="none"/>
              </w:rPr>
              <w:t>□是</w:t>
            </w:r>
            <w:r>
              <w:rPr>
                <w:rFonts w:hint="eastAsia" w:ascii="宋体" w:hAnsi="宋体"/>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5</w:t>
            </w:r>
          </w:p>
        </w:tc>
        <w:tc>
          <w:tcPr>
            <w:tcW w:w="1215" w:type="dxa"/>
            <w:vAlign w:val="center"/>
          </w:tcPr>
          <w:p>
            <w:pPr>
              <w:spacing w:line="276" w:lineRule="auto"/>
              <w:jc w:val="center"/>
              <w:rPr>
                <w:rFonts w:ascii="宋体" w:hAnsi="宋体"/>
                <w:sz w:val="24"/>
                <w:highlight w:val="none"/>
              </w:rPr>
            </w:pPr>
            <w:r>
              <w:rPr>
                <w:rFonts w:hint="eastAsia" w:ascii="宋体" w:hAnsi="宋体"/>
                <w:kern w:val="0"/>
                <w:position w:val="-5"/>
                <w:sz w:val="24"/>
                <w:highlight w:val="none"/>
              </w:rPr>
              <w:t>投标</w:t>
            </w:r>
            <w:r>
              <w:rPr>
                <w:rFonts w:hint="eastAsia" w:ascii="宋体" w:hAnsi="宋体"/>
                <w:spacing w:val="-2"/>
                <w:kern w:val="0"/>
                <w:position w:val="-5"/>
                <w:sz w:val="24"/>
                <w:highlight w:val="none"/>
              </w:rPr>
              <w:t>文</w:t>
            </w:r>
            <w:r>
              <w:rPr>
                <w:rFonts w:hint="eastAsia" w:ascii="宋体" w:hAnsi="宋体"/>
                <w:kern w:val="0"/>
                <w:position w:val="-5"/>
                <w:sz w:val="24"/>
                <w:highlight w:val="none"/>
              </w:rPr>
              <w:t>件</w:t>
            </w:r>
            <w:r>
              <w:rPr>
                <w:rFonts w:hint="eastAsia" w:ascii="宋体" w:hAnsi="宋体"/>
                <w:spacing w:val="-2"/>
                <w:kern w:val="0"/>
                <w:position w:val="-5"/>
                <w:sz w:val="24"/>
                <w:highlight w:val="none"/>
              </w:rPr>
              <w:t>份</w:t>
            </w:r>
            <w:r>
              <w:rPr>
                <w:rFonts w:hint="eastAsia" w:ascii="宋体" w:hAnsi="宋体"/>
                <w:kern w:val="0"/>
                <w:position w:val="-5"/>
                <w:sz w:val="24"/>
                <w:highlight w:val="none"/>
              </w:rPr>
              <w:t>数</w:t>
            </w:r>
          </w:p>
        </w:tc>
        <w:tc>
          <w:tcPr>
            <w:tcW w:w="7680" w:type="dxa"/>
            <w:vAlign w:val="center"/>
          </w:tcPr>
          <w:p>
            <w:pPr>
              <w:numPr>
                <w:ilvl w:val="0"/>
                <w:numId w:val="1"/>
              </w:numPr>
              <w:spacing w:line="276" w:lineRule="auto"/>
              <w:rPr>
                <w:rFonts w:ascii="宋体" w:hAnsi="宋体" w:cs="宋体"/>
                <w:sz w:val="24"/>
                <w:highlight w:val="none"/>
              </w:rPr>
            </w:pPr>
            <w:r>
              <w:rPr>
                <w:rFonts w:hint="eastAsia" w:ascii="宋体" w:hAnsi="宋体" w:cs="宋体"/>
                <w:sz w:val="24"/>
                <w:highlight w:val="none"/>
              </w:rPr>
              <w:t>“电子加密投标文件”：在线上传递交、一份。</w:t>
            </w:r>
          </w:p>
          <w:p>
            <w:pPr>
              <w:spacing w:line="276" w:lineRule="auto"/>
              <w:rPr>
                <w:rFonts w:ascii="宋体" w:hAnsi="宋体"/>
                <w:sz w:val="24"/>
                <w:highlight w:val="none"/>
              </w:rPr>
            </w:pPr>
            <w:r>
              <w:rPr>
                <w:rFonts w:hint="eastAsia" w:ascii="宋体" w:hAnsi="宋体" w:cs="宋体"/>
                <w:sz w:val="24"/>
                <w:highlight w:val="none"/>
              </w:rPr>
              <w:t>（2）“备份投标文件”：密封包装后（建议顺丰邮寄形式）投标截止时间前递交一份，邮寄地址：</w:t>
            </w:r>
            <w:r>
              <w:rPr>
                <w:rFonts w:hint="eastAsia" w:ascii="宋体" w:hAnsi="宋体"/>
                <w:sz w:val="24"/>
                <w:highlight w:val="none"/>
              </w:rPr>
              <w:t>衢州市九华北大道509号2#楼二单元9楼</w:t>
            </w:r>
            <w:r>
              <w:rPr>
                <w:rFonts w:hint="eastAsia" w:ascii="宋体" w:hAnsi="宋体" w:cs="宋体"/>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6</w:t>
            </w:r>
          </w:p>
        </w:tc>
        <w:tc>
          <w:tcPr>
            <w:tcW w:w="1215" w:type="dxa"/>
            <w:vAlign w:val="center"/>
          </w:tcPr>
          <w:p>
            <w:pPr>
              <w:autoSpaceDE w:val="0"/>
              <w:autoSpaceDN w:val="0"/>
              <w:adjustRightInd w:val="0"/>
              <w:spacing w:line="276" w:lineRule="auto"/>
              <w:ind w:right="-20"/>
              <w:jc w:val="center"/>
              <w:rPr>
                <w:rFonts w:ascii="宋体" w:hAnsi="宋体"/>
                <w:kern w:val="0"/>
                <w:sz w:val="24"/>
                <w:highlight w:val="none"/>
              </w:rPr>
            </w:pPr>
            <w:r>
              <w:rPr>
                <w:rFonts w:hint="eastAsia" w:ascii="宋体" w:hAnsi="宋体"/>
                <w:kern w:val="0"/>
                <w:position w:val="-5"/>
                <w:sz w:val="24"/>
                <w:szCs w:val="22"/>
                <w:highlight w:val="none"/>
              </w:rPr>
              <w:t>投标文件的组成和编制</w:t>
            </w:r>
          </w:p>
        </w:tc>
        <w:tc>
          <w:tcPr>
            <w:tcW w:w="7680" w:type="dxa"/>
            <w:vAlign w:val="center"/>
          </w:tcPr>
          <w:p>
            <w:pPr>
              <w:autoSpaceDE w:val="0"/>
              <w:autoSpaceDN w:val="0"/>
              <w:adjustRightInd w:val="0"/>
              <w:spacing w:line="276" w:lineRule="auto"/>
              <w:ind w:right="-20"/>
              <w:rPr>
                <w:rFonts w:ascii="宋体" w:hAnsi="宋体" w:cs="宋体"/>
                <w:b/>
                <w:bCs/>
                <w:sz w:val="24"/>
                <w:highlight w:val="none"/>
              </w:rPr>
            </w:pPr>
            <w:r>
              <w:rPr>
                <w:rFonts w:hint="eastAsia" w:ascii="宋体" w:hAnsi="宋体" w:cs="宋体"/>
                <w:b/>
                <w:bCs/>
                <w:sz w:val="24"/>
                <w:highlight w:val="none"/>
              </w:rPr>
              <w:t>本项目</w:t>
            </w:r>
            <w:r>
              <w:rPr>
                <w:rFonts w:ascii="宋体" w:hAnsi="宋体" w:cs="宋体"/>
                <w:b/>
                <w:bCs/>
                <w:sz w:val="24"/>
                <w:highlight w:val="none"/>
              </w:rPr>
              <w:t>的《投标文件》由</w:t>
            </w:r>
            <w:r>
              <w:rPr>
                <w:rFonts w:hint="eastAsia" w:ascii="宋体" w:hAnsi="宋体" w:cs="宋体"/>
                <w:b/>
                <w:bCs/>
                <w:sz w:val="24"/>
                <w:highlight w:val="none"/>
              </w:rPr>
              <w:t>“资格文件”、</w:t>
            </w:r>
            <w:r>
              <w:rPr>
                <w:rFonts w:ascii="宋体" w:hAnsi="宋体" w:cs="宋体"/>
                <w:b/>
                <w:bCs/>
                <w:sz w:val="24"/>
                <w:highlight w:val="none"/>
              </w:rPr>
              <w:t>“</w:t>
            </w:r>
            <w:r>
              <w:rPr>
                <w:rFonts w:hint="eastAsia" w:ascii="宋体" w:hAnsi="宋体" w:cs="宋体"/>
                <w:b/>
                <w:bCs/>
                <w:sz w:val="24"/>
                <w:highlight w:val="none"/>
              </w:rPr>
              <w:t>商务</w:t>
            </w:r>
            <w:r>
              <w:rPr>
                <w:rFonts w:ascii="宋体" w:hAnsi="宋体" w:cs="宋体"/>
                <w:b/>
                <w:bCs/>
                <w:sz w:val="24"/>
                <w:highlight w:val="none"/>
              </w:rPr>
              <w:t>技术文件”</w:t>
            </w:r>
            <w:r>
              <w:rPr>
                <w:rFonts w:hint="eastAsia" w:ascii="宋体" w:hAnsi="宋体" w:cs="宋体"/>
                <w:b/>
                <w:bCs/>
                <w:sz w:val="24"/>
                <w:highlight w:val="none"/>
              </w:rPr>
              <w:t>和</w:t>
            </w:r>
            <w:r>
              <w:rPr>
                <w:rFonts w:ascii="宋体" w:hAnsi="宋体" w:cs="宋体"/>
                <w:b/>
                <w:bCs/>
                <w:sz w:val="24"/>
                <w:highlight w:val="none"/>
              </w:rPr>
              <w:t>“报价文件”</w:t>
            </w:r>
            <w:r>
              <w:rPr>
                <w:rFonts w:hint="eastAsia" w:ascii="宋体" w:hAnsi="宋体" w:cs="宋体"/>
                <w:b/>
                <w:bCs/>
                <w:sz w:val="24"/>
                <w:highlight w:val="none"/>
              </w:rPr>
              <w:t>三</w:t>
            </w:r>
            <w:r>
              <w:rPr>
                <w:rFonts w:ascii="宋体" w:hAnsi="宋体" w:cs="宋体"/>
                <w:b/>
                <w:bCs/>
                <w:sz w:val="24"/>
                <w:highlight w:val="none"/>
              </w:rPr>
              <w:t>个部分组成。</w:t>
            </w:r>
          </w:p>
          <w:p>
            <w:pPr>
              <w:autoSpaceDE w:val="0"/>
              <w:autoSpaceDN w:val="0"/>
              <w:adjustRightInd w:val="0"/>
              <w:spacing w:line="276" w:lineRule="auto"/>
              <w:ind w:right="-20"/>
              <w:rPr>
                <w:rFonts w:ascii="宋体" w:hAnsi="宋体"/>
                <w:kern w:val="0"/>
                <w:sz w:val="24"/>
                <w:highlight w:val="none"/>
              </w:rPr>
            </w:pPr>
            <w:r>
              <w:rPr>
                <w:rFonts w:hint="eastAsia" w:ascii="宋体" w:hAnsi="宋体" w:cs="宋体"/>
                <w:sz w:val="24"/>
                <w:highlight w:val="none"/>
              </w:rPr>
              <w:t>投标人应先安装“政采云电子交易客户端”，并按照本招标文件和“政府采购云平台”的要求，通过“政采云电子交易客户端”编制并加密投标文件。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7</w:t>
            </w:r>
          </w:p>
        </w:tc>
        <w:tc>
          <w:tcPr>
            <w:tcW w:w="1215" w:type="dxa"/>
            <w:vAlign w:val="center"/>
          </w:tcPr>
          <w:p>
            <w:pPr>
              <w:autoSpaceDE w:val="0"/>
              <w:autoSpaceDN w:val="0"/>
              <w:adjustRightInd w:val="0"/>
              <w:spacing w:line="276" w:lineRule="auto"/>
              <w:ind w:right="-20"/>
              <w:jc w:val="center"/>
              <w:rPr>
                <w:rFonts w:ascii="宋体" w:hAnsi="宋体"/>
                <w:kern w:val="0"/>
                <w:position w:val="-3"/>
                <w:sz w:val="24"/>
                <w:highlight w:val="none"/>
              </w:rPr>
            </w:pPr>
            <w:r>
              <w:rPr>
                <w:rFonts w:hint="eastAsia" w:ascii="宋体" w:hAnsi="宋体"/>
                <w:kern w:val="0"/>
                <w:position w:val="-5"/>
                <w:sz w:val="24"/>
                <w:szCs w:val="22"/>
                <w:highlight w:val="none"/>
              </w:rPr>
              <w:t>投标文件的签章</w:t>
            </w:r>
          </w:p>
        </w:tc>
        <w:tc>
          <w:tcPr>
            <w:tcW w:w="7680" w:type="dxa"/>
            <w:vAlign w:val="center"/>
          </w:tcPr>
          <w:p>
            <w:pPr>
              <w:autoSpaceDE w:val="0"/>
              <w:autoSpaceDN w:val="0"/>
              <w:adjustRightInd w:val="0"/>
              <w:spacing w:line="276" w:lineRule="auto"/>
              <w:ind w:right="-20"/>
              <w:rPr>
                <w:rFonts w:ascii="宋体" w:hAnsi="宋体"/>
                <w:kern w:val="0"/>
                <w:position w:val="-2"/>
                <w:sz w:val="24"/>
                <w:highlight w:val="none"/>
              </w:rPr>
            </w:pPr>
            <w:r>
              <w:rPr>
                <w:rFonts w:hint="eastAsia" w:ascii="宋体" w:hAnsi="宋体" w:cs="宋体"/>
                <w:sz w:val="24"/>
                <w:highlight w:val="none"/>
              </w:rPr>
              <w:t>电子签章（</w:t>
            </w:r>
            <w:r>
              <w:rPr>
                <w:rFonts w:hint="eastAsia" w:ascii="宋体" w:hAnsi="宋体" w:cs="宋体"/>
                <w:b/>
                <w:sz w:val="24"/>
                <w:highlight w:val="none"/>
              </w:rPr>
              <w:t>注：</w:t>
            </w:r>
            <w:r>
              <w:rPr>
                <w:rFonts w:hint="eastAsia" w:ascii="宋体" w:hAnsi="宋体"/>
                <w:b/>
                <w:sz w:val="24"/>
                <w:highlight w:val="none"/>
                <w:u w:val="single"/>
              </w:rPr>
              <w:t>CA签章上没有法人或授权代表签章信息的，投标文件中涉及到法人或授权代表签章的可线下签好字然后扫描成PDF格式</w:t>
            </w:r>
            <w:r>
              <w:rPr>
                <w:rFonts w:hint="eastAsia" w:ascii="宋体" w:hAnsi="宋体" w:cs="宋体"/>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8</w:t>
            </w:r>
          </w:p>
        </w:tc>
        <w:tc>
          <w:tcPr>
            <w:tcW w:w="1215" w:type="dxa"/>
            <w:vAlign w:val="center"/>
          </w:tcPr>
          <w:p>
            <w:pPr>
              <w:autoSpaceDE w:val="0"/>
              <w:autoSpaceDN w:val="0"/>
              <w:adjustRightInd w:val="0"/>
              <w:spacing w:line="276" w:lineRule="auto"/>
              <w:ind w:right="-20"/>
              <w:jc w:val="center"/>
              <w:rPr>
                <w:rFonts w:ascii="宋体" w:hAnsi="宋体"/>
                <w:kern w:val="0"/>
                <w:sz w:val="24"/>
                <w:highlight w:val="none"/>
              </w:rPr>
            </w:pPr>
            <w:r>
              <w:rPr>
                <w:rFonts w:hint="eastAsia" w:ascii="宋体" w:hAnsi="宋体"/>
                <w:kern w:val="0"/>
                <w:position w:val="-3"/>
                <w:sz w:val="24"/>
                <w:highlight w:val="none"/>
              </w:rPr>
              <w:t>投标</w:t>
            </w:r>
            <w:r>
              <w:rPr>
                <w:rFonts w:hint="eastAsia" w:ascii="宋体" w:hAnsi="宋体"/>
                <w:spacing w:val="-2"/>
                <w:kern w:val="0"/>
                <w:position w:val="-3"/>
                <w:sz w:val="24"/>
                <w:highlight w:val="none"/>
              </w:rPr>
              <w:t>文</w:t>
            </w:r>
            <w:r>
              <w:rPr>
                <w:rFonts w:hint="eastAsia" w:ascii="宋体" w:hAnsi="宋体"/>
                <w:kern w:val="0"/>
                <w:position w:val="-3"/>
                <w:sz w:val="24"/>
                <w:highlight w:val="none"/>
              </w:rPr>
              <w:t>件</w:t>
            </w:r>
            <w:r>
              <w:rPr>
                <w:rFonts w:hint="eastAsia" w:ascii="宋体" w:hAnsi="宋体"/>
                <w:spacing w:val="-2"/>
                <w:kern w:val="0"/>
                <w:position w:val="-3"/>
                <w:sz w:val="24"/>
                <w:highlight w:val="none"/>
              </w:rPr>
              <w:t>有</w:t>
            </w:r>
            <w:r>
              <w:rPr>
                <w:rFonts w:hint="eastAsia" w:ascii="宋体" w:hAnsi="宋体"/>
                <w:kern w:val="0"/>
                <w:position w:val="-3"/>
                <w:sz w:val="24"/>
                <w:highlight w:val="none"/>
              </w:rPr>
              <w:t>效期</w:t>
            </w:r>
          </w:p>
        </w:tc>
        <w:tc>
          <w:tcPr>
            <w:tcW w:w="7680" w:type="dxa"/>
            <w:vAlign w:val="center"/>
          </w:tcPr>
          <w:p>
            <w:pPr>
              <w:autoSpaceDE w:val="0"/>
              <w:autoSpaceDN w:val="0"/>
              <w:adjustRightInd w:val="0"/>
              <w:spacing w:line="276" w:lineRule="auto"/>
              <w:ind w:right="-20"/>
              <w:rPr>
                <w:rFonts w:ascii="宋体" w:hAnsi="宋体"/>
                <w:kern w:val="0"/>
                <w:sz w:val="24"/>
                <w:highlight w:val="none"/>
              </w:rPr>
            </w:pPr>
            <w:r>
              <w:rPr>
                <w:rFonts w:hint="eastAsia" w:ascii="宋体" w:hAnsi="宋体"/>
                <w:kern w:val="0"/>
                <w:position w:val="-2"/>
                <w:sz w:val="24"/>
                <w:highlight w:val="none"/>
              </w:rPr>
              <w:t>自投</w:t>
            </w:r>
            <w:r>
              <w:rPr>
                <w:rFonts w:hint="eastAsia" w:ascii="宋体" w:hAnsi="宋体"/>
                <w:spacing w:val="-2"/>
                <w:kern w:val="0"/>
                <w:position w:val="-2"/>
                <w:sz w:val="24"/>
                <w:highlight w:val="none"/>
              </w:rPr>
              <w:t>标</w:t>
            </w:r>
            <w:r>
              <w:rPr>
                <w:rFonts w:hint="eastAsia" w:ascii="宋体" w:hAnsi="宋体"/>
                <w:kern w:val="0"/>
                <w:position w:val="-2"/>
                <w:sz w:val="24"/>
                <w:highlight w:val="none"/>
              </w:rPr>
              <w:t>截</w:t>
            </w:r>
            <w:r>
              <w:rPr>
                <w:rFonts w:hint="eastAsia" w:ascii="宋体" w:hAnsi="宋体"/>
                <w:spacing w:val="-2"/>
                <w:kern w:val="0"/>
                <w:position w:val="-2"/>
                <w:sz w:val="24"/>
                <w:highlight w:val="none"/>
              </w:rPr>
              <w:t>止</w:t>
            </w:r>
            <w:r>
              <w:rPr>
                <w:rFonts w:hint="eastAsia" w:ascii="宋体" w:hAnsi="宋体"/>
                <w:kern w:val="0"/>
                <w:position w:val="-2"/>
                <w:sz w:val="24"/>
                <w:highlight w:val="none"/>
              </w:rPr>
              <w:t>时</w:t>
            </w:r>
            <w:r>
              <w:rPr>
                <w:rFonts w:hint="eastAsia" w:ascii="宋体" w:hAnsi="宋体"/>
                <w:spacing w:val="-2"/>
                <w:kern w:val="0"/>
                <w:position w:val="-2"/>
                <w:sz w:val="24"/>
                <w:highlight w:val="none"/>
              </w:rPr>
              <w:t>间</w:t>
            </w:r>
            <w:r>
              <w:rPr>
                <w:rFonts w:hint="eastAsia" w:ascii="宋体" w:hAnsi="宋体"/>
                <w:kern w:val="0"/>
                <w:position w:val="-2"/>
                <w:sz w:val="24"/>
                <w:highlight w:val="none"/>
              </w:rPr>
              <w:t>起不少于</w:t>
            </w:r>
            <w:r>
              <w:rPr>
                <w:rFonts w:hint="eastAsia" w:ascii="宋体" w:hAnsi="宋体"/>
                <w:spacing w:val="-2"/>
                <w:kern w:val="0"/>
                <w:position w:val="-2"/>
                <w:sz w:val="24"/>
                <w:highlight w:val="none"/>
              </w:rPr>
              <w:t>90天。</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9</w:t>
            </w:r>
          </w:p>
        </w:tc>
        <w:tc>
          <w:tcPr>
            <w:tcW w:w="1215" w:type="dxa"/>
            <w:vAlign w:val="center"/>
          </w:tcPr>
          <w:p>
            <w:pPr>
              <w:autoSpaceDE w:val="0"/>
              <w:autoSpaceDN w:val="0"/>
              <w:adjustRightInd w:val="0"/>
              <w:spacing w:line="276" w:lineRule="auto"/>
              <w:ind w:right="-20"/>
              <w:jc w:val="center"/>
              <w:rPr>
                <w:rFonts w:ascii="宋体" w:hAnsi="宋体"/>
                <w:kern w:val="0"/>
                <w:sz w:val="24"/>
                <w:highlight w:val="none"/>
              </w:rPr>
            </w:pPr>
            <w:r>
              <w:rPr>
                <w:rFonts w:hint="eastAsia" w:ascii="宋体" w:hAnsi="宋体"/>
                <w:kern w:val="0"/>
                <w:position w:val="-3"/>
                <w:sz w:val="24"/>
                <w:szCs w:val="22"/>
                <w:highlight w:val="none"/>
              </w:rPr>
              <w:t>投标文件的形式</w:t>
            </w:r>
          </w:p>
        </w:tc>
        <w:tc>
          <w:tcPr>
            <w:tcW w:w="7680" w:type="dxa"/>
            <w:vAlign w:val="center"/>
          </w:tcPr>
          <w:p>
            <w:pPr>
              <w:spacing w:line="360" w:lineRule="auto"/>
              <w:rPr>
                <w:rFonts w:ascii="宋体" w:hAnsi="宋体" w:cs="宋体"/>
                <w:sz w:val="24"/>
                <w:highlight w:val="none"/>
              </w:rPr>
            </w:pPr>
            <w:r>
              <w:rPr>
                <w:rFonts w:hint="eastAsia" w:ascii="宋体" w:hAnsi="宋体" w:cs="Segoe UI Emoji"/>
                <w:sz w:val="24"/>
                <w:highlight w:val="none"/>
              </w:rPr>
              <w:t>☑</w:t>
            </w:r>
            <w:r>
              <w:rPr>
                <w:rFonts w:hint="eastAsia" w:ascii="宋体" w:hAnsi="宋体" w:cs="宋体"/>
                <w:sz w:val="24"/>
                <w:highlight w:val="none"/>
              </w:rPr>
              <w:t>电子投标文件（包括“电子加密投标文件”和“备份投标文件”，在投标文件编制完成后同时生成）；</w:t>
            </w:r>
          </w:p>
          <w:p>
            <w:pPr>
              <w:spacing w:line="360" w:lineRule="auto"/>
              <w:rPr>
                <w:rFonts w:ascii="宋体" w:hAnsi="宋体" w:cs="宋体"/>
                <w:sz w:val="24"/>
                <w:highlight w:val="none"/>
              </w:rPr>
            </w:pPr>
            <w:r>
              <w:rPr>
                <w:rFonts w:hint="eastAsia" w:ascii="宋体" w:hAnsi="宋体" w:cs="宋体"/>
                <w:sz w:val="24"/>
                <w:highlight w:val="none"/>
              </w:rPr>
              <w:t>（1）“电子加密投标文件”是指通过“政采云电子交易客户端”完成投标文件编制后生成并加密的数据电文形式的投标文件。</w:t>
            </w:r>
          </w:p>
          <w:p>
            <w:pPr>
              <w:autoSpaceDE w:val="0"/>
              <w:autoSpaceDN w:val="0"/>
              <w:adjustRightInd w:val="0"/>
              <w:spacing w:line="276" w:lineRule="auto"/>
              <w:ind w:right="-20"/>
              <w:rPr>
                <w:rFonts w:ascii="宋体" w:hAnsi="宋体"/>
                <w:kern w:val="0"/>
                <w:sz w:val="24"/>
                <w:highlight w:val="none"/>
              </w:rPr>
            </w:pPr>
            <w:r>
              <w:rPr>
                <w:rFonts w:hint="eastAsia" w:ascii="宋体" w:hAnsi="宋体" w:cs="宋体"/>
                <w:sz w:val="24"/>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10</w:t>
            </w:r>
          </w:p>
        </w:tc>
        <w:tc>
          <w:tcPr>
            <w:tcW w:w="1215" w:type="dxa"/>
            <w:vAlign w:val="center"/>
          </w:tcPr>
          <w:p>
            <w:pPr>
              <w:pStyle w:val="46"/>
              <w:snapToGrid w:val="0"/>
              <w:spacing w:line="420" w:lineRule="exact"/>
              <w:rPr>
                <w:rFonts w:hAnsi="宋体" w:cs="宋体"/>
                <w:sz w:val="24"/>
                <w:szCs w:val="24"/>
                <w:highlight w:val="none"/>
              </w:rPr>
            </w:pPr>
            <w:r>
              <w:rPr>
                <w:rFonts w:hint="eastAsia" w:hAnsi="宋体" w:cs="宋体"/>
                <w:sz w:val="24"/>
                <w:szCs w:val="24"/>
                <w:highlight w:val="none"/>
              </w:rPr>
              <w:t>签订合同</w:t>
            </w:r>
          </w:p>
        </w:tc>
        <w:tc>
          <w:tcPr>
            <w:tcW w:w="7680" w:type="dxa"/>
            <w:vAlign w:val="center"/>
          </w:tcPr>
          <w:p>
            <w:pPr>
              <w:pStyle w:val="46"/>
              <w:snapToGrid w:val="0"/>
              <w:spacing w:line="420" w:lineRule="exact"/>
              <w:rPr>
                <w:rFonts w:hAnsi="宋体" w:cs="宋体"/>
                <w:sz w:val="24"/>
                <w:szCs w:val="24"/>
                <w:highlight w:val="none"/>
              </w:rPr>
            </w:pPr>
            <w:r>
              <w:rPr>
                <w:rFonts w:hint="eastAsia" w:hAnsi="宋体" w:cs="宋体"/>
                <w:sz w:val="24"/>
                <w:szCs w:val="24"/>
                <w:highlight w:val="none"/>
              </w:rPr>
              <w:t xml:space="preserve">中标通知书发出后三十天内签订合同。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ascii="宋体" w:hAnsi="宋体"/>
                <w:sz w:val="24"/>
                <w:highlight w:val="none"/>
              </w:rPr>
            </w:pPr>
            <w:r>
              <w:rPr>
                <w:rFonts w:hint="eastAsia" w:ascii="宋体" w:hAnsi="宋体"/>
                <w:sz w:val="24"/>
                <w:highlight w:val="none"/>
              </w:rPr>
              <w:t>11</w:t>
            </w:r>
          </w:p>
        </w:tc>
        <w:tc>
          <w:tcPr>
            <w:tcW w:w="1215" w:type="dxa"/>
            <w:vAlign w:val="center"/>
          </w:tcPr>
          <w:p>
            <w:pPr>
              <w:pStyle w:val="46"/>
              <w:keepNext w:val="0"/>
              <w:keepLines w:val="0"/>
              <w:pageBreakBefore w:val="0"/>
              <w:kinsoku/>
              <w:overflowPunct/>
              <w:topLinePunct w:val="0"/>
              <w:autoSpaceDE/>
              <w:autoSpaceDN/>
              <w:bidi w:val="0"/>
              <w:snapToGrid w:val="0"/>
              <w:spacing w:line="440" w:lineRule="exact"/>
              <w:textAlignment w:val="auto"/>
              <w:rPr>
                <w:rFonts w:hAnsi="宋体" w:cs="宋体"/>
                <w:sz w:val="24"/>
                <w:szCs w:val="24"/>
                <w:highlight w:val="none"/>
              </w:rPr>
            </w:pPr>
            <w:r>
              <w:rPr>
                <w:rFonts w:hint="eastAsia" w:ascii="宋体" w:hAnsi="宋体" w:eastAsia="宋体" w:cs="宋体"/>
                <w:color w:val="auto"/>
                <w:sz w:val="24"/>
                <w:szCs w:val="24"/>
                <w:highlight w:val="none"/>
              </w:rPr>
              <w:t>履约保证金</w:t>
            </w:r>
          </w:p>
        </w:tc>
        <w:tc>
          <w:tcPr>
            <w:tcW w:w="7680" w:type="dxa"/>
            <w:vAlign w:val="center"/>
          </w:tcPr>
          <w:p>
            <w:pPr>
              <w:pStyle w:val="46"/>
              <w:keepNext w:val="0"/>
              <w:keepLines w:val="0"/>
              <w:pageBreakBefore w:val="0"/>
              <w:widowControl w:val="0"/>
              <w:kinsoku/>
              <w:wordWrap/>
              <w:overflowPunct/>
              <w:topLinePunct w:val="0"/>
              <w:autoSpaceDE/>
              <w:autoSpaceDN/>
              <w:bidi w:val="0"/>
              <w:snapToGrid w:val="0"/>
              <w:spacing w:line="440" w:lineRule="exact"/>
              <w:textAlignment w:val="auto"/>
              <w:rPr>
                <w:rFonts w:hAnsi="宋体" w:cs="宋体"/>
                <w:sz w:val="24"/>
                <w:szCs w:val="24"/>
                <w:highlight w:val="none"/>
              </w:rPr>
            </w:pPr>
            <w:r>
              <w:rPr>
                <w:rFonts w:hint="eastAsia" w:ascii="宋体" w:hAnsi="宋体" w:eastAsia="宋体" w:cs="宋体"/>
                <w:color w:val="auto"/>
                <w:sz w:val="24"/>
                <w:szCs w:val="24"/>
                <w:highlight w:val="none"/>
                <w:lang w:val="en-US" w:eastAsia="zh-CN"/>
              </w:rPr>
              <w:t>中标人通过电汇、转账、银行或保险公司出具履约保函向采购人交纳中标金额</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%的履约保证金。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hint="eastAsia" w:ascii="宋体" w:hAnsi="宋体" w:eastAsia="宋体" w:cs="Times New Roman"/>
                <w:kern w:val="2"/>
                <w:sz w:val="24"/>
                <w:highlight w:val="none"/>
                <w:lang w:val="en-US" w:eastAsia="zh-CN" w:bidi="ar-SA"/>
              </w:rPr>
            </w:pPr>
            <w:r>
              <w:rPr>
                <w:rFonts w:hint="eastAsia" w:ascii="宋体" w:hAnsi="宋体"/>
                <w:sz w:val="24"/>
                <w:highlight w:val="none"/>
              </w:rPr>
              <w:t>12</w:t>
            </w:r>
          </w:p>
        </w:tc>
        <w:tc>
          <w:tcPr>
            <w:tcW w:w="1215" w:type="dxa"/>
            <w:vAlign w:val="center"/>
          </w:tcPr>
          <w:p>
            <w:pPr>
              <w:pStyle w:val="46"/>
              <w:keepNext w:val="0"/>
              <w:keepLines w:val="0"/>
              <w:pageBreakBefore w:val="0"/>
              <w:kinsoku/>
              <w:overflowPunct/>
              <w:topLinePunct w:val="0"/>
              <w:autoSpaceDE/>
              <w:autoSpaceDN/>
              <w:bidi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履约保证金退还</w:t>
            </w:r>
          </w:p>
        </w:tc>
        <w:tc>
          <w:tcPr>
            <w:tcW w:w="7680" w:type="dxa"/>
            <w:vAlign w:val="center"/>
          </w:tcPr>
          <w:p>
            <w:pPr>
              <w:pStyle w:val="46"/>
              <w:keepNext w:val="0"/>
              <w:keepLines w:val="0"/>
              <w:pageBreakBefore w:val="0"/>
              <w:kinsoku/>
              <w:overflowPunct/>
              <w:topLinePunct w:val="0"/>
              <w:autoSpaceDE/>
              <w:autoSpaceDN/>
              <w:bidi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项目结束后</w:t>
            </w:r>
            <w:r>
              <w:rPr>
                <w:rFonts w:hint="eastAsia" w:ascii="宋体" w:hAnsi="宋体" w:eastAsia="宋体" w:cs="宋体"/>
                <w:color w:val="auto"/>
                <w:sz w:val="24"/>
                <w:szCs w:val="24"/>
                <w:highlight w:val="none"/>
                <w:lang w:val="en-US" w:eastAsia="zh-CN"/>
              </w:rPr>
              <w:t>一次性</w:t>
            </w:r>
            <w:r>
              <w:rPr>
                <w:rFonts w:hint="eastAsia" w:ascii="宋体" w:hAnsi="宋体" w:eastAsia="宋体" w:cs="宋体"/>
                <w:color w:val="auto"/>
                <w:sz w:val="24"/>
                <w:szCs w:val="24"/>
                <w:highlight w:val="none"/>
              </w:rPr>
              <w:t>退还（不计利息）</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13</w:t>
            </w:r>
          </w:p>
        </w:tc>
        <w:tc>
          <w:tcPr>
            <w:tcW w:w="1215" w:type="dxa"/>
            <w:vAlign w:val="center"/>
          </w:tcPr>
          <w:p>
            <w:pPr>
              <w:pStyle w:val="606"/>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TW" w:eastAsia="zh-TW"/>
              </w:rPr>
              <w:t>本项目需要落实的政府采购政策</w:t>
            </w:r>
          </w:p>
        </w:tc>
        <w:tc>
          <w:tcPr>
            <w:tcW w:w="7680" w:type="dxa"/>
            <w:vAlign w:val="center"/>
          </w:tcPr>
          <w:p>
            <w:pPr>
              <w:pStyle w:val="607"/>
              <w:keepNext w:val="0"/>
              <w:keepLines w:val="0"/>
              <w:pageBreakBefore w:val="0"/>
              <w:widowControl/>
              <w:kinsoku/>
              <w:overflowPunct/>
              <w:topLinePunct w:val="0"/>
              <w:autoSpaceDE/>
              <w:autoSpaceDN/>
              <w:bidi w:val="0"/>
              <w:adjustRightInd w:val="0"/>
              <w:snapToGrid w:val="0"/>
              <w:spacing w:before="0" w:beforeAutospacing="0" w:after="0" w:afterAutospacing="0" w:line="440" w:lineRule="exact"/>
              <w:textAlignment w:val="auto"/>
              <w:rPr>
                <w:rFonts w:hint="eastAsia" w:ascii="宋体" w:hAnsi="宋体" w:eastAsia="宋体" w:cs="宋体"/>
                <w:b w:val="0"/>
                <w:bCs w:val="0"/>
                <w:color w:val="auto"/>
                <w:kern w:val="2"/>
                <w:sz w:val="24"/>
                <w:szCs w:val="24"/>
                <w:highlight w:val="none"/>
                <w:lang w:val="zh-TW" w:eastAsia="zh-TW" w:bidi="ar-SA"/>
              </w:rPr>
            </w:pPr>
            <w:r>
              <w:rPr>
                <w:rFonts w:hint="eastAsia" w:ascii="宋体" w:hAnsi="宋体" w:eastAsia="宋体" w:cs="宋体"/>
                <w:b w:val="0"/>
                <w:bCs w:val="0"/>
                <w:color w:val="auto"/>
                <w:kern w:val="2"/>
                <w:sz w:val="24"/>
                <w:szCs w:val="24"/>
                <w:highlight w:val="none"/>
                <w:lang w:val="zh-TW" w:eastAsia="zh-TW" w:bidi="ar-SA"/>
              </w:rPr>
              <w:t xml:space="preserve">扶持中小企业（监狱企业、残疾人福利性单位）： </w:t>
            </w:r>
          </w:p>
          <w:p>
            <w:pPr>
              <w:keepNext w:val="0"/>
              <w:keepLines w:val="0"/>
              <w:pageBreakBefore w:val="0"/>
              <w:kinsoku/>
              <w:overflowPunct/>
              <w:topLinePunct w:val="0"/>
              <w:autoSpaceDE/>
              <w:autoSpaceDN/>
              <w:bidi w:val="0"/>
              <w:adjustRightInd w:val="0"/>
              <w:snapToGrid w:val="0"/>
              <w:spacing w:line="440" w:lineRule="exact"/>
              <w:textAlignment w:val="auto"/>
              <w:rPr>
                <w:rFonts w:hint="eastAsia" w:ascii="宋体" w:hAnsi="宋体" w:eastAsia="宋体" w:cs="宋体"/>
                <w:b w:val="0"/>
                <w:bCs w:val="0"/>
                <w:color w:val="auto"/>
                <w:kern w:val="2"/>
                <w:sz w:val="24"/>
                <w:szCs w:val="24"/>
                <w:highlight w:val="none"/>
                <w:lang w:val="zh-TW" w:eastAsia="zh-TW" w:bidi="ar-SA"/>
              </w:rPr>
            </w:pPr>
            <w:r>
              <w:rPr>
                <w:rFonts w:hint="eastAsia" w:ascii="宋体" w:hAnsi="宋体" w:eastAsia="宋体" w:cs="宋体"/>
                <w:b w:val="0"/>
                <w:bCs w:val="0"/>
                <w:color w:val="auto"/>
                <w:kern w:val="2"/>
                <w:sz w:val="24"/>
                <w:szCs w:val="24"/>
                <w:highlight w:val="none"/>
                <w:lang w:val="zh-TW" w:eastAsia="zh-TW" w:bidi="ar-SA"/>
              </w:rPr>
              <w:t>（1）根据工信部等部委发布的《关于印发中小企业划型标准规定的通知》（工信部联企业〔2011〕300号），</w:t>
            </w:r>
            <w:r>
              <w:rPr>
                <w:rFonts w:hint="eastAsia" w:ascii="宋体" w:hAnsi="宋体" w:eastAsia="宋体" w:cs="宋体"/>
                <w:b/>
                <w:bCs/>
                <w:color w:val="auto"/>
                <w:kern w:val="2"/>
                <w:sz w:val="24"/>
                <w:szCs w:val="24"/>
                <w:highlight w:val="none"/>
                <w:lang w:val="zh-TW" w:eastAsia="zh-TW" w:bidi="ar-SA"/>
              </w:rPr>
              <w:t>本项目属于</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农、林、牧、渔业，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工业（包括采矿业，制造业，电力、热力、燃气及水生产和供应业），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建筑业，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批发业，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零售业，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交通运输业（不含铁路运输业），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仓储业，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邮政业，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住宿业，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餐饮业，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信息传输业（包括电信、互联网和相关服务），</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软件和信息技术服务业，</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房地产开发经营，</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物业管理，</w:t>
            </w:r>
            <w:r>
              <w:rPr>
                <w:rFonts w:hint="eastAsia" w:ascii="宋体" w:hAnsi="宋体" w:eastAsia="宋体" w:cs="宋体"/>
                <w:b w:val="0"/>
                <w:bCs w:val="0"/>
                <w:color w:val="auto"/>
                <w:kern w:val="2"/>
                <w:sz w:val="24"/>
                <w:szCs w:val="24"/>
                <w:highlight w:val="none"/>
                <w:lang w:val="zh-TW" w:eastAsia="zh-TW" w:bidi="ar-SA"/>
              </w:rPr>
              <w:sym w:font="Wingdings" w:char="00A8"/>
            </w:r>
            <w:r>
              <w:rPr>
                <w:rFonts w:hint="eastAsia" w:ascii="宋体" w:hAnsi="宋体" w:eastAsia="宋体" w:cs="宋体"/>
                <w:b w:val="0"/>
                <w:bCs w:val="0"/>
                <w:color w:val="auto"/>
                <w:kern w:val="2"/>
                <w:sz w:val="24"/>
                <w:szCs w:val="24"/>
                <w:highlight w:val="none"/>
                <w:lang w:val="zh-TW" w:eastAsia="zh-TW" w:bidi="ar-SA"/>
              </w:rPr>
              <w:t>租赁和商务服务业，</w:t>
            </w:r>
            <w:r>
              <w:rPr>
                <w:rFonts w:hint="eastAsia" w:ascii="宋体" w:hAnsi="宋体" w:eastAsia="宋体" w:cs="宋体"/>
                <w:b/>
                <w:bCs/>
                <w:color w:val="auto"/>
                <w:kern w:val="2"/>
                <w:sz w:val="24"/>
                <w:szCs w:val="24"/>
                <w:highlight w:val="none"/>
                <w:lang w:val="zh-TW" w:eastAsia="zh-TW" w:bidi="ar-SA"/>
              </w:rPr>
              <w:sym w:font="Wingdings" w:char="00FE"/>
            </w:r>
            <w:r>
              <w:rPr>
                <w:rFonts w:hint="eastAsia" w:ascii="宋体" w:hAnsi="宋体" w:eastAsia="宋体" w:cs="宋体"/>
                <w:b/>
                <w:bCs/>
                <w:color w:val="auto"/>
                <w:kern w:val="2"/>
                <w:sz w:val="24"/>
                <w:szCs w:val="24"/>
                <w:highlight w:val="none"/>
                <w:lang w:val="zh-TW" w:eastAsia="zh-TW" w:bidi="ar-SA"/>
              </w:rPr>
              <w:t>其他未列明行业</w:t>
            </w:r>
            <w:r>
              <w:rPr>
                <w:rFonts w:hint="eastAsia" w:ascii="宋体" w:hAnsi="宋体" w:eastAsia="宋体" w:cs="宋体"/>
                <w:b w:val="0"/>
                <w:bCs w:val="0"/>
                <w:color w:val="auto"/>
                <w:kern w:val="2"/>
                <w:sz w:val="24"/>
                <w:szCs w:val="24"/>
                <w:highlight w:val="none"/>
                <w:lang w:val="zh-TW" w:eastAsia="zh-TW" w:bidi="ar-SA"/>
              </w:rPr>
              <w:t>（包括科学研究和技术服务业，水利、环境和公共设施管理业，居民服务、修理和其他服务业，社会工作，文化、体育和娱乐业等）。</w:t>
            </w:r>
          </w:p>
          <w:p>
            <w:pPr>
              <w:keepNext w:val="0"/>
              <w:keepLines w:val="0"/>
              <w:pageBreakBefore w:val="0"/>
              <w:kinsoku/>
              <w:overflowPunct/>
              <w:topLinePunct w:val="0"/>
              <w:autoSpaceDE/>
              <w:autoSpaceDN/>
              <w:bidi w:val="0"/>
              <w:adjustRightInd w:val="0"/>
              <w:snapToGrid w:val="0"/>
              <w:spacing w:line="440" w:lineRule="exact"/>
              <w:textAlignment w:val="auto"/>
              <w:rPr>
                <w:rFonts w:hint="eastAsia" w:ascii="宋体" w:hAnsi="宋体" w:eastAsia="宋体" w:cs="宋体"/>
                <w:b w:val="0"/>
                <w:bCs w:val="0"/>
                <w:color w:val="auto"/>
                <w:kern w:val="2"/>
                <w:sz w:val="24"/>
                <w:szCs w:val="24"/>
                <w:highlight w:val="none"/>
                <w:lang w:val="zh-TW" w:eastAsia="zh-TW" w:bidi="ar-SA"/>
              </w:rPr>
            </w:pPr>
            <w:r>
              <w:rPr>
                <w:rFonts w:hint="eastAsia" w:ascii="宋体" w:hAnsi="宋体" w:eastAsia="宋体" w:cs="宋体"/>
                <w:b w:val="0"/>
                <w:bCs w:val="0"/>
                <w:color w:val="auto"/>
                <w:kern w:val="2"/>
                <w:sz w:val="24"/>
                <w:szCs w:val="24"/>
                <w:highlight w:val="none"/>
                <w:lang w:val="zh-TW" w:eastAsia="zh-TW" w:bidi="ar-SA"/>
              </w:rPr>
              <w:t>（2）根据财政部发布的《政府采购促进中小企业发展管理办法》财库（2020）46号</w:t>
            </w:r>
            <w:r>
              <w:rPr>
                <w:rFonts w:hint="eastAsia" w:ascii="宋体" w:hAnsi="宋体" w:eastAsia="宋体" w:cs="宋体"/>
                <w:b w:val="0"/>
                <w:bCs w:val="0"/>
                <w:color w:val="auto"/>
                <w:kern w:val="2"/>
                <w:sz w:val="24"/>
                <w:szCs w:val="24"/>
                <w:highlight w:val="none"/>
                <w:lang w:val="zh-TW" w:eastAsia="zh-CN" w:bidi="ar-SA"/>
              </w:rPr>
              <w:t>、《浙江省财政厅关于进一步发挥政府采购政策功能全力推动经济稳进提质的通知》（浙财采监〔2022〕3号）</w:t>
            </w:r>
            <w:r>
              <w:rPr>
                <w:rFonts w:hint="eastAsia" w:ascii="宋体" w:hAnsi="宋体" w:eastAsia="宋体" w:cs="宋体"/>
                <w:b w:val="0"/>
                <w:bCs w:val="0"/>
                <w:color w:val="auto"/>
                <w:kern w:val="2"/>
                <w:sz w:val="24"/>
                <w:szCs w:val="24"/>
                <w:highlight w:val="none"/>
                <w:lang w:val="zh-TW" w:eastAsia="zh-TW" w:bidi="ar-SA"/>
              </w:rPr>
              <w:t>的相关规定：</w:t>
            </w:r>
          </w:p>
          <w:p>
            <w:pPr>
              <w:keepNext w:val="0"/>
              <w:keepLines w:val="0"/>
              <w:pageBreakBefore w:val="0"/>
              <w:kinsoku/>
              <w:overflowPunct/>
              <w:topLinePunct w:val="0"/>
              <w:autoSpaceDE/>
              <w:autoSpaceDN/>
              <w:bidi w:val="0"/>
              <w:adjustRightInd w:val="0"/>
              <w:snapToGrid w:val="0"/>
              <w:spacing w:line="440" w:lineRule="exact"/>
              <w:jc w:val="left"/>
              <w:textAlignment w:val="auto"/>
              <w:rPr>
                <w:rFonts w:hint="eastAsia" w:ascii="宋体" w:hAnsi="宋体" w:eastAsia="宋体" w:cs="宋体"/>
                <w:b w:val="0"/>
                <w:bCs w:val="0"/>
                <w:color w:val="auto"/>
                <w:kern w:val="2"/>
                <w:sz w:val="24"/>
                <w:szCs w:val="24"/>
                <w:highlight w:val="none"/>
                <w:lang w:val="zh-TW" w:eastAsia="zh-TW" w:bidi="ar-SA"/>
              </w:rPr>
            </w:pPr>
            <w:r>
              <w:rPr>
                <w:rFonts w:hint="eastAsia" w:ascii="宋体" w:hAnsi="宋体" w:eastAsia="宋体" w:cs="宋体"/>
                <w:b w:val="0"/>
                <w:bCs w:val="0"/>
                <w:color w:val="auto"/>
                <w:kern w:val="2"/>
                <w:sz w:val="24"/>
                <w:szCs w:val="24"/>
                <w:highlight w:val="none"/>
                <w:lang w:val="zh-TW" w:eastAsia="zh-TW" w:bidi="ar-SA"/>
              </w:rPr>
              <w:t>（3）根据财库〔2017〕141号的相关规定，在政府采购活动中，残疾人福利性单位视同小型、微型企业，享受评审中价格扣除政策。属于享受政府采购支持政策的残疾人福利性单位，应满足财库〔2017〕141号文件第一条的规定，并在</w:t>
            </w:r>
            <w:r>
              <w:rPr>
                <w:rFonts w:hint="eastAsia" w:ascii="宋体" w:hAnsi="宋体" w:eastAsia="宋体" w:cs="宋体"/>
                <w:b w:val="0"/>
                <w:bCs w:val="0"/>
                <w:color w:val="auto"/>
                <w:kern w:val="2"/>
                <w:sz w:val="24"/>
                <w:szCs w:val="24"/>
                <w:highlight w:val="none"/>
                <w:lang w:val="zh-TW" w:eastAsia="zh-CN" w:bidi="ar-SA"/>
              </w:rPr>
              <w:t>投标文件</w:t>
            </w:r>
            <w:r>
              <w:rPr>
                <w:rFonts w:hint="eastAsia" w:ascii="宋体" w:hAnsi="宋体" w:eastAsia="宋体" w:cs="宋体"/>
                <w:b w:val="0"/>
                <w:bCs w:val="0"/>
                <w:color w:val="auto"/>
                <w:kern w:val="2"/>
                <w:sz w:val="24"/>
                <w:szCs w:val="24"/>
                <w:highlight w:val="none"/>
                <w:lang w:val="zh-TW" w:eastAsia="zh-TW" w:bidi="ar-SA"/>
              </w:rPr>
              <w:t>中提供残疾人福利性单位声明函。</w:t>
            </w:r>
          </w:p>
          <w:p>
            <w:pPr>
              <w:pStyle w:val="46"/>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zh-TW" w:eastAsia="zh-TW" w:bidi="ar-SA"/>
              </w:rPr>
              <w:t>（4）根据财库〔2014〕68号的相关规定，在政府采购活动中，监狱企业视同小型、微型企业，享受评审中价格扣除政策，并在</w:t>
            </w:r>
            <w:r>
              <w:rPr>
                <w:rFonts w:hint="eastAsia" w:hAnsi="宋体" w:eastAsia="宋体" w:cs="宋体"/>
                <w:b w:val="0"/>
                <w:bCs w:val="0"/>
                <w:color w:val="auto"/>
                <w:kern w:val="2"/>
                <w:sz w:val="24"/>
                <w:szCs w:val="24"/>
                <w:highlight w:val="none"/>
                <w:lang w:val="zh-TW" w:eastAsia="zh-CN" w:bidi="ar-SA"/>
              </w:rPr>
              <w:t>投标文件</w:t>
            </w:r>
            <w:r>
              <w:rPr>
                <w:rFonts w:hint="eastAsia" w:ascii="宋体" w:hAnsi="宋体" w:eastAsia="宋体" w:cs="宋体"/>
                <w:b w:val="0"/>
                <w:bCs w:val="0"/>
                <w:color w:val="auto"/>
                <w:kern w:val="2"/>
                <w:sz w:val="24"/>
                <w:szCs w:val="24"/>
                <w:highlight w:val="none"/>
                <w:lang w:val="zh-TW" w:eastAsia="zh-TW" w:bidi="ar-SA"/>
              </w:rPr>
              <w:t>中提供由省级以上监狱管理局、戒毒管理局（含新疆生产建设兵团）出具的属于监狱企业的证明文件。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hint="eastAsia" w:ascii="宋体" w:hAnsi="宋体"/>
                <w:sz w:val="24"/>
                <w:highlight w:val="none"/>
                <w:lang w:val="en-US" w:eastAsia="zh-CN"/>
              </w:rPr>
            </w:pPr>
          </w:p>
        </w:tc>
        <w:tc>
          <w:tcPr>
            <w:tcW w:w="1215" w:type="dxa"/>
            <w:vAlign w:val="center"/>
          </w:tcPr>
          <w:p>
            <w:pPr>
              <w:pStyle w:val="606"/>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zh-TW" w:eastAsia="zh-TW"/>
              </w:rPr>
            </w:pPr>
          </w:p>
        </w:tc>
        <w:tc>
          <w:tcPr>
            <w:tcW w:w="7680" w:type="dxa"/>
            <w:vAlign w:val="center"/>
          </w:tcPr>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节能产品的强制采购政策</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强制采购品目的，</w:t>
            </w:r>
            <w:r>
              <w:rPr>
                <w:rFonts w:hint="eastAsia" w:ascii="宋体" w:hAnsi="宋体" w:eastAsia="宋体" w:cs="宋体"/>
                <w:color w:val="auto"/>
                <w:sz w:val="24"/>
                <w:szCs w:val="24"/>
                <w:highlight w:val="none"/>
                <w:lang w:val="zh-TW" w:eastAsia="zh-CN"/>
              </w:rPr>
              <w:t>投标人</w:t>
            </w:r>
            <w:r>
              <w:rPr>
                <w:rFonts w:hint="eastAsia" w:ascii="宋体" w:hAnsi="宋体" w:eastAsia="宋体" w:cs="宋体"/>
                <w:color w:val="auto"/>
                <w:sz w:val="24"/>
                <w:szCs w:val="24"/>
                <w:highlight w:val="none"/>
                <w:lang w:val="zh-TW" w:eastAsia="zh-TW"/>
              </w:rPr>
              <w:t>提供的产品应具有国家确定的认证机构出具的、处于有效期之内的节能产品认证证书，并在投标文件中提供该产品节能产品认证证书，否则无效。（注：本项目执行财政部、国家发展和改革委员会、生态环境部等部门公布的最新政府采购节能产品、环境标志产品品目清单、市场监管总局公布的参与实施政府采购节能产品、环境标志产品认证机构最新名录。）</w:t>
            </w:r>
          </w:p>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zh-TW" w:eastAsia="zh-TW"/>
              </w:rPr>
              <w:t>节能产品、环境标志产品的优先采购政策</w:t>
            </w:r>
          </w:p>
          <w:p>
            <w:pPr>
              <w:pStyle w:val="46"/>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bCs/>
                <w:color w:val="auto"/>
                <w:kern w:val="2"/>
                <w:sz w:val="24"/>
                <w:szCs w:val="24"/>
                <w:highlight w:val="none"/>
                <w:lang w:val="zh-TW" w:eastAsia="zh-TW" w:bidi="ar-SA"/>
              </w:rPr>
            </w:pPr>
            <w:r>
              <w:rPr>
                <w:rFonts w:hint="eastAsia" w:ascii="宋体" w:hAnsi="宋体" w:eastAsia="宋体" w:cs="宋体"/>
                <w:color w:val="auto"/>
                <w:sz w:val="24"/>
                <w:szCs w:val="24"/>
                <w:highlight w:val="none"/>
                <w:lang w:val="zh-TW" w:eastAsia="zh-TW"/>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采购单位拟采购的产品属于品目清单范围内的优先采购品目的，</w:t>
            </w:r>
            <w:r>
              <w:rPr>
                <w:rFonts w:hint="eastAsia" w:ascii="宋体" w:hAnsi="宋体" w:eastAsia="宋体" w:cs="宋体"/>
                <w:color w:val="auto"/>
                <w:sz w:val="24"/>
                <w:szCs w:val="24"/>
                <w:highlight w:val="none"/>
                <w:lang w:val="zh-TW" w:eastAsia="zh-CN"/>
              </w:rPr>
              <w:t>投标人</w:t>
            </w:r>
            <w:r>
              <w:rPr>
                <w:rFonts w:hint="eastAsia" w:ascii="宋体" w:hAnsi="宋体" w:eastAsia="宋体" w:cs="宋体"/>
                <w:color w:val="auto"/>
                <w:sz w:val="24"/>
                <w:szCs w:val="24"/>
                <w:highlight w:val="none"/>
                <w:lang w:val="zh-TW" w:eastAsia="zh-TW"/>
              </w:rPr>
              <w:t>提供的产品应具有国家确定的认证机构出具的、处于有效期之内的节能产品、环境标志产品认证证书，并在投标文件中提供该产品节能产品、环境标志产品认证证书。（注：本项目执行财政部、国家发展和改革委员会、生态环境部等部门公布的最新政府采购节能产品、环境标志产品品目清单、市场监管总局公布的参与实施政府采购节能产品、环境标志产品认证机构最新名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hint="eastAsia" w:ascii="宋体" w:hAnsi="宋体"/>
                <w:sz w:val="24"/>
                <w:highlight w:val="none"/>
                <w:lang w:val="en-US" w:eastAsia="zh-CN"/>
              </w:rPr>
            </w:pPr>
          </w:p>
        </w:tc>
        <w:tc>
          <w:tcPr>
            <w:tcW w:w="1215" w:type="dxa"/>
            <w:vAlign w:val="center"/>
          </w:tcPr>
          <w:p>
            <w:pPr>
              <w:pStyle w:val="606"/>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宋体"/>
                <w:color w:val="auto"/>
                <w:sz w:val="24"/>
                <w:szCs w:val="24"/>
                <w:highlight w:val="none"/>
                <w:lang w:val="zh-TW" w:eastAsia="zh-TW"/>
              </w:rPr>
            </w:pPr>
          </w:p>
        </w:tc>
        <w:tc>
          <w:tcPr>
            <w:tcW w:w="7680" w:type="dxa"/>
            <w:vAlign w:val="center"/>
          </w:tcPr>
          <w:p>
            <w:pPr>
              <w:pStyle w:val="46"/>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据《中国人民银行衢州市中心支行衢州市财政局关于衢州市政府采购进一步支持中企业质押融资的实施意见【衢银发[2021]4号】》取得衢州市政府采购合同的</w:t>
            </w: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，均可凭政府采购合同及应收账款收益权，向银行申请质押融资.申请质押融资时，</w:t>
            </w: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需先注册“衢州金融服务信用信息平台”用户，登录后通过“中征融资”模块进入“中征应收账款融资服务平台”，完善企业信息后，向合作银行推送</w:t>
            </w:r>
            <w:r>
              <w:rPr>
                <w:rFonts w:hint="eastAsia"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采购信息。采购合同签订前已与银行机构达成融资意向的，</w:t>
            </w: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应向采购人或釆购代理机构申明该合同将用于质押融资，并在合同中注明融资银行机构名称及在该银行机构的唯一收款账号,</w:t>
            </w: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在合同签订后出现融资需求的，</w:t>
            </w: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应根据银行机构要求向采购人申请修改合同收款账号，并在开具发票时提供给采购人用于支付合同款项。</w:t>
            </w:r>
          </w:p>
          <w:p>
            <w:pPr>
              <w:pStyle w:val="46"/>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color w:val="auto"/>
                <w:sz w:val="24"/>
                <w:szCs w:val="24"/>
                <w:highlight w:val="none"/>
                <w:lang w:val="zh-TW" w:eastAsia="zh-TW"/>
              </w:rPr>
            </w:pPr>
            <w:r>
              <w:rPr>
                <w:rFonts w:hint="eastAsia"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可以通过浙江政府采购网(https://zfcg. czt.zj. gov.cn/)首页的“浙江政采贷”模块进入申请，还可以通过政府采购云平台(https://www. zcygov.cn/)首页的“金融服务”模块进入申请。</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276" w:lineRule="auto"/>
              <w:jc w:val="center"/>
              <w:rPr>
                <w:rFonts w:hint="default" w:ascii="宋体" w:hAnsi="宋体" w:eastAsia="宋体" w:cs="Times New Roman"/>
                <w:kern w:val="2"/>
                <w:sz w:val="24"/>
                <w:highlight w:val="none"/>
                <w:lang w:val="en-US" w:eastAsia="zh-CN" w:bidi="ar-SA"/>
              </w:rPr>
            </w:pPr>
            <w:r>
              <w:rPr>
                <w:rFonts w:hint="eastAsia" w:ascii="宋体" w:hAnsi="宋体" w:cs="Times New Roman"/>
                <w:kern w:val="2"/>
                <w:sz w:val="24"/>
                <w:highlight w:val="none"/>
                <w:lang w:val="en-US" w:eastAsia="zh-CN" w:bidi="ar-SA"/>
              </w:rPr>
              <w:t>14</w:t>
            </w:r>
          </w:p>
        </w:tc>
        <w:tc>
          <w:tcPr>
            <w:tcW w:w="1215" w:type="dxa"/>
            <w:vAlign w:val="center"/>
          </w:tcPr>
          <w:p>
            <w:pPr>
              <w:spacing w:line="276" w:lineRule="auto"/>
              <w:jc w:val="center"/>
              <w:rPr>
                <w:rFonts w:ascii="宋体" w:hAnsi="宋体"/>
                <w:sz w:val="24"/>
                <w:highlight w:val="none"/>
              </w:rPr>
            </w:pPr>
            <w:r>
              <w:rPr>
                <w:rFonts w:hint="eastAsia" w:ascii="宋体" w:hAnsi="宋体"/>
                <w:sz w:val="24"/>
                <w:highlight w:val="none"/>
              </w:rPr>
              <w:t>招标代理服务费</w:t>
            </w:r>
          </w:p>
        </w:tc>
        <w:tc>
          <w:tcPr>
            <w:tcW w:w="7680" w:type="dxa"/>
            <w:vAlign w:val="center"/>
          </w:tcPr>
          <w:p>
            <w:pPr>
              <w:autoSpaceDE w:val="0"/>
              <w:autoSpaceDN w:val="0"/>
              <w:adjustRightInd w:val="0"/>
              <w:spacing w:line="288" w:lineRule="auto"/>
              <w:ind w:right="-20"/>
              <w:rPr>
                <w:rFonts w:ascii="宋体" w:hAnsi="宋体"/>
                <w:sz w:val="24"/>
                <w:szCs w:val="24"/>
              </w:rPr>
            </w:pPr>
            <w:r>
              <w:rPr>
                <w:rFonts w:hint="eastAsia" w:ascii="宋体" w:hAnsi="宋体"/>
                <w:sz w:val="24"/>
                <w:szCs w:val="24"/>
              </w:rPr>
              <w:t>1、</w:t>
            </w:r>
            <w:r>
              <w:rPr>
                <w:rFonts w:hint="eastAsia" w:ascii="宋体" w:hAnsi="宋体" w:cs="宋体"/>
                <w:bCs/>
                <w:sz w:val="24"/>
                <w:szCs w:val="24"/>
              </w:rPr>
              <w:t>本项目的</w:t>
            </w:r>
            <w:r>
              <w:rPr>
                <w:rFonts w:hint="eastAsia" w:hAnsi="宋体" w:cs="宋体"/>
                <w:bCs/>
                <w:sz w:val="24"/>
                <w:szCs w:val="24"/>
              </w:rPr>
              <w:t>招标</w:t>
            </w:r>
            <w:r>
              <w:rPr>
                <w:rFonts w:hint="eastAsia" w:ascii="宋体" w:hAnsi="宋体" w:cs="宋体"/>
                <w:bCs/>
                <w:sz w:val="24"/>
                <w:szCs w:val="24"/>
              </w:rPr>
              <w:t>代理服务费</w:t>
            </w:r>
            <w:r>
              <w:rPr>
                <w:rFonts w:hint="eastAsia" w:hAnsi="宋体" w:cs="宋体"/>
                <w:bCs/>
                <w:sz w:val="24"/>
                <w:szCs w:val="24"/>
              </w:rPr>
              <w:t>等其他相关费用</w:t>
            </w:r>
            <w:r>
              <w:rPr>
                <w:rFonts w:hint="eastAsia" w:ascii="宋体" w:hAnsi="宋体" w:cs="宋体"/>
                <w:bCs/>
                <w:sz w:val="24"/>
                <w:szCs w:val="24"/>
              </w:rPr>
              <w:t>由中标人支付。</w:t>
            </w:r>
            <w:r>
              <w:rPr>
                <w:rFonts w:hint="eastAsia" w:ascii="宋体" w:hAnsi="宋体"/>
                <w:sz w:val="24"/>
                <w:szCs w:val="24"/>
              </w:rPr>
              <w:t>根据中标价，参照原国家计委关于印发《招标代理服务收费管理暂行办法》的通知（计价格[2002]1980号）的收费标准的</w:t>
            </w:r>
            <w:r>
              <w:rPr>
                <w:rFonts w:hint="eastAsia" w:ascii="宋体" w:hAnsi="宋体"/>
                <w:sz w:val="24"/>
                <w:szCs w:val="24"/>
                <w:lang w:val="en-US" w:eastAsia="zh-CN"/>
              </w:rPr>
              <w:t>59</w:t>
            </w:r>
            <w:r>
              <w:rPr>
                <w:rFonts w:hint="eastAsia" w:ascii="宋体" w:hAnsi="宋体"/>
                <w:sz w:val="24"/>
                <w:szCs w:val="24"/>
              </w:rPr>
              <w:t>%向</w:t>
            </w:r>
            <w:r>
              <w:rPr>
                <w:rFonts w:hint="eastAsia" w:ascii="宋体" w:hAnsi="宋体"/>
                <w:sz w:val="24"/>
                <w:szCs w:val="24"/>
                <w:lang w:eastAsia="zh-CN"/>
              </w:rPr>
              <w:t>中标人</w:t>
            </w:r>
            <w:r>
              <w:rPr>
                <w:rFonts w:hint="eastAsia" w:ascii="宋体" w:hAnsi="宋体"/>
                <w:sz w:val="24"/>
                <w:szCs w:val="24"/>
              </w:rPr>
              <w:t>收取招标代理服务费，</w:t>
            </w:r>
            <w:r>
              <w:rPr>
                <w:rFonts w:hint="eastAsia" w:ascii="宋体" w:hAnsi="宋体" w:cs="宋体"/>
                <w:bCs/>
                <w:sz w:val="24"/>
                <w:szCs w:val="24"/>
              </w:rPr>
              <w:t>其他相关费用可咨询招标代理机构。</w:t>
            </w:r>
          </w:p>
          <w:p>
            <w:pPr>
              <w:autoSpaceDE w:val="0"/>
              <w:autoSpaceDN w:val="0"/>
              <w:adjustRightInd w:val="0"/>
              <w:spacing w:line="288" w:lineRule="auto"/>
              <w:ind w:right="-20"/>
              <w:rPr>
                <w:rFonts w:ascii="宋体" w:hAnsi="宋体"/>
                <w:sz w:val="24"/>
                <w:szCs w:val="24"/>
              </w:rPr>
            </w:pPr>
            <w:r>
              <w:rPr>
                <w:rFonts w:hint="eastAsia" w:ascii="宋体" w:hAnsi="宋体"/>
                <w:sz w:val="24"/>
                <w:szCs w:val="24"/>
              </w:rPr>
              <w:t>1）收款单位（户名）：浙江中正工程项目管理有限公司衢州分公司</w:t>
            </w:r>
          </w:p>
          <w:p>
            <w:pPr>
              <w:autoSpaceDE w:val="0"/>
              <w:autoSpaceDN w:val="0"/>
              <w:adjustRightInd w:val="0"/>
              <w:spacing w:line="288" w:lineRule="auto"/>
              <w:ind w:right="-20"/>
              <w:rPr>
                <w:rFonts w:ascii="宋体" w:hAnsi="宋体"/>
                <w:sz w:val="24"/>
                <w:szCs w:val="24"/>
              </w:rPr>
            </w:pPr>
            <w:r>
              <w:rPr>
                <w:rFonts w:hint="eastAsia" w:ascii="宋体" w:hAnsi="宋体"/>
                <w:sz w:val="24"/>
                <w:szCs w:val="24"/>
              </w:rPr>
              <w:t>2）开  户：工行衢州市南区支行</w:t>
            </w:r>
          </w:p>
          <w:p>
            <w:pPr>
              <w:autoSpaceDE w:val="0"/>
              <w:autoSpaceDN w:val="0"/>
              <w:adjustRightInd w:val="0"/>
              <w:spacing w:line="288" w:lineRule="auto"/>
              <w:ind w:right="-20"/>
              <w:rPr>
                <w:rFonts w:ascii="宋体" w:hAnsi="宋体"/>
                <w:sz w:val="24"/>
                <w:szCs w:val="24"/>
              </w:rPr>
            </w:pPr>
            <w:r>
              <w:rPr>
                <w:rFonts w:hint="eastAsia" w:ascii="宋体" w:hAnsi="宋体"/>
                <w:sz w:val="24"/>
                <w:szCs w:val="24"/>
              </w:rPr>
              <w:t>3）账  号：1209270009200172837</w:t>
            </w:r>
          </w:p>
          <w:p>
            <w:pPr>
              <w:adjustRightInd w:val="0"/>
              <w:snapToGrid w:val="0"/>
              <w:spacing w:line="276" w:lineRule="auto"/>
              <w:rPr>
                <w:rFonts w:ascii="宋体" w:hAnsi="宋体"/>
                <w:sz w:val="24"/>
                <w:szCs w:val="24"/>
              </w:rPr>
            </w:pPr>
            <w:r>
              <w:rPr>
                <w:rFonts w:hint="eastAsia" w:ascii="宋体" w:hAnsi="宋体"/>
                <w:sz w:val="24"/>
                <w:szCs w:val="24"/>
              </w:rPr>
              <w:t>2、以上费用均不在报价中单列，请投标人在报价中予以考虑。</w:t>
            </w:r>
          </w:p>
          <w:p>
            <w:pPr>
              <w:adjustRightInd w:val="0"/>
              <w:snapToGrid w:val="0"/>
              <w:spacing w:line="276" w:lineRule="auto"/>
              <w:rPr>
                <w:rFonts w:ascii="宋体" w:hAnsi="宋体"/>
                <w:b/>
                <w:highlight w:val="none"/>
              </w:rPr>
            </w:pPr>
            <w:r>
              <w:rPr>
                <w:rFonts w:hint="eastAsia" w:ascii="宋体" w:hAnsi="宋体"/>
                <w:sz w:val="24"/>
                <w:szCs w:val="24"/>
              </w:rPr>
              <w:t>3、结算方式及时间为：在领取中标通知书时由成交供应商一次性向招标代理机构付清。</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30" w:type="dxa"/>
            <w:vMerge w:val="restart"/>
            <w:vAlign w:val="center"/>
          </w:tcPr>
          <w:p>
            <w:pPr>
              <w:spacing w:line="276"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15</w:t>
            </w:r>
          </w:p>
        </w:tc>
        <w:tc>
          <w:tcPr>
            <w:tcW w:w="1215" w:type="dxa"/>
            <w:vMerge w:val="restart"/>
            <w:vAlign w:val="center"/>
          </w:tcPr>
          <w:p>
            <w:pPr>
              <w:adjustRightInd w:val="0"/>
              <w:snapToGrid w:val="0"/>
              <w:spacing w:line="276" w:lineRule="auto"/>
              <w:jc w:val="center"/>
              <w:rPr>
                <w:rFonts w:ascii="宋体" w:hAnsi="宋体"/>
                <w:sz w:val="24"/>
                <w:highlight w:val="none"/>
              </w:rPr>
            </w:pPr>
            <w:r>
              <w:rPr>
                <w:rFonts w:hint="eastAsia" w:ascii="宋体" w:hAnsi="宋体"/>
                <w:sz w:val="24"/>
                <w:highlight w:val="none"/>
              </w:rPr>
              <w:t>其他注意事项</w:t>
            </w:r>
          </w:p>
        </w:tc>
        <w:tc>
          <w:tcPr>
            <w:tcW w:w="7680" w:type="dxa"/>
            <w:vAlign w:val="center"/>
          </w:tcPr>
          <w:p>
            <w:pPr>
              <w:adjustRightInd w:val="0"/>
              <w:snapToGrid w:val="0"/>
              <w:spacing w:line="276" w:lineRule="auto"/>
              <w:rPr>
                <w:rFonts w:ascii="宋体" w:hAnsi="宋体"/>
                <w:sz w:val="24"/>
                <w:highlight w:val="none"/>
              </w:rPr>
            </w:pPr>
            <w:r>
              <w:rPr>
                <w:rFonts w:hint="eastAsia" w:ascii="宋体" w:hAnsi="宋体"/>
                <w:sz w:val="24"/>
                <w:highlight w:val="none"/>
              </w:rPr>
              <w:t>招标文件中部分加“▲”的条款，属于招标文件的实质性要求和条件，着重提醒各投标人注意，并认真查看招标文件中的每一个条款及要求，因误读招标文件而造成的后果，招标人概不负责。</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30" w:type="dxa"/>
            <w:vMerge w:val="continue"/>
            <w:vAlign w:val="center"/>
          </w:tcPr>
          <w:p>
            <w:pPr>
              <w:spacing w:line="276" w:lineRule="auto"/>
              <w:jc w:val="center"/>
              <w:rPr>
                <w:rFonts w:ascii="宋体" w:hAnsi="宋体"/>
                <w:sz w:val="24"/>
                <w:highlight w:val="none"/>
              </w:rPr>
            </w:pPr>
          </w:p>
        </w:tc>
        <w:tc>
          <w:tcPr>
            <w:tcW w:w="1215" w:type="dxa"/>
            <w:vMerge w:val="continue"/>
            <w:vAlign w:val="center"/>
          </w:tcPr>
          <w:p>
            <w:pPr>
              <w:spacing w:line="276" w:lineRule="auto"/>
              <w:rPr>
                <w:rFonts w:ascii="宋体" w:hAnsi="宋体"/>
                <w:sz w:val="24"/>
                <w:highlight w:val="none"/>
              </w:rPr>
            </w:pPr>
          </w:p>
        </w:tc>
        <w:tc>
          <w:tcPr>
            <w:tcW w:w="7680" w:type="dxa"/>
            <w:vAlign w:val="center"/>
          </w:tcPr>
          <w:p>
            <w:pPr>
              <w:adjustRightInd w:val="0"/>
              <w:snapToGrid w:val="0"/>
              <w:spacing w:line="276" w:lineRule="auto"/>
              <w:rPr>
                <w:rFonts w:ascii="宋体" w:hAnsi="宋体"/>
                <w:sz w:val="24"/>
                <w:highlight w:val="none"/>
              </w:rPr>
            </w:pPr>
            <w:r>
              <w:rPr>
                <w:rFonts w:hint="eastAsia" w:ascii="宋体" w:hAnsi="宋体"/>
                <w:sz w:val="24"/>
                <w:highlight w:val="none"/>
              </w:rPr>
              <w:t>以上内容如有变化将另行通知，如通知其中某一项内容发生变化，其余未提及的内容将不作变动。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30" w:type="dxa"/>
            <w:vMerge w:val="continue"/>
            <w:vAlign w:val="center"/>
          </w:tcPr>
          <w:p>
            <w:pPr>
              <w:spacing w:line="276" w:lineRule="auto"/>
              <w:jc w:val="center"/>
              <w:rPr>
                <w:rFonts w:ascii="宋体" w:hAnsi="宋体"/>
                <w:sz w:val="24"/>
                <w:highlight w:val="none"/>
              </w:rPr>
            </w:pPr>
          </w:p>
        </w:tc>
        <w:tc>
          <w:tcPr>
            <w:tcW w:w="1215" w:type="dxa"/>
            <w:vMerge w:val="continue"/>
            <w:vAlign w:val="center"/>
          </w:tcPr>
          <w:p>
            <w:pPr>
              <w:spacing w:line="276" w:lineRule="auto"/>
              <w:rPr>
                <w:rFonts w:ascii="宋体" w:hAnsi="宋体"/>
                <w:sz w:val="24"/>
                <w:highlight w:val="none"/>
              </w:rPr>
            </w:pPr>
          </w:p>
        </w:tc>
        <w:tc>
          <w:tcPr>
            <w:tcW w:w="7680" w:type="dxa"/>
            <w:vAlign w:val="center"/>
          </w:tcPr>
          <w:p>
            <w:pPr>
              <w:adjustRightInd w:val="0"/>
              <w:snapToGrid w:val="0"/>
              <w:spacing w:line="276" w:lineRule="auto"/>
              <w:rPr>
                <w:rFonts w:ascii="宋体" w:hAnsi="宋体"/>
                <w:sz w:val="24"/>
                <w:highlight w:val="none"/>
              </w:rPr>
            </w:pPr>
            <w:r>
              <w:rPr>
                <w:rFonts w:hint="eastAsia" w:ascii="宋体" w:hAnsi="宋体"/>
                <w:sz w:val="24"/>
                <w:highlight w:val="none"/>
              </w:rPr>
              <w:t>根据浙江省财政厅文件浙财采监[2015]13号文件《关于印发浙江省政府采购活动现场组织管理办法的通知》要求，本项目按浙江省政府采购活动现场组织管理办法实施。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684" w:hRule="atLeast"/>
          <w:jc w:val="center"/>
        </w:trPr>
        <w:tc>
          <w:tcPr>
            <w:tcW w:w="830" w:type="dxa"/>
            <w:vMerge w:val="continue"/>
            <w:vAlign w:val="center"/>
          </w:tcPr>
          <w:p>
            <w:pPr>
              <w:spacing w:line="276" w:lineRule="auto"/>
              <w:jc w:val="center"/>
              <w:rPr>
                <w:rFonts w:ascii="宋体" w:hAnsi="宋体"/>
                <w:sz w:val="24"/>
                <w:highlight w:val="none"/>
              </w:rPr>
            </w:pPr>
          </w:p>
        </w:tc>
        <w:tc>
          <w:tcPr>
            <w:tcW w:w="1215" w:type="dxa"/>
            <w:vMerge w:val="continue"/>
            <w:vAlign w:val="center"/>
          </w:tcPr>
          <w:p>
            <w:pPr>
              <w:spacing w:line="276" w:lineRule="auto"/>
              <w:rPr>
                <w:rFonts w:ascii="宋体" w:hAnsi="宋体"/>
                <w:sz w:val="24"/>
                <w:highlight w:val="none"/>
              </w:rPr>
            </w:pPr>
          </w:p>
        </w:tc>
        <w:tc>
          <w:tcPr>
            <w:tcW w:w="7680" w:type="dxa"/>
            <w:vAlign w:val="center"/>
          </w:tcPr>
          <w:p>
            <w:pPr>
              <w:adjustRightInd w:val="0"/>
              <w:snapToGrid w:val="0"/>
              <w:spacing w:line="276" w:lineRule="auto"/>
              <w:rPr>
                <w:rFonts w:ascii="宋体" w:hAnsi="宋体"/>
                <w:sz w:val="24"/>
                <w:highlight w:val="none"/>
              </w:rPr>
            </w:pPr>
            <w:r>
              <w:rPr>
                <w:rFonts w:hint="eastAsia" w:ascii="宋体" w:hAnsi="宋体"/>
                <w:sz w:val="24"/>
                <w:highlight w:val="none"/>
              </w:rPr>
              <w:t>根据《关于在政府采购活动中查询及使用信用记录有关问题的通知》财库[2016]125号的规定：</w:t>
            </w:r>
          </w:p>
          <w:p>
            <w:pPr>
              <w:adjustRightInd w:val="0"/>
              <w:snapToGrid w:val="0"/>
              <w:spacing w:line="276" w:lineRule="auto"/>
              <w:rPr>
                <w:rFonts w:ascii="宋体" w:hAnsi="宋体"/>
                <w:sz w:val="24"/>
                <w:highlight w:val="none"/>
              </w:rPr>
            </w:pPr>
            <w:r>
              <w:rPr>
                <w:rFonts w:hint="eastAsia" w:ascii="宋体" w:hAnsi="宋体"/>
                <w:sz w:val="24"/>
                <w:highlight w:val="none"/>
              </w:rPr>
              <w:t>1）采购人或采购代理机构将对本项目投标人的信用记录进行查询。查询渠道为信用中国网站（www.creditchina.gov.cn）、中国政府采购网（www.ccgp.gov.cn）；</w:t>
            </w:r>
          </w:p>
          <w:p>
            <w:pPr>
              <w:adjustRightInd w:val="0"/>
              <w:snapToGrid w:val="0"/>
              <w:spacing w:line="276" w:lineRule="auto"/>
              <w:rPr>
                <w:rFonts w:ascii="宋体" w:hAnsi="宋体"/>
                <w:sz w:val="24"/>
                <w:highlight w:val="none"/>
              </w:rPr>
            </w:pPr>
            <w:r>
              <w:rPr>
                <w:rFonts w:hint="eastAsia" w:ascii="宋体" w:hAnsi="宋体"/>
                <w:sz w:val="24"/>
                <w:highlight w:val="none"/>
              </w:rPr>
              <w:t>2）截止时点：提交投标文件（响应文件）截止时间前3年内；</w:t>
            </w:r>
          </w:p>
          <w:p>
            <w:pPr>
              <w:adjustRightInd w:val="0"/>
              <w:snapToGrid w:val="0"/>
              <w:spacing w:line="276" w:lineRule="auto"/>
              <w:rPr>
                <w:rFonts w:ascii="宋体" w:hAnsi="宋体"/>
                <w:sz w:val="24"/>
                <w:highlight w:val="none"/>
              </w:rPr>
            </w:pPr>
            <w:r>
              <w:rPr>
                <w:rFonts w:hint="eastAsia" w:ascii="宋体" w:hAnsi="宋体"/>
                <w:sz w:val="24"/>
                <w:highlight w:val="none"/>
              </w:rPr>
              <w:t>3）查询记录和证据的留存：信用信息查询记录和证据以网页截图等方式留存。</w:t>
            </w:r>
          </w:p>
          <w:p>
            <w:pPr>
              <w:adjustRightInd w:val="0"/>
              <w:snapToGrid w:val="0"/>
              <w:spacing w:line="276" w:lineRule="auto"/>
              <w:rPr>
                <w:rFonts w:ascii="宋体" w:hAnsi="宋体"/>
                <w:sz w:val="24"/>
                <w:highlight w:val="none"/>
              </w:rPr>
            </w:pPr>
            <w:r>
              <w:rPr>
                <w:rFonts w:hint="eastAsia" w:ascii="宋体" w:hAnsi="宋体"/>
                <w:sz w:val="24"/>
                <w:highlight w:val="none"/>
              </w:rPr>
              <w:t>4）使用规则：被列入失信被执行人、重大税收违法案件当事人名单、政府采购严重违法失信行为记录名单及其它不符合《中华人民共和国政府采购法》第二十二条规定条件的，其投标将被拒绝。</w:t>
            </w:r>
          </w:p>
          <w:p>
            <w:pPr>
              <w:adjustRightInd w:val="0"/>
              <w:snapToGrid w:val="0"/>
              <w:spacing w:line="276" w:lineRule="auto"/>
              <w:rPr>
                <w:rFonts w:ascii="宋体" w:hAnsi="宋体"/>
                <w:sz w:val="24"/>
                <w:highlight w:val="none"/>
              </w:rPr>
            </w:pPr>
            <w:r>
              <w:rPr>
                <w:rFonts w:hint="eastAsia" w:ascii="宋体" w:hAnsi="宋体"/>
                <w:sz w:val="24"/>
                <w:highlight w:val="none"/>
              </w:rPr>
              <w:t>5）联合体成员任意一方存在不良信用记录的，视同联合体存在不良信用记录。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30" w:type="dxa"/>
            <w:vMerge w:val="continue"/>
            <w:vAlign w:val="center"/>
          </w:tcPr>
          <w:p>
            <w:pPr>
              <w:spacing w:line="276" w:lineRule="auto"/>
              <w:jc w:val="center"/>
              <w:rPr>
                <w:rFonts w:ascii="宋体" w:hAnsi="宋体"/>
                <w:sz w:val="24"/>
                <w:highlight w:val="none"/>
              </w:rPr>
            </w:pPr>
          </w:p>
        </w:tc>
        <w:tc>
          <w:tcPr>
            <w:tcW w:w="1215" w:type="dxa"/>
            <w:vMerge w:val="continue"/>
            <w:vAlign w:val="center"/>
          </w:tcPr>
          <w:p>
            <w:pPr>
              <w:spacing w:line="276" w:lineRule="auto"/>
              <w:rPr>
                <w:rFonts w:ascii="宋体" w:hAnsi="宋体"/>
                <w:sz w:val="24"/>
                <w:highlight w:val="none"/>
              </w:rPr>
            </w:pPr>
          </w:p>
        </w:tc>
        <w:tc>
          <w:tcPr>
            <w:tcW w:w="7680" w:type="dxa"/>
            <w:vAlign w:val="center"/>
          </w:tcPr>
          <w:p>
            <w:pPr>
              <w:adjustRightInd w:val="0"/>
              <w:snapToGrid w:val="0"/>
              <w:spacing w:line="276" w:lineRule="auto"/>
              <w:rPr>
                <w:rFonts w:ascii="宋体" w:hAnsi="宋体"/>
                <w:sz w:val="24"/>
                <w:highlight w:val="none"/>
              </w:rPr>
            </w:pPr>
            <w:r>
              <w:rPr>
                <w:rStyle w:val="608"/>
                <w:rFonts w:hint="eastAsia" w:ascii="宋体" w:hAnsi="宋体" w:eastAsia="宋体" w:cs="宋体"/>
                <w:b/>
                <w:bCs/>
                <w:color w:val="auto"/>
                <w:kern w:val="0"/>
                <w:sz w:val="24"/>
                <w:szCs w:val="24"/>
                <w:highlight w:val="none"/>
              </w:rPr>
              <w:t>投标截止时间后投标人凭CA数字证书完成投标解密等事宜。</w:t>
            </w:r>
            <w:r>
              <w:rPr>
                <w:rFonts w:hint="eastAsia" w:ascii="宋体" w:hAnsi="宋体" w:eastAsia="宋体" w:cs="宋体"/>
                <w:b/>
                <w:color w:val="auto"/>
                <w:sz w:val="24"/>
                <w:szCs w:val="24"/>
                <w:highlight w:val="none"/>
              </w:rPr>
              <w:t>投标人的联系电话在投标当天保持通信畅通，因通信问题无法联系到投标人造成的后果由投标人自行承担。</w:t>
            </w:r>
          </w:p>
        </w:tc>
      </w:tr>
      <w:bookmarkEnd w:id="16"/>
    </w:tbl>
    <w:p>
      <w:pPr>
        <w:adjustRightInd w:val="0"/>
        <w:snapToGrid w:val="0"/>
        <w:spacing w:line="360" w:lineRule="auto"/>
        <w:jc w:val="center"/>
        <w:outlineLvl w:val="1"/>
        <w:rPr>
          <w:rFonts w:ascii="宋体" w:hAnsi="宋体"/>
          <w:b/>
          <w:sz w:val="32"/>
          <w:highlight w:val="none"/>
        </w:rPr>
      </w:pPr>
      <w:bookmarkStart w:id="20" w:name="_Toc994"/>
      <w:bookmarkStart w:id="21" w:name="_Toc233618972"/>
      <w:bookmarkStart w:id="22" w:name="_Toc522530041"/>
      <w:bookmarkStart w:id="23" w:name="_Toc226106516"/>
      <w:bookmarkStart w:id="24" w:name="_Toc225840109"/>
      <w:bookmarkStart w:id="25" w:name="_Toc226106467"/>
      <w:bookmarkStart w:id="26" w:name="_Toc226521904"/>
      <w:r>
        <w:rPr>
          <w:rFonts w:hint="eastAsia" w:ascii="宋体" w:hAnsi="宋体"/>
          <w:b/>
          <w:sz w:val="32"/>
          <w:highlight w:val="none"/>
        </w:rPr>
        <w:t>一、总 则</w:t>
      </w:r>
      <w:bookmarkEnd w:id="20"/>
      <w:bookmarkEnd w:id="21"/>
      <w:bookmarkEnd w:id="22"/>
    </w:p>
    <w:p>
      <w:pPr>
        <w:pStyle w:val="46"/>
        <w:adjustRightInd w:val="0"/>
        <w:snapToGrid w:val="0"/>
        <w:spacing w:line="420" w:lineRule="exact"/>
        <w:rPr>
          <w:rFonts w:hAnsi="宋体"/>
          <w:b/>
          <w:sz w:val="24"/>
          <w:highlight w:val="none"/>
        </w:rPr>
      </w:pPr>
      <w:bookmarkStart w:id="27" w:name="_Hlt74714665"/>
      <w:bookmarkEnd w:id="27"/>
      <w:bookmarkStart w:id="28" w:name="_Hlt74730295"/>
      <w:bookmarkEnd w:id="28"/>
      <w:bookmarkStart w:id="29" w:name="_Hlt74730112"/>
      <w:bookmarkStart w:id="30" w:name="_Hlt74730208"/>
      <w:r>
        <w:rPr>
          <w:rFonts w:hint="eastAsia" w:hAnsi="宋体"/>
          <w:b/>
          <w:sz w:val="24"/>
          <w:highlight w:val="none"/>
        </w:rPr>
        <w:t>（一）实施依据</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本次招标工作按照《中华人民共和国政府采购法》等政府采购有关法律、法规、规章、文件的规定组织和实施。</w:t>
      </w:r>
    </w:p>
    <w:p>
      <w:pPr>
        <w:pStyle w:val="46"/>
        <w:adjustRightInd w:val="0"/>
        <w:snapToGrid w:val="0"/>
        <w:spacing w:line="420" w:lineRule="exact"/>
        <w:rPr>
          <w:rFonts w:hAnsi="宋体"/>
          <w:b/>
          <w:sz w:val="24"/>
          <w:highlight w:val="none"/>
        </w:rPr>
      </w:pPr>
      <w:bookmarkStart w:id="31" w:name="_Toc91899873"/>
      <w:r>
        <w:rPr>
          <w:rFonts w:hint="eastAsia" w:hAnsi="宋体"/>
          <w:b/>
          <w:sz w:val="24"/>
          <w:highlight w:val="none"/>
        </w:rPr>
        <w:t>（二）采购方式</w:t>
      </w:r>
      <w:bookmarkEnd w:id="31"/>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公开招标。</w:t>
      </w:r>
      <w:bookmarkEnd w:id="29"/>
      <w:bookmarkEnd w:id="30"/>
      <w:bookmarkStart w:id="32" w:name="_Hlt74388212"/>
      <w:bookmarkEnd w:id="32"/>
      <w:bookmarkStart w:id="33" w:name="_Hlt68516771"/>
      <w:bookmarkEnd w:id="33"/>
    </w:p>
    <w:p>
      <w:pPr>
        <w:adjustRightInd w:val="0"/>
        <w:snapToGrid w:val="0"/>
        <w:spacing w:line="420" w:lineRule="exact"/>
        <w:rPr>
          <w:rFonts w:ascii="宋体" w:hAnsi="宋体"/>
          <w:b/>
          <w:kern w:val="0"/>
          <w:sz w:val="24"/>
          <w:highlight w:val="none"/>
          <w:lang w:val="zh-CN"/>
        </w:rPr>
      </w:pPr>
      <w:bookmarkStart w:id="34" w:name="_Toc91899877"/>
      <w:bookmarkStart w:id="35" w:name="_Hlt74730303"/>
      <w:r>
        <w:rPr>
          <w:rFonts w:hint="eastAsia" w:ascii="宋体" w:hAnsi="宋体"/>
          <w:b/>
          <w:sz w:val="24"/>
          <w:highlight w:val="none"/>
        </w:rPr>
        <w:t>（三）</w:t>
      </w:r>
      <w:r>
        <w:rPr>
          <w:rFonts w:hint="eastAsia" w:ascii="宋体" w:hAnsi="宋体"/>
          <w:b/>
          <w:kern w:val="0"/>
          <w:sz w:val="24"/>
          <w:highlight w:val="none"/>
          <w:lang w:val="zh-CN"/>
        </w:rPr>
        <w:t>定义</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招标（采购）人：是指依法进行政府采购的国家机关、事业单位、团体组织，见本项目“招标公告”；</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招标（采购）代理机构：受招标人委托，在委托的范围内办理政府采购事宜并组织招标活动的机构，见本项目“招标公告”；</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投标人：是指参加本政府采购项目投标的投标人；</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中标人：是指经评审获得本项目最终合同签订资格的投标人。</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发包人（甲方）：是指合同签订的一方，一般与招标人、用户相同；</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承包人（乙方）：是指合同签订的另一方，一般与中标人相同；</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本招标文件中中小企业政策功能的投标人：是指监狱企业或符合中小企业划分标准（详见《关于印发中小企业划型标准规定的通知》工信部联企业〔2011〕300号）的小、微企业，同时该企业提供的货物、承担的工程或者服务是由本企业制造或者由其他小、微企业（监狱企业）制造（提供），本项所称货物不包括使用大型企业注册商标的货物；</w:t>
      </w:r>
    </w:p>
    <w:p>
      <w:pPr>
        <w:spacing w:line="420" w:lineRule="exact"/>
        <w:ind w:firstLine="480" w:firstLineChars="200"/>
        <w:rPr>
          <w:rFonts w:ascii="宋体" w:hAnsi="宋体"/>
          <w:sz w:val="24"/>
          <w:highlight w:val="none"/>
        </w:rPr>
      </w:pPr>
      <w:r>
        <w:rPr>
          <w:rFonts w:ascii="宋体" w:hAnsi="宋体"/>
          <w:sz w:val="24"/>
          <w:highlight w:val="none"/>
        </w:rPr>
        <w:t>监狱企业：是指由司法部认定的为罪犯、戒毒人员提供生产项目和劳动对象，且全部产权属于司法 部监狱管理局、戒毒管理局、直属煤矿管理局，各省、自治区、直辖市监狱管理局、戒毒管理局，各地 （设区的市）监狱、强制隔离戒毒所、戒毒康复所，以及新疆生产建设兵团监狱管理局、戒毒管理局的 企业。监狱企业参加政府采购活动时，应当提供由省级以上监狱管理局、戒毒管理局（含新疆生产建设 兵团）出具的属于监狱企业的证明文件</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ascii="宋体" w:hAnsi="宋体"/>
          <w:sz w:val="24"/>
          <w:highlight w:val="none"/>
        </w:rPr>
        <w:t>残疾人福利性单位：符合《财政部 民政部 中国残疾人联合会关于促进残疾人就业政府采购政策的 通知》（财库〔2017〕 141 号）的规定单位</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ascii="宋体" w:hAnsi="宋体"/>
          <w:sz w:val="24"/>
          <w:highlight w:val="none"/>
        </w:rPr>
        <w:t>政府采购监管部门：</w:t>
      </w:r>
      <w:r>
        <w:rPr>
          <w:rFonts w:hint="eastAsia" w:ascii="宋体" w:hAnsi="宋体"/>
          <w:sz w:val="24"/>
          <w:szCs w:val="22"/>
          <w:highlight w:val="none"/>
        </w:rPr>
        <w:t>衢州市政府采购管理办公室</w:t>
      </w:r>
      <w:r>
        <w:rPr>
          <w:rFonts w:hint="eastAsia" w:ascii="宋体" w:hAnsi="宋体"/>
          <w:sz w:val="24"/>
          <w:highlight w:val="none"/>
        </w:rPr>
        <w:t>；</w:t>
      </w:r>
    </w:p>
    <w:p>
      <w:pPr>
        <w:adjustRightInd w:val="0"/>
        <w:snapToGrid w:val="0"/>
        <w:spacing w:line="420" w:lineRule="exact"/>
        <w:ind w:firstLine="480" w:firstLineChars="200"/>
        <w:rPr>
          <w:rFonts w:ascii="宋体" w:hAnsi="宋体"/>
          <w:kern w:val="0"/>
          <w:sz w:val="24"/>
          <w:highlight w:val="none"/>
          <w:lang w:val="zh-CN"/>
        </w:rPr>
      </w:pPr>
      <w:r>
        <w:rPr>
          <w:rFonts w:hint="eastAsia" w:ascii="宋体" w:hAnsi="宋体"/>
          <w:kern w:val="0"/>
          <w:sz w:val="24"/>
          <w:highlight w:val="none"/>
          <w:lang w:val="zh-CN"/>
        </w:rPr>
        <w:t>产品（货物）：系指按招标文件规定，须向招标人提供的一切设备及配套备品备件、工具、手册及其他有关技术资料和材料；</w:t>
      </w:r>
    </w:p>
    <w:p>
      <w:pPr>
        <w:adjustRightInd w:val="0"/>
        <w:snapToGrid w:val="0"/>
        <w:spacing w:line="420" w:lineRule="exact"/>
        <w:ind w:firstLine="480" w:firstLineChars="200"/>
        <w:rPr>
          <w:rFonts w:ascii="宋体" w:hAnsi="宋体"/>
          <w:kern w:val="0"/>
          <w:sz w:val="24"/>
          <w:highlight w:val="none"/>
          <w:lang w:val="zh-CN"/>
        </w:rPr>
      </w:pPr>
      <w:r>
        <w:rPr>
          <w:rFonts w:ascii="宋体" w:hAnsi="宋体"/>
          <w:kern w:val="0"/>
          <w:sz w:val="24"/>
          <w:highlight w:val="none"/>
          <w:lang w:val="zh-CN"/>
        </w:rPr>
        <w:t>投标人应保证提供的产品为合法企业生产的合法产品，符合中华人民共和国有关法律、法规、</w:t>
      </w:r>
      <w:r>
        <w:rPr>
          <w:rFonts w:hint="eastAsia" w:ascii="宋体" w:hAnsi="宋体"/>
          <w:kern w:val="0"/>
          <w:sz w:val="24"/>
          <w:highlight w:val="none"/>
          <w:lang w:val="zh-CN"/>
        </w:rPr>
        <w:t>规章、文件、</w:t>
      </w:r>
      <w:r>
        <w:rPr>
          <w:rFonts w:ascii="宋体" w:hAnsi="宋体"/>
          <w:kern w:val="0"/>
          <w:sz w:val="24"/>
          <w:highlight w:val="none"/>
          <w:lang w:val="zh-CN"/>
        </w:rPr>
        <w:t>标准</w:t>
      </w:r>
      <w:r>
        <w:rPr>
          <w:rFonts w:hint="eastAsia" w:ascii="宋体" w:hAnsi="宋体"/>
          <w:kern w:val="0"/>
          <w:sz w:val="24"/>
          <w:highlight w:val="none"/>
          <w:lang w:val="zh-CN"/>
        </w:rPr>
        <w:t>、规范的规定</w:t>
      </w:r>
      <w:r>
        <w:rPr>
          <w:rFonts w:ascii="宋体" w:hAnsi="宋体"/>
          <w:kern w:val="0"/>
          <w:sz w:val="24"/>
          <w:highlight w:val="none"/>
          <w:lang w:val="zh-CN"/>
        </w:rPr>
        <w:t>。按国家规定应通过有关部门鉴定（批准）的产品，应保证已按国家规定通过了鉴定（批准）；实行产品许可证制度的产品须获得国家许可；实行强制性认证的产品须通过国家认可认证；</w:t>
      </w:r>
      <w:r>
        <w:rPr>
          <w:rFonts w:hint="eastAsia" w:ascii="宋体" w:hAnsi="宋体"/>
          <w:kern w:val="0"/>
          <w:sz w:val="24"/>
          <w:highlight w:val="none"/>
          <w:lang w:val="zh-CN"/>
        </w:rPr>
        <w:t>产品应符合国家节能环保要求；</w:t>
      </w:r>
      <w:r>
        <w:rPr>
          <w:rFonts w:ascii="宋体" w:hAnsi="宋体"/>
          <w:kern w:val="0"/>
          <w:sz w:val="24"/>
          <w:highlight w:val="none"/>
          <w:lang w:val="zh-CN"/>
        </w:rPr>
        <w:t>投标人在投标文件中提供相关证明材料。</w:t>
      </w:r>
    </w:p>
    <w:p>
      <w:pPr>
        <w:tabs>
          <w:tab w:val="left" w:pos="0"/>
        </w:tabs>
        <w:autoSpaceDE w:val="0"/>
        <w:autoSpaceDN w:val="0"/>
        <w:adjustRightIn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服务：</w:t>
      </w:r>
      <w:r>
        <w:rPr>
          <w:rFonts w:hint="eastAsia" w:ascii="宋体" w:hAnsi="宋体"/>
          <w:kern w:val="0"/>
          <w:sz w:val="24"/>
          <w:highlight w:val="none"/>
          <w:lang w:val="zh-CN"/>
        </w:rPr>
        <w:t>系指按招标文件规定，须向招标人提供</w:t>
      </w:r>
      <w:r>
        <w:rPr>
          <w:rFonts w:hint="eastAsia" w:ascii="宋体" w:hAnsi="宋体"/>
          <w:sz w:val="24"/>
          <w:highlight w:val="none"/>
          <w:lang w:val="zh-CN"/>
        </w:rPr>
        <w:t xml:space="preserve">的与供货有关的辅助服务，如运输、保险、培训安装、调试、验收、技术支持和交付使用后质保期内应履行的售后服务等义务； </w:t>
      </w:r>
    </w:p>
    <w:p>
      <w:pPr>
        <w:tabs>
          <w:tab w:val="left" w:pos="0"/>
        </w:tabs>
        <w:autoSpaceDE w:val="0"/>
        <w:autoSpaceDN w:val="0"/>
        <w:adjustRightInd w:val="0"/>
        <w:spacing w:line="420" w:lineRule="exact"/>
        <w:ind w:firstLine="480" w:firstLineChars="200"/>
        <w:rPr>
          <w:rFonts w:ascii="宋体" w:hAnsi="宋体"/>
          <w:kern w:val="0"/>
          <w:sz w:val="24"/>
          <w:highlight w:val="none"/>
          <w:lang w:val="zh-CN"/>
        </w:rPr>
      </w:pPr>
      <w:r>
        <w:rPr>
          <w:rFonts w:hint="eastAsia" w:ascii="宋体" w:hAnsi="宋体"/>
          <w:kern w:val="0"/>
          <w:sz w:val="24"/>
          <w:highlight w:val="none"/>
          <w:lang w:val="zh-CN"/>
        </w:rPr>
        <w:t>培训：系指按招标文件规定，向招标人提供操作使用培训、系统管理培训和其他相关培训等。</w:t>
      </w:r>
    </w:p>
    <w:p>
      <w:pPr>
        <w:tabs>
          <w:tab w:val="left" w:pos="0"/>
        </w:tabs>
        <w:autoSpaceDE w:val="0"/>
        <w:autoSpaceDN w:val="0"/>
        <w:adjustRightInd w:val="0"/>
        <w:spacing w:line="420" w:lineRule="exact"/>
        <w:ind w:firstLine="480" w:firstLineChars="200"/>
        <w:rPr>
          <w:rFonts w:ascii="宋体" w:hAnsi="宋体"/>
          <w:kern w:val="0"/>
          <w:sz w:val="24"/>
          <w:highlight w:val="none"/>
          <w:lang w:val="zh-CN"/>
        </w:rPr>
      </w:pPr>
      <w:r>
        <w:rPr>
          <w:rFonts w:hint="eastAsia" w:ascii="宋体" w:hAnsi="宋体"/>
          <w:kern w:val="0"/>
          <w:sz w:val="24"/>
          <w:highlight w:val="none"/>
          <w:lang w:val="zh-CN"/>
        </w:rPr>
        <w:t>书面形式：包括纸质文件、电子邮件、传真、信函、电报等。</w:t>
      </w:r>
    </w:p>
    <w:p>
      <w:pPr>
        <w:adjustRightInd w:val="0"/>
        <w:snapToGri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实质性响应:系指投标文件符合招标文件规定的实质性内容、条件和规定。</w:t>
      </w:r>
    </w:p>
    <w:p>
      <w:pPr>
        <w:adjustRightInd w:val="0"/>
        <w:snapToGri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重大偏离或保留：系指将会影响到招标文件规定的服务范围、质量标准，或会给合同中规定的招标人的权利和投标人的责任造成实质性限制，而纠正这些偏离或保留将对其他提交了实质性响应的投标文件的投标人产生不公平影响的。</w:t>
      </w:r>
    </w:p>
    <w:p>
      <w:pPr>
        <w:tabs>
          <w:tab w:val="left" w:pos="0"/>
        </w:tabs>
        <w:autoSpaceDE w:val="0"/>
        <w:autoSpaceDN w:val="0"/>
        <w:adjustRightInd w:val="0"/>
        <w:spacing w:line="420" w:lineRule="exact"/>
        <w:ind w:firstLine="480" w:firstLineChars="200"/>
        <w:rPr>
          <w:rFonts w:ascii="宋体" w:hAnsi="宋体"/>
          <w:kern w:val="0"/>
          <w:sz w:val="24"/>
          <w:highlight w:val="none"/>
        </w:rPr>
      </w:pPr>
      <w:r>
        <w:rPr>
          <w:rFonts w:hint="eastAsia" w:ascii="宋体" w:hAnsi="宋体"/>
          <w:sz w:val="24"/>
          <w:highlight w:val="none"/>
          <w:lang w:val="zh-CN"/>
        </w:rPr>
        <w:t>细微偏离：系指投标文件对招标文件的非实质性内容存在不完全响应或不响应。</w:t>
      </w:r>
    </w:p>
    <w:p>
      <w:pPr>
        <w:pStyle w:val="46"/>
        <w:adjustRightInd w:val="0"/>
        <w:snapToGrid w:val="0"/>
        <w:spacing w:line="420" w:lineRule="exact"/>
        <w:rPr>
          <w:rFonts w:hAnsi="宋体"/>
          <w:b/>
          <w:sz w:val="24"/>
          <w:highlight w:val="none"/>
        </w:rPr>
      </w:pPr>
      <w:r>
        <w:rPr>
          <w:rFonts w:hint="eastAsia" w:hAnsi="宋体"/>
          <w:b/>
          <w:sz w:val="24"/>
          <w:highlight w:val="none"/>
        </w:rPr>
        <w:t>（四）投标费用</w:t>
      </w:r>
    </w:p>
    <w:p>
      <w:pPr>
        <w:adjustRightInd w:val="0"/>
        <w:snapToGrid w:val="0"/>
        <w:spacing w:line="420" w:lineRule="exact"/>
        <w:ind w:firstLine="523" w:firstLineChars="218"/>
        <w:rPr>
          <w:rFonts w:ascii="宋体" w:hAnsi="宋体"/>
          <w:kern w:val="0"/>
          <w:position w:val="-5"/>
          <w:sz w:val="24"/>
          <w:highlight w:val="none"/>
        </w:rPr>
      </w:pPr>
      <w:r>
        <w:rPr>
          <w:rFonts w:hint="eastAsia" w:ascii="宋体" w:hAnsi="宋体"/>
          <w:kern w:val="0"/>
          <w:position w:val="-5"/>
          <w:sz w:val="24"/>
          <w:highlight w:val="none"/>
        </w:rPr>
        <w:t>无论招投标过程中的做法和结果如何，投标人自行承担招投标活动中所发生的全部费用。</w:t>
      </w:r>
    </w:p>
    <w:p>
      <w:pPr>
        <w:adjustRightInd w:val="0"/>
        <w:snapToGrid w:val="0"/>
        <w:spacing w:line="420" w:lineRule="exact"/>
        <w:rPr>
          <w:rFonts w:ascii="宋体" w:hAnsi="宋体"/>
          <w:b/>
          <w:sz w:val="24"/>
          <w:highlight w:val="none"/>
        </w:rPr>
      </w:pPr>
      <w:r>
        <w:rPr>
          <w:rFonts w:hint="eastAsia" w:ascii="宋体" w:hAnsi="宋体"/>
          <w:b/>
          <w:sz w:val="24"/>
          <w:highlight w:val="none"/>
        </w:rPr>
        <w:t>（五）语言文字</w:t>
      </w:r>
    </w:p>
    <w:bookmarkEnd w:id="34"/>
    <w:bookmarkEnd w:id="35"/>
    <w:p>
      <w:pPr>
        <w:adjustRightInd w:val="0"/>
        <w:snapToGrid w:val="0"/>
        <w:spacing w:line="420" w:lineRule="exact"/>
        <w:ind w:firstLine="523" w:firstLineChars="218"/>
        <w:rPr>
          <w:rFonts w:ascii="宋体" w:hAnsi="宋体"/>
          <w:sz w:val="24"/>
          <w:highlight w:val="none"/>
        </w:rPr>
      </w:pPr>
      <w:bookmarkStart w:id="36" w:name="_Hlt74729768"/>
      <w:bookmarkEnd w:id="36"/>
      <w:bookmarkStart w:id="37" w:name="_Hlt74707468"/>
      <w:bookmarkEnd w:id="37"/>
      <w:bookmarkStart w:id="38" w:name="_Hlt68072990"/>
      <w:bookmarkEnd w:id="38"/>
      <w:bookmarkStart w:id="39" w:name="_Hlt75236290"/>
      <w:bookmarkEnd w:id="39"/>
      <w:bookmarkStart w:id="40" w:name="_Hlt68057669"/>
      <w:bookmarkEnd w:id="40"/>
      <w:bookmarkStart w:id="41" w:name="_Toc91899879"/>
      <w:r>
        <w:rPr>
          <w:rFonts w:hint="eastAsia" w:ascii="宋体" w:hAnsi="宋体"/>
          <w:sz w:val="24"/>
          <w:highlight w:val="none"/>
        </w:rPr>
        <w:t>1、招标投标有关的语言使用中文。</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w:t>
      </w:r>
    </w:p>
    <w:p>
      <w:pPr>
        <w:adjustRightInd w:val="0"/>
        <w:snapToGrid w:val="0"/>
        <w:spacing w:line="420" w:lineRule="exact"/>
        <w:rPr>
          <w:rFonts w:ascii="宋体" w:hAnsi="宋体"/>
          <w:sz w:val="24"/>
          <w:highlight w:val="none"/>
        </w:rPr>
      </w:pPr>
      <w:r>
        <w:rPr>
          <w:rFonts w:hint="eastAsia" w:ascii="宋体" w:hAnsi="宋体"/>
          <w:b/>
          <w:sz w:val="24"/>
          <w:highlight w:val="none"/>
        </w:rPr>
        <w:t>（六）计量单位</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招标文件有明确规定的，适用招标文件规定的计量单位；招标文件没有规定的，应采用中华人民共和国法定计量单位，否则视同未响应。</w:t>
      </w:r>
    </w:p>
    <w:p>
      <w:pPr>
        <w:adjustRightInd w:val="0"/>
        <w:snapToGrid w:val="0"/>
        <w:spacing w:line="420" w:lineRule="exact"/>
        <w:rPr>
          <w:rFonts w:ascii="宋体" w:hAnsi="宋体"/>
          <w:sz w:val="24"/>
          <w:highlight w:val="none"/>
        </w:rPr>
      </w:pPr>
      <w:r>
        <w:rPr>
          <w:rFonts w:hint="eastAsia" w:ascii="宋体" w:hAnsi="宋体"/>
          <w:b/>
          <w:sz w:val="24"/>
          <w:highlight w:val="none"/>
        </w:rPr>
        <w:t>（七）转包与分包</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本项目不允许转包。本须知“前附表”规定允许分包的，投标人应当在投标文件载明分包的具体情况，应符合招标人在本须知“前附表”规定的分包内容、分包金额和接受分包的第三人资质要求等限制条件。</w:t>
      </w:r>
    </w:p>
    <w:p>
      <w:pPr>
        <w:adjustRightInd w:val="0"/>
        <w:snapToGrid w:val="0"/>
        <w:spacing w:line="420" w:lineRule="exact"/>
        <w:rPr>
          <w:rFonts w:ascii="宋体" w:hAnsi="宋体"/>
          <w:b/>
          <w:sz w:val="24"/>
          <w:highlight w:val="none"/>
        </w:rPr>
      </w:pPr>
      <w:r>
        <w:rPr>
          <w:rFonts w:hint="eastAsia" w:ascii="宋体" w:hAnsi="宋体"/>
          <w:b/>
          <w:sz w:val="24"/>
          <w:highlight w:val="none"/>
        </w:rPr>
        <w:t>（八）踏勘现场</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、若本须知“前附表”规定统一组织的，投标人应按规定的时间、地点准时出席，否则将不予单独安排；</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、投标人踏勘现场发生的费用自理。</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、除招标人的原因外，投标人自行负责在踏勘现场中可能发生的人员伤亡和财产损失。</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、招标人在踏勘现场中介绍的场地和相关的周边环境情况，投标人在编制投标文件时参考，招标人不对投标人据此作出的判断和决策负责。</w:t>
      </w:r>
    </w:p>
    <w:p>
      <w:pPr>
        <w:adjustRightInd w:val="0"/>
        <w:snapToGrid w:val="0"/>
        <w:spacing w:line="420" w:lineRule="exact"/>
        <w:rPr>
          <w:rFonts w:ascii="宋体" w:hAnsi="宋体"/>
          <w:b/>
          <w:sz w:val="24"/>
          <w:highlight w:val="none"/>
        </w:rPr>
      </w:pPr>
      <w:r>
        <w:rPr>
          <w:rFonts w:hint="eastAsia" w:ascii="宋体" w:hAnsi="宋体"/>
          <w:b/>
          <w:sz w:val="24"/>
          <w:highlight w:val="none"/>
        </w:rPr>
        <w:t>（九）投标预备会（答疑会）</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、若本须知“前附表”规定召开答疑会的，招标人将按规定的时间、地点准时召开答疑会，澄清投标人提出的问题，投标人应按规定准时出席，否则将不予单独安排答疑。</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、投标人应在答疑会时间的前一天，以书面形式将提出的问题送达招标人，以便招标人在会议期间澄清。</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、答疑会后，招标人将按规定对投标人所提问题进行书面澄清答复。</w:t>
      </w:r>
    </w:p>
    <w:p>
      <w:pPr>
        <w:adjustRightInd w:val="0"/>
        <w:snapToGrid w:val="0"/>
        <w:spacing w:line="420" w:lineRule="exact"/>
        <w:rPr>
          <w:rFonts w:ascii="宋体" w:hAnsi="宋体"/>
          <w:sz w:val="24"/>
          <w:highlight w:val="none"/>
        </w:rPr>
      </w:pPr>
      <w:r>
        <w:rPr>
          <w:rFonts w:hint="eastAsia" w:ascii="宋体" w:hAnsi="宋体"/>
          <w:b/>
          <w:sz w:val="24"/>
          <w:highlight w:val="none"/>
        </w:rPr>
        <w:t>（十）对投标人的限制</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1、单位负责人（指法定代表人或者法律、行政法规规定代表单位行使职权的主要负责人）为同一人或者存在直接控股、管理关系的不同投标人不得分别参加同一合同项下的采购活动。违反本条规定的，相关投标均无效；</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2、为本项目提供过整体设计、规范编制或者项目管理、监理、检测等服务的投标人，不得再参加该采购项目的其他采购活动（不包括为该项目提供整体设计、规范编制或者项目管理、监理、检测等服务）；</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3、以联合体形式参加政府采购活动的，联合体各方不得再单独参加或者与其他投标人另外组成联合体参加同一合同项下的政府采购活动；</w:t>
      </w:r>
    </w:p>
    <w:p>
      <w:pPr>
        <w:spacing w:line="42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为证明投标人拥有的业绩、荣誉、知识产权、项目案例等而在投标文件中提供的证明材料必须为投标人自身所有。不同法人、其他组织的资料与投标人无关。</w:t>
      </w:r>
    </w:p>
    <w:p>
      <w:pPr>
        <w:spacing w:line="420" w:lineRule="exact"/>
        <w:ind w:firstLine="480" w:firstLineChars="200"/>
        <w:rPr>
          <w:rFonts w:ascii="宋体" w:hAnsi="宋体"/>
          <w:sz w:val="24"/>
          <w:highlight w:val="none"/>
        </w:rPr>
      </w:pPr>
      <w:r>
        <w:rPr>
          <w:rFonts w:hint="eastAsia" w:ascii="宋体" w:hAnsi="宋体"/>
          <w:sz w:val="24"/>
          <w:highlight w:val="none"/>
        </w:rPr>
        <w:t>5、投标人</w:t>
      </w:r>
      <w:r>
        <w:rPr>
          <w:rFonts w:ascii="宋体" w:hAnsi="宋体"/>
          <w:sz w:val="24"/>
          <w:highlight w:val="none"/>
        </w:rPr>
        <w:t>之间的利害关系</w:t>
      </w:r>
      <w:r>
        <w:rPr>
          <w:rFonts w:hint="eastAsia" w:ascii="宋体" w:hAnsi="宋体"/>
          <w:sz w:val="24"/>
          <w:highlight w:val="none"/>
        </w:rPr>
        <w:t>：</w:t>
      </w:r>
    </w:p>
    <w:p>
      <w:pPr>
        <w:spacing w:line="42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法定代表人或负责人或实际控制人是夫妻关系；</w:t>
      </w:r>
    </w:p>
    <w:p>
      <w:pPr>
        <w:spacing w:line="42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法定代表人或负责人或实际控制人是直系血亲关系；</w:t>
      </w:r>
    </w:p>
    <w:p>
      <w:pPr>
        <w:spacing w:line="42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法定代表人或负责人或实际控制人存在三代以内旁系血亲关系；</w:t>
      </w:r>
    </w:p>
    <w:p>
      <w:pPr>
        <w:spacing w:line="420" w:lineRule="exact"/>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法定代表人或负责人或实际控制人存在近姻亲关系；</w:t>
      </w:r>
    </w:p>
    <w:p>
      <w:pPr>
        <w:spacing w:line="420" w:lineRule="exact"/>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法定代表人或负责人或实际控制人存在股份控制或实际控制关系；</w:t>
      </w:r>
    </w:p>
    <w:p>
      <w:pPr>
        <w:spacing w:line="420" w:lineRule="exact"/>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存在共同直接或间接投资设立子公司、联营企业和合营企业情况；</w:t>
      </w:r>
    </w:p>
    <w:p>
      <w:pPr>
        <w:spacing w:line="420" w:lineRule="exact"/>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存在分级代理或代销关系、同一生产制造商关系、管理关系、重要业务（占主营业务收入 50%以 上）或重要财务往来关系（如融资）等其他实质性控制关系； 如</w:t>
      </w:r>
      <w:r>
        <w:rPr>
          <w:rFonts w:hint="eastAsia" w:ascii="宋体" w:hAnsi="宋体"/>
          <w:sz w:val="24"/>
          <w:highlight w:val="none"/>
        </w:rPr>
        <w:t>投标人</w:t>
      </w:r>
      <w:r>
        <w:rPr>
          <w:rFonts w:ascii="宋体" w:hAnsi="宋体"/>
          <w:sz w:val="24"/>
          <w:highlight w:val="none"/>
        </w:rPr>
        <w:t>之间存在以上利害关系并且存在影响政府采购公平竞争的行为的相关</w:t>
      </w:r>
      <w:r>
        <w:rPr>
          <w:rFonts w:hint="eastAsia" w:ascii="宋体" w:hAnsi="宋体"/>
          <w:sz w:val="24"/>
          <w:highlight w:val="none"/>
        </w:rPr>
        <w:t>投标人</w:t>
      </w:r>
      <w:r>
        <w:rPr>
          <w:rFonts w:ascii="宋体" w:hAnsi="宋体"/>
          <w:sz w:val="24"/>
          <w:highlight w:val="none"/>
        </w:rPr>
        <w:t xml:space="preserve">的投标均无效。 </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6、招标公告中明确专门面向中小微企业采购的项目，只能由中小企业或微型企业参加。</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7、投标截止前被“信用中国”网站</w:t>
      </w:r>
      <w:r>
        <w:rPr>
          <w:rFonts w:hint="eastAsia" w:ascii="宋体" w:hAnsi="宋体" w:eastAsia="宋体" w:cs="Times New Roman"/>
          <w:sz w:val="24"/>
          <w:highlight w:val="none"/>
        </w:rPr>
        <w:t>(</w:t>
      </w:r>
      <w:r>
        <w:rPr>
          <w:rFonts w:hint="eastAsia" w:ascii="宋体" w:hAnsi="宋体" w:eastAsia="宋体" w:cs="Times New Roman"/>
          <w:sz w:val="24"/>
          <w:highlight w:val="none"/>
        </w:rPr>
        <w:fldChar w:fldCharType="begin"/>
      </w:r>
      <w:r>
        <w:rPr>
          <w:rFonts w:hint="eastAsia" w:ascii="宋体" w:hAnsi="宋体" w:eastAsia="宋体" w:cs="Times New Roman"/>
          <w:sz w:val="24"/>
          <w:highlight w:val="none"/>
        </w:rPr>
        <w:instrText xml:space="preserve"> HYPERLINK "http://www.creditchina.gov.cn" </w:instrText>
      </w:r>
      <w:r>
        <w:rPr>
          <w:rFonts w:hint="eastAsia" w:ascii="宋体" w:hAnsi="宋体" w:eastAsia="宋体" w:cs="Times New Roman"/>
          <w:sz w:val="24"/>
          <w:highlight w:val="none"/>
        </w:rPr>
        <w:fldChar w:fldCharType="separate"/>
      </w:r>
      <w:r>
        <w:rPr>
          <w:rFonts w:hint="eastAsia" w:ascii="宋体" w:hAnsi="宋体" w:eastAsia="宋体" w:cs="Times New Roman"/>
          <w:sz w:val="24"/>
          <w:highlight w:val="none"/>
        </w:rPr>
        <w:t>www.creditchina.gov.cn</w:t>
      </w:r>
      <w:r>
        <w:rPr>
          <w:rFonts w:hint="eastAsia" w:ascii="宋体" w:hAnsi="宋体" w:eastAsia="宋体" w:cs="Times New Roman"/>
          <w:sz w:val="24"/>
          <w:highlight w:val="none"/>
        </w:rPr>
        <w:fldChar w:fldCharType="end"/>
      </w:r>
      <w:r>
        <w:rPr>
          <w:rFonts w:hint="eastAsia" w:ascii="宋体" w:hAnsi="宋体"/>
          <w:sz w:val="24"/>
          <w:highlight w:val="none"/>
        </w:rPr>
        <w:t>)列入失信被执行人、重大税收违法案件当事人名单或被“中国政府采购网”</w:t>
      </w:r>
      <w:r>
        <w:rPr>
          <w:rFonts w:hint="eastAsia" w:ascii="宋体" w:hAnsi="宋体" w:eastAsia="宋体" w:cs="Times New Roman"/>
          <w:sz w:val="24"/>
          <w:highlight w:val="none"/>
        </w:rPr>
        <w:t>(</w:t>
      </w:r>
      <w:r>
        <w:rPr>
          <w:rFonts w:hint="eastAsia" w:ascii="宋体" w:hAnsi="宋体" w:eastAsia="宋体" w:cs="Times New Roman"/>
          <w:sz w:val="24"/>
          <w:highlight w:val="none"/>
        </w:rPr>
        <w:fldChar w:fldCharType="begin"/>
      </w:r>
      <w:r>
        <w:rPr>
          <w:rFonts w:hint="eastAsia" w:ascii="宋体" w:hAnsi="宋体" w:eastAsia="宋体" w:cs="Times New Roman"/>
          <w:sz w:val="24"/>
          <w:highlight w:val="none"/>
        </w:rPr>
        <w:instrText xml:space="preserve"> HYPERLINK "http://www.ccgp.gov.cn" </w:instrText>
      </w:r>
      <w:r>
        <w:rPr>
          <w:rFonts w:hint="eastAsia" w:ascii="宋体" w:hAnsi="宋体" w:eastAsia="宋体" w:cs="Times New Roman"/>
          <w:sz w:val="24"/>
          <w:highlight w:val="none"/>
        </w:rPr>
        <w:fldChar w:fldCharType="separate"/>
      </w:r>
      <w:r>
        <w:rPr>
          <w:rFonts w:hint="eastAsia" w:ascii="宋体" w:hAnsi="宋体" w:eastAsia="宋体" w:cs="Times New Roman"/>
          <w:sz w:val="24"/>
          <w:highlight w:val="none"/>
        </w:rPr>
        <w:t>www.ccgp.gov.cn</w:t>
      </w:r>
      <w:r>
        <w:rPr>
          <w:rFonts w:hint="eastAsia" w:ascii="宋体" w:hAnsi="宋体" w:eastAsia="宋体" w:cs="Times New Roman"/>
          <w:sz w:val="24"/>
          <w:highlight w:val="none"/>
        </w:rPr>
        <w:fldChar w:fldCharType="end"/>
      </w:r>
      <w:r>
        <w:rPr>
          <w:rFonts w:hint="eastAsia" w:ascii="宋体" w:hAnsi="宋体" w:eastAsia="宋体" w:cs="Times New Roman"/>
          <w:sz w:val="24"/>
          <w:highlight w:val="none"/>
        </w:rPr>
        <w:t>)列入</w:t>
      </w:r>
      <w:r>
        <w:rPr>
          <w:rFonts w:hint="eastAsia" w:ascii="宋体" w:hAnsi="宋体"/>
          <w:sz w:val="24"/>
          <w:highlight w:val="none"/>
        </w:rPr>
        <w:t>政府采购严重违法失信行为记录名单等存在不良信用记录的投标人将被拒绝参加本项目采购活动。具体以投标截止当日招标代理机构在上述两个网站上查询到的信息为准。</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两个以上的自然人、法人或者其他组织组成一个联合体，以一个投标人的身份共同参加政府采购活动的，将对所有联合体成员进行信用记录查询，联合体成员存在不良信用记录的，视同联合体存在不良信用记录。</w:t>
      </w:r>
    </w:p>
    <w:p>
      <w:pPr>
        <w:adjustRightInd w:val="0"/>
        <w:snapToGrid w:val="0"/>
        <w:spacing w:line="420" w:lineRule="exact"/>
        <w:rPr>
          <w:rFonts w:ascii="宋体" w:hAnsi="宋体"/>
          <w:b/>
          <w:sz w:val="24"/>
          <w:highlight w:val="none"/>
        </w:rPr>
      </w:pPr>
      <w:r>
        <w:rPr>
          <w:rFonts w:hint="eastAsia" w:ascii="宋体" w:hAnsi="宋体"/>
          <w:b/>
          <w:sz w:val="24"/>
          <w:highlight w:val="none"/>
        </w:rPr>
        <w:t>（十一）质疑与投诉</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投标人认为招标文件、招标过程或中标结果使自己的合法权益受到损害的，应当在知道或者应知其权益受到损害之日起七个工作日内，以书面形式向招标人、招标代理机构提出质疑，逾期提出的，招标人与招标代理机构可以不予受理、答复。“知道或者应知其权益受到损害之日”是指：</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（1）对招标文件提出质疑的，为招标公告期限届满之日（公告期限为公告发布后5个工作日，不含发布当日）；</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（2）对采购过程提出质疑的，为各招标程序环节结束之日；</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（3）对评标结果提出质疑的，为中标结果公告期限届满之日（公告期限为公告发布后</w:t>
      </w:r>
      <w:r>
        <w:rPr>
          <w:rFonts w:ascii="宋体" w:hAnsi="宋体"/>
          <w:sz w:val="24"/>
          <w:highlight w:val="none"/>
        </w:rPr>
        <w:t>1</w:t>
      </w:r>
      <w:r>
        <w:rPr>
          <w:rFonts w:hint="eastAsia" w:ascii="宋体" w:hAnsi="宋体"/>
          <w:sz w:val="24"/>
          <w:highlight w:val="none"/>
        </w:rPr>
        <w:t>个工作日，不含发布当日）。</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质疑、投诉应当采用书面形式，其中质疑书、投诉书均应当明确阐述招标文件、招标过程或者中标结果中使自己合法权益受到损害的实质性内容，并提供相关事实、依据和证据及其来源或线索，便于有关单位调查、答复和处理。</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质疑（投诉）函应载明质疑（投诉）人全称、地址、邮编、传真、联系人、联系电话，电子邮箱；联系人必须为投标人的在职职工，须提供法定代表人授权文件、法定代表人及联系人的身份证复印件、以及投标人为该联系人缴纳的社保凭证，联系人为法定代表人的须提供法定代表人资格证明及身份证复印件；质疑（投诉）函必须有联系人署名且加盖公章，否则不予受理（一式三份）。</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、质疑、投诉函以电子邮件或传真形式提交的，还须在提交后以邮寄的方式提交质疑书纸质原件，以实际收到原件之日作为收到质疑之日。</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5</w:t>
      </w:r>
      <w:r>
        <w:rPr>
          <w:rFonts w:hint="eastAsia" w:ascii="宋体" w:hAnsi="宋体"/>
          <w:sz w:val="24"/>
          <w:highlight w:val="none"/>
        </w:rPr>
        <w:t>、未按上述要求提供的质疑（投诉）函，采购组织机构有权不予受理。</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、质疑投标人对招标人、招标代理机构的答复不满意或者招标人、招标代理机构未在规定时间内作出答复的，可以在答复期满后十五个工作日内向同级采购监管部门投诉。</w:t>
      </w:r>
    </w:p>
    <w:p>
      <w:pPr>
        <w:adjustRightInd w:val="0"/>
        <w:snapToGrid w:val="0"/>
        <w:spacing w:line="420" w:lineRule="exact"/>
        <w:rPr>
          <w:rFonts w:ascii="宋体" w:hAnsi="宋体"/>
          <w:sz w:val="24"/>
          <w:highlight w:val="none"/>
        </w:rPr>
      </w:pPr>
      <w:r>
        <w:rPr>
          <w:rFonts w:hint="eastAsia" w:ascii="宋体" w:hAnsi="宋体"/>
          <w:b/>
          <w:sz w:val="24"/>
          <w:highlight w:val="none"/>
        </w:rPr>
        <w:t>（十二）其他注意事项</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见本须知“前附表”，同时还需注意以下事项：</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1、法定代表人授权代表须为投标人</w:t>
      </w:r>
      <w:r>
        <w:rPr>
          <w:rFonts w:hint="eastAsia" w:ascii="宋体" w:hAnsi="宋体"/>
          <w:b/>
          <w:sz w:val="24"/>
          <w:highlight w:val="none"/>
        </w:rPr>
        <w:t>在职职工</w:t>
      </w:r>
      <w:r>
        <w:rPr>
          <w:rFonts w:hint="eastAsia" w:ascii="宋体" w:hAnsi="宋体"/>
          <w:sz w:val="24"/>
          <w:highlight w:val="none"/>
        </w:rPr>
        <w:t>，投标人须在投标文件中提供附有该授权代表为投标人</w:t>
      </w:r>
      <w:r>
        <w:rPr>
          <w:rFonts w:hint="eastAsia" w:ascii="宋体" w:hAnsi="宋体"/>
          <w:b/>
          <w:sz w:val="24"/>
          <w:highlight w:val="none"/>
        </w:rPr>
        <w:t>在职员工相关证明文件（如投标人为该员工缴纳的社保记录或劳务合同等）</w:t>
      </w:r>
      <w:r>
        <w:rPr>
          <w:rFonts w:hint="eastAsia" w:ascii="宋体" w:hAnsi="宋体"/>
          <w:sz w:val="24"/>
          <w:highlight w:val="none"/>
        </w:rPr>
        <w:t>的《法定代表人授权书》。</w:t>
      </w:r>
    </w:p>
    <w:p>
      <w:pPr>
        <w:adjustRightInd w:val="0"/>
        <w:snapToGrid w:val="0"/>
        <w:spacing w:line="420" w:lineRule="exact"/>
        <w:ind w:firstLine="523" w:firstLineChars="218"/>
        <w:rPr>
          <w:rFonts w:ascii="宋体" w:hAnsi="宋体"/>
          <w:sz w:val="24"/>
          <w:highlight w:val="none"/>
        </w:rPr>
      </w:pPr>
      <w:r>
        <w:rPr>
          <w:rFonts w:hint="eastAsia" w:ascii="宋体" w:hAnsi="宋体"/>
          <w:sz w:val="24"/>
          <w:highlight w:val="none"/>
        </w:rPr>
        <w:t>2、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adjustRightInd w:val="0"/>
        <w:snapToGrid w:val="0"/>
        <w:spacing w:line="420" w:lineRule="exact"/>
        <w:ind w:firstLine="523" w:firstLineChars="218"/>
        <w:rPr>
          <w:rFonts w:ascii="宋体" w:hAnsi="宋体"/>
          <w:sz w:val="24"/>
          <w:highlight w:val="none"/>
        </w:rPr>
      </w:pPr>
      <w:r>
        <w:rPr>
          <w:rFonts w:ascii="宋体" w:hAnsi="宋体"/>
          <w:sz w:val="24"/>
          <w:highlight w:val="none"/>
        </w:rPr>
        <w:t>3</w:t>
      </w:r>
      <w:r>
        <w:rPr>
          <w:rFonts w:hint="eastAsia" w:ascii="宋体" w:hAnsi="宋体"/>
          <w:sz w:val="24"/>
          <w:highlight w:val="none"/>
        </w:rPr>
        <w:t>、▲投标人对所投标项内的采购内容必须全部进行投标。</w:t>
      </w:r>
    </w:p>
    <w:p>
      <w:pPr>
        <w:adjustRightInd w:val="0"/>
        <w:snapToGrid w:val="0"/>
        <w:spacing w:line="420" w:lineRule="exact"/>
        <w:ind w:firstLine="523" w:firstLineChars="218"/>
        <w:rPr>
          <w:rFonts w:ascii="宋体" w:hAnsi="宋体"/>
          <w:sz w:val="24"/>
          <w:highlight w:val="none"/>
        </w:rPr>
      </w:pPr>
      <w:r>
        <w:rPr>
          <w:rFonts w:ascii="宋体" w:hAnsi="宋体"/>
          <w:sz w:val="24"/>
          <w:highlight w:val="none"/>
        </w:rPr>
        <w:t>4</w:t>
      </w:r>
      <w:r>
        <w:rPr>
          <w:rFonts w:hint="eastAsia" w:ascii="宋体" w:hAnsi="宋体"/>
          <w:sz w:val="24"/>
          <w:highlight w:val="none"/>
        </w:rPr>
        <w:t>、不论招标人、招标代理机构向投标人发送的资料文件，还是投标人提出的问题，均采用书面形式，任何口头提问及答复一律无效。</w:t>
      </w:r>
    </w:p>
    <w:p>
      <w:pPr>
        <w:adjustRightInd w:val="0"/>
        <w:snapToGrid w:val="0"/>
        <w:spacing w:line="420" w:lineRule="exact"/>
        <w:rPr>
          <w:rFonts w:ascii="宋体" w:hAnsi="宋体"/>
          <w:b/>
          <w:sz w:val="24"/>
          <w:highlight w:val="none"/>
        </w:rPr>
      </w:pPr>
      <w:r>
        <w:rPr>
          <w:rFonts w:hint="eastAsia" w:ascii="宋体" w:hAnsi="宋体"/>
          <w:b/>
          <w:sz w:val="24"/>
          <w:highlight w:val="none"/>
        </w:rPr>
        <w:t>（十三）保密</w:t>
      </w:r>
    </w:p>
    <w:p>
      <w:pPr>
        <w:pStyle w:val="46"/>
        <w:adjustRightInd w:val="0"/>
        <w:snapToGrid w:val="0"/>
        <w:spacing w:line="440" w:lineRule="exact"/>
        <w:rPr>
          <w:rFonts w:hint="eastAsia" w:ascii="宋体" w:hAnsi="宋体"/>
          <w:sz w:val="24"/>
          <w:highlight w:val="none"/>
        </w:rPr>
      </w:pPr>
      <w:r>
        <w:rPr>
          <w:rFonts w:hint="eastAsia" w:ascii="宋体" w:hAnsi="宋体"/>
          <w:sz w:val="24"/>
          <w:highlight w:val="none"/>
        </w:rPr>
        <w:t>参与招标投标活动的各方应对招标文件和投标文件中的商业和技术等秘密保密，违者应对此造成的后果承担法律责任。</w:t>
      </w:r>
    </w:p>
    <w:p>
      <w:pPr>
        <w:pStyle w:val="46"/>
        <w:adjustRightInd w:val="0"/>
        <w:snapToGrid w:val="0"/>
        <w:spacing w:line="440" w:lineRule="exact"/>
        <w:rPr>
          <w:rFonts w:hint="eastAsia" w:hAnsi="宋体" w:cs="宋体"/>
          <w:b/>
          <w:sz w:val="24"/>
          <w:szCs w:val="24"/>
        </w:rPr>
      </w:pPr>
      <w:r>
        <w:rPr>
          <w:rFonts w:hint="eastAsia" w:hAnsi="宋体" w:cs="宋体"/>
          <w:b/>
          <w:sz w:val="24"/>
          <w:szCs w:val="24"/>
        </w:rPr>
        <w:t>（十</w:t>
      </w:r>
      <w:r>
        <w:rPr>
          <w:rFonts w:hint="eastAsia" w:hAnsi="宋体" w:cs="宋体"/>
          <w:b/>
          <w:sz w:val="24"/>
          <w:szCs w:val="24"/>
          <w:lang w:eastAsia="zh-CN"/>
        </w:rPr>
        <w:t>四</w:t>
      </w:r>
      <w:r>
        <w:rPr>
          <w:rFonts w:hint="eastAsia" w:hAnsi="宋体" w:cs="宋体"/>
          <w:b/>
          <w:sz w:val="24"/>
          <w:szCs w:val="24"/>
        </w:rPr>
        <w:t>）小、微企业（含监狱企业、残疾人福利性单位）扶持政策说明</w:t>
      </w:r>
    </w:p>
    <w:p>
      <w:pPr>
        <w:snapToGrid w:val="0"/>
        <w:spacing w:line="440" w:lineRule="exact"/>
        <w:ind w:firstLine="480" w:firstLineChars="200"/>
        <w:jc w:val="left"/>
        <w:outlineLvl w:val="1"/>
        <w:rPr>
          <w:rFonts w:ascii="宋体" w:hAnsi="宋体" w:cs="宋体"/>
          <w:bCs/>
          <w:sz w:val="24"/>
          <w:szCs w:val="24"/>
        </w:rPr>
      </w:pPr>
      <w:r>
        <w:rPr>
          <w:rFonts w:ascii="宋体" w:hAnsi="宋体" w:cs="宋体"/>
          <w:bCs/>
          <w:sz w:val="24"/>
          <w:szCs w:val="24"/>
        </w:rPr>
        <w:t>1、文件依据</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1.1 关于印发《政府采购促进中小企业发展管理办法》（财库〔2020〕46号）</w:t>
      </w:r>
      <w:r>
        <w:rPr>
          <w:rFonts w:hint="eastAsia" w:ascii="宋体" w:hAnsi="宋体" w:cs="宋体"/>
          <w:bCs/>
          <w:sz w:val="24"/>
          <w:szCs w:val="24"/>
          <w:lang w:eastAsia="zh-CN"/>
        </w:rPr>
        <w:t>和《财政部关于进一步加大政府采购支持中小企业力度的通知》（</w:t>
      </w:r>
      <w:r>
        <w:rPr>
          <w:rFonts w:hint="eastAsia" w:ascii="宋体" w:hAnsi="宋体" w:cs="宋体"/>
          <w:bCs/>
          <w:sz w:val="24"/>
          <w:szCs w:val="24"/>
        </w:rPr>
        <w:t>财库〔202</w:t>
      </w:r>
      <w:r>
        <w:rPr>
          <w:rFonts w:hint="eastAsia" w:ascii="宋体" w:hAnsi="宋体" w:cs="宋体"/>
          <w:bCs/>
          <w:sz w:val="24"/>
          <w:szCs w:val="24"/>
          <w:lang w:val="en-US" w:eastAsia="zh-CN"/>
        </w:rPr>
        <w:t>2</w:t>
      </w:r>
      <w:r>
        <w:rPr>
          <w:rFonts w:hint="eastAsia" w:ascii="宋体" w:hAnsi="宋体" w:cs="宋体"/>
          <w:bCs/>
          <w:sz w:val="24"/>
          <w:szCs w:val="24"/>
        </w:rPr>
        <w:t>）</w:t>
      </w:r>
      <w:r>
        <w:rPr>
          <w:rFonts w:hint="eastAsia" w:ascii="宋体" w:hAnsi="宋体" w:cs="宋体"/>
          <w:bCs/>
          <w:sz w:val="24"/>
          <w:szCs w:val="24"/>
          <w:lang w:val="en-US" w:eastAsia="zh-CN"/>
        </w:rPr>
        <w:t>19</w:t>
      </w:r>
      <w:r>
        <w:rPr>
          <w:rFonts w:hint="eastAsia" w:ascii="宋体" w:hAnsi="宋体" w:cs="宋体"/>
          <w:bCs/>
          <w:sz w:val="24"/>
          <w:szCs w:val="24"/>
        </w:rPr>
        <w:t>号）</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1.2 浙江省省财政厅《关于开展政府采购供应商网上注册登记和诚信管理工作的通知》（浙财采监〔2010〕8号)</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1.3 《工业和信息化部、国家统计局、国家发展和改革委员会、财政部关于印发中小企业划型标准规定的通知》（</w:t>
      </w:r>
      <w:r>
        <w:rPr>
          <w:rFonts w:ascii="宋体" w:hAnsi="宋体" w:cs="宋体"/>
          <w:bCs/>
          <w:sz w:val="24"/>
          <w:szCs w:val="24"/>
        </w:rPr>
        <w:t>工信部联企业[2011]300号</w:t>
      </w:r>
      <w:r>
        <w:rPr>
          <w:rFonts w:hint="eastAsia" w:ascii="宋体" w:hAnsi="宋体" w:cs="宋体"/>
          <w:bCs/>
          <w:sz w:val="24"/>
          <w:szCs w:val="24"/>
        </w:rPr>
        <w:t>）</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1.4财政部、司法部《关于政府采购支持监狱企业发展有关问题的通知》（财库〔2014〕68号）</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2、享受小微企业价格折扣应具备的条件与价格折扣比例</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2.1 符合中小企业划分标准；</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2.2 提供本企业制造的货物、承担的工程或者服务，或者提供其他中小企业制造的货物。本项所称货物不包括使用大型企业注册商标的货物。</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中小企业划分标准，是指国务院有关部门根据企业从业人员、营业收入、资产总额等指标制定的中小企业划型标准。</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小型、微型企业提供中型企业制造的货物的，视同为中型企业。</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2.3 价格折扣比例</w:t>
      </w:r>
    </w:p>
    <w:p>
      <w:pPr>
        <w:snapToGrid w:val="0"/>
        <w:spacing w:line="440" w:lineRule="exact"/>
        <w:ind w:firstLine="480" w:firstLineChars="200"/>
        <w:jc w:val="left"/>
        <w:outlineLvl w:val="1"/>
        <w:rPr>
          <w:rFonts w:hint="eastAsia" w:ascii="宋体" w:hAnsi="宋体" w:cs="宋体"/>
          <w:bCs/>
          <w:sz w:val="24"/>
          <w:szCs w:val="24"/>
        </w:rPr>
      </w:pPr>
      <w:r>
        <w:rPr>
          <w:rFonts w:hint="eastAsia" w:ascii="宋体" w:hAnsi="宋体" w:cs="宋体"/>
          <w:bCs/>
          <w:sz w:val="24"/>
          <w:szCs w:val="24"/>
        </w:rPr>
        <w:t>（1）根据财库〔2020〕46号</w:t>
      </w:r>
      <w:r>
        <w:rPr>
          <w:rFonts w:hint="eastAsia" w:ascii="宋体" w:hAnsi="宋体" w:cs="宋体"/>
          <w:bCs/>
          <w:sz w:val="24"/>
          <w:szCs w:val="24"/>
          <w:lang w:eastAsia="zh-CN"/>
        </w:rPr>
        <w:t>和《财政部关于进一步加大政府采购支持中小企业力度的通知》（财库〔202</w:t>
      </w:r>
      <w:r>
        <w:rPr>
          <w:rFonts w:hint="eastAsia" w:ascii="宋体" w:hAnsi="宋体" w:cs="宋体"/>
          <w:bCs/>
          <w:sz w:val="24"/>
          <w:szCs w:val="24"/>
          <w:lang w:val="en-US" w:eastAsia="zh-CN"/>
        </w:rPr>
        <w:t>2</w:t>
      </w:r>
      <w:r>
        <w:rPr>
          <w:rFonts w:hint="eastAsia" w:ascii="宋体" w:hAnsi="宋体" w:cs="宋体"/>
          <w:bCs/>
          <w:sz w:val="24"/>
          <w:szCs w:val="24"/>
          <w:lang w:eastAsia="zh-CN"/>
        </w:rPr>
        <w:t>）</w:t>
      </w:r>
      <w:r>
        <w:rPr>
          <w:rFonts w:hint="eastAsia" w:ascii="宋体" w:hAnsi="宋体" w:cs="宋体"/>
          <w:bCs/>
          <w:sz w:val="24"/>
          <w:szCs w:val="24"/>
          <w:lang w:val="en-US" w:eastAsia="zh-CN"/>
        </w:rPr>
        <w:t>19</w:t>
      </w:r>
      <w:r>
        <w:rPr>
          <w:rFonts w:hint="eastAsia" w:ascii="宋体" w:hAnsi="宋体" w:cs="宋体"/>
          <w:bCs/>
          <w:sz w:val="24"/>
          <w:szCs w:val="24"/>
          <w:lang w:eastAsia="zh-CN"/>
        </w:rPr>
        <w:t>号）</w:t>
      </w:r>
      <w:r>
        <w:rPr>
          <w:rFonts w:hint="eastAsia" w:ascii="宋体" w:hAnsi="宋体" w:cs="宋体"/>
          <w:bCs/>
          <w:sz w:val="24"/>
          <w:szCs w:val="24"/>
        </w:rPr>
        <w:t>的相关规定，在评审时对小型和微型企业的投标报价给予</w:t>
      </w:r>
      <w:r>
        <w:rPr>
          <w:rFonts w:hint="eastAsia" w:ascii="宋体" w:hAnsi="宋体" w:cs="宋体"/>
          <w:bCs/>
          <w:sz w:val="24"/>
          <w:szCs w:val="24"/>
          <w:lang w:val="en-US" w:eastAsia="zh-CN"/>
        </w:rPr>
        <w:t>20</w:t>
      </w:r>
      <w:r>
        <w:rPr>
          <w:rFonts w:hint="eastAsia" w:ascii="宋体" w:hAnsi="宋体" w:cs="宋体"/>
          <w:bCs/>
          <w:sz w:val="24"/>
          <w:szCs w:val="24"/>
        </w:rPr>
        <w:t>%的扣除，用取扣除后的价格参与评审（仅参与为价格分计算）。</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440" w:lineRule="exact"/>
        <w:ind w:firstLine="480" w:firstLineChars="200"/>
        <w:jc w:val="left"/>
        <w:outlineLvl w:val="1"/>
        <w:rPr>
          <w:rFonts w:ascii="宋体" w:hAnsi="宋体" w:cs="宋体"/>
          <w:bCs/>
          <w:sz w:val="24"/>
          <w:szCs w:val="24"/>
        </w:rPr>
      </w:pPr>
      <w:r>
        <w:rPr>
          <w:rFonts w:hint="eastAsia" w:ascii="宋体" w:hAnsi="宋体" w:cs="宋体"/>
          <w:bCs/>
          <w:sz w:val="24"/>
          <w:szCs w:val="24"/>
        </w:rPr>
        <w:t>3、投标时享受小微企业价格折扣应提供以下证明材料：</w:t>
      </w:r>
    </w:p>
    <w:p>
      <w:pPr>
        <w:snapToGrid w:val="0"/>
        <w:spacing w:line="440" w:lineRule="exact"/>
        <w:ind w:firstLine="480" w:firstLineChars="200"/>
        <w:jc w:val="left"/>
        <w:outlineLvl w:val="1"/>
        <w:rPr>
          <w:rFonts w:hint="eastAsia" w:ascii="宋体" w:hAnsi="宋体" w:cs="宋体"/>
          <w:bCs/>
          <w:sz w:val="24"/>
          <w:szCs w:val="24"/>
        </w:rPr>
      </w:pPr>
      <w:r>
        <w:rPr>
          <w:rFonts w:hint="eastAsia" w:ascii="宋体" w:hAnsi="宋体" w:cs="宋体"/>
          <w:bCs/>
          <w:sz w:val="24"/>
          <w:szCs w:val="24"/>
        </w:rPr>
        <w:t>《中小企业声明函》</w:t>
      </w:r>
      <w:r>
        <w:rPr>
          <w:rFonts w:hint="eastAsia" w:ascii="宋体" w:hAnsi="宋体" w:eastAsia="宋体" w:cs="宋体"/>
          <w:b w:val="0"/>
          <w:bCs w:val="0"/>
          <w:color w:val="auto"/>
          <w:kern w:val="2"/>
          <w:sz w:val="24"/>
          <w:szCs w:val="24"/>
        </w:rPr>
        <w:t>和国家企业信用信息公示系统——小微企业名录查询记录（提供网站截图复印件）</w:t>
      </w:r>
      <w:r>
        <w:rPr>
          <w:rFonts w:hint="eastAsia" w:ascii="宋体" w:hAnsi="宋体" w:cs="宋体"/>
          <w:bCs/>
          <w:sz w:val="24"/>
          <w:szCs w:val="24"/>
        </w:rPr>
        <w:t>；</w:t>
      </w:r>
      <w:r>
        <w:rPr>
          <w:rFonts w:ascii="宋体" w:hAnsi="宋体" w:cs="宋体"/>
          <w:bCs/>
          <w:sz w:val="24"/>
          <w:szCs w:val="24"/>
        </w:rPr>
        <w:t>监狱企业参加政府采购活动时，应当提供由省级以上监狱管理局、戒毒管理局(含新疆生产建设兵团)出具的属于监狱企业的证明文件；</w:t>
      </w:r>
      <w:r>
        <w:rPr>
          <w:rFonts w:hint="eastAsia" w:ascii="宋体" w:hAnsi="宋体" w:cs="宋体"/>
          <w:bCs/>
          <w:sz w:val="24"/>
          <w:szCs w:val="24"/>
        </w:rPr>
        <w:t>残疾人福利性单位</w:t>
      </w:r>
      <w:r>
        <w:rPr>
          <w:rFonts w:ascii="宋体" w:hAnsi="宋体" w:cs="宋体"/>
          <w:bCs/>
          <w:sz w:val="24"/>
          <w:szCs w:val="24"/>
        </w:rPr>
        <w:t>参加政府采购活动时，应当提供</w:t>
      </w:r>
      <w:r>
        <w:rPr>
          <w:rFonts w:hint="eastAsia" w:ascii="宋体" w:hAnsi="宋体" w:cs="宋体"/>
          <w:bCs/>
          <w:sz w:val="24"/>
          <w:szCs w:val="24"/>
        </w:rPr>
        <w:t>残疾人福利性单位声明函。</w:t>
      </w:r>
    </w:p>
    <w:p>
      <w:pPr>
        <w:pStyle w:val="35"/>
      </w:pPr>
    </w:p>
    <w:bookmarkEnd w:id="41"/>
    <w:p>
      <w:pPr>
        <w:adjustRightInd w:val="0"/>
        <w:snapToGrid w:val="0"/>
        <w:spacing w:line="420" w:lineRule="exact"/>
        <w:jc w:val="center"/>
        <w:outlineLvl w:val="1"/>
        <w:rPr>
          <w:rFonts w:ascii="宋体" w:hAnsi="宋体"/>
          <w:b/>
          <w:sz w:val="32"/>
          <w:highlight w:val="none"/>
        </w:rPr>
      </w:pPr>
      <w:bookmarkStart w:id="42" w:name="_Toc9352"/>
      <w:bookmarkStart w:id="43" w:name="_Toc233618973"/>
      <w:bookmarkStart w:id="44" w:name="_Toc522530042"/>
      <w:r>
        <w:rPr>
          <w:rFonts w:hint="eastAsia" w:ascii="宋体" w:hAnsi="宋体"/>
          <w:b/>
          <w:sz w:val="32"/>
          <w:highlight w:val="none"/>
        </w:rPr>
        <w:t>二、招标文件</w:t>
      </w:r>
      <w:bookmarkEnd w:id="42"/>
      <w:bookmarkEnd w:id="43"/>
      <w:bookmarkEnd w:id="44"/>
    </w:p>
    <w:p>
      <w:pPr>
        <w:pStyle w:val="46"/>
        <w:adjustRightInd w:val="0"/>
        <w:snapToGrid w:val="0"/>
        <w:spacing w:line="420" w:lineRule="exact"/>
        <w:rPr>
          <w:rFonts w:hAnsi="宋体"/>
          <w:b/>
          <w:sz w:val="24"/>
          <w:highlight w:val="none"/>
        </w:rPr>
      </w:pPr>
      <w:bookmarkStart w:id="45" w:name="_Toc91899880"/>
      <w:bookmarkStart w:id="46" w:name="_Hlt74730307"/>
      <w:r>
        <w:rPr>
          <w:rFonts w:hint="eastAsia" w:hAnsi="宋体"/>
          <w:b/>
          <w:sz w:val="24"/>
          <w:highlight w:val="none"/>
        </w:rPr>
        <w:t>（一）招标文件的</w:t>
      </w:r>
      <w:bookmarkEnd w:id="45"/>
      <w:r>
        <w:rPr>
          <w:rFonts w:hint="eastAsia" w:hAnsi="宋体"/>
          <w:b/>
          <w:sz w:val="24"/>
          <w:highlight w:val="none"/>
        </w:rPr>
        <w:t>组成</w:t>
      </w:r>
    </w:p>
    <w:bookmarkEnd w:id="46"/>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1、 招标文件包括下列文件及附件</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第一部分  招标公告</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第二部分  投标人须知</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第三部分  采购内容及需求</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第四部分  合同文本</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第五部分  投标文件部分格式文件</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第六部分  评分办法</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补充文件（如果有，包括相关的补充、更正、澄清公告和文件）</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其他附件（如果有，如图纸等）</w:t>
      </w:r>
    </w:p>
    <w:p>
      <w:pPr>
        <w:adjustRightInd w:val="0"/>
        <w:snapToGrid w:val="0"/>
        <w:spacing w:line="420" w:lineRule="exact"/>
        <w:ind w:firstLine="480" w:firstLineChars="200"/>
        <w:rPr>
          <w:rFonts w:ascii="宋体" w:hAnsi="宋体" w:cs="宋体"/>
          <w:sz w:val="24"/>
          <w:highlight w:val="none"/>
        </w:rPr>
      </w:pPr>
      <w:r>
        <w:rPr>
          <w:rFonts w:hint="eastAsia" w:ascii="宋体" w:hAnsi="宋体" w:cs="宋体"/>
          <w:sz w:val="24"/>
          <w:highlight w:val="none"/>
        </w:rPr>
        <w:t>2、投标人应认真审阅上述招标文件组成中所有的内容。如果投标人编制的投标文件没有从实质上响应招标文件的要求，其投标文件将被拒绝。</w:t>
      </w:r>
    </w:p>
    <w:p>
      <w:pPr>
        <w:pStyle w:val="46"/>
        <w:adjustRightInd w:val="0"/>
        <w:snapToGrid w:val="0"/>
        <w:spacing w:line="420" w:lineRule="exact"/>
        <w:rPr>
          <w:rFonts w:hAnsi="宋体"/>
          <w:b/>
          <w:sz w:val="24"/>
          <w:highlight w:val="none"/>
        </w:rPr>
      </w:pPr>
      <w:r>
        <w:rPr>
          <w:rFonts w:hint="eastAsia" w:hAnsi="宋体"/>
          <w:b/>
          <w:sz w:val="24"/>
          <w:highlight w:val="none"/>
        </w:rPr>
        <w:t>（二）招标文件的解释</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1、投标人一旦参与本次招标活动，即被视为接受了本招标文件的所有内容，如有任何异议，均应在答疑截止时间前提出。</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招标文件澄清、答复、修改、补充等书面内容均作为招标文件的补充文件，是招标文件的组成部分，将以传真、网上公告、电子邮件等形式书面告知所有购买招标文件的投标人，并对所有投标人均有约束力。当招标文件与补充文件就同一内容的表述不一致时，以最后发出的书面文件为准。</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3、招标文件的解释权归招标人、招标代理机构所有。</w:t>
      </w:r>
    </w:p>
    <w:p>
      <w:pPr>
        <w:tabs>
          <w:tab w:val="left" w:pos="3780"/>
        </w:tabs>
        <w:spacing w:line="420" w:lineRule="exact"/>
        <w:rPr>
          <w:rFonts w:ascii="宋体" w:hAnsi="宋体"/>
          <w:b/>
          <w:sz w:val="24"/>
          <w:highlight w:val="none"/>
        </w:rPr>
      </w:pPr>
      <w:r>
        <w:rPr>
          <w:rFonts w:hint="eastAsia" w:ascii="宋体" w:hAnsi="宋体"/>
          <w:b/>
          <w:sz w:val="24"/>
          <w:highlight w:val="none"/>
        </w:rPr>
        <w:t>（三）招标文件的澄清</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投标人对招标文件如有疑问要求澄清，或认为有必要与招标人、招标代理机构进行技术交流的，投标人需将书面资料（《（项目名称）询问函》）在招标公告规定的询问截止时间前（对补充文件如有疑问要求澄清的，应在 24 小时内）以书面形式送达至招标代理机构，并与招标代理机构进行确认。招标代理机构有权对逾期收到疑问将不予受理、答复。</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2、投标人要求澄清的资料应写明投标人全称、地址、邮编、传真、联系人、联系电话、电子邮箱、询疑日期并加盖投标人公章。</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3、 如有必要，招标人和招标代理机构对投标人所有要求澄清的问题都予以书面解答，澄清答复的文件为招标补充文件，作为招标文件的组成部分。</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4、 投标人在招标文件规定的询疑截止时间前内未对招标文件提出疑问的，招标代理机构将视其对招标文件无异议。</w:t>
      </w:r>
    </w:p>
    <w:p>
      <w:pPr>
        <w:pStyle w:val="46"/>
        <w:adjustRightInd w:val="0"/>
        <w:snapToGrid w:val="0"/>
        <w:spacing w:line="420" w:lineRule="exact"/>
        <w:rPr>
          <w:rFonts w:hAnsi="宋体"/>
          <w:b/>
          <w:sz w:val="24"/>
          <w:highlight w:val="none"/>
        </w:rPr>
      </w:pPr>
      <w:r>
        <w:rPr>
          <w:rFonts w:hint="eastAsia" w:hAnsi="宋体"/>
          <w:b/>
          <w:sz w:val="24"/>
          <w:highlight w:val="none"/>
        </w:rPr>
        <w:t>（四）招标文件的修改</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1、由于各种原因招标人可能在投标截止时间前以澄清、答复、修改、补充文件的形式修改完善招标文件。</w:t>
      </w:r>
    </w:p>
    <w:p>
      <w:pPr>
        <w:adjustRightInd w:val="0"/>
        <w:snapToGrid w:val="0"/>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澄清、答复、修改、补充文件发出后，原则上不改变招标文件规定的投标截止时间及开标时间。投标人如认为澄清、答复、修改、补充文件内容影响投标文件编制，须延长投标截止时间的，必须在收到澄清、答复、修改、补充文件后 24 小时内将意见和理由以书面形式向招标代理机构提出，否则，招标代理机构视投标人完全接受并有足够的时间编制投标文件且按规定时间进行投标。</w:t>
      </w:r>
    </w:p>
    <w:p>
      <w:pPr>
        <w:adjustRightInd w:val="0"/>
        <w:snapToGrid w:val="0"/>
        <w:spacing w:line="42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3、投标人在收到澄清、答复、修改、补充文件后，应在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pPr>
        <w:pStyle w:val="35"/>
      </w:pPr>
    </w:p>
    <w:p>
      <w:pPr>
        <w:adjustRightInd w:val="0"/>
        <w:snapToGrid w:val="0"/>
        <w:spacing w:line="420" w:lineRule="exact"/>
        <w:jc w:val="center"/>
        <w:outlineLvl w:val="1"/>
        <w:rPr>
          <w:rFonts w:ascii="宋体" w:hAnsi="宋体"/>
          <w:b/>
          <w:sz w:val="32"/>
          <w:highlight w:val="none"/>
        </w:rPr>
      </w:pPr>
      <w:bookmarkStart w:id="47" w:name="_Toc91899884"/>
      <w:bookmarkStart w:id="48" w:name="_Toc522530043"/>
      <w:bookmarkStart w:id="49" w:name="_Toc20674"/>
      <w:bookmarkStart w:id="50" w:name="_Toc233618974"/>
      <w:r>
        <w:rPr>
          <w:rFonts w:hint="eastAsia" w:ascii="宋体" w:hAnsi="宋体"/>
          <w:b/>
          <w:sz w:val="32"/>
          <w:highlight w:val="none"/>
        </w:rPr>
        <w:t>三、投标文件</w:t>
      </w:r>
      <w:bookmarkEnd w:id="47"/>
      <w:bookmarkEnd w:id="48"/>
      <w:bookmarkEnd w:id="49"/>
      <w:bookmarkEnd w:id="50"/>
    </w:p>
    <w:p>
      <w:pPr>
        <w:pStyle w:val="309"/>
        <w:adjustRightInd w:val="0"/>
        <w:snapToGrid w:val="0"/>
        <w:spacing w:before="0" w:line="420" w:lineRule="exact"/>
        <w:ind w:firstLine="0" w:firstLineChars="0"/>
        <w:rPr>
          <w:rFonts w:ascii="宋体" w:hAnsi="宋体"/>
          <w:kern w:val="0"/>
          <w:highlight w:val="none"/>
          <w:lang w:val="zh-CN"/>
        </w:rPr>
      </w:pPr>
      <w:r>
        <w:rPr>
          <w:rFonts w:hint="eastAsia" w:ascii="宋体" w:hAnsi="宋体"/>
          <w:b/>
          <w:highlight w:val="none"/>
        </w:rPr>
        <w:t>（一）投标文件的编制</w:t>
      </w:r>
    </w:p>
    <w:p>
      <w:pPr>
        <w:spacing w:line="420" w:lineRule="exact"/>
        <w:ind w:firstLine="482" w:firstLineChars="200"/>
        <w:rPr>
          <w:rFonts w:ascii="宋体" w:hAnsi="宋体" w:cs="Arial"/>
          <w:b/>
          <w:sz w:val="24"/>
          <w:highlight w:val="none"/>
        </w:rPr>
      </w:pPr>
      <w:r>
        <w:rPr>
          <w:rFonts w:hint="eastAsia" w:ascii="宋体" w:hAnsi="宋体" w:cs="Arial"/>
          <w:b/>
          <w:kern w:val="0"/>
          <w:sz w:val="24"/>
          <w:highlight w:val="none"/>
        </w:rPr>
        <w:t>1、</w:t>
      </w:r>
      <w:r>
        <w:rPr>
          <w:rFonts w:hint="eastAsia" w:ascii="宋体" w:hAnsi="宋体" w:cs="Arial"/>
          <w:b/>
          <w:sz w:val="24"/>
          <w:highlight w:val="none"/>
        </w:rPr>
        <w:t>本项目通过“政府采购云平台（</w:t>
      </w:r>
      <w:r>
        <w:rPr>
          <w:rFonts w:ascii="宋体" w:hAnsi="宋体" w:cs="Arial"/>
          <w:b/>
          <w:sz w:val="24"/>
          <w:highlight w:val="none"/>
        </w:rPr>
        <w:t>www.</w:t>
      </w:r>
      <w:r>
        <w:rPr>
          <w:rFonts w:hint="eastAsia" w:ascii="宋体" w:hAnsi="宋体" w:cs="Arial"/>
          <w:b/>
          <w:sz w:val="24"/>
          <w:highlight w:val="none"/>
        </w:rPr>
        <w:t>zcy</w:t>
      </w:r>
      <w:r>
        <w:rPr>
          <w:rFonts w:ascii="宋体" w:hAnsi="宋体" w:cs="Arial"/>
          <w:b/>
          <w:sz w:val="24"/>
          <w:highlight w:val="none"/>
        </w:rPr>
        <w:t>gov.cn</w:t>
      </w:r>
      <w:r>
        <w:rPr>
          <w:rFonts w:hint="eastAsia" w:ascii="宋体" w:hAnsi="宋体" w:cs="Arial"/>
          <w:b/>
          <w:sz w:val="24"/>
          <w:highlight w:val="none"/>
        </w:rPr>
        <w:t>）”实行在线投标响应（电子投标）。投标人应通过“政采云电子交易客户端”，并按照本招标文件和“政府采购云平台”的要求编制并加密投标文件并进行关联定位。</w:t>
      </w:r>
    </w:p>
    <w:p>
      <w:pPr>
        <w:spacing w:line="420" w:lineRule="exact"/>
        <w:ind w:firstLine="422" w:firstLineChars="175"/>
        <w:rPr>
          <w:rFonts w:ascii="宋体" w:hAnsi="宋体" w:cs="Arial"/>
          <w:b/>
          <w:kern w:val="0"/>
          <w:sz w:val="24"/>
          <w:highlight w:val="none"/>
        </w:rPr>
      </w:pPr>
      <w:r>
        <w:rPr>
          <w:rFonts w:hint="eastAsia" w:ascii="宋体" w:hAnsi="宋体" w:cs="Arial"/>
          <w:b/>
          <w:kern w:val="0"/>
          <w:sz w:val="24"/>
          <w:highlight w:val="none"/>
        </w:rPr>
        <w:t>2、投标人应当按照</w:t>
      </w:r>
      <w:r>
        <w:rPr>
          <w:rFonts w:ascii="宋体" w:hAnsi="宋体" w:cs="Arial"/>
          <w:b/>
          <w:kern w:val="0"/>
          <w:sz w:val="24"/>
          <w:highlight w:val="none"/>
        </w:rPr>
        <w:t>本</w:t>
      </w:r>
      <w:r>
        <w:rPr>
          <w:rFonts w:hint="eastAsia" w:ascii="宋体" w:hAnsi="宋体" w:cs="Arial"/>
          <w:b/>
          <w:kern w:val="0"/>
          <w:sz w:val="24"/>
          <w:highlight w:val="none"/>
        </w:rPr>
        <w:t>章节 “投标文件组成”规定的内容及顺序在“政采云电子交易客户端”编制投标文件。其中《资格文件》和《商务技术文件》中不得出现本项目投标报价，如因投标人原因提前泄露投标报价，是投标人的责任。</w:t>
      </w:r>
    </w:p>
    <w:p>
      <w:pPr>
        <w:spacing w:line="420" w:lineRule="exact"/>
        <w:ind w:firstLine="422" w:firstLineChars="175"/>
        <w:rPr>
          <w:rFonts w:ascii="宋体" w:hAnsi="宋体"/>
          <w:b/>
          <w:sz w:val="24"/>
          <w:highlight w:val="none"/>
        </w:rPr>
      </w:pPr>
      <w:r>
        <w:rPr>
          <w:rFonts w:hint="eastAsia" w:ascii="宋体" w:hAnsi="宋体"/>
          <w:b/>
          <w:sz w:val="24"/>
          <w:highlight w:val="none"/>
        </w:rPr>
        <w:t>3、本文件《第五部分  投标文件部分格式文件》中有</w:t>
      </w:r>
      <w:r>
        <w:rPr>
          <w:rFonts w:ascii="宋体" w:hAnsi="宋体"/>
          <w:b/>
          <w:sz w:val="24"/>
          <w:highlight w:val="none"/>
        </w:rPr>
        <w:t>提供格式的，</w:t>
      </w:r>
      <w:r>
        <w:rPr>
          <w:rFonts w:hint="eastAsia" w:ascii="宋体" w:hAnsi="宋体"/>
          <w:b/>
          <w:sz w:val="24"/>
          <w:highlight w:val="none"/>
        </w:rPr>
        <w:t>投标人须参</w:t>
      </w:r>
      <w:r>
        <w:rPr>
          <w:rFonts w:ascii="宋体" w:hAnsi="宋体"/>
          <w:b/>
          <w:sz w:val="24"/>
          <w:highlight w:val="none"/>
        </w:rPr>
        <w:t>照格式</w:t>
      </w:r>
      <w:r>
        <w:rPr>
          <w:rFonts w:hint="eastAsia" w:ascii="宋体" w:hAnsi="宋体"/>
          <w:b/>
          <w:sz w:val="24"/>
          <w:highlight w:val="none"/>
        </w:rPr>
        <w:t>进行编制（格式中要求提供相关证明材料的还需后附相关证明材料），并按格式要求在指定位置根据要求进行签章，否则视为未提供；本文件《第五部分  投标文件部分格式文件》</w:t>
      </w:r>
      <w:r>
        <w:rPr>
          <w:rFonts w:ascii="宋体" w:hAnsi="宋体"/>
          <w:b/>
          <w:sz w:val="24"/>
          <w:highlight w:val="none"/>
        </w:rPr>
        <w:t>未提供格式的，请各投标单位自行拟定格式</w:t>
      </w:r>
      <w:r>
        <w:rPr>
          <w:rFonts w:hint="eastAsia" w:ascii="宋体" w:hAnsi="宋体"/>
          <w:b/>
          <w:sz w:val="24"/>
          <w:highlight w:val="none"/>
        </w:rPr>
        <w:t>，并加盖单位公章并由法定代表人或其授权代表签署（签字或盖章），否则视为未提供。</w:t>
      </w:r>
    </w:p>
    <w:p>
      <w:pPr>
        <w:spacing w:line="420" w:lineRule="exact"/>
        <w:ind w:firstLine="420" w:firstLineChars="175"/>
        <w:rPr>
          <w:rFonts w:ascii="宋体" w:hAnsi="宋体" w:cs="Arial"/>
          <w:kern w:val="0"/>
          <w:sz w:val="24"/>
          <w:highlight w:val="none"/>
        </w:rPr>
      </w:pPr>
      <w:r>
        <w:rPr>
          <w:rFonts w:ascii="宋体" w:hAnsi="宋体" w:cs="Arial"/>
          <w:kern w:val="0"/>
          <w:sz w:val="24"/>
          <w:highlight w:val="none"/>
        </w:rPr>
        <w:t>4</w:t>
      </w:r>
      <w:r>
        <w:rPr>
          <w:rFonts w:hint="eastAsia" w:ascii="宋体" w:hAnsi="宋体" w:cs="Arial"/>
          <w:kern w:val="0"/>
          <w:sz w:val="24"/>
          <w:highlight w:val="none"/>
        </w:rPr>
        <w:t>、</w:t>
      </w:r>
      <w:r>
        <w:rPr>
          <w:rFonts w:ascii="宋体" w:hAnsi="宋体" w:cs="Arial"/>
          <w:kern w:val="0"/>
          <w:sz w:val="24"/>
          <w:highlight w:val="none"/>
        </w:rPr>
        <w:t>《投标文件》内容不完整、编排混乱导致《投标文件》被误读、漏读或者查找不到相关内容的，是</w:t>
      </w:r>
      <w:r>
        <w:rPr>
          <w:rFonts w:hint="eastAsia" w:ascii="宋体" w:hAnsi="宋体" w:cs="Arial"/>
          <w:kern w:val="0"/>
          <w:sz w:val="24"/>
          <w:highlight w:val="none"/>
        </w:rPr>
        <w:t>投标人</w:t>
      </w:r>
      <w:r>
        <w:rPr>
          <w:rFonts w:ascii="宋体" w:hAnsi="宋体" w:cs="Arial"/>
          <w:kern w:val="0"/>
          <w:sz w:val="24"/>
          <w:highlight w:val="none"/>
        </w:rPr>
        <w:t>的责任。</w:t>
      </w:r>
    </w:p>
    <w:p>
      <w:pPr>
        <w:spacing w:line="420" w:lineRule="exact"/>
        <w:ind w:firstLine="480" w:firstLineChars="200"/>
        <w:rPr>
          <w:rFonts w:ascii="宋体" w:hAnsi="宋体" w:cs="Arial"/>
          <w:kern w:val="0"/>
          <w:sz w:val="24"/>
          <w:highlight w:val="none"/>
        </w:rPr>
      </w:pPr>
      <w:r>
        <w:rPr>
          <w:rFonts w:ascii="宋体" w:hAnsi="宋体" w:cs="Arial"/>
          <w:kern w:val="0"/>
          <w:sz w:val="24"/>
          <w:highlight w:val="none"/>
        </w:rPr>
        <w:t>5</w:t>
      </w:r>
      <w:r>
        <w:rPr>
          <w:rFonts w:hint="eastAsia" w:ascii="宋体" w:hAnsi="宋体" w:cs="Arial"/>
          <w:kern w:val="0"/>
          <w:sz w:val="24"/>
          <w:highlight w:val="none"/>
        </w:rPr>
        <w:t>、《</w:t>
      </w:r>
      <w:r>
        <w:rPr>
          <w:rFonts w:ascii="宋体" w:hAnsi="宋体" w:cs="Arial"/>
          <w:kern w:val="0"/>
          <w:sz w:val="24"/>
          <w:highlight w:val="none"/>
        </w:rPr>
        <w:t>投标文件</w:t>
      </w:r>
      <w:r>
        <w:rPr>
          <w:rFonts w:hint="eastAsia" w:ascii="宋体" w:hAnsi="宋体" w:cs="Arial"/>
          <w:kern w:val="0"/>
          <w:sz w:val="24"/>
          <w:highlight w:val="none"/>
        </w:rPr>
        <w:t>》</w:t>
      </w:r>
      <w:r>
        <w:rPr>
          <w:rFonts w:ascii="宋体" w:hAnsi="宋体" w:cs="Arial"/>
          <w:kern w:val="0"/>
          <w:sz w:val="24"/>
          <w:highlight w:val="none"/>
        </w:rPr>
        <w:t>因字迹潦草或表达不清所引起的后果由</w:t>
      </w:r>
      <w:r>
        <w:rPr>
          <w:rFonts w:hint="eastAsia" w:ascii="宋体" w:hAnsi="宋体" w:cs="Arial"/>
          <w:kern w:val="0"/>
          <w:sz w:val="24"/>
          <w:highlight w:val="none"/>
        </w:rPr>
        <w:t>投标人</w:t>
      </w:r>
      <w:r>
        <w:rPr>
          <w:rFonts w:ascii="宋体" w:hAnsi="宋体" w:cs="Arial"/>
          <w:kern w:val="0"/>
          <w:sz w:val="24"/>
          <w:highlight w:val="none"/>
        </w:rPr>
        <w:t>负责。</w:t>
      </w:r>
    </w:p>
    <w:p>
      <w:pPr>
        <w:tabs>
          <w:tab w:val="left" w:pos="3780"/>
        </w:tabs>
        <w:spacing w:line="420" w:lineRule="exact"/>
        <w:ind w:firstLine="480" w:firstLineChars="200"/>
        <w:rPr>
          <w:rFonts w:ascii="宋体" w:hAnsi="宋体" w:cs="Arial"/>
          <w:kern w:val="0"/>
          <w:sz w:val="24"/>
          <w:highlight w:val="none"/>
        </w:rPr>
      </w:pPr>
      <w:r>
        <w:rPr>
          <w:rFonts w:ascii="宋体" w:hAnsi="宋体" w:cs="Arial"/>
          <w:kern w:val="0"/>
          <w:sz w:val="24"/>
          <w:highlight w:val="none"/>
        </w:rPr>
        <w:t>6</w:t>
      </w:r>
      <w:r>
        <w:rPr>
          <w:rFonts w:hint="eastAsia" w:ascii="宋体" w:hAnsi="宋体" w:cs="Arial"/>
          <w:kern w:val="0"/>
          <w:sz w:val="24"/>
          <w:highlight w:val="none"/>
        </w:rPr>
        <w:t>、投标人</w:t>
      </w:r>
      <w:r>
        <w:rPr>
          <w:rFonts w:ascii="宋体" w:hAnsi="宋体" w:cs="Arial"/>
          <w:kern w:val="0"/>
          <w:sz w:val="24"/>
          <w:highlight w:val="none"/>
        </w:rPr>
        <w:t>没有按照本</w:t>
      </w:r>
      <w:r>
        <w:rPr>
          <w:rFonts w:hint="eastAsia" w:ascii="宋体" w:hAnsi="宋体" w:cs="Arial"/>
          <w:kern w:val="0"/>
          <w:sz w:val="24"/>
          <w:highlight w:val="none"/>
        </w:rPr>
        <w:t>章节 “投标文件组成”</w:t>
      </w:r>
      <w:r>
        <w:rPr>
          <w:rFonts w:ascii="宋体" w:hAnsi="宋体" w:cs="Arial"/>
          <w:kern w:val="0"/>
          <w:sz w:val="24"/>
          <w:highlight w:val="none"/>
        </w:rPr>
        <w:t>要求提供全部资料，</w:t>
      </w:r>
      <w:r>
        <w:rPr>
          <w:rFonts w:hint="eastAsia" w:ascii="宋体" w:hAnsi="宋体" w:cs="Arial"/>
          <w:kern w:val="0"/>
          <w:sz w:val="24"/>
          <w:highlight w:val="none"/>
        </w:rPr>
        <w:t>或者没有仔细阅读招标文件，</w:t>
      </w:r>
      <w:r>
        <w:rPr>
          <w:rFonts w:ascii="宋体" w:hAnsi="宋体" w:cs="Arial"/>
          <w:kern w:val="0"/>
          <w:sz w:val="24"/>
          <w:highlight w:val="none"/>
        </w:rPr>
        <w:t>或者没有对招标文件在各方面的要求作出实质性响应是</w:t>
      </w:r>
      <w:r>
        <w:rPr>
          <w:rFonts w:hint="eastAsia" w:ascii="宋体" w:hAnsi="宋体" w:cs="Arial"/>
          <w:kern w:val="0"/>
          <w:sz w:val="24"/>
          <w:highlight w:val="none"/>
        </w:rPr>
        <w:t>投标人</w:t>
      </w:r>
      <w:r>
        <w:rPr>
          <w:rFonts w:ascii="宋体" w:hAnsi="宋体" w:cs="Arial"/>
          <w:kern w:val="0"/>
          <w:sz w:val="24"/>
          <w:highlight w:val="none"/>
        </w:rPr>
        <w:t>的风险</w:t>
      </w:r>
      <w:r>
        <w:rPr>
          <w:rFonts w:hint="eastAsia" w:ascii="宋体" w:hAnsi="宋体" w:cs="Arial"/>
          <w:kern w:val="0"/>
          <w:sz w:val="24"/>
          <w:highlight w:val="none"/>
        </w:rPr>
        <w:t>，由此造成的一切后果由投标人自行承担。</w:t>
      </w:r>
    </w:p>
    <w:p>
      <w:pPr>
        <w:tabs>
          <w:tab w:val="left" w:pos="3780"/>
        </w:tabs>
        <w:spacing w:line="420" w:lineRule="exact"/>
        <w:ind w:firstLine="480" w:firstLineChars="200"/>
        <w:rPr>
          <w:rFonts w:ascii="宋体" w:hAnsi="宋体" w:cs="宋体"/>
          <w:sz w:val="24"/>
          <w:highlight w:val="none"/>
        </w:rPr>
      </w:pPr>
      <w:r>
        <w:rPr>
          <w:rFonts w:hint="eastAsia" w:ascii="宋体" w:hAnsi="宋体" w:cs="宋体"/>
          <w:sz w:val="24"/>
          <w:highlight w:val="none"/>
        </w:rPr>
        <w:t>7、投标文件必须按招标文件提供的格式签字或盖章。授权代表签字的，投标文件应附法定代表人签署的授权委托书。</w:t>
      </w:r>
    </w:p>
    <w:p>
      <w:pPr>
        <w:pStyle w:val="6"/>
        <w:spacing w:before="0" w:after="0" w:line="420" w:lineRule="exact"/>
        <w:ind w:left="616" w:leftChars="85" w:hanging="378" w:hangingChars="157"/>
        <w:jc w:val="both"/>
        <w:rPr>
          <w:rFonts w:ascii="宋体" w:hAnsi="宋体"/>
          <w:sz w:val="24"/>
          <w:szCs w:val="24"/>
          <w:highlight w:val="none"/>
        </w:rPr>
      </w:pPr>
      <w:r>
        <w:rPr>
          <w:rFonts w:hint="eastAsia" w:ascii="宋体" w:hAnsi="宋体"/>
          <w:sz w:val="24"/>
          <w:highlight w:val="none"/>
        </w:rPr>
        <w:t>（二）</w:t>
      </w:r>
      <w:r>
        <w:rPr>
          <w:rFonts w:hint="eastAsia" w:ascii="宋体" w:hAnsi="宋体"/>
          <w:sz w:val="24"/>
          <w:szCs w:val="24"/>
          <w:highlight w:val="none"/>
        </w:rPr>
        <w:t>投标文件的签章</w:t>
      </w:r>
    </w:p>
    <w:p>
      <w:pPr>
        <w:spacing w:line="420" w:lineRule="exact"/>
        <w:ind w:firstLine="482" w:firstLineChars="200"/>
        <w:rPr>
          <w:rFonts w:ascii="宋体" w:hAnsi="宋体" w:cs="Arial"/>
          <w:b/>
          <w:sz w:val="24"/>
          <w:szCs w:val="22"/>
          <w:highlight w:val="none"/>
        </w:rPr>
      </w:pPr>
      <w:r>
        <w:rPr>
          <w:rFonts w:hint="eastAsia" w:ascii="宋体" w:hAnsi="宋体" w:cs="Arial"/>
          <w:b/>
          <w:sz w:val="24"/>
          <w:szCs w:val="22"/>
          <w:highlight w:val="none"/>
        </w:rPr>
        <w:t>1、《投标文件》的签章：见《前附表》；</w:t>
      </w:r>
    </w:p>
    <w:p>
      <w:pPr>
        <w:spacing w:line="420" w:lineRule="exact"/>
        <w:ind w:firstLine="482" w:firstLineChars="200"/>
        <w:rPr>
          <w:rFonts w:ascii="宋体" w:hAnsi="宋体" w:cs="Arial"/>
          <w:b/>
          <w:sz w:val="24"/>
          <w:szCs w:val="22"/>
          <w:highlight w:val="none"/>
        </w:rPr>
      </w:pPr>
      <w:r>
        <w:rPr>
          <w:rFonts w:hint="eastAsia" w:ascii="宋体" w:hAnsi="宋体" w:cs="Arial"/>
          <w:b/>
          <w:sz w:val="24"/>
          <w:szCs w:val="22"/>
          <w:highlight w:val="none"/>
        </w:rPr>
        <w:t>2、《投标文件》应由投标人法定代表人或其授权代表签字（或盖章），并时加盖投标人公章。</w:t>
      </w:r>
    </w:p>
    <w:p>
      <w:pPr>
        <w:spacing w:line="420" w:lineRule="exact"/>
        <w:ind w:firstLine="482" w:firstLineChars="200"/>
        <w:rPr>
          <w:rFonts w:ascii="宋体" w:hAnsi="宋体" w:cs="Arial"/>
          <w:b/>
          <w:sz w:val="24"/>
          <w:szCs w:val="22"/>
          <w:highlight w:val="none"/>
        </w:rPr>
      </w:pPr>
      <w:r>
        <w:rPr>
          <w:rFonts w:hint="eastAsia" w:ascii="宋体" w:hAnsi="宋体" w:cs="Arial"/>
          <w:b/>
          <w:sz w:val="24"/>
          <w:szCs w:val="22"/>
          <w:highlight w:val="none"/>
        </w:rPr>
        <w:t>3、电子签章操作指南详见采购公告附件《供应商项目采购-电子招投标操作指南》。</w:t>
      </w:r>
    </w:p>
    <w:p>
      <w:pPr>
        <w:pStyle w:val="46"/>
        <w:adjustRightInd w:val="0"/>
        <w:snapToGrid w:val="0"/>
        <w:spacing w:line="420" w:lineRule="exact"/>
        <w:rPr>
          <w:rFonts w:hAnsi="宋体"/>
          <w:b/>
          <w:sz w:val="24"/>
          <w:highlight w:val="none"/>
        </w:rPr>
      </w:pPr>
      <w:r>
        <w:rPr>
          <w:rFonts w:hint="eastAsia" w:hAnsi="宋体"/>
          <w:b/>
          <w:sz w:val="24"/>
          <w:highlight w:val="none"/>
        </w:rPr>
        <w:t>（三）各标项投标文件的组成</w:t>
      </w:r>
    </w:p>
    <w:p>
      <w:pPr>
        <w:pStyle w:val="46"/>
        <w:adjustRightInd w:val="0"/>
        <w:snapToGrid w:val="0"/>
        <w:spacing w:line="420" w:lineRule="exact"/>
        <w:ind w:firstLine="482" w:firstLineChars="200"/>
        <w:rPr>
          <w:rFonts w:hAnsi="宋体"/>
          <w:b/>
          <w:sz w:val="24"/>
          <w:highlight w:val="none"/>
        </w:rPr>
      </w:pPr>
      <w:r>
        <w:rPr>
          <w:rFonts w:hint="eastAsia" w:hAnsi="宋体"/>
          <w:b/>
          <w:sz w:val="24"/>
          <w:highlight w:val="none"/>
        </w:rPr>
        <w:t>1、资格文件</w:t>
      </w:r>
    </w:p>
    <w:p>
      <w:pPr>
        <w:tabs>
          <w:tab w:val="left" w:pos="3780"/>
        </w:tabs>
        <w:spacing w:line="420" w:lineRule="exact"/>
        <w:ind w:firstLine="480" w:firstLineChars="200"/>
        <w:rPr>
          <w:rFonts w:ascii="宋体" w:hAnsi="宋体"/>
          <w:sz w:val="24"/>
          <w:highlight w:val="none"/>
        </w:rPr>
      </w:pPr>
      <w:r>
        <w:rPr>
          <w:rFonts w:hint="eastAsia" w:ascii="宋体" w:hAnsi="宋体" w:cs="宋体"/>
          <w:sz w:val="24"/>
          <w:szCs w:val="22"/>
          <w:highlight w:val="none"/>
        </w:rPr>
        <w:t>（1）</w:t>
      </w:r>
      <w:r>
        <w:rPr>
          <w:rFonts w:hint="eastAsia" w:ascii="宋体" w:hAnsi="宋体" w:eastAsia="宋体" w:cs="宋体"/>
          <w:color w:val="auto"/>
          <w:sz w:val="24"/>
          <w:szCs w:val="24"/>
          <w:highlight w:val="none"/>
        </w:rPr>
        <w:t>▲</w:t>
      </w:r>
      <w:r>
        <w:rPr>
          <w:rFonts w:hint="eastAsia" w:ascii="宋体" w:hAnsi="宋体" w:cs="宋体"/>
          <w:sz w:val="24"/>
          <w:szCs w:val="22"/>
          <w:highlight w:val="none"/>
        </w:rPr>
        <w:t>资格审查材料（按第五部分格式一要求提供）；</w:t>
      </w:r>
    </w:p>
    <w:p>
      <w:pPr>
        <w:pStyle w:val="46"/>
        <w:adjustRightInd w:val="0"/>
        <w:snapToGrid w:val="0"/>
        <w:spacing w:line="420" w:lineRule="exact"/>
        <w:ind w:firstLine="482" w:firstLineChars="200"/>
        <w:rPr>
          <w:rFonts w:hAnsi="宋体"/>
          <w:b/>
          <w:sz w:val="24"/>
          <w:highlight w:val="none"/>
        </w:rPr>
      </w:pPr>
      <w:r>
        <w:rPr>
          <w:rFonts w:hint="eastAsia" w:hAnsi="宋体"/>
          <w:b/>
          <w:sz w:val="24"/>
          <w:highlight w:val="none"/>
        </w:rPr>
        <w:t>2、商务技术文件</w:t>
      </w:r>
    </w:p>
    <w:p>
      <w:pPr>
        <w:pStyle w:val="46"/>
        <w:adjustRightInd w:val="0"/>
        <w:snapToGrid w:val="0"/>
        <w:spacing w:line="420" w:lineRule="exact"/>
        <w:ind w:firstLine="482" w:firstLineChars="200"/>
        <w:rPr>
          <w:rFonts w:hAnsi="宋体"/>
          <w:b/>
          <w:sz w:val="24"/>
          <w:highlight w:val="none"/>
        </w:rPr>
      </w:pPr>
      <w:r>
        <w:rPr>
          <w:rFonts w:hint="eastAsia" w:hAnsi="宋体"/>
          <w:b/>
          <w:sz w:val="24"/>
          <w:highlight w:val="none"/>
        </w:rPr>
        <w:t>【商务技术文件】根据评分标准自行编制，</w:t>
      </w:r>
      <w:r>
        <w:rPr>
          <w:rFonts w:hint="eastAsia" w:hAnsi="宋体"/>
          <w:b/>
          <w:sz w:val="24"/>
          <w:highlight w:val="none"/>
          <w:lang w:val="zh-CN"/>
        </w:rPr>
        <w:t>至少应包括以下内容：</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（1）投标声明函（格式见第五部分格式二）。</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（2）法定代表人身份证明或附有法定代表人身份证明及授权代表为投标人在职员工的证明文件（投标人为其缴纳的社保记录或劳务合同等）的授权委托书（格式见第五部分格式三）。</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（3）商务评分中所需的材料（如有，详见评标办法，资信获奖、认证体系证明材料等）。</w:t>
      </w:r>
    </w:p>
    <w:p>
      <w:pPr>
        <w:tabs>
          <w:tab w:val="left" w:pos="3780"/>
        </w:tabs>
        <w:spacing w:line="420" w:lineRule="exact"/>
        <w:ind w:firstLine="458" w:firstLineChars="191"/>
        <w:jc w:val="left"/>
        <w:rPr>
          <w:rFonts w:hint="eastAsia" w:ascii="宋体" w:hAnsi="宋体" w:cs="宋体"/>
          <w:sz w:val="24"/>
          <w:szCs w:val="22"/>
          <w:highlight w:val="none"/>
        </w:rPr>
      </w:pPr>
      <w:r>
        <w:rPr>
          <w:rFonts w:hint="eastAsia" w:ascii="宋体" w:hAnsi="宋体" w:cs="宋体"/>
          <w:sz w:val="24"/>
          <w:szCs w:val="22"/>
          <w:highlight w:val="none"/>
        </w:rPr>
        <w:t>（4）以往业绩情况（如有，具体要求见评标办法，并按第五部分格式四要求编排）</w:t>
      </w:r>
    </w:p>
    <w:p>
      <w:pPr>
        <w:tabs>
          <w:tab w:val="left" w:pos="3780"/>
        </w:tabs>
        <w:spacing w:line="420" w:lineRule="exact"/>
        <w:ind w:firstLine="458" w:firstLineChars="191"/>
        <w:jc w:val="left"/>
        <w:rPr>
          <w:rFonts w:ascii="宋体" w:hAnsi="宋体" w:cs="宋体"/>
          <w:sz w:val="24"/>
          <w:szCs w:val="22"/>
          <w:highlight w:val="none"/>
        </w:rPr>
      </w:pPr>
      <w:r>
        <w:rPr>
          <w:rFonts w:hint="eastAsia" w:ascii="宋体" w:hAnsi="宋体" w:cs="宋体"/>
          <w:sz w:val="24"/>
          <w:szCs w:val="22"/>
          <w:highlight w:val="none"/>
        </w:rPr>
        <w:t>（</w:t>
      </w:r>
      <w:r>
        <w:rPr>
          <w:rFonts w:hint="eastAsia" w:ascii="宋体" w:hAnsi="宋体" w:cs="宋体"/>
          <w:sz w:val="24"/>
          <w:szCs w:val="22"/>
          <w:highlight w:val="none"/>
          <w:lang w:val="en-US" w:eastAsia="zh-CN"/>
        </w:rPr>
        <w:t>5</w:t>
      </w:r>
      <w:r>
        <w:rPr>
          <w:rFonts w:hint="eastAsia" w:ascii="宋体" w:hAnsi="宋体" w:cs="宋体"/>
          <w:sz w:val="24"/>
          <w:szCs w:val="22"/>
          <w:highlight w:val="none"/>
        </w:rPr>
        <w:t>）拟投入本项目团队人员情况表（如有，具体要求见评标办法，并按第五部分格式</w:t>
      </w:r>
      <w:r>
        <w:rPr>
          <w:rFonts w:hint="eastAsia" w:ascii="宋体" w:hAnsi="宋体" w:cs="宋体"/>
          <w:sz w:val="24"/>
          <w:szCs w:val="22"/>
          <w:highlight w:val="none"/>
          <w:lang w:eastAsia="zh-CN"/>
        </w:rPr>
        <w:t>五</w:t>
      </w:r>
      <w:r>
        <w:rPr>
          <w:rFonts w:hint="eastAsia" w:ascii="宋体" w:hAnsi="宋体" w:cs="宋体"/>
          <w:sz w:val="24"/>
          <w:szCs w:val="22"/>
          <w:highlight w:val="none"/>
        </w:rPr>
        <w:t>要求编排）。</w:t>
      </w:r>
    </w:p>
    <w:p>
      <w:pPr>
        <w:tabs>
          <w:tab w:val="left" w:pos="3780"/>
        </w:tabs>
        <w:spacing w:line="420" w:lineRule="exact"/>
        <w:ind w:firstLine="480" w:firstLineChars="200"/>
        <w:rPr>
          <w:rFonts w:hint="eastAsia" w:ascii="宋体" w:hAnsi="宋体" w:eastAsia="宋体" w:cs="宋体"/>
          <w:sz w:val="24"/>
          <w:szCs w:val="22"/>
          <w:highlight w:val="none"/>
          <w:lang w:eastAsia="zh-CN"/>
        </w:rPr>
      </w:pPr>
      <w:r>
        <w:rPr>
          <w:rFonts w:hint="eastAsia" w:ascii="宋体" w:hAnsi="宋体" w:cs="宋体"/>
          <w:sz w:val="24"/>
          <w:szCs w:val="22"/>
          <w:highlight w:val="none"/>
        </w:rPr>
        <w:t>（6）</w:t>
      </w:r>
      <w:r>
        <w:rPr>
          <w:rFonts w:hint="eastAsia" w:ascii="宋体" w:hAnsi="宋体" w:cs="宋体"/>
          <w:sz w:val="24"/>
          <w:szCs w:val="22"/>
          <w:highlight w:val="none"/>
          <w:lang w:val="en-US" w:eastAsia="zh-CN"/>
        </w:rPr>
        <w:t>拟投入机械设备配置</w:t>
      </w:r>
      <w:r>
        <w:rPr>
          <w:rFonts w:hint="eastAsia" w:ascii="宋体" w:hAnsi="宋体" w:cs="宋体"/>
          <w:sz w:val="24"/>
          <w:szCs w:val="22"/>
          <w:highlight w:val="none"/>
        </w:rPr>
        <w:t>表（如有，具体要求见评标办法，并按第五部分格式</w:t>
      </w:r>
      <w:r>
        <w:rPr>
          <w:rFonts w:hint="eastAsia" w:ascii="宋体" w:hAnsi="宋体" w:cs="宋体"/>
          <w:sz w:val="24"/>
          <w:szCs w:val="22"/>
          <w:highlight w:val="none"/>
          <w:lang w:eastAsia="zh-CN"/>
        </w:rPr>
        <w:t>六</w:t>
      </w:r>
      <w:r>
        <w:rPr>
          <w:rFonts w:hint="eastAsia" w:ascii="宋体" w:hAnsi="宋体" w:cs="宋体"/>
          <w:sz w:val="24"/>
          <w:szCs w:val="22"/>
          <w:highlight w:val="none"/>
        </w:rPr>
        <w:t>要求编排）</w:t>
      </w:r>
      <w:r>
        <w:rPr>
          <w:rFonts w:hint="eastAsia" w:ascii="宋体" w:hAnsi="宋体" w:cs="宋体"/>
          <w:sz w:val="24"/>
          <w:szCs w:val="22"/>
          <w:highlight w:val="none"/>
          <w:lang w:eastAsia="zh-CN"/>
        </w:rPr>
        <w:t>。</w:t>
      </w:r>
    </w:p>
    <w:p>
      <w:pPr>
        <w:tabs>
          <w:tab w:val="left" w:pos="3780"/>
        </w:tabs>
        <w:spacing w:line="420" w:lineRule="exact"/>
        <w:ind w:firstLine="480" w:firstLineChars="200"/>
        <w:rPr>
          <w:rFonts w:hint="eastAsia" w:ascii="宋体" w:hAnsi="宋体" w:cs="宋体"/>
          <w:sz w:val="24"/>
          <w:szCs w:val="22"/>
          <w:highlight w:val="none"/>
          <w:lang w:eastAsia="zh-CN"/>
        </w:rPr>
      </w:pPr>
      <w:r>
        <w:rPr>
          <w:rFonts w:hint="eastAsia" w:ascii="宋体" w:hAnsi="宋体" w:cs="宋体"/>
          <w:sz w:val="24"/>
          <w:szCs w:val="22"/>
          <w:highlight w:val="none"/>
        </w:rPr>
        <w:t>（7）商务/技术偏离表（格式见第五部分格式</w:t>
      </w:r>
      <w:r>
        <w:rPr>
          <w:rFonts w:hint="eastAsia" w:ascii="宋体" w:hAnsi="宋体" w:cs="宋体"/>
          <w:sz w:val="24"/>
          <w:szCs w:val="22"/>
          <w:highlight w:val="none"/>
          <w:lang w:eastAsia="zh-CN"/>
        </w:rPr>
        <w:t>七</w:t>
      </w:r>
      <w:r>
        <w:rPr>
          <w:rFonts w:hint="eastAsia" w:ascii="宋体" w:hAnsi="宋体" w:cs="宋体"/>
          <w:sz w:val="24"/>
          <w:szCs w:val="22"/>
          <w:highlight w:val="none"/>
        </w:rPr>
        <w:t>）</w:t>
      </w:r>
      <w:r>
        <w:rPr>
          <w:rFonts w:hint="eastAsia" w:ascii="宋体" w:hAnsi="宋体" w:cs="宋体"/>
          <w:sz w:val="24"/>
          <w:szCs w:val="22"/>
          <w:highlight w:val="none"/>
          <w:lang w:eastAsia="zh-CN"/>
        </w:rPr>
        <w:t>。</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w:t>
      </w:r>
      <w:r>
        <w:rPr>
          <w:rFonts w:hint="eastAsia" w:ascii="宋体" w:hAnsi="宋体" w:cs="宋体"/>
          <w:sz w:val="24"/>
          <w:szCs w:val="22"/>
          <w:highlight w:val="none"/>
          <w:lang w:val="en-US" w:eastAsia="zh-CN"/>
        </w:rPr>
        <w:t>8</w:t>
      </w:r>
      <w:r>
        <w:rPr>
          <w:rFonts w:hint="eastAsia" w:ascii="宋体" w:hAnsi="宋体" w:cs="宋体"/>
          <w:sz w:val="24"/>
          <w:szCs w:val="22"/>
          <w:highlight w:val="none"/>
        </w:rPr>
        <w:t>）</w:t>
      </w:r>
      <w:r>
        <w:rPr>
          <w:rFonts w:hint="eastAsia" w:ascii="宋体" w:hAnsi="宋体" w:cs="宋体"/>
          <w:sz w:val="24"/>
          <w:szCs w:val="22"/>
          <w:highlight w:val="none"/>
          <w:lang w:eastAsia="zh-CN"/>
        </w:rPr>
        <w:t>技术部分</w:t>
      </w:r>
      <w:r>
        <w:rPr>
          <w:rFonts w:hint="eastAsia" w:ascii="宋体" w:hAnsi="宋体" w:cs="宋体"/>
          <w:sz w:val="24"/>
          <w:szCs w:val="22"/>
          <w:highlight w:val="none"/>
        </w:rPr>
        <w:t>（具体要求见评标办法）</w:t>
      </w:r>
      <w:r>
        <w:rPr>
          <w:rFonts w:hint="eastAsia" w:ascii="宋体" w:hAnsi="宋体" w:cs="宋体"/>
          <w:sz w:val="24"/>
          <w:szCs w:val="22"/>
          <w:highlight w:val="none"/>
          <w:lang w:val="en-GB"/>
        </w:rPr>
        <w:t>。</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w:t>
      </w:r>
      <w:r>
        <w:rPr>
          <w:rFonts w:hint="eastAsia" w:ascii="宋体" w:hAnsi="宋体" w:cs="宋体"/>
          <w:sz w:val="24"/>
          <w:szCs w:val="22"/>
          <w:highlight w:val="none"/>
          <w:lang w:val="en-US" w:eastAsia="zh-CN"/>
        </w:rPr>
        <w:t>9</w:t>
      </w:r>
      <w:r>
        <w:rPr>
          <w:rFonts w:hint="eastAsia" w:ascii="宋体" w:hAnsi="宋体" w:cs="宋体"/>
          <w:sz w:val="24"/>
          <w:szCs w:val="22"/>
          <w:highlight w:val="none"/>
        </w:rPr>
        <w:t>）投标人需要说明的其他内容。</w:t>
      </w:r>
    </w:p>
    <w:p>
      <w:pPr>
        <w:pStyle w:val="46"/>
        <w:adjustRightInd w:val="0"/>
        <w:snapToGrid w:val="0"/>
        <w:spacing w:line="420" w:lineRule="exact"/>
        <w:rPr>
          <w:rFonts w:hAnsi="宋体"/>
          <w:b/>
          <w:sz w:val="24"/>
          <w:highlight w:val="none"/>
        </w:rPr>
      </w:pPr>
      <w:r>
        <w:rPr>
          <w:rFonts w:hint="eastAsia" w:hAnsi="宋体"/>
          <w:b/>
          <w:sz w:val="24"/>
          <w:highlight w:val="none"/>
        </w:rPr>
        <w:t>3、报价文件</w:t>
      </w:r>
    </w:p>
    <w:p>
      <w:pPr>
        <w:tabs>
          <w:tab w:val="left" w:pos="3780"/>
        </w:tabs>
        <w:spacing w:line="420" w:lineRule="exact"/>
        <w:ind w:firstLine="480" w:firstLineChars="200"/>
        <w:rPr>
          <w:rFonts w:hint="eastAsia" w:ascii="宋体" w:hAnsi="宋体" w:eastAsia="宋体" w:cs="宋体"/>
          <w:sz w:val="24"/>
          <w:szCs w:val="22"/>
          <w:highlight w:val="none"/>
          <w:lang w:eastAsia="zh-CN"/>
        </w:rPr>
      </w:pPr>
      <w:r>
        <w:rPr>
          <w:rFonts w:hint="eastAsia" w:ascii="宋体" w:hAnsi="宋体" w:cs="宋体"/>
          <w:sz w:val="24"/>
          <w:szCs w:val="22"/>
          <w:highlight w:val="none"/>
        </w:rPr>
        <w:t>（1）</w:t>
      </w:r>
      <w:r>
        <w:rPr>
          <w:rFonts w:hint="eastAsia" w:ascii="宋体" w:hAnsi="宋体" w:eastAsia="宋体" w:cs="宋体"/>
          <w:color w:val="auto"/>
          <w:sz w:val="24"/>
          <w:szCs w:val="24"/>
          <w:highlight w:val="none"/>
        </w:rPr>
        <w:t>▲</w:t>
      </w:r>
      <w:r>
        <w:rPr>
          <w:rFonts w:hint="eastAsia" w:ascii="宋体" w:hAnsi="宋体" w:cs="宋体"/>
          <w:sz w:val="24"/>
          <w:szCs w:val="22"/>
          <w:highlight w:val="none"/>
        </w:rPr>
        <w:t>开标一览表（格式见第五部分格式</w:t>
      </w:r>
      <w:r>
        <w:rPr>
          <w:rFonts w:hint="eastAsia" w:ascii="宋体" w:hAnsi="宋体" w:cs="宋体"/>
          <w:sz w:val="24"/>
          <w:szCs w:val="22"/>
          <w:highlight w:val="none"/>
          <w:lang w:eastAsia="zh-CN"/>
        </w:rPr>
        <w:t>八</w:t>
      </w:r>
      <w:r>
        <w:rPr>
          <w:rFonts w:hint="eastAsia" w:ascii="宋体" w:hAnsi="宋体" w:cs="宋体"/>
          <w:sz w:val="24"/>
          <w:szCs w:val="22"/>
          <w:highlight w:val="none"/>
        </w:rPr>
        <w:t>）</w:t>
      </w:r>
      <w:r>
        <w:rPr>
          <w:rFonts w:hint="eastAsia" w:ascii="宋体" w:hAnsi="宋体" w:cs="宋体"/>
          <w:sz w:val="24"/>
          <w:szCs w:val="22"/>
          <w:highlight w:val="none"/>
          <w:lang w:eastAsia="zh-CN"/>
        </w:rPr>
        <w:t>。</w:t>
      </w:r>
    </w:p>
    <w:p>
      <w:pPr>
        <w:tabs>
          <w:tab w:val="left" w:pos="3780"/>
        </w:tabs>
        <w:spacing w:line="420" w:lineRule="exact"/>
        <w:ind w:firstLine="480" w:firstLineChars="200"/>
        <w:rPr>
          <w:rFonts w:hint="eastAsia" w:ascii="宋体" w:hAnsi="宋体" w:cs="宋体"/>
          <w:sz w:val="24"/>
          <w:szCs w:val="22"/>
          <w:highlight w:val="none"/>
          <w:lang w:val="en-US" w:eastAsia="zh-CN"/>
        </w:rPr>
      </w:pPr>
      <w:r>
        <w:rPr>
          <w:rFonts w:hint="eastAsia" w:ascii="宋体" w:hAnsi="宋体" w:cs="宋体"/>
          <w:sz w:val="24"/>
          <w:szCs w:val="22"/>
          <w:highlight w:val="none"/>
        </w:rPr>
        <w:t>（2）</w:t>
      </w:r>
      <w:r>
        <w:rPr>
          <w:rFonts w:hint="eastAsia" w:ascii="宋体" w:hAnsi="宋体" w:eastAsia="宋体" w:cs="宋体"/>
          <w:color w:val="auto"/>
          <w:sz w:val="24"/>
          <w:szCs w:val="24"/>
          <w:highlight w:val="none"/>
        </w:rPr>
        <w:t>▲</w:t>
      </w:r>
      <w:r>
        <w:rPr>
          <w:rFonts w:hint="eastAsia" w:ascii="宋体" w:hAnsi="宋体" w:cs="宋体"/>
          <w:sz w:val="24"/>
          <w:szCs w:val="22"/>
          <w:highlight w:val="none"/>
          <w:lang w:val="en-US" w:eastAsia="zh-CN"/>
        </w:rPr>
        <w:t>交纳采购代理服务费承诺书</w:t>
      </w:r>
      <w:r>
        <w:rPr>
          <w:rFonts w:hint="eastAsia" w:ascii="宋体" w:hAnsi="宋体" w:cs="宋体"/>
          <w:sz w:val="24"/>
          <w:szCs w:val="22"/>
          <w:highlight w:val="none"/>
        </w:rPr>
        <w:t>（格式见第五部分格式</w:t>
      </w:r>
      <w:r>
        <w:rPr>
          <w:rFonts w:hint="eastAsia" w:ascii="宋体" w:hAnsi="宋体" w:cs="宋体"/>
          <w:sz w:val="24"/>
          <w:szCs w:val="22"/>
          <w:highlight w:val="none"/>
          <w:lang w:eastAsia="zh-CN"/>
        </w:rPr>
        <w:t>九</w:t>
      </w:r>
      <w:r>
        <w:rPr>
          <w:rFonts w:hint="eastAsia" w:ascii="宋体" w:hAnsi="宋体" w:cs="宋体"/>
          <w:sz w:val="24"/>
          <w:szCs w:val="22"/>
          <w:highlight w:val="none"/>
        </w:rPr>
        <w:t>）</w:t>
      </w:r>
      <w:r>
        <w:rPr>
          <w:rFonts w:hint="eastAsia" w:ascii="宋体" w:hAnsi="宋体" w:cs="宋体"/>
          <w:sz w:val="24"/>
          <w:szCs w:val="22"/>
          <w:highlight w:val="none"/>
          <w:lang w:val="en-US" w:eastAsia="zh-CN"/>
        </w:rPr>
        <w:t>。</w:t>
      </w:r>
    </w:p>
    <w:p>
      <w:pPr>
        <w:tabs>
          <w:tab w:val="left" w:pos="3780"/>
        </w:tabs>
        <w:spacing w:line="420" w:lineRule="exact"/>
        <w:ind w:firstLine="480" w:firstLineChars="200"/>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（4）中小企业声明函、监狱和戒毒企业证明材料、残疾人福利性单位声明函（格式见第五部分格式十）。</w:t>
      </w:r>
    </w:p>
    <w:p>
      <w:pPr>
        <w:tabs>
          <w:tab w:val="left" w:pos="3780"/>
        </w:tabs>
        <w:spacing w:line="42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lang w:val="en-US" w:eastAsia="zh-CN"/>
        </w:rPr>
        <w:t>（5）</w:t>
      </w:r>
      <w:r>
        <w:rPr>
          <w:rFonts w:hint="eastAsia" w:ascii="宋体" w:hAnsi="宋体" w:cs="宋体"/>
          <w:sz w:val="24"/>
          <w:szCs w:val="22"/>
          <w:highlight w:val="none"/>
        </w:rPr>
        <w:t>投标人认为需要的其他资料。</w:t>
      </w:r>
    </w:p>
    <w:p>
      <w:pPr>
        <w:pStyle w:val="309"/>
        <w:adjustRightInd w:val="0"/>
        <w:snapToGrid w:val="0"/>
        <w:spacing w:before="0" w:line="420" w:lineRule="exact"/>
        <w:ind w:firstLine="0" w:firstLineChars="0"/>
        <w:rPr>
          <w:rFonts w:ascii="宋体" w:hAnsi="宋体"/>
          <w:b/>
          <w:highlight w:val="none"/>
        </w:rPr>
      </w:pPr>
      <w:r>
        <w:rPr>
          <w:rFonts w:hint="eastAsia" w:ascii="宋体" w:hAnsi="宋体"/>
          <w:b/>
          <w:highlight w:val="none"/>
        </w:rPr>
        <w:t>（三）投标报价</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1、本项目采用单价包干方式。</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yellow"/>
          <w:lang w:val="en-US" w:eastAsia="zh-CN" w:bidi="ar-SA"/>
        </w:rPr>
      </w:pPr>
      <w:r>
        <w:rPr>
          <w:rFonts w:hint="eastAsia" w:ascii="宋体" w:hAnsi="宋体" w:eastAsia="宋体" w:cs="宋体"/>
          <w:kern w:val="2"/>
          <w:sz w:val="24"/>
          <w:szCs w:val="22"/>
          <w:highlight w:val="none"/>
          <w:lang w:val="en-US" w:eastAsia="zh-CN" w:bidi="ar-SA"/>
        </w:rPr>
        <w:t>2、本项目投标报价为承包单年每平方单价、单年总价及三年总费用报价。承包总价必须包括采购需求约定的所有服务所需的一切人员工资、奖金、服装费、各种加班费、夜餐费、住宿费、保洁工具材料费、创文（创卫）保障费用、作业用水用电费、各种保险、管理费用、税费、利润等完成合同所需的一切费用（包括政策性文件调整、合同履行中产生的所有风险责任等），并承担一切风险责任，供应商在合同服务期间内不得违反国家相关政策规定。</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3、供应商认为为完成本采购文件规定的项目承包内容所发生的直接成本、间接成本、利润、税金、政策性文件规定的费用、设备进出场费、原材料价格变化风险等一切费用均应计入投标报价，凡未列入的将被认为均已包含在投标总价中，今后不得以任何理由追加或调整。</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4、供应商必须按第六部分附件中的《开标一览表》填写报价（后附报价明细表）。</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5、《开标一览表》及《报价明细表》上的价格须以人民币报价，以其它货币报价的投标将不予接受。</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6、采购人不接受任何选择报价，只允许一个报价。</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7、采购人要求分类报价是为了方便评标，但在任何情况下不限制采购人以其认为最合适的条款、条件签订合同的权利。</w:t>
      </w:r>
    </w:p>
    <w:p>
      <w:pPr>
        <w:pStyle w:val="5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2"/>
          <w:sz w:val="24"/>
          <w:szCs w:val="22"/>
          <w:highlight w:val="none"/>
          <w:lang w:val="en-US" w:eastAsia="zh-CN" w:bidi="ar-SA"/>
        </w:rPr>
      </w:pPr>
      <w:r>
        <w:rPr>
          <w:rFonts w:hint="eastAsia" w:ascii="宋体" w:hAnsi="宋体" w:eastAsia="宋体" w:cs="宋体"/>
          <w:kern w:val="2"/>
          <w:sz w:val="24"/>
          <w:szCs w:val="22"/>
          <w:highlight w:val="none"/>
          <w:lang w:val="en-US" w:eastAsia="zh-CN" w:bidi="ar-SA"/>
        </w:rPr>
        <w:t>8、供应商所报的投标价的折合单价在合同执行过程中是固定不变的，不得以任何理由予以变更。任何包含价格调整的要求，将被认为是非实质性响应投标而予以拒绝。</w:t>
      </w:r>
    </w:p>
    <w:p>
      <w:pPr>
        <w:pStyle w:val="309"/>
        <w:adjustRightInd w:val="0"/>
        <w:snapToGrid w:val="0"/>
        <w:spacing w:before="0" w:line="420" w:lineRule="exact"/>
        <w:ind w:firstLine="0" w:firstLineChars="0"/>
        <w:rPr>
          <w:rFonts w:ascii="宋体" w:hAnsi="宋体"/>
          <w:b/>
          <w:highlight w:val="none"/>
        </w:rPr>
      </w:pPr>
      <w:bookmarkStart w:id="51" w:name="_Toc91899887"/>
      <w:r>
        <w:rPr>
          <w:rFonts w:hint="eastAsia" w:ascii="宋体" w:hAnsi="宋体"/>
          <w:b/>
          <w:highlight w:val="none"/>
        </w:rPr>
        <w:t>（四）投标有效期</w:t>
      </w:r>
    </w:p>
    <w:p>
      <w:pPr>
        <w:keepNext w:val="0"/>
        <w:keepLines w:val="0"/>
        <w:pageBreakBefore w:val="0"/>
        <w:widowControl w:val="0"/>
        <w:tabs>
          <w:tab w:val="left" w:pos="3780"/>
        </w:tabs>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2"/>
          <w:highlight w:val="none"/>
        </w:rPr>
      </w:pPr>
      <w:r>
        <w:rPr>
          <w:rFonts w:hint="eastAsia" w:ascii="宋体" w:hAnsi="宋体" w:cs="宋体"/>
          <w:sz w:val="24"/>
          <w:szCs w:val="22"/>
          <w:highlight w:val="none"/>
        </w:rPr>
        <w:t>1、投标文件合格投递后，自投标截止日期起，至前附表规定的日期内有效。合同签订后，投标文件作为合同附件，投标文件有效期同合同有效期。</w:t>
      </w:r>
    </w:p>
    <w:p>
      <w:pPr>
        <w:keepNext w:val="0"/>
        <w:keepLines w:val="0"/>
        <w:pageBreakBefore w:val="0"/>
        <w:widowControl w:val="0"/>
        <w:tabs>
          <w:tab w:val="left" w:pos="3780"/>
        </w:tabs>
        <w:kinsoku/>
        <w:wordWrap/>
        <w:overflowPunct/>
        <w:topLinePunct w:val="0"/>
        <w:autoSpaceDE/>
        <w:autoSpaceDN/>
        <w:bidi w:val="0"/>
        <w:adjustRightInd/>
        <w:snapToGrid/>
        <w:spacing w:line="420" w:lineRule="exact"/>
        <w:ind w:firstLine="480" w:firstLineChars="200"/>
        <w:textAlignment w:val="auto"/>
        <w:rPr>
          <w:rFonts w:ascii="宋体" w:hAnsi="宋体" w:cs="宋体"/>
          <w:sz w:val="24"/>
          <w:szCs w:val="22"/>
          <w:highlight w:val="none"/>
        </w:rPr>
      </w:pPr>
      <w:r>
        <w:rPr>
          <w:rFonts w:hint="eastAsia" w:ascii="宋体" w:hAnsi="宋体" w:cs="宋体"/>
          <w:sz w:val="24"/>
          <w:szCs w:val="22"/>
          <w:highlight w:val="none"/>
        </w:rPr>
        <w:t>2、 招标人如因故推迟投标截止时间，将以书面形式通知所有投标人。在这种情况下，招标人与投标人以前在投标截止期方面的全部权利、责任和义务，将适用于延长至新的投标截止期。</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3、投标人可拒绝接受延期要求。同意延长有效期的投标人不能修改投标文件。</w:t>
      </w:r>
    </w:p>
    <w:p>
      <w:pPr>
        <w:tabs>
          <w:tab w:val="left" w:pos="3780"/>
        </w:tabs>
        <w:spacing w:line="42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4、投标截止后，在投标有效期内，投标人不能撤销投标文件。投标人强行撤销投标文件的，应按采购预算金额的2%赔偿对采购组织机构造成的损失。</w:t>
      </w:r>
    </w:p>
    <w:bookmarkEnd w:id="51"/>
    <w:p>
      <w:pPr>
        <w:adjustRightInd w:val="0"/>
        <w:snapToGrid w:val="0"/>
        <w:spacing w:line="420" w:lineRule="exact"/>
        <w:jc w:val="center"/>
        <w:outlineLvl w:val="1"/>
        <w:rPr>
          <w:rFonts w:ascii="宋体" w:hAnsi="宋体"/>
          <w:b/>
          <w:sz w:val="32"/>
          <w:highlight w:val="none"/>
        </w:rPr>
      </w:pPr>
      <w:bookmarkStart w:id="52" w:name="_Toc522530044"/>
      <w:bookmarkStart w:id="53" w:name="_Toc19525"/>
      <w:bookmarkStart w:id="54" w:name="_Toc91899892"/>
      <w:r>
        <w:rPr>
          <w:rFonts w:hint="eastAsia" w:ascii="宋体" w:hAnsi="宋体"/>
          <w:b/>
          <w:sz w:val="32"/>
          <w:highlight w:val="none"/>
        </w:rPr>
        <w:t>四、</w:t>
      </w:r>
      <w:r>
        <w:rPr>
          <w:rFonts w:ascii="宋体" w:hAnsi="宋体"/>
          <w:b/>
          <w:sz w:val="32"/>
          <w:highlight w:val="none"/>
        </w:rPr>
        <w:t>投</w:t>
      </w:r>
      <w:r>
        <w:rPr>
          <w:rFonts w:hint="eastAsia" w:ascii="宋体" w:hAnsi="宋体"/>
          <w:b/>
          <w:sz w:val="32"/>
          <w:highlight w:val="none"/>
        </w:rPr>
        <w:t xml:space="preserve"> 标</w:t>
      </w:r>
      <w:bookmarkEnd w:id="52"/>
      <w:bookmarkEnd w:id="53"/>
    </w:p>
    <w:p>
      <w:pPr>
        <w:pStyle w:val="309"/>
        <w:adjustRightInd w:val="0"/>
        <w:snapToGrid w:val="0"/>
        <w:spacing w:before="0" w:line="420" w:lineRule="exact"/>
        <w:ind w:firstLine="0" w:firstLineChars="0"/>
        <w:rPr>
          <w:rFonts w:ascii="宋体" w:hAnsi="宋体"/>
          <w:b/>
          <w:bCs/>
          <w:highlight w:val="none"/>
        </w:rPr>
      </w:pPr>
      <w:r>
        <w:rPr>
          <w:rFonts w:hint="eastAsia" w:ascii="宋体" w:hAnsi="宋体"/>
          <w:b/>
          <w:bCs/>
          <w:highlight w:val="none"/>
        </w:rPr>
        <w:t>（一）投标文件的上传和递交</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1、“电子加密投标文件”的上传、递交：</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a.投标人应在投标截止时间前将“电子加密投标文件”成功上传递交至“政府采购云平台”，否则投标无效。</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b.“电子加密投标文件”成功上传递交后，投标人可自行打印投标文件接收回执。</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2、“备份投标文件”的密封包装、递交：</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a.投标人在“政府采购云平台”完成“电子加密投标文件”的上传递交后，还可以（建议顺丰邮寄形式）在投标截止时间前递交以介质（U盘）存储的 “备份投标文件”（一份）；</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b.“备份投标文件”应当密封包装，并在包装上标注投标项目名称、投标单位名称并加盖公章。没有密封包装或者逾期邮寄送达至投标地点的“备份投标文件”将不予接收；</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d.电子备份投标文件，由投标人决定是否递交，并自行承担不递交电子备份投标文件的风险。</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3、招标人如因故推迟投标截止时间，将以书面形式通知所有投标人。在这种情况下，招标人与投标人以前在投标截止期方面的全部权利、责任和义务，将适用于延长至新的投标截止期。</w:t>
      </w:r>
    </w:p>
    <w:p>
      <w:pPr>
        <w:pStyle w:val="309"/>
        <w:adjustRightInd w:val="0"/>
        <w:snapToGrid w:val="0"/>
        <w:spacing w:before="0" w:line="420" w:lineRule="exact"/>
        <w:ind w:firstLine="0" w:firstLineChars="0"/>
        <w:rPr>
          <w:rFonts w:ascii="宋体" w:hAnsi="宋体"/>
          <w:b/>
          <w:bCs/>
          <w:highlight w:val="none"/>
        </w:rPr>
      </w:pPr>
      <w:r>
        <w:rPr>
          <w:rFonts w:hint="eastAsia" w:ascii="宋体" w:hAnsi="宋体"/>
          <w:b/>
          <w:bCs/>
          <w:highlight w:val="none"/>
        </w:rPr>
        <w:t>（二）“电子加密投标文件”解密和异常情况处理</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（1）开标后，采购组织机构将向各投标人发出“电子加密投标文件”的解密通知，各投标人代表应当在接到解密通知后30分钟内自行完成“电子加密投标文件”的在线解密。</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tabs>
          <w:tab w:val="left" w:pos="3780"/>
        </w:tabs>
        <w:spacing w:line="420" w:lineRule="exact"/>
        <w:ind w:firstLine="480" w:firstLineChars="200"/>
        <w:rPr>
          <w:rFonts w:ascii="宋体" w:hAnsi="宋体"/>
          <w:b/>
          <w:bCs/>
          <w:sz w:val="24"/>
          <w:szCs w:val="22"/>
          <w:highlight w:val="none"/>
        </w:rPr>
      </w:pPr>
      <w:r>
        <w:rPr>
          <w:rFonts w:hint="eastAsia" w:ascii="宋体" w:hAnsi="宋体" w:cs="宋体"/>
          <w:sz w:val="24"/>
          <w:szCs w:val="22"/>
          <w:highlight w:val="none"/>
        </w:rPr>
        <w:t>（3）投标截止时间前，投标人仅递交了“备份投标文件”而未将电子加密投标文件上传至“政府采购云平台”的，投标无效。</w:t>
      </w:r>
    </w:p>
    <w:p>
      <w:pPr>
        <w:pStyle w:val="309"/>
        <w:adjustRightInd w:val="0"/>
        <w:snapToGrid w:val="0"/>
        <w:spacing w:before="0" w:line="420" w:lineRule="exact"/>
        <w:ind w:firstLine="0" w:firstLineChars="0"/>
        <w:rPr>
          <w:rFonts w:ascii="宋体" w:hAnsi="宋体"/>
          <w:b/>
          <w:bCs/>
          <w:highlight w:val="none"/>
        </w:rPr>
      </w:pPr>
      <w:r>
        <w:rPr>
          <w:rFonts w:hint="eastAsia" w:ascii="宋体" w:hAnsi="宋体"/>
          <w:b/>
          <w:bCs/>
          <w:highlight w:val="none"/>
        </w:rPr>
        <w:t>（三）投标文件的修改与撤回</w:t>
      </w:r>
    </w:p>
    <w:p>
      <w:pPr>
        <w:tabs>
          <w:tab w:val="left" w:pos="3780"/>
        </w:tabs>
        <w:spacing w:line="420" w:lineRule="exact"/>
        <w:ind w:firstLine="480" w:firstLineChars="200"/>
        <w:rPr>
          <w:rFonts w:ascii="宋体" w:hAnsi="宋体" w:cs="宋体"/>
          <w:sz w:val="24"/>
          <w:szCs w:val="22"/>
          <w:highlight w:val="none"/>
        </w:rPr>
      </w:pPr>
      <w:r>
        <w:rPr>
          <w:rFonts w:hint="eastAsia" w:ascii="宋体" w:hAnsi="宋体" w:cs="宋体"/>
          <w:sz w:val="24"/>
          <w:szCs w:val="22"/>
          <w:highlight w:val="none"/>
        </w:rPr>
        <w:t>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tabs>
          <w:tab w:val="left" w:pos="3780"/>
        </w:tabs>
        <w:spacing w:line="420" w:lineRule="exact"/>
        <w:ind w:firstLine="480" w:firstLineChars="200"/>
        <w:rPr>
          <w:rFonts w:hint="eastAsia" w:ascii="宋体" w:hAnsi="宋体" w:cs="宋体"/>
          <w:sz w:val="24"/>
          <w:szCs w:val="22"/>
          <w:highlight w:val="none"/>
        </w:rPr>
      </w:pPr>
      <w:r>
        <w:rPr>
          <w:rFonts w:hint="eastAsia" w:ascii="宋体" w:hAnsi="宋体" w:cs="宋体"/>
          <w:sz w:val="24"/>
          <w:szCs w:val="22"/>
          <w:highlight w:val="none"/>
        </w:rPr>
        <w:t>2、投标截止时间后，投标人不得撤回、修改《投标文件》。</w:t>
      </w:r>
    </w:p>
    <w:p>
      <w:pPr>
        <w:pStyle w:val="35"/>
      </w:pPr>
    </w:p>
    <w:bookmarkEnd w:id="54"/>
    <w:p>
      <w:pPr>
        <w:adjustRightInd w:val="0"/>
        <w:snapToGrid w:val="0"/>
        <w:spacing w:line="420" w:lineRule="exact"/>
        <w:jc w:val="center"/>
        <w:outlineLvl w:val="1"/>
        <w:rPr>
          <w:rFonts w:ascii="宋体" w:hAnsi="宋体"/>
          <w:b/>
          <w:sz w:val="32"/>
          <w:highlight w:val="none"/>
        </w:rPr>
      </w:pPr>
      <w:bookmarkStart w:id="55" w:name="_Toc522530045"/>
      <w:bookmarkStart w:id="56" w:name="_Toc91899897"/>
      <w:bookmarkStart w:id="57" w:name="_Toc6430"/>
      <w:bookmarkStart w:id="58" w:name="_Toc233618976"/>
      <w:r>
        <w:rPr>
          <w:rFonts w:hint="eastAsia" w:ascii="宋体" w:hAnsi="宋体"/>
          <w:b/>
          <w:sz w:val="32"/>
          <w:highlight w:val="none"/>
        </w:rPr>
        <w:t>五、开 标</w:t>
      </w:r>
      <w:bookmarkEnd w:id="55"/>
      <w:bookmarkEnd w:id="56"/>
      <w:bookmarkEnd w:id="57"/>
      <w:bookmarkEnd w:id="58"/>
    </w:p>
    <w:p>
      <w:pPr>
        <w:pStyle w:val="6"/>
        <w:spacing w:before="0" w:after="0" w:line="420" w:lineRule="exact"/>
        <w:ind w:left="378" w:hanging="378" w:hangingChars="157"/>
        <w:jc w:val="both"/>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开标</w:t>
      </w:r>
      <w:r>
        <w:rPr>
          <w:rFonts w:hint="eastAsia" w:ascii="宋体" w:hAnsi="宋体" w:cs="宋体"/>
          <w:sz w:val="24"/>
          <w:szCs w:val="24"/>
          <w:highlight w:val="none"/>
        </w:rPr>
        <w:t>形式</w:t>
      </w:r>
    </w:p>
    <w:p>
      <w:pPr>
        <w:spacing w:line="420" w:lineRule="exact"/>
        <w:ind w:firstLine="426" w:firstLineChars="177"/>
        <w:rPr>
          <w:rFonts w:ascii="宋体" w:hAnsi="宋体"/>
          <w:b/>
          <w:sz w:val="24"/>
          <w:highlight w:val="none"/>
        </w:rPr>
      </w:pPr>
      <w:r>
        <w:rPr>
          <w:rFonts w:hint="eastAsia" w:ascii="宋体" w:hAnsi="宋体"/>
          <w:b/>
          <w:sz w:val="24"/>
          <w:highlight w:val="none"/>
        </w:rPr>
        <w:t>1、 采购组织机构将按照招标文件规定的时间通过“政府采购云平台”组织开标、开启投标文件，所有投标人均应当准时在线参加。</w:t>
      </w:r>
    </w:p>
    <w:p>
      <w:pPr>
        <w:pStyle w:val="6"/>
        <w:spacing w:before="0" w:after="0" w:line="420" w:lineRule="exact"/>
        <w:ind w:left="378" w:hanging="378" w:hangingChars="157"/>
        <w:jc w:val="both"/>
        <w:rPr>
          <w:rFonts w:ascii="宋体" w:hAnsi="宋体"/>
          <w:sz w:val="24"/>
          <w:szCs w:val="24"/>
          <w:highlight w:val="none"/>
        </w:rPr>
      </w:pPr>
      <w:r>
        <w:rPr>
          <w:rFonts w:hint="eastAsia" w:ascii="宋体" w:hAnsi="宋体" w:cs="宋体"/>
          <w:sz w:val="24"/>
          <w:szCs w:val="24"/>
          <w:highlight w:val="none"/>
        </w:rPr>
        <w:t>（二）</w:t>
      </w:r>
      <w:r>
        <w:rPr>
          <w:rFonts w:ascii="宋体" w:hAnsi="宋体"/>
          <w:sz w:val="24"/>
          <w:szCs w:val="24"/>
          <w:highlight w:val="none"/>
        </w:rPr>
        <w:t>开标准备</w:t>
      </w:r>
    </w:p>
    <w:p>
      <w:pPr>
        <w:spacing w:line="420" w:lineRule="exact"/>
        <w:ind w:firstLine="422" w:firstLineChars="176"/>
        <w:rPr>
          <w:rFonts w:ascii="宋体" w:hAnsi="宋体" w:cs="Arial"/>
          <w:kern w:val="0"/>
          <w:sz w:val="24"/>
          <w:highlight w:val="none"/>
        </w:rPr>
      </w:pPr>
      <w:r>
        <w:rPr>
          <w:rFonts w:hint="eastAsia" w:ascii="宋体" w:hAnsi="宋体" w:cs="Arial"/>
          <w:kern w:val="0"/>
          <w:sz w:val="24"/>
          <w:highlight w:val="none"/>
        </w:rPr>
        <w:t>1、开标的准备工作由采购组织机构负责落实；</w:t>
      </w:r>
    </w:p>
    <w:p>
      <w:pPr>
        <w:spacing w:line="420" w:lineRule="exact"/>
        <w:ind w:firstLine="422" w:firstLineChars="176"/>
        <w:rPr>
          <w:rFonts w:ascii="宋体" w:hAnsi="宋体" w:cs="Arial"/>
          <w:kern w:val="0"/>
          <w:sz w:val="24"/>
          <w:highlight w:val="none"/>
        </w:rPr>
      </w:pPr>
      <w:r>
        <w:rPr>
          <w:rFonts w:hint="eastAsia" w:ascii="宋体" w:hAnsi="宋体" w:cs="Arial"/>
          <w:kern w:val="0"/>
          <w:sz w:val="24"/>
          <w:highlight w:val="none"/>
        </w:rPr>
        <w:t>2、</w:t>
      </w:r>
      <w:r>
        <w:rPr>
          <w:rFonts w:hint="eastAsia" w:ascii="宋体" w:hAnsi="宋体"/>
          <w:b/>
          <w:sz w:val="24"/>
          <w:highlight w:val="none"/>
        </w:rPr>
        <w:t>采购组织机构将按照招标文件规定的时间通过“政府采购云平台”组织开标、开启投标文件，所有投标人均应当准时在线参加。</w:t>
      </w:r>
      <w:r>
        <w:rPr>
          <w:rFonts w:hint="eastAsia" w:ascii="宋体" w:hAnsi="宋体" w:cs="Arial"/>
          <w:b/>
          <w:kern w:val="0"/>
          <w:sz w:val="24"/>
          <w:highlight w:val="none"/>
        </w:rPr>
        <w:t>投标人</w:t>
      </w:r>
      <w:r>
        <w:rPr>
          <w:rFonts w:ascii="宋体" w:hAnsi="宋体" w:cs="Arial"/>
          <w:b/>
          <w:kern w:val="0"/>
          <w:sz w:val="24"/>
          <w:highlight w:val="none"/>
        </w:rPr>
        <w:t>如不</w:t>
      </w:r>
      <w:r>
        <w:rPr>
          <w:rFonts w:hint="eastAsia" w:ascii="宋体" w:hAnsi="宋体" w:cs="Arial"/>
          <w:b/>
          <w:kern w:val="0"/>
          <w:sz w:val="24"/>
          <w:highlight w:val="none"/>
        </w:rPr>
        <w:t>参加</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，同时投标人因未在线参加开标而导致投标文件无法按时解密等一切后果由投标人自己承担。</w:t>
      </w:r>
    </w:p>
    <w:p>
      <w:pPr>
        <w:pStyle w:val="6"/>
        <w:spacing w:before="0" w:after="0" w:line="420" w:lineRule="exact"/>
        <w:ind w:left="378" w:hanging="378" w:hangingChars="157"/>
        <w:jc w:val="both"/>
        <w:rPr>
          <w:rFonts w:ascii="宋体" w:hAnsi="宋体"/>
          <w:sz w:val="24"/>
          <w:szCs w:val="24"/>
          <w:highlight w:val="none"/>
        </w:rPr>
      </w:pPr>
      <w:r>
        <w:rPr>
          <w:rFonts w:hint="eastAsia" w:ascii="宋体" w:hAnsi="宋体" w:cs="宋体"/>
          <w:sz w:val="24"/>
          <w:szCs w:val="24"/>
          <w:highlight w:val="none"/>
        </w:rPr>
        <w:t>（三）</w:t>
      </w:r>
      <w:r>
        <w:rPr>
          <w:rFonts w:ascii="宋体" w:hAnsi="宋体"/>
          <w:sz w:val="24"/>
          <w:szCs w:val="24"/>
          <w:highlight w:val="none"/>
        </w:rPr>
        <w:t>开标</w:t>
      </w:r>
      <w:r>
        <w:rPr>
          <w:rFonts w:hint="eastAsia" w:ascii="宋体" w:hAnsi="宋体"/>
          <w:sz w:val="24"/>
          <w:szCs w:val="24"/>
          <w:highlight w:val="none"/>
        </w:rPr>
        <w:t>流程（两阶段）</w:t>
      </w:r>
    </w:p>
    <w:p>
      <w:pPr>
        <w:spacing w:line="420" w:lineRule="exact"/>
        <w:ind w:firstLine="426" w:firstLineChars="177"/>
        <w:jc w:val="left"/>
        <w:rPr>
          <w:rFonts w:ascii="宋体" w:hAnsi="宋体" w:cs="Arial"/>
          <w:b/>
          <w:kern w:val="0"/>
          <w:sz w:val="24"/>
          <w:highlight w:val="none"/>
        </w:rPr>
      </w:pPr>
      <w:r>
        <w:rPr>
          <w:rFonts w:hint="eastAsia" w:ascii="宋体" w:hAnsi="宋体" w:cs="Arial"/>
          <w:b/>
          <w:kern w:val="0"/>
          <w:sz w:val="24"/>
          <w:highlight w:val="none"/>
        </w:rPr>
        <w:t>1、开标第一阶段</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w:t>
      </w:r>
      <w:r>
        <w:rPr>
          <w:rFonts w:hint="eastAsia" w:ascii="宋体" w:hAnsi="宋体" w:cs="Arial"/>
          <w:b/>
          <w:bCs/>
          <w:kern w:val="0"/>
          <w:sz w:val="24"/>
          <w:highlight w:val="none"/>
        </w:rPr>
        <w:t>投标文件解密结束，通过邮件形式发送各投标人组织签署《政府采购活动现场确认声明书》；</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）开启投标文件，进入资格审查；</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）开启资格审查通过的投标人的商务技术文件进入符合性审查、商务技术评审；</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5</w:t>
      </w:r>
      <w:r>
        <w:rPr>
          <w:rFonts w:hint="eastAsia" w:ascii="宋体" w:hAnsi="宋体" w:cs="Arial"/>
          <w:kern w:val="0"/>
          <w:sz w:val="24"/>
          <w:highlight w:val="none"/>
        </w:rPr>
        <w:t>）第一阶段开标结束。</w:t>
      </w:r>
    </w:p>
    <w:p>
      <w:pPr>
        <w:spacing w:line="420" w:lineRule="exact"/>
        <w:ind w:firstLine="426" w:firstLineChars="177"/>
        <w:jc w:val="left"/>
        <w:rPr>
          <w:rFonts w:ascii="宋体" w:hAnsi="宋体" w:cs="Arial"/>
          <w:b/>
          <w:kern w:val="0"/>
          <w:sz w:val="24"/>
          <w:highlight w:val="none"/>
        </w:rPr>
      </w:pPr>
      <w:r>
        <w:rPr>
          <w:rFonts w:hint="eastAsia" w:ascii="宋体" w:hAnsi="宋体" w:cs="Arial"/>
          <w:b/>
          <w:kern w:val="0"/>
          <w:sz w:val="24"/>
          <w:highlight w:val="none"/>
        </w:rPr>
        <w:t>备注：开标大会的第一阶段结束后，采购人或采购代理机构将对依法对投标人的资格进行审查，资格审查结束后进入符合性审查和商务技术的评审工作，具体见本章节“投标人资格审查”相关规定。</w:t>
      </w:r>
    </w:p>
    <w:p>
      <w:pPr>
        <w:spacing w:line="420" w:lineRule="exact"/>
        <w:ind w:firstLine="426" w:firstLineChars="177"/>
        <w:jc w:val="left"/>
        <w:rPr>
          <w:rFonts w:ascii="宋体" w:hAnsi="宋体" w:cs="Arial"/>
          <w:b/>
          <w:kern w:val="0"/>
          <w:sz w:val="24"/>
          <w:highlight w:val="none"/>
        </w:rPr>
      </w:pPr>
      <w:r>
        <w:rPr>
          <w:rFonts w:hint="eastAsia" w:ascii="宋体" w:hAnsi="宋体" w:cs="Arial"/>
          <w:b/>
          <w:kern w:val="0"/>
          <w:sz w:val="24"/>
          <w:highlight w:val="none"/>
        </w:rPr>
        <w:t>2、开标大会第二阶段</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（1）符合性审查、商务技术评审结束后，举行开标大会第二阶段会议。首先通过发送邮件形式公布符合性审查、商务技术评审无效投标人名称及理由</w:t>
      </w:r>
      <w:r>
        <w:rPr>
          <w:rFonts w:ascii="宋体" w:hAnsi="宋体" w:cs="Arial"/>
          <w:kern w:val="0"/>
          <w:sz w:val="24"/>
          <w:highlight w:val="none"/>
        </w:rPr>
        <w:t>；公布经商务技术评审</w:t>
      </w:r>
      <w:r>
        <w:rPr>
          <w:rFonts w:hint="eastAsia" w:ascii="宋体" w:hAnsi="宋体" w:cs="Arial"/>
          <w:kern w:val="0"/>
          <w:sz w:val="24"/>
          <w:highlight w:val="none"/>
        </w:rPr>
        <w:t>后有效投标人的</w:t>
      </w:r>
      <w:r>
        <w:rPr>
          <w:rFonts w:ascii="宋体" w:hAnsi="宋体" w:cs="Arial"/>
          <w:kern w:val="0"/>
          <w:sz w:val="24"/>
          <w:highlight w:val="none"/>
        </w:rPr>
        <w:t>名单，同时公布</w:t>
      </w:r>
      <w:r>
        <w:rPr>
          <w:rFonts w:hint="eastAsia" w:ascii="宋体" w:hAnsi="宋体" w:cs="Arial"/>
          <w:kern w:val="0"/>
          <w:sz w:val="24"/>
          <w:highlight w:val="none"/>
        </w:rPr>
        <w:t>其</w:t>
      </w:r>
      <w:r>
        <w:rPr>
          <w:rFonts w:ascii="宋体" w:hAnsi="宋体" w:cs="Arial"/>
          <w:kern w:val="0"/>
          <w:sz w:val="24"/>
          <w:highlight w:val="none"/>
        </w:rPr>
        <w:t>商务技术</w:t>
      </w:r>
      <w:r>
        <w:rPr>
          <w:rFonts w:hint="eastAsia" w:ascii="宋体" w:hAnsi="宋体" w:cs="Arial"/>
          <w:kern w:val="0"/>
          <w:sz w:val="24"/>
          <w:highlight w:val="none"/>
        </w:rPr>
        <w:t>部分</w:t>
      </w:r>
      <w:r>
        <w:rPr>
          <w:rFonts w:ascii="宋体" w:hAnsi="宋体" w:cs="Arial"/>
          <w:kern w:val="0"/>
          <w:sz w:val="24"/>
          <w:highlight w:val="none"/>
        </w:rPr>
        <w:t>得分情况</w:t>
      </w:r>
      <w:r>
        <w:rPr>
          <w:rFonts w:hint="eastAsia" w:ascii="宋体" w:hAnsi="宋体" w:cs="Arial"/>
          <w:kern w:val="0"/>
          <w:sz w:val="24"/>
          <w:highlight w:val="none"/>
        </w:rPr>
        <w:t>。</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（2）开启符合性审查、商务技术评审有效投标人的《报价文件》，通过发送邮件形式公布开标一览表有关内容，同时当场制作开标记录表，投标人通过发送邮件形式</w:t>
      </w:r>
      <w:r>
        <w:rPr>
          <w:rFonts w:ascii="宋体" w:hAnsi="宋体" w:cs="Arial"/>
          <w:kern w:val="0"/>
          <w:sz w:val="24"/>
          <w:highlight w:val="none"/>
        </w:rPr>
        <w:t>签字确认（不予确认的应说明理由，否则视为无异议）。唱标结束后，由评标委员会对报价的合理性、准确性等进行审查核实</w:t>
      </w:r>
      <w:r>
        <w:rPr>
          <w:rFonts w:hint="eastAsia" w:ascii="宋体" w:hAnsi="宋体" w:cs="Arial"/>
          <w:kern w:val="0"/>
          <w:sz w:val="24"/>
          <w:highlight w:val="none"/>
        </w:rPr>
        <w:t>。</w:t>
      </w:r>
    </w:p>
    <w:p>
      <w:pPr>
        <w:spacing w:line="420" w:lineRule="exact"/>
        <w:ind w:firstLine="424" w:firstLineChars="177"/>
        <w:jc w:val="left"/>
        <w:rPr>
          <w:rFonts w:ascii="宋体" w:hAnsi="宋体" w:cs="Arial"/>
          <w:kern w:val="0"/>
          <w:sz w:val="24"/>
          <w:highlight w:val="none"/>
        </w:rPr>
      </w:pPr>
      <w:r>
        <w:rPr>
          <w:rFonts w:hint="eastAsia" w:ascii="宋体" w:hAnsi="宋体" w:cs="Arial"/>
          <w:kern w:val="0"/>
          <w:sz w:val="24"/>
          <w:highlight w:val="none"/>
        </w:rPr>
        <w:t>（3）评审结束后，通过发送邮件形式公布中标候选人名单，及采购人最终确定中标人名单的时间和公告方式等。</w:t>
      </w:r>
    </w:p>
    <w:p>
      <w:pPr>
        <w:spacing w:line="420" w:lineRule="exact"/>
        <w:ind w:firstLine="426" w:firstLineChars="177"/>
        <w:jc w:val="left"/>
        <w:rPr>
          <w:rFonts w:ascii="宋体" w:hAnsi="宋体" w:cs="Arial"/>
          <w:b/>
          <w:kern w:val="0"/>
          <w:sz w:val="24"/>
          <w:highlight w:val="none"/>
        </w:rPr>
      </w:pPr>
      <w:r>
        <w:rPr>
          <w:rFonts w:hint="eastAsia" w:ascii="宋体" w:hAnsi="宋体" w:cs="Arial"/>
          <w:b/>
          <w:kern w:val="0"/>
          <w:sz w:val="24"/>
          <w:highlight w:val="none"/>
        </w:rPr>
        <w:t>特别说明：如遇“政府采购云平台”电子化开标或评审程序调整的，按调整后程序执行。</w:t>
      </w:r>
    </w:p>
    <w:p>
      <w:pPr>
        <w:pStyle w:val="5"/>
        <w:spacing w:line="420" w:lineRule="exact"/>
        <w:ind w:left="0" w:firstLine="0"/>
        <w:rPr>
          <w:rFonts w:ascii="宋体" w:hAnsi="宋体" w:eastAsia="宋体"/>
          <w:sz w:val="24"/>
          <w:szCs w:val="24"/>
          <w:highlight w:val="none"/>
        </w:rPr>
      </w:pPr>
      <w:bookmarkStart w:id="59" w:name="_Toc33194393"/>
      <w:bookmarkStart w:id="60" w:name="_Toc24550037"/>
      <w:r>
        <w:rPr>
          <w:rFonts w:hint="eastAsia" w:ascii="宋体" w:hAnsi="宋体" w:eastAsia="宋体" w:cs="宋体"/>
          <w:sz w:val="24"/>
          <w:szCs w:val="24"/>
          <w:highlight w:val="none"/>
        </w:rPr>
        <w:t>（四）</w:t>
      </w:r>
      <w:r>
        <w:rPr>
          <w:rFonts w:hint="eastAsia" w:ascii="宋体" w:hAnsi="宋体" w:eastAsia="宋体"/>
          <w:sz w:val="24"/>
          <w:szCs w:val="24"/>
          <w:highlight w:val="none"/>
        </w:rPr>
        <w:t>投标人资格审查</w:t>
      </w:r>
      <w:bookmarkEnd w:id="59"/>
      <w:bookmarkEnd w:id="60"/>
    </w:p>
    <w:p>
      <w:pPr>
        <w:spacing w:line="420" w:lineRule="exact"/>
        <w:ind w:firstLine="426" w:firstLineChars="177"/>
        <w:rPr>
          <w:rFonts w:ascii="宋体" w:hAnsi="宋体"/>
          <w:sz w:val="24"/>
          <w:highlight w:val="none"/>
        </w:rPr>
      </w:pPr>
      <w:r>
        <w:rPr>
          <w:rFonts w:hint="eastAsia" w:ascii="宋体" w:hAnsi="宋体"/>
          <w:b/>
          <w:sz w:val="24"/>
          <w:highlight w:val="none"/>
        </w:rPr>
        <w:t>1、开标大会第一阶段结束后，采购人或采购代理机构首先依法对各投标人的资格进行审查，审查各投标人的资格是否满足招标文件的要求。</w:t>
      </w:r>
      <w:r>
        <w:rPr>
          <w:rFonts w:ascii="宋体" w:hAnsi="宋体"/>
          <w:sz w:val="24"/>
          <w:highlight w:val="none"/>
        </w:rPr>
        <w:t>采购人或采购代理机构对</w:t>
      </w:r>
      <w:r>
        <w:rPr>
          <w:rFonts w:hint="eastAsia" w:ascii="宋体" w:hAnsi="宋体"/>
          <w:sz w:val="24"/>
          <w:highlight w:val="none"/>
        </w:rPr>
        <w:t>投标人</w:t>
      </w:r>
      <w:r>
        <w:rPr>
          <w:rFonts w:ascii="宋体" w:hAnsi="宋体"/>
          <w:sz w:val="24"/>
          <w:highlight w:val="none"/>
        </w:rPr>
        <w:t>所</w:t>
      </w:r>
      <w:r>
        <w:rPr>
          <w:rFonts w:hint="eastAsia" w:ascii="宋体" w:hAnsi="宋体"/>
          <w:sz w:val="24"/>
          <w:highlight w:val="none"/>
        </w:rPr>
        <w:t>提交</w:t>
      </w:r>
      <w:r>
        <w:rPr>
          <w:rFonts w:ascii="宋体" w:hAnsi="宋体"/>
          <w:sz w:val="24"/>
          <w:highlight w:val="none"/>
        </w:rPr>
        <w:t>的资格证明材料仅负审核的责任。如发现</w:t>
      </w:r>
      <w:r>
        <w:rPr>
          <w:rFonts w:hint="eastAsia" w:ascii="宋体" w:hAnsi="宋体"/>
          <w:sz w:val="24"/>
          <w:highlight w:val="none"/>
        </w:rPr>
        <w:t>投标人</w:t>
      </w:r>
      <w:r>
        <w:rPr>
          <w:rFonts w:ascii="宋体" w:hAnsi="宋体"/>
          <w:sz w:val="24"/>
          <w:highlight w:val="none"/>
        </w:rPr>
        <w:t>所提</w:t>
      </w:r>
      <w:r>
        <w:rPr>
          <w:rFonts w:hint="eastAsia" w:ascii="宋体" w:hAnsi="宋体"/>
          <w:sz w:val="24"/>
          <w:highlight w:val="none"/>
        </w:rPr>
        <w:t>交</w:t>
      </w:r>
      <w:r>
        <w:rPr>
          <w:rFonts w:ascii="宋体" w:hAnsi="宋体"/>
          <w:sz w:val="24"/>
          <w:highlight w:val="none"/>
        </w:rPr>
        <w:t>的资格证明材料不合法或</w:t>
      </w:r>
      <w:r>
        <w:rPr>
          <w:rFonts w:hint="eastAsia" w:ascii="宋体" w:hAnsi="宋体"/>
          <w:sz w:val="24"/>
          <w:highlight w:val="none"/>
        </w:rPr>
        <w:t>与事实不符</w:t>
      </w:r>
      <w:r>
        <w:rPr>
          <w:rFonts w:ascii="宋体" w:hAnsi="宋体"/>
          <w:sz w:val="24"/>
          <w:highlight w:val="none"/>
        </w:rPr>
        <w:t>，采购人可取消</w:t>
      </w:r>
      <w:r>
        <w:rPr>
          <w:rFonts w:hint="eastAsia" w:ascii="宋体" w:hAnsi="宋体"/>
          <w:sz w:val="24"/>
          <w:highlight w:val="none"/>
        </w:rPr>
        <w:t>其</w:t>
      </w:r>
      <w:r>
        <w:rPr>
          <w:rFonts w:ascii="宋体" w:hAnsi="宋体"/>
          <w:sz w:val="24"/>
          <w:highlight w:val="none"/>
        </w:rPr>
        <w:t>中标资格并追究</w:t>
      </w:r>
      <w:r>
        <w:rPr>
          <w:rFonts w:hint="eastAsia" w:ascii="宋体" w:hAnsi="宋体"/>
          <w:sz w:val="24"/>
          <w:highlight w:val="none"/>
        </w:rPr>
        <w:t>投标人</w:t>
      </w:r>
      <w:r>
        <w:rPr>
          <w:rFonts w:ascii="宋体" w:hAnsi="宋体"/>
          <w:sz w:val="24"/>
          <w:highlight w:val="none"/>
        </w:rPr>
        <w:t>的法律责任。</w:t>
      </w:r>
    </w:p>
    <w:p>
      <w:pPr>
        <w:spacing w:line="420" w:lineRule="exact"/>
        <w:ind w:firstLine="426" w:firstLineChars="177"/>
        <w:rPr>
          <w:rFonts w:ascii="宋体" w:hAnsi="宋体" w:cs="Arial"/>
          <w:b/>
          <w:kern w:val="0"/>
          <w:sz w:val="24"/>
          <w:highlight w:val="none"/>
        </w:rPr>
      </w:pPr>
      <w:r>
        <w:rPr>
          <w:rFonts w:hint="eastAsia" w:ascii="宋体" w:hAnsi="宋体"/>
          <w:b/>
          <w:sz w:val="24"/>
          <w:highlight w:val="none"/>
        </w:rPr>
        <w:t>2、投标人提交的资格证明材料无法证明其符合招标文件规定的“投标人资格要求”的，采购人或采购代理机构</w:t>
      </w:r>
      <w:r>
        <w:rPr>
          <w:rFonts w:hint="eastAsia" w:ascii="宋体" w:hAnsi="宋体" w:cs="Arial"/>
          <w:b/>
          <w:kern w:val="0"/>
          <w:sz w:val="24"/>
          <w:highlight w:val="none"/>
        </w:rPr>
        <w:t>将对其作资格审查不通过处理（无效投标），并不再将其投标提交评标委员会进行后续评审。</w:t>
      </w:r>
    </w:p>
    <w:p>
      <w:pPr>
        <w:spacing w:line="420" w:lineRule="exact"/>
        <w:ind w:firstLine="426" w:firstLineChars="177"/>
        <w:rPr>
          <w:rFonts w:hint="eastAsia" w:ascii="宋体" w:hAnsi="宋体" w:cs="Arial"/>
          <w:b/>
          <w:kern w:val="0"/>
          <w:sz w:val="24"/>
          <w:highlight w:val="none"/>
        </w:rPr>
      </w:pPr>
      <w:r>
        <w:rPr>
          <w:rFonts w:hint="eastAsia" w:ascii="宋体" w:hAnsi="宋体" w:cs="Arial"/>
          <w:b/>
          <w:kern w:val="0"/>
          <w:sz w:val="24"/>
          <w:highlight w:val="none"/>
        </w:rPr>
        <w:t>3、单位负责人为同一人或者存在直接控股、管理关系的不同投标人参加同一合同项下的政府采购活动的，相关投标人均作资格无效处理。</w:t>
      </w:r>
    </w:p>
    <w:p>
      <w:pPr>
        <w:pStyle w:val="35"/>
      </w:pPr>
    </w:p>
    <w:p>
      <w:pPr>
        <w:adjustRightInd w:val="0"/>
        <w:snapToGrid w:val="0"/>
        <w:spacing w:line="420" w:lineRule="exact"/>
        <w:jc w:val="center"/>
        <w:outlineLvl w:val="1"/>
        <w:rPr>
          <w:rFonts w:ascii="宋体" w:hAnsi="宋体"/>
          <w:b/>
          <w:sz w:val="32"/>
          <w:highlight w:val="none"/>
        </w:rPr>
      </w:pPr>
      <w:bookmarkStart w:id="61" w:name="_Hlt75236101"/>
      <w:bookmarkEnd w:id="61"/>
      <w:bookmarkStart w:id="62" w:name="_Toc29851"/>
      <w:bookmarkStart w:id="63" w:name="_Toc233618977"/>
      <w:bookmarkStart w:id="64" w:name="_Toc522530046"/>
      <w:bookmarkStart w:id="65" w:name="_Toc91899902"/>
      <w:r>
        <w:rPr>
          <w:rFonts w:hint="eastAsia" w:ascii="宋体" w:hAnsi="宋体"/>
          <w:b/>
          <w:sz w:val="32"/>
          <w:highlight w:val="none"/>
        </w:rPr>
        <w:t>六、评 标</w:t>
      </w:r>
      <w:bookmarkEnd w:id="62"/>
      <w:bookmarkEnd w:id="63"/>
      <w:bookmarkEnd w:id="64"/>
      <w:bookmarkEnd w:id="65"/>
    </w:p>
    <w:p>
      <w:pPr>
        <w:pStyle w:val="46"/>
        <w:adjustRightInd w:val="0"/>
        <w:snapToGrid w:val="0"/>
        <w:spacing w:line="420" w:lineRule="exact"/>
        <w:rPr>
          <w:rFonts w:hAnsi="宋体"/>
          <w:b/>
          <w:sz w:val="24"/>
          <w:highlight w:val="none"/>
        </w:rPr>
      </w:pPr>
      <w:bookmarkStart w:id="66" w:name="_Toc91899903"/>
      <w:r>
        <w:rPr>
          <w:rFonts w:hint="eastAsia" w:hAnsi="宋体"/>
          <w:b/>
          <w:sz w:val="24"/>
          <w:highlight w:val="none"/>
        </w:rPr>
        <w:t>（一）评标组织</w:t>
      </w:r>
    </w:p>
    <w:p>
      <w:pPr>
        <w:adjustRightInd w:val="0"/>
        <w:snapToGrid w:val="0"/>
        <w:spacing w:line="420" w:lineRule="exact"/>
        <w:ind w:firstLine="480" w:firstLineChars="200"/>
        <w:rPr>
          <w:rFonts w:hint="eastAsia" w:ascii="宋体" w:hAnsi="宋体" w:cs="Arial"/>
          <w:kern w:val="0"/>
          <w:sz w:val="24"/>
          <w:highlight w:val="none"/>
        </w:rPr>
      </w:pPr>
      <w:r>
        <w:rPr>
          <w:rFonts w:hint="eastAsia" w:ascii="宋体" w:hAnsi="宋体"/>
          <w:sz w:val="24"/>
          <w:highlight w:val="none"/>
        </w:rPr>
        <w:t>本项目评标委员会由</w:t>
      </w:r>
      <w:r>
        <w:rPr>
          <w:rFonts w:hint="eastAsia" w:ascii="宋体" w:hAnsi="宋体"/>
          <w:sz w:val="24"/>
          <w:highlight w:val="none"/>
          <w:lang w:val="en-US" w:eastAsia="zh-CN"/>
        </w:rPr>
        <w:t>7</w:t>
      </w:r>
      <w:r>
        <w:rPr>
          <w:rFonts w:hint="eastAsia" w:ascii="宋体" w:hAnsi="宋体"/>
          <w:sz w:val="24"/>
          <w:highlight w:val="none"/>
        </w:rPr>
        <w:t>人(含)以上单数的人员组成，负责对投标文件进行审查、质询、评审和比较等。评标委员会由</w:t>
      </w:r>
      <w:r>
        <w:rPr>
          <w:rFonts w:hint="eastAsia" w:ascii="宋体" w:hAnsi="宋体"/>
          <w:sz w:val="24"/>
          <w:highlight w:val="none"/>
          <w:lang w:eastAsia="zh-CN"/>
        </w:rPr>
        <w:t>采购</w:t>
      </w:r>
      <w:r>
        <w:rPr>
          <w:rFonts w:hint="eastAsia" w:ascii="宋体" w:hAnsi="宋体"/>
          <w:sz w:val="24"/>
          <w:highlight w:val="none"/>
        </w:rPr>
        <w:t>人代表</w:t>
      </w:r>
      <w:r>
        <w:rPr>
          <w:rFonts w:hint="eastAsia" w:ascii="宋体" w:hAnsi="宋体"/>
          <w:sz w:val="24"/>
          <w:highlight w:val="none"/>
          <w:lang w:eastAsia="zh-CN"/>
        </w:rPr>
        <w:t>和评审</w:t>
      </w:r>
      <w:r>
        <w:rPr>
          <w:rFonts w:hint="eastAsia" w:ascii="宋体" w:hAnsi="宋体"/>
          <w:sz w:val="24"/>
          <w:highlight w:val="none"/>
        </w:rPr>
        <w:t>专家组成，其中</w:t>
      </w:r>
      <w:r>
        <w:rPr>
          <w:rFonts w:hint="eastAsia" w:ascii="宋体" w:hAnsi="宋体"/>
          <w:sz w:val="24"/>
          <w:highlight w:val="none"/>
          <w:lang w:eastAsia="zh-CN"/>
        </w:rPr>
        <w:t>评审</w:t>
      </w:r>
      <w:r>
        <w:rPr>
          <w:rFonts w:hint="eastAsia" w:ascii="宋体" w:hAnsi="宋体"/>
          <w:sz w:val="24"/>
          <w:highlight w:val="none"/>
        </w:rPr>
        <w:t>专家人数不少于成员总数的三分之二。</w:t>
      </w:r>
      <w:r>
        <w:rPr>
          <w:rFonts w:hint="eastAsia" w:ascii="宋体" w:hAnsi="宋体" w:cs="Arial"/>
          <w:kern w:val="0"/>
          <w:sz w:val="24"/>
          <w:highlight w:val="none"/>
        </w:rPr>
        <w:t>评标委员会成员名单在评审结果（采购结果）公告前保密。</w:t>
      </w:r>
    </w:p>
    <w:p>
      <w:pPr>
        <w:adjustRightInd w:val="0"/>
        <w:snapToGrid w:val="0"/>
        <w:spacing w:line="420" w:lineRule="exact"/>
        <w:rPr>
          <w:rFonts w:ascii="宋体" w:hAnsi="宋体"/>
          <w:b/>
          <w:sz w:val="24"/>
          <w:highlight w:val="none"/>
        </w:rPr>
      </w:pPr>
      <w:r>
        <w:rPr>
          <w:rFonts w:hint="eastAsia" w:ascii="宋体" w:hAnsi="宋体"/>
          <w:b/>
          <w:sz w:val="24"/>
          <w:highlight w:val="none"/>
        </w:rPr>
        <w:t>（二）评标原则</w:t>
      </w:r>
    </w:p>
    <w:p>
      <w:pPr>
        <w:pStyle w:val="46"/>
        <w:adjustRightInd w:val="0"/>
        <w:snapToGrid w:val="0"/>
        <w:spacing w:line="420" w:lineRule="exact"/>
        <w:ind w:firstLine="480" w:firstLineChars="200"/>
        <w:rPr>
          <w:rFonts w:hAnsi="宋体"/>
          <w:sz w:val="24"/>
          <w:highlight w:val="none"/>
        </w:rPr>
      </w:pPr>
      <w:r>
        <w:rPr>
          <w:rFonts w:hint="eastAsia" w:hAnsi="宋体"/>
          <w:sz w:val="24"/>
          <w:highlight w:val="none"/>
        </w:rPr>
        <w:t>1、竞争优选；</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2、公平、公正、科学合理</w:t>
      </w:r>
      <w:r>
        <w:rPr>
          <w:rFonts w:hint="eastAsia" w:ascii="宋体" w:hAnsi="宋体"/>
          <w:sz w:val="24"/>
          <w:highlight w:val="none"/>
          <w:lang w:val="zh-CN"/>
        </w:rPr>
        <w:t>；</w:t>
      </w:r>
    </w:p>
    <w:p>
      <w:pPr>
        <w:adjustRightInd w:val="0"/>
        <w:snapToGri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3、</w:t>
      </w:r>
      <w:r>
        <w:rPr>
          <w:rFonts w:hint="eastAsia" w:ascii="宋体" w:hAnsi="宋体"/>
          <w:sz w:val="24"/>
          <w:highlight w:val="none"/>
        </w:rPr>
        <w:t>价格合理，方案、产品先进可行；</w:t>
      </w:r>
    </w:p>
    <w:p>
      <w:pPr>
        <w:adjustRightInd w:val="0"/>
        <w:snapToGri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4、反对不正当竞争。</w:t>
      </w:r>
    </w:p>
    <w:p>
      <w:pPr>
        <w:adjustRightInd w:val="0"/>
        <w:snapToGrid w:val="0"/>
        <w:spacing w:line="420" w:lineRule="exact"/>
        <w:rPr>
          <w:rFonts w:ascii="宋体" w:hAnsi="宋体"/>
          <w:b/>
          <w:sz w:val="24"/>
          <w:highlight w:val="none"/>
        </w:rPr>
      </w:pPr>
      <w:r>
        <w:rPr>
          <w:rFonts w:hint="eastAsia" w:ascii="宋体" w:hAnsi="宋体"/>
          <w:b/>
          <w:sz w:val="24"/>
          <w:highlight w:val="none"/>
        </w:rPr>
        <w:t>（三）评标纪律</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评标委员会成员要严格遵守评标纪律、保密、回避等相关规定，依法独立履行评标职责，客观、公正、审慎参与评标工作；</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1、严格遵守评标时间，因突发情况确实不能按时参加评标的，应事先告知招标组织机构；</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2、服从招标组织机构的现场管理，主动出示身份证明，进入评标区域后应主动寄存移动通讯工具，按要求佩戴工作牌；</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3、与投标人或评标委员会其他成员存在利害关系的，要主动回避，自觉签订《政府采购评审人员廉洁自律承诺书》；</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5、自觉遵守职业道德，尊重招标人代表和投标人代表，配合招标组织机构回答投标人代表提出的有关异议；</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6</w:t>
      </w:r>
      <w:r>
        <w:rPr>
          <w:rFonts w:hint="eastAsia" w:ascii="宋体" w:hAnsi="宋体"/>
          <w:sz w:val="24"/>
          <w:highlight w:val="none"/>
        </w:rPr>
        <w:t>、</w:t>
      </w:r>
      <w:r>
        <w:rPr>
          <w:rFonts w:ascii="宋体" w:hAnsi="宋体"/>
          <w:sz w:val="24"/>
          <w:highlight w:val="none"/>
        </w:rPr>
        <w:t>不得将评标过程、结果和</w:t>
      </w:r>
      <w:r>
        <w:rPr>
          <w:rFonts w:hint="eastAsia" w:ascii="宋体" w:hAnsi="宋体"/>
          <w:sz w:val="24"/>
          <w:highlight w:val="none"/>
        </w:rPr>
        <w:t>投标人</w:t>
      </w:r>
      <w:r>
        <w:rPr>
          <w:rFonts w:ascii="宋体" w:hAnsi="宋体"/>
          <w:sz w:val="24"/>
          <w:highlight w:val="none"/>
        </w:rPr>
        <w:t>的商业秘密透露给任何单位和个人。未公告评标结果前不准泄露评标结果，不准将评标资料带出会场</w:t>
      </w:r>
      <w:r>
        <w:rPr>
          <w:rFonts w:hint="eastAsia" w:ascii="宋体" w:hAnsi="宋体"/>
          <w:sz w:val="24"/>
          <w:highlight w:val="none"/>
        </w:rPr>
        <w:t>；</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7、评标过程中，涉及到相关法律法规不清楚之处的，由招标人监管部门或请示权威部门作出法定解释，涉及到</w:t>
      </w:r>
      <w:r>
        <w:rPr>
          <w:rFonts w:hint="eastAsia" w:ascii="宋体" w:hAnsi="宋体"/>
          <w:sz w:val="24"/>
          <w:highlight w:val="none"/>
        </w:rPr>
        <w:t>招标</w:t>
      </w:r>
      <w:r>
        <w:rPr>
          <w:rFonts w:ascii="宋体" w:hAnsi="宋体"/>
          <w:sz w:val="24"/>
          <w:highlight w:val="none"/>
        </w:rPr>
        <w:t>文件的由编制招标文件的机构和部门负责解释</w:t>
      </w:r>
      <w:r>
        <w:rPr>
          <w:rFonts w:hint="eastAsia" w:ascii="宋体" w:hAnsi="宋体"/>
          <w:sz w:val="24"/>
          <w:highlight w:val="none"/>
        </w:rPr>
        <w:t>；</w:t>
      </w:r>
    </w:p>
    <w:p>
      <w:pPr>
        <w:adjustRightInd w:val="0"/>
        <w:snapToGrid w:val="0"/>
        <w:spacing w:line="420" w:lineRule="exact"/>
        <w:ind w:firstLine="480" w:firstLineChars="200"/>
        <w:rPr>
          <w:rFonts w:ascii="宋体" w:hAnsi="宋体"/>
          <w:sz w:val="24"/>
          <w:highlight w:val="none"/>
          <w:lang w:val="zh-CN"/>
        </w:rPr>
      </w:pPr>
      <w:r>
        <w:rPr>
          <w:rFonts w:ascii="宋体" w:hAnsi="宋体"/>
          <w:sz w:val="24"/>
          <w:highlight w:val="none"/>
        </w:rPr>
        <w:t>8、</w:t>
      </w:r>
      <w:r>
        <w:rPr>
          <w:rFonts w:hint="eastAsia" w:ascii="宋体" w:hAnsi="宋体"/>
          <w:sz w:val="24"/>
          <w:highlight w:val="none"/>
        </w:rPr>
        <w:t>如</w:t>
      </w:r>
      <w:r>
        <w:rPr>
          <w:rFonts w:ascii="宋体" w:hAnsi="宋体"/>
          <w:sz w:val="24"/>
          <w:highlight w:val="none"/>
        </w:rPr>
        <w:t>实行暗标评审的，其投标文件和产品样品的评审编号和编号保管，由监督人员负责；在评标委员</w:t>
      </w:r>
      <w:r>
        <w:rPr>
          <w:rFonts w:hint="eastAsia" w:ascii="宋体" w:hAnsi="宋体"/>
          <w:sz w:val="24"/>
          <w:highlight w:val="none"/>
        </w:rPr>
        <w:t>评分完成</w:t>
      </w:r>
      <w:r>
        <w:rPr>
          <w:rFonts w:ascii="宋体" w:hAnsi="宋体"/>
          <w:sz w:val="24"/>
          <w:highlight w:val="none"/>
        </w:rPr>
        <w:t>后，再将</w:t>
      </w:r>
      <w:r>
        <w:rPr>
          <w:rFonts w:hint="eastAsia" w:ascii="宋体" w:hAnsi="宋体"/>
          <w:sz w:val="24"/>
          <w:highlight w:val="none"/>
        </w:rPr>
        <w:t>投标人</w:t>
      </w:r>
      <w:r>
        <w:rPr>
          <w:rFonts w:ascii="宋体" w:hAnsi="宋体"/>
          <w:sz w:val="24"/>
          <w:highlight w:val="none"/>
        </w:rPr>
        <w:t>的投标文件和提供的产品样品编号交评委。</w:t>
      </w:r>
    </w:p>
    <w:p>
      <w:pPr>
        <w:adjustRightInd w:val="0"/>
        <w:snapToGrid w:val="0"/>
        <w:spacing w:line="420" w:lineRule="exact"/>
        <w:rPr>
          <w:rFonts w:ascii="宋体" w:hAnsi="宋体"/>
          <w:b/>
          <w:sz w:val="24"/>
          <w:highlight w:val="none"/>
        </w:rPr>
      </w:pPr>
      <w:r>
        <w:rPr>
          <w:rFonts w:hint="eastAsia" w:ascii="宋体" w:hAnsi="宋体"/>
          <w:b/>
          <w:sz w:val="24"/>
          <w:highlight w:val="none"/>
        </w:rPr>
        <w:t>（四） 评标程序</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1、在评标专家中推选评标委员会组长，优先推选资深专家为组长；</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2、评标委员会组长召集成员认真阅读招标文件以及相关补充、质疑、答复文件、项目书面说明等材料，熟悉招标项目的基本概况、质量要求、数量、主要技术标准或服务需求，合同主要条款，投标文件无效情形，评标方法、评标依据、评标标准等；</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b/>
          <w:sz w:val="24"/>
          <w:highlight w:val="none"/>
          <w:u w:val="single"/>
        </w:rPr>
        <w:t>资格审查</w:t>
      </w:r>
      <w:r>
        <w:rPr>
          <w:rFonts w:hint="eastAsia" w:ascii="宋体" w:hAnsi="宋体"/>
          <w:sz w:val="24"/>
          <w:highlight w:val="none"/>
        </w:rPr>
        <w:t>，经其书面授权的招标人代表或经其书面授权的招标代理机构代表采购代理机构按照招标文件要求对投标人逐一进行资格审查；</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4、</w:t>
      </w:r>
      <w:r>
        <w:rPr>
          <w:rFonts w:hint="eastAsia" w:ascii="宋体" w:hAnsi="宋体"/>
          <w:b/>
          <w:sz w:val="24"/>
          <w:highlight w:val="none"/>
          <w:u w:val="single"/>
        </w:rPr>
        <w:t>商务技术文件的符合性审查</w:t>
      </w:r>
      <w:r>
        <w:rPr>
          <w:rFonts w:hint="eastAsia" w:ascii="宋体" w:hAnsi="宋体"/>
          <w:sz w:val="24"/>
          <w:highlight w:val="none"/>
        </w:rPr>
        <w:t>，评标人员对通过资格审查的各投标文件商务、技术部分的有效性、完整性和响应程度等进行审查，确定是否对招标文件作出实质性响应；</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5、</w:t>
      </w:r>
      <w:r>
        <w:rPr>
          <w:rFonts w:hint="eastAsia" w:ascii="宋体" w:hAnsi="宋体"/>
          <w:b/>
          <w:sz w:val="24"/>
          <w:highlight w:val="none"/>
          <w:u w:val="single"/>
        </w:rPr>
        <w:t>商务技术评分</w:t>
      </w:r>
      <w:r>
        <w:rPr>
          <w:rFonts w:hint="eastAsia" w:ascii="宋体" w:hAnsi="宋体"/>
          <w:sz w:val="24"/>
          <w:highlight w:val="none"/>
        </w:rPr>
        <w:t>，评标人员按招标文件规定的评标方法和评标标准，依法独立对投标文件商务、技术部分进行评估、比较，并给予评价或打分，不受任何单位和个人的干预；</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6、评标人员对各投标文件非实质性内容有疑议或异议，或者审查发现明显的文字或计算错误等，及时向评标委员会组长提出。经评标委员会商议认为需要投标人作出必要澄清或说明的，应通知该投标人代表以书面</w:t>
      </w:r>
      <w:r>
        <w:rPr>
          <w:rFonts w:hint="eastAsia" w:ascii="宋体" w:hAnsi="宋体" w:cs="Arial"/>
          <w:kern w:val="0"/>
          <w:sz w:val="24"/>
          <w:highlight w:val="none"/>
        </w:rPr>
        <w:t>（或通过“政府采购云平台”在线答复）</w:t>
      </w:r>
      <w:r>
        <w:rPr>
          <w:rFonts w:hint="eastAsia" w:ascii="宋体" w:hAnsi="宋体"/>
          <w:sz w:val="24"/>
          <w:highlight w:val="none"/>
        </w:rPr>
        <w:t>形式作出澄清或说明，</w:t>
      </w:r>
      <w:r>
        <w:rPr>
          <w:rFonts w:hint="eastAsia" w:ascii="宋体" w:hAnsi="宋体" w:cs="Arial"/>
          <w:kern w:val="0"/>
          <w:sz w:val="24"/>
          <w:highlight w:val="none"/>
        </w:rPr>
        <w:t>投标人的澄清、说明或者补正不得超出投标文件的范围或者改变投标文件的实质性内容</w:t>
      </w:r>
      <w:r>
        <w:rPr>
          <w:rFonts w:hint="eastAsia" w:ascii="宋体" w:hAnsi="宋体"/>
          <w:sz w:val="24"/>
          <w:highlight w:val="none"/>
        </w:rPr>
        <w:t>；</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7、评标人员对商务、技术部分评审结果进行确认，现场监督员对评审结果签署监督意见。如发现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8、</w:t>
      </w:r>
      <w:r>
        <w:rPr>
          <w:rFonts w:hint="eastAsia" w:ascii="宋体" w:hAnsi="宋体"/>
          <w:b/>
          <w:sz w:val="24"/>
          <w:highlight w:val="none"/>
          <w:u w:val="single"/>
        </w:rPr>
        <w:t>报价文件的符合性审查</w:t>
      </w:r>
      <w:r>
        <w:rPr>
          <w:rFonts w:hint="eastAsia" w:ascii="宋体" w:hAnsi="宋体"/>
          <w:sz w:val="24"/>
          <w:highlight w:val="none"/>
        </w:rPr>
        <w:t>，对开启的投标文件报价部分的进行有效性、完整性和响应程度等进行审查，确定是否对招标文件作出实质性响应。</w:t>
      </w:r>
    </w:p>
    <w:p>
      <w:pPr>
        <w:adjustRightInd w:val="0"/>
        <w:snapToGrid w:val="0"/>
        <w:spacing w:line="420" w:lineRule="exact"/>
        <w:rPr>
          <w:rFonts w:ascii="宋体" w:hAnsi="宋体"/>
          <w:b/>
          <w:sz w:val="24"/>
          <w:highlight w:val="none"/>
          <w:lang w:val="zh-CN"/>
        </w:rPr>
      </w:pPr>
      <w:r>
        <w:rPr>
          <w:rFonts w:hint="eastAsia" w:ascii="宋体" w:hAnsi="宋体"/>
          <w:b/>
          <w:sz w:val="24"/>
          <w:highlight w:val="none"/>
        </w:rPr>
        <w:t>（五）</w:t>
      </w:r>
      <w:r>
        <w:rPr>
          <w:rFonts w:hint="eastAsia" w:ascii="宋体" w:hAnsi="宋体"/>
          <w:b/>
          <w:sz w:val="24"/>
          <w:highlight w:val="none"/>
          <w:lang w:val="zh-CN"/>
        </w:rPr>
        <w:t>投标文件的鉴定</w:t>
      </w:r>
    </w:p>
    <w:p>
      <w:pPr>
        <w:adjustRightInd w:val="0"/>
        <w:snapToGrid w:val="0"/>
        <w:spacing w:line="420" w:lineRule="exact"/>
        <w:ind w:firstLine="480" w:firstLineChars="200"/>
        <w:rPr>
          <w:rFonts w:ascii="宋体" w:hAnsi="宋体"/>
          <w:sz w:val="24"/>
          <w:highlight w:val="none"/>
          <w:lang w:val="zh-CN"/>
        </w:rPr>
      </w:pPr>
      <w:r>
        <w:rPr>
          <w:rFonts w:hint="eastAsia" w:ascii="宋体" w:hAnsi="宋体"/>
          <w:sz w:val="24"/>
          <w:highlight w:val="none"/>
          <w:lang w:val="zh-CN"/>
        </w:rPr>
        <w:t>1、评标委员会将审查每份投标文件是否实质上响应了招标文件的要求。重大偏离和保留、细微偏离由评标委员会鉴定。如发现投标文件与招标文件要求有重大偏离和保留，其投标文件将被作无效标处理。投标人不得通过修正或撤消不符合招标文件要求的重大偏离和保留从而使其投标文件实质性响应招标文件要求。但允许投标文件在实质性满足招标文件要求的前提下出现的细微偏差，在详细评审时可按评标办法对细微偏差做出不利于该投标人的评审。</w:t>
      </w:r>
    </w:p>
    <w:p>
      <w:pPr>
        <w:pStyle w:val="46"/>
        <w:adjustRightInd w:val="0"/>
        <w:snapToGrid w:val="0"/>
        <w:spacing w:line="420" w:lineRule="exact"/>
        <w:ind w:firstLine="482" w:firstLineChars="200"/>
        <w:jc w:val="left"/>
        <w:rPr>
          <w:rFonts w:hAnsi="宋体"/>
          <w:sz w:val="24"/>
          <w:highlight w:val="none"/>
        </w:rPr>
      </w:pPr>
      <w:r>
        <w:rPr>
          <w:rFonts w:hint="eastAsia" w:hAnsi="宋体"/>
          <w:b/>
          <w:sz w:val="24"/>
          <w:highlight w:val="none"/>
        </w:rPr>
        <w:t>2、无效标情形</w:t>
      </w:r>
    </w:p>
    <w:p>
      <w:pPr>
        <w:adjustRightInd w:val="0"/>
        <w:snapToGrid w:val="0"/>
        <w:spacing w:line="420" w:lineRule="exact"/>
        <w:rPr>
          <w:rFonts w:ascii="宋体" w:hAnsi="宋体"/>
          <w:sz w:val="24"/>
          <w:szCs w:val="22"/>
          <w:highlight w:val="none"/>
        </w:rPr>
      </w:pPr>
      <w:bookmarkStart w:id="67" w:name="_Hlk33211013"/>
      <w:r>
        <w:rPr>
          <w:rFonts w:hint="eastAsia" w:ascii="宋体" w:hAnsi="宋体"/>
          <w:sz w:val="24"/>
          <w:szCs w:val="22"/>
          <w:highlight w:val="none"/>
        </w:rPr>
        <w:t>（一）商务、技术文件符合性审查中，存在</w:t>
      </w:r>
      <w:r>
        <w:rPr>
          <w:rFonts w:ascii="宋体" w:hAnsi="宋体"/>
          <w:sz w:val="24"/>
          <w:szCs w:val="22"/>
          <w:highlight w:val="none"/>
        </w:rPr>
        <w:t>下列情形之一的，</w:t>
      </w:r>
      <w:r>
        <w:rPr>
          <w:rFonts w:hint="eastAsia" w:ascii="宋体" w:hAnsi="宋体"/>
          <w:sz w:val="24"/>
          <w:szCs w:val="22"/>
          <w:highlight w:val="none"/>
        </w:rPr>
        <w:t>经评标委员会按少数服从多数原则认定后作无效标处理</w:t>
      </w:r>
      <w:r>
        <w:rPr>
          <w:rFonts w:ascii="宋体" w:hAnsi="宋体"/>
          <w:sz w:val="24"/>
          <w:szCs w:val="22"/>
          <w:highlight w:val="none"/>
        </w:rPr>
        <w:t>：</w:t>
      </w:r>
    </w:p>
    <w:p>
      <w:pPr>
        <w:adjustRightInd w:val="0"/>
        <w:snapToGrid w:val="0"/>
        <w:spacing w:line="420" w:lineRule="exact"/>
        <w:ind w:firstLine="480" w:firstLineChars="200"/>
        <w:rPr>
          <w:rFonts w:ascii="宋体" w:hAnsi="宋体"/>
          <w:sz w:val="24"/>
          <w:szCs w:val="22"/>
          <w:highlight w:val="none"/>
        </w:rPr>
      </w:pPr>
      <w:bookmarkStart w:id="68" w:name="_Toc33194396"/>
      <w:r>
        <w:rPr>
          <w:rFonts w:hint="eastAsia" w:ascii="宋体" w:hAnsi="宋体"/>
          <w:sz w:val="24"/>
          <w:szCs w:val="22"/>
          <w:highlight w:val="none"/>
        </w:rPr>
        <w:t>（1）投标文件未有效授权，法定代表人授权委托书等填写不完整或有涂改的；</w:t>
      </w:r>
      <w:bookmarkEnd w:id="68"/>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2</w:t>
      </w:r>
      <w:r>
        <w:rPr>
          <w:rFonts w:hint="eastAsia" w:ascii="宋体" w:hAnsi="宋体"/>
          <w:sz w:val="24"/>
          <w:szCs w:val="22"/>
          <w:highlight w:val="none"/>
        </w:rPr>
        <w:t>）投标文件没有对本招标文件作出实质性响应的，或不满足（不响应）本招标文件中标注“▲”的实质性要求条款的，或存在招标文件中明确规定的其他无效标情形的；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3</w:t>
      </w:r>
      <w:r>
        <w:rPr>
          <w:rFonts w:hint="eastAsia" w:ascii="宋体" w:hAnsi="宋体"/>
          <w:sz w:val="24"/>
          <w:szCs w:val="22"/>
          <w:highlight w:val="none"/>
        </w:rPr>
        <w:t>）投标文件存在一个或一个以上备选（替代）投标方案的；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4</w:t>
      </w:r>
      <w:r>
        <w:rPr>
          <w:rFonts w:hint="eastAsia" w:ascii="宋体" w:hAnsi="宋体"/>
          <w:sz w:val="24"/>
          <w:szCs w:val="22"/>
          <w:highlight w:val="none"/>
        </w:rPr>
        <w:t>）仅提交“备份投标文件”的；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5</w:t>
      </w:r>
      <w:r>
        <w:rPr>
          <w:rFonts w:hint="eastAsia" w:ascii="宋体" w:hAnsi="宋体"/>
          <w:sz w:val="24"/>
          <w:szCs w:val="22"/>
          <w:highlight w:val="none"/>
        </w:rPr>
        <w:t>）文件组成内容不齐全，本招标文件规定必须提供而未提供的（属于资格审查范围的除外）；</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6</w:t>
      </w:r>
      <w:r>
        <w:rPr>
          <w:rFonts w:hint="eastAsia" w:ascii="宋体" w:hAnsi="宋体"/>
          <w:sz w:val="24"/>
          <w:szCs w:val="22"/>
          <w:highlight w:val="none"/>
        </w:rPr>
        <w:t>）投标文件标注的响应或偏离情况与事实不符，或提供了虚假材料的；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7</w:t>
      </w:r>
      <w:r>
        <w:rPr>
          <w:rFonts w:hint="eastAsia" w:ascii="宋体" w:hAnsi="宋体"/>
          <w:sz w:val="24"/>
          <w:szCs w:val="22"/>
          <w:highlight w:val="none"/>
        </w:rPr>
        <w:t>）不响应或擅自改变本招标文件要求或投标文件有采购人不能接受的附加条件的；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w:t>
      </w:r>
      <w:r>
        <w:rPr>
          <w:rFonts w:ascii="宋体" w:hAnsi="宋体"/>
          <w:sz w:val="24"/>
          <w:szCs w:val="22"/>
          <w:highlight w:val="none"/>
        </w:rPr>
        <w:t>8</w:t>
      </w:r>
      <w:r>
        <w:rPr>
          <w:rFonts w:hint="eastAsia" w:ascii="宋体" w:hAnsi="宋体"/>
          <w:sz w:val="24"/>
          <w:szCs w:val="22"/>
          <w:highlight w:val="none"/>
        </w:rPr>
        <w:t>）参加同一合同项下政府采购活动的不同投标人之间存在利害关系并且存在影响政府采购公平竞争行为的；</w:t>
      </w:r>
    </w:p>
    <w:p>
      <w:pPr>
        <w:adjustRightInd w:val="0"/>
        <w:snapToGrid w:val="0"/>
        <w:spacing w:line="420" w:lineRule="exact"/>
        <w:ind w:firstLine="480" w:firstLineChars="200"/>
        <w:rPr>
          <w:rFonts w:ascii="宋体" w:hAnsi="宋体"/>
          <w:sz w:val="24"/>
          <w:szCs w:val="22"/>
          <w:highlight w:val="none"/>
        </w:rPr>
      </w:pPr>
      <w:bookmarkStart w:id="69" w:name="_Toc33194397"/>
      <w:r>
        <w:rPr>
          <w:rFonts w:hint="eastAsia" w:ascii="宋体" w:hAnsi="宋体"/>
          <w:sz w:val="24"/>
          <w:szCs w:val="22"/>
          <w:highlight w:val="none"/>
        </w:rPr>
        <w:t>（9）</w:t>
      </w:r>
      <w:bookmarkEnd w:id="69"/>
      <w:r>
        <w:rPr>
          <w:rFonts w:hint="eastAsia" w:ascii="宋体" w:hAnsi="宋体"/>
          <w:sz w:val="24"/>
          <w:szCs w:val="22"/>
          <w:highlight w:val="none"/>
        </w:rPr>
        <w:t>违反国家或政府部门相关法律、法规、文件规定的。</w:t>
      </w:r>
      <w:bookmarkEnd w:id="67"/>
    </w:p>
    <w:p>
      <w:pPr>
        <w:adjustRightInd w:val="0"/>
        <w:snapToGrid w:val="0"/>
        <w:spacing w:line="420" w:lineRule="exact"/>
        <w:rPr>
          <w:rFonts w:ascii="宋体" w:hAnsi="宋体"/>
          <w:sz w:val="24"/>
          <w:szCs w:val="22"/>
          <w:highlight w:val="none"/>
        </w:rPr>
      </w:pPr>
      <w:r>
        <w:rPr>
          <w:rFonts w:hint="eastAsia" w:ascii="宋体" w:hAnsi="宋体"/>
          <w:sz w:val="24"/>
          <w:szCs w:val="22"/>
          <w:highlight w:val="none"/>
        </w:rPr>
        <w:t>（二）报价文件符合性审查中，存在</w:t>
      </w:r>
      <w:r>
        <w:rPr>
          <w:rFonts w:ascii="宋体" w:hAnsi="宋体"/>
          <w:sz w:val="24"/>
          <w:szCs w:val="22"/>
          <w:highlight w:val="none"/>
        </w:rPr>
        <w:t>下列情形之一的，</w:t>
      </w:r>
      <w:r>
        <w:rPr>
          <w:rFonts w:hint="eastAsia" w:ascii="宋体" w:hAnsi="宋体"/>
          <w:sz w:val="24"/>
          <w:szCs w:val="22"/>
          <w:highlight w:val="none"/>
        </w:rPr>
        <w:t>经评标委员会认定后作无效标处理</w:t>
      </w:r>
      <w:r>
        <w:rPr>
          <w:rFonts w:ascii="宋体" w:hAnsi="宋体"/>
          <w:sz w:val="24"/>
          <w:szCs w:val="22"/>
          <w:highlight w:val="none"/>
        </w:rPr>
        <w:t>：</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（1）投标文件没有对本招标文件作出实质性响应的，或不满足（不响应）本招标文件中标注“▲”的实质性要求条款的，或存在招标文件中明确规定的其他无效标情形的；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（2）投标文件存在一个或一个以上备选（替代）投标方案的；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 xml:space="preserve">（3）未按照招标文件标明的币种报价的，或者投标报价涵盖的内容不符合招标文件要求的；       </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（4）《开标一览表》内容与《投标报价明细表》内容不一致且拒不接受修正的；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（5）投标报价具有选择性，唱标价格与《投标文件》承诺的优惠（折扣）后价格不一致的；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（6）投标报价超过采购预算（或最高限价）的；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（7）仅提交“备份投标文件”的；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（8）投标文件组成内容不齐全，本招标文件规定必须提供而未提供的（属于资格审查范围的除外）；</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（9）投标文件标注的响应或偏离情况与事实不符，或提供了虚假材料的；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（10）不响应或擅自改变本招标文件要求或投标文件有采购人不能接受的附加条件的；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w:t>
      </w:r>
      <w:r>
        <w:rPr>
          <w:rFonts w:ascii="宋体" w:hAnsi="宋体"/>
          <w:sz w:val="24"/>
          <w:szCs w:val="22"/>
          <w:highlight w:val="none"/>
        </w:rPr>
        <w:t>1</w:t>
      </w:r>
      <w:r>
        <w:rPr>
          <w:rFonts w:hint="eastAsia" w:ascii="宋体" w:hAnsi="宋体"/>
          <w:sz w:val="24"/>
          <w:szCs w:val="22"/>
          <w:highlight w:val="none"/>
        </w:rPr>
        <w:t>）评审委员会认为投标人报价明显低于其他合格投标人的报价，有可能影响产品质量或者不能诚信履约的，应当要求其在合理时间内提供书面说明，必要时提供相关证明材料；投标人不能证明其报价合理性的；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w:t>
      </w:r>
      <w:r>
        <w:rPr>
          <w:rFonts w:ascii="宋体" w:hAnsi="宋体"/>
          <w:sz w:val="24"/>
          <w:szCs w:val="22"/>
          <w:highlight w:val="none"/>
        </w:rPr>
        <w:t>2</w:t>
      </w:r>
      <w:r>
        <w:rPr>
          <w:rFonts w:hint="eastAsia" w:ascii="宋体" w:hAnsi="宋体"/>
          <w:sz w:val="24"/>
          <w:szCs w:val="22"/>
          <w:highlight w:val="none"/>
        </w:rPr>
        <w:t>）违反国家或政府部门相关法律、法规、文件规定的。</w:t>
      </w:r>
    </w:p>
    <w:p>
      <w:pPr>
        <w:adjustRightInd w:val="0"/>
        <w:snapToGrid w:val="0"/>
        <w:spacing w:line="420" w:lineRule="exact"/>
        <w:rPr>
          <w:rFonts w:ascii="宋体" w:hAnsi="宋体"/>
          <w:sz w:val="24"/>
          <w:highlight w:val="none"/>
        </w:rPr>
      </w:pPr>
      <w:r>
        <w:rPr>
          <w:rFonts w:hint="eastAsia" w:ascii="宋体" w:hAnsi="宋体"/>
          <w:b/>
          <w:sz w:val="24"/>
          <w:highlight w:val="none"/>
        </w:rPr>
        <w:t>3、投标报价的错误修正</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评标委员会将对确定为实质上响应招标文件要求的投标文件报价部分进行校核，看其在投标报价方面是否有计算、累计或表达上的错误，修正错误的原则及顺序如下：</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（1）投标文件中开标一览表(报价表)内容与投标文件中明细表内容不一致的，以开标一览表为准；</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（2）投标文件的大写金额和小写金额不一致的，以大写金额为准；</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）如分项价格或单价有遗报，应视作已含在投标总价中；其投标总价不予调整。其分项价或单价由评标委员会在投标总价不变的前提下根据合理的原则对其予以确定；</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）如有多报、重报，其投标总价在评标过程中不予调整。如其中标，其合同价按其投标单价予以调整；</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）单价金额小数点有明显错位的，应以总价为准，并修改单价。</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按上述修正错误的原则，调整或修正投标文件的投标报价。经投标人确认后，调整后的投标报价对投标人起约束作用。如果投标人不接受或者投标人在评标结束之前不能到场确认的，评标委员会将把调整或修正后的投标报价作为该投标人的投标报价，进入商务报价评标，但不接受修正的投标人最终将丧失其中标候选人资格。</w:t>
      </w:r>
    </w:p>
    <w:p>
      <w:pPr>
        <w:adjustRightInd w:val="0"/>
        <w:snapToGrid w:val="0"/>
        <w:spacing w:line="420" w:lineRule="exact"/>
        <w:rPr>
          <w:rFonts w:ascii="宋体" w:hAnsi="宋体"/>
          <w:b/>
          <w:sz w:val="24"/>
          <w:szCs w:val="22"/>
          <w:highlight w:val="none"/>
        </w:rPr>
      </w:pPr>
      <w:r>
        <w:rPr>
          <w:rFonts w:hint="eastAsia" w:ascii="宋体" w:hAnsi="宋体"/>
          <w:b/>
          <w:sz w:val="24"/>
          <w:szCs w:val="22"/>
          <w:highlight w:val="none"/>
        </w:rPr>
        <w:t>4、废标</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在招标采购中，出现下列情形之一的，本项目废标：</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（1）符合专业条件的投标人或者对招标文件作实质响应的投标人不足三家的；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（2）出现影响采购公正的违法、违规行为的；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（3）投标人的报价均超过了采购预算，采购人不能支付的；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（4）因重大变故，采购任务取消的。</w:t>
      </w:r>
    </w:p>
    <w:p>
      <w:pPr>
        <w:adjustRightInd w:val="0"/>
        <w:snapToGrid w:val="0"/>
        <w:spacing w:line="420" w:lineRule="exact"/>
        <w:rPr>
          <w:rFonts w:ascii="宋体" w:hAnsi="宋体"/>
          <w:b/>
          <w:sz w:val="24"/>
          <w:szCs w:val="22"/>
          <w:highlight w:val="none"/>
        </w:rPr>
      </w:pPr>
      <w:r>
        <w:rPr>
          <w:rFonts w:hint="eastAsia" w:ascii="宋体" w:hAnsi="宋体"/>
          <w:b/>
          <w:sz w:val="24"/>
          <w:szCs w:val="22"/>
          <w:highlight w:val="none"/>
        </w:rPr>
        <w:t>5、可中止电子交易活动的情形</w:t>
      </w:r>
    </w:p>
    <w:p>
      <w:pPr>
        <w:adjustRightInd w:val="0"/>
        <w:snapToGrid w:val="0"/>
        <w:spacing w:line="420" w:lineRule="exact"/>
        <w:ind w:firstLine="482" w:firstLineChars="200"/>
        <w:rPr>
          <w:rFonts w:ascii="宋体" w:hAnsi="宋体"/>
          <w:b/>
          <w:bCs/>
          <w:sz w:val="24"/>
          <w:szCs w:val="22"/>
          <w:highlight w:val="none"/>
        </w:rPr>
      </w:pPr>
      <w:r>
        <w:rPr>
          <w:rFonts w:hint="eastAsia" w:ascii="宋体" w:hAnsi="宋体"/>
          <w:b/>
          <w:bCs/>
          <w:sz w:val="24"/>
          <w:szCs w:val="22"/>
          <w:highlight w:val="none"/>
        </w:rPr>
        <w:t>采购过程中出现以下情形，导致电子交易平台无法正常运行，或者无法保证电子交易的公平、公正和安全时，采购组织机构可中止电子交易活动：</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（1）电子交易平台发生故障而无法登录访问的；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（2）电子交易平台应用或数据库出现错误，不能进行正常操作的；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（3）电子交易平台发现严重安全漏洞，有潜在泄密危险的；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（4）病毒发作导致不能进行正常操作的；</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（5）其他无法保证电子交易的公平、公正和安全的情况。</w:t>
      </w:r>
    </w:p>
    <w:p>
      <w:pPr>
        <w:adjustRightInd w:val="0"/>
        <w:snapToGrid w:val="0"/>
        <w:spacing w:line="420" w:lineRule="exact"/>
        <w:ind w:firstLine="482" w:firstLineChars="200"/>
        <w:rPr>
          <w:rFonts w:ascii="宋体" w:hAnsi="宋体"/>
          <w:b/>
          <w:bCs/>
          <w:highlight w:val="none"/>
        </w:rPr>
      </w:pPr>
      <w:r>
        <w:rPr>
          <w:rFonts w:hint="eastAsia" w:ascii="宋体" w:hAnsi="宋体"/>
          <w:b/>
          <w:bCs/>
          <w:sz w:val="24"/>
          <w:szCs w:val="22"/>
          <w:highlight w:val="none"/>
        </w:rPr>
        <w:t>出现前款规定情形，不影响采购公平、公正性的，采购组织机构可以待上述情形消除后继续组织电子交易活动；影响或可能影响采购公平、公正性的，应当重新采购。</w:t>
      </w:r>
    </w:p>
    <w:p>
      <w:pPr>
        <w:pStyle w:val="309"/>
        <w:adjustRightInd w:val="0"/>
        <w:snapToGrid w:val="0"/>
        <w:spacing w:before="0" w:line="420" w:lineRule="exact"/>
        <w:ind w:firstLine="0" w:firstLineChars="0"/>
        <w:rPr>
          <w:rFonts w:ascii="宋体" w:hAnsi="宋体"/>
          <w:szCs w:val="24"/>
          <w:highlight w:val="none"/>
        </w:rPr>
      </w:pPr>
      <w:r>
        <w:rPr>
          <w:rFonts w:hint="eastAsia" w:ascii="宋体" w:hAnsi="宋体"/>
          <w:b/>
          <w:highlight w:val="none"/>
        </w:rPr>
        <w:t>（六）投标文件的澄清、说明或补正</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对于投标文件中含义不明确、同类问题表述不一致或者有明显文字和计算错误的内容，评标委员会将以书面形式（或通过“政府采购云平台”在线询标）的形式要求投标人在规定的时间内作出必要的澄清、说明或者补正，投标人澄清、说明或补正时间为30分钟。</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投标人的澄清、说明或者补正应当采用书面（或通过“政府采购云平台”在线答复）形式提交，并加盖公章，或者由法定代表人或其授权的代表签字。投标人的澄清、说明或者补正不得超出投标文件的范围或者改变投标文件的实质性内容。</w:t>
      </w:r>
    </w:p>
    <w:p>
      <w:pPr>
        <w:adjustRightInd w:val="0"/>
        <w:snapToGrid w:val="0"/>
        <w:spacing w:line="420" w:lineRule="exact"/>
        <w:rPr>
          <w:rFonts w:ascii="宋体" w:hAnsi="宋体"/>
          <w:b/>
          <w:sz w:val="24"/>
          <w:highlight w:val="none"/>
        </w:rPr>
      </w:pPr>
      <w:r>
        <w:rPr>
          <w:rFonts w:hint="eastAsia" w:ascii="宋体" w:hAnsi="宋体"/>
          <w:b/>
          <w:sz w:val="24"/>
          <w:highlight w:val="none"/>
        </w:rPr>
        <w:t>（七）评标办法</w:t>
      </w:r>
    </w:p>
    <w:bookmarkEnd w:id="66"/>
    <w:p>
      <w:pPr>
        <w:adjustRightInd w:val="0"/>
        <w:snapToGrid w:val="0"/>
        <w:spacing w:line="420" w:lineRule="exact"/>
        <w:ind w:firstLine="480" w:firstLineChars="200"/>
        <w:rPr>
          <w:rFonts w:ascii="宋体" w:hAnsi="宋体"/>
          <w:sz w:val="24"/>
          <w:highlight w:val="none"/>
        </w:rPr>
      </w:pPr>
      <w:bookmarkStart w:id="70" w:name="_Toc86216994"/>
      <w:r>
        <w:rPr>
          <w:rFonts w:hint="eastAsia" w:ascii="宋体" w:hAnsi="宋体"/>
          <w:sz w:val="24"/>
          <w:highlight w:val="none"/>
        </w:rPr>
        <w:t>详见“第六部分  评标办法”。</w:t>
      </w:r>
    </w:p>
    <w:p>
      <w:pPr>
        <w:pStyle w:val="309"/>
        <w:adjustRightInd w:val="0"/>
        <w:snapToGrid w:val="0"/>
        <w:spacing w:before="0" w:line="420" w:lineRule="exact"/>
        <w:ind w:firstLine="0" w:firstLineChars="0"/>
        <w:rPr>
          <w:rFonts w:ascii="宋体" w:hAnsi="宋体"/>
          <w:b/>
          <w:highlight w:val="none"/>
        </w:rPr>
      </w:pPr>
      <w:r>
        <w:rPr>
          <w:rFonts w:hint="eastAsia" w:ascii="宋体" w:hAnsi="宋体"/>
          <w:b/>
          <w:highlight w:val="none"/>
        </w:rPr>
        <w:t>（八）评标内容的保密</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1、公开开标后，直到公告中标单位止，凡属于审查、澄清、评价和比较投标的所有资料，都不向投标人或与评标无关的其他人泄露。</w:t>
      </w:r>
    </w:p>
    <w:p>
      <w:pPr>
        <w:adjustRightInd w:val="0"/>
        <w:snapToGrid w:val="0"/>
        <w:spacing w:line="420" w:lineRule="exact"/>
        <w:ind w:firstLine="480" w:firstLineChars="200"/>
        <w:rPr>
          <w:rFonts w:hint="eastAsia" w:ascii="宋体" w:hAnsi="宋体"/>
          <w:sz w:val="24"/>
          <w:highlight w:val="none"/>
        </w:rPr>
      </w:pPr>
      <w:r>
        <w:rPr>
          <w:rFonts w:hint="eastAsia" w:ascii="宋体" w:hAnsi="宋体"/>
          <w:sz w:val="24"/>
          <w:highlight w:val="none"/>
        </w:rPr>
        <w:t>2、 在投标文件的审查、澄清、评价和比较以及确定中标人过程中，投标人对招标人、招标代理机构和评标委员会施加影响的任何行为，都将导致取消资格。</w:t>
      </w:r>
    </w:p>
    <w:p>
      <w:pPr>
        <w:pStyle w:val="35"/>
      </w:pPr>
    </w:p>
    <w:p>
      <w:pPr>
        <w:adjustRightInd w:val="0"/>
        <w:snapToGrid w:val="0"/>
        <w:spacing w:line="420" w:lineRule="exact"/>
        <w:jc w:val="center"/>
        <w:outlineLvl w:val="1"/>
        <w:rPr>
          <w:rFonts w:ascii="宋体" w:hAnsi="宋体"/>
          <w:b/>
          <w:sz w:val="32"/>
          <w:highlight w:val="none"/>
        </w:rPr>
      </w:pPr>
      <w:bookmarkStart w:id="71" w:name="_Toc522530047"/>
      <w:bookmarkStart w:id="72" w:name="_Toc233618978"/>
      <w:bookmarkStart w:id="73" w:name="_Toc23416"/>
      <w:r>
        <w:rPr>
          <w:rFonts w:hint="eastAsia" w:ascii="宋体" w:hAnsi="宋体"/>
          <w:b/>
          <w:sz w:val="32"/>
          <w:highlight w:val="none"/>
        </w:rPr>
        <w:t>七、定 标</w:t>
      </w:r>
      <w:bookmarkEnd w:id="70"/>
      <w:bookmarkEnd w:id="71"/>
      <w:bookmarkEnd w:id="72"/>
      <w:bookmarkEnd w:id="73"/>
    </w:p>
    <w:p>
      <w:pPr>
        <w:pStyle w:val="36"/>
        <w:tabs>
          <w:tab w:val="left" w:pos="1440"/>
        </w:tabs>
        <w:adjustRightInd w:val="0"/>
        <w:snapToGrid w:val="0"/>
        <w:spacing w:after="0" w:line="420" w:lineRule="exact"/>
        <w:ind w:left="0" w:leftChars="0"/>
        <w:rPr>
          <w:rFonts w:ascii="宋体" w:hAnsi="宋体"/>
          <w:b/>
          <w:sz w:val="24"/>
          <w:highlight w:val="none"/>
        </w:rPr>
      </w:pPr>
      <w:r>
        <w:rPr>
          <w:rFonts w:hint="eastAsia" w:ascii="宋体" w:hAnsi="宋体"/>
          <w:b/>
          <w:sz w:val="24"/>
          <w:highlight w:val="none"/>
        </w:rPr>
        <w:t>（一）定标</w:t>
      </w:r>
      <w:r>
        <w:rPr>
          <w:rFonts w:ascii="宋体" w:hAnsi="宋体"/>
          <w:b/>
          <w:sz w:val="24"/>
          <w:highlight w:val="none"/>
        </w:rPr>
        <w:tab/>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评标委员会根据以下规定确定投标人排名并推荐中标候选人。</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1、评标委员会根据各投标人的综合得分（商务技术分与报价得分之和）从高到低依次进行排名排序。特殊情形按以下原则处理：</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（1）综合得分相同的，按投标报价低的优先原则确定排名；</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（2）综合得分和投标报价均相同的，按商务技术得分从高到低确定排名；</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（3）综合得分、投标报价和商务技术得分均相同的由评标委员会全体成员记名投票按少数服从多数的原则确定排名。</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2、根据最终得分排序，通过书面评审报告的形式，向采购人推荐排名第一的投标人为中标候选人。</w:t>
      </w:r>
    </w:p>
    <w:p>
      <w:pPr>
        <w:adjustRightInd w:val="0"/>
        <w:snapToGrid w:val="0"/>
        <w:spacing w:line="420" w:lineRule="exact"/>
        <w:ind w:firstLine="480" w:firstLineChars="200"/>
        <w:rPr>
          <w:rFonts w:ascii="宋体" w:hAnsi="宋体"/>
          <w:sz w:val="24"/>
          <w:szCs w:val="22"/>
          <w:highlight w:val="none"/>
        </w:rPr>
      </w:pPr>
      <w:r>
        <w:rPr>
          <w:rFonts w:hint="eastAsia" w:ascii="宋体" w:hAnsi="宋体"/>
          <w:sz w:val="24"/>
          <w:szCs w:val="22"/>
          <w:highlight w:val="none"/>
        </w:rPr>
        <w:t>3、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36"/>
        <w:tabs>
          <w:tab w:val="left" w:pos="1440"/>
        </w:tabs>
        <w:adjustRightInd w:val="0"/>
        <w:snapToGrid w:val="0"/>
        <w:spacing w:after="0" w:line="420" w:lineRule="exact"/>
        <w:ind w:left="0" w:leftChars="0"/>
        <w:rPr>
          <w:rFonts w:ascii="宋体" w:hAnsi="宋体"/>
          <w:b/>
          <w:sz w:val="24"/>
          <w:highlight w:val="none"/>
        </w:rPr>
      </w:pPr>
      <w:r>
        <w:rPr>
          <w:rFonts w:hint="eastAsia" w:ascii="宋体" w:hAnsi="宋体"/>
          <w:b/>
          <w:sz w:val="24"/>
          <w:highlight w:val="none"/>
        </w:rPr>
        <w:t>（二）招标结果公告</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在招标人确认招标结果后招标代理机构按相关政府采购规定将招标结果发布在原招标公告发布媒体。公告有效期为</w:t>
      </w:r>
      <w:r>
        <w:rPr>
          <w:rFonts w:ascii="宋体" w:hAnsi="宋体"/>
          <w:sz w:val="24"/>
          <w:highlight w:val="none"/>
        </w:rPr>
        <w:t>1</w:t>
      </w:r>
      <w:r>
        <w:rPr>
          <w:rFonts w:hint="eastAsia" w:ascii="宋体" w:hAnsi="宋体"/>
          <w:sz w:val="24"/>
          <w:highlight w:val="none"/>
        </w:rPr>
        <w:t>个工作日。招标人、招标代理机构及评标委员会对未中标的投标人不作落标原因解释。</w:t>
      </w:r>
    </w:p>
    <w:p>
      <w:pPr>
        <w:pStyle w:val="36"/>
        <w:tabs>
          <w:tab w:val="left" w:pos="1440"/>
        </w:tabs>
        <w:adjustRightInd w:val="0"/>
        <w:snapToGrid w:val="0"/>
        <w:spacing w:after="0" w:line="420" w:lineRule="exact"/>
        <w:ind w:left="0" w:leftChars="0"/>
        <w:rPr>
          <w:rFonts w:ascii="宋体" w:hAnsi="宋体"/>
          <w:b/>
          <w:sz w:val="24"/>
          <w:highlight w:val="none"/>
        </w:rPr>
      </w:pPr>
      <w:bookmarkStart w:id="74" w:name="_Hlt75236103"/>
      <w:bookmarkEnd w:id="74"/>
      <w:bookmarkStart w:id="75" w:name="_Toc86216995"/>
      <w:bookmarkStart w:id="76" w:name="_Toc91899910"/>
      <w:r>
        <w:rPr>
          <w:rFonts w:hint="eastAsia" w:ascii="宋体" w:hAnsi="宋体"/>
          <w:b/>
          <w:sz w:val="24"/>
          <w:highlight w:val="none"/>
        </w:rPr>
        <w:t>（三）中标通知书</w:t>
      </w:r>
      <w:r>
        <w:rPr>
          <w:rFonts w:ascii="宋体" w:hAnsi="宋体"/>
          <w:b/>
          <w:sz w:val="24"/>
          <w:highlight w:val="none"/>
        </w:rPr>
        <w:tab/>
      </w:r>
    </w:p>
    <w:p>
      <w:pPr>
        <w:adjustRightInd w:val="0"/>
        <w:snapToGrid w:val="0"/>
        <w:spacing w:line="420" w:lineRule="exact"/>
        <w:ind w:firstLine="480" w:firstLineChars="200"/>
        <w:rPr>
          <w:rFonts w:hint="eastAsia" w:ascii="宋体" w:hAnsi="宋体"/>
          <w:sz w:val="24"/>
          <w:highlight w:val="none"/>
        </w:rPr>
      </w:pPr>
      <w:r>
        <w:rPr>
          <w:rFonts w:hint="eastAsia" w:ascii="宋体" w:hAnsi="宋体"/>
          <w:sz w:val="24"/>
          <w:highlight w:val="none"/>
        </w:rPr>
        <w:t>在公告中标结果的同时，招标人或者招标代理机构应当向中标人发出中标通知书。</w:t>
      </w:r>
    </w:p>
    <w:p>
      <w:pPr>
        <w:pStyle w:val="35"/>
      </w:pPr>
    </w:p>
    <w:p>
      <w:pPr>
        <w:adjustRightInd w:val="0"/>
        <w:snapToGrid w:val="0"/>
        <w:spacing w:line="420" w:lineRule="exact"/>
        <w:jc w:val="center"/>
        <w:outlineLvl w:val="1"/>
        <w:rPr>
          <w:rFonts w:ascii="宋体" w:hAnsi="宋体"/>
          <w:b/>
          <w:sz w:val="32"/>
          <w:highlight w:val="none"/>
        </w:rPr>
      </w:pPr>
      <w:bookmarkStart w:id="77" w:name="_Toc522530048"/>
      <w:bookmarkStart w:id="78" w:name="_Toc233618979"/>
      <w:bookmarkStart w:id="79" w:name="_Toc15506"/>
      <w:r>
        <w:rPr>
          <w:rFonts w:hint="eastAsia" w:ascii="宋体" w:hAnsi="宋体"/>
          <w:b/>
          <w:sz w:val="32"/>
          <w:highlight w:val="none"/>
        </w:rPr>
        <w:t>八、</w:t>
      </w:r>
      <w:bookmarkEnd w:id="75"/>
      <w:r>
        <w:rPr>
          <w:rFonts w:hint="eastAsia" w:ascii="宋体" w:hAnsi="宋体"/>
          <w:b/>
          <w:sz w:val="32"/>
          <w:highlight w:val="none"/>
        </w:rPr>
        <w:t>合同签订及其他</w:t>
      </w:r>
      <w:bookmarkEnd w:id="77"/>
      <w:bookmarkEnd w:id="78"/>
      <w:bookmarkEnd w:id="79"/>
    </w:p>
    <w:bookmarkEnd w:id="76"/>
    <w:p>
      <w:pPr>
        <w:adjustRightInd w:val="0"/>
        <w:snapToGrid w:val="0"/>
        <w:spacing w:line="420" w:lineRule="exact"/>
        <w:rPr>
          <w:rFonts w:ascii="宋体" w:hAnsi="宋体"/>
          <w:b/>
          <w:sz w:val="24"/>
          <w:highlight w:val="none"/>
        </w:rPr>
      </w:pPr>
      <w:r>
        <w:rPr>
          <w:rFonts w:hint="eastAsia" w:ascii="宋体" w:hAnsi="宋体"/>
          <w:b/>
          <w:sz w:val="24"/>
          <w:highlight w:val="none"/>
        </w:rPr>
        <w:t>（一）合同的签订</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中标人接到中标通知书后按规定的日期、时间、地点，由法定代表人或其授权代表与招标人代表按照“第四部分 合同文本”内容签订《采购合同》。</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所签订的合同不得对招标文件和中标人投标文件作实质性修改。招标人不得向中标投标人提出任何不合理的要求，作为签订合同的条件，不得与中标人私下订立背离合同实质性内容的协议。</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招标文件及补充文件、中标人的投标文件及投标修改文件、评标过程中有关澄清文件和中标通知书均作为合同附件。</w:t>
      </w:r>
    </w:p>
    <w:p>
      <w:pPr>
        <w:tabs>
          <w:tab w:val="left" w:pos="3780"/>
        </w:tabs>
        <w:spacing w:line="420" w:lineRule="exact"/>
        <w:ind w:firstLine="482" w:firstLineChars="200"/>
        <w:rPr>
          <w:rFonts w:ascii="宋体" w:hAnsi="宋体" w:cs="宋体"/>
          <w:b/>
          <w:sz w:val="24"/>
          <w:szCs w:val="22"/>
          <w:highlight w:val="none"/>
        </w:rPr>
      </w:pPr>
      <w:r>
        <w:rPr>
          <w:rFonts w:hint="eastAsia" w:ascii="宋体" w:hAnsi="宋体" w:cs="宋体"/>
          <w:b/>
          <w:sz w:val="24"/>
          <w:szCs w:val="22"/>
          <w:highlight w:val="none"/>
        </w:rPr>
        <w:t>中标后，投标人拒绝签订合同的，采购人可以按照评审报告推荐的中标或者成交候选人名单排序，确定下一候选人为中标或者成交投标人，也可以重新开展政府采购活动。投标人中标或者成交后拒绝签订合同的，应按采购预算金额的2%对采购人进行赔偿；赔偿金额不足以弥补采购人损失的，投标人应继续承担超过部分的损失。</w:t>
      </w:r>
    </w:p>
    <w:p>
      <w:pPr>
        <w:tabs>
          <w:tab w:val="left" w:pos="3780"/>
        </w:tabs>
        <w:spacing w:line="420" w:lineRule="exact"/>
        <w:ind w:firstLine="482" w:firstLineChars="200"/>
        <w:rPr>
          <w:rFonts w:ascii="宋体" w:hAnsi="宋体" w:cs="宋体"/>
          <w:b/>
          <w:sz w:val="24"/>
          <w:szCs w:val="22"/>
          <w:highlight w:val="none"/>
        </w:rPr>
      </w:pPr>
      <w:r>
        <w:rPr>
          <w:rFonts w:hint="eastAsia" w:ascii="宋体" w:hAnsi="宋体" w:cs="宋体"/>
          <w:b/>
          <w:sz w:val="24"/>
          <w:szCs w:val="22"/>
          <w:highlight w:val="none"/>
        </w:rPr>
        <w:t>存在下列行为的，采购代理机构将其失信行为上报政府采购主管部门，由主管部门按有关规定对其违法失信行为记录进行公开：</w:t>
      </w:r>
    </w:p>
    <w:p>
      <w:pPr>
        <w:tabs>
          <w:tab w:val="left" w:pos="3780"/>
        </w:tabs>
        <w:spacing w:line="420" w:lineRule="exact"/>
        <w:ind w:firstLine="482" w:firstLineChars="200"/>
        <w:rPr>
          <w:rFonts w:ascii="宋体" w:hAnsi="宋体" w:cs="宋体"/>
          <w:b/>
          <w:sz w:val="24"/>
          <w:szCs w:val="22"/>
          <w:highlight w:val="none"/>
        </w:rPr>
      </w:pPr>
      <w:r>
        <w:rPr>
          <w:rFonts w:hint="eastAsia" w:ascii="宋体" w:hAnsi="宋体" w:cs="宋体"/>
          <w:b/>
          <w:sz w:val="24"/>
          <w:szCs w:val="22"/>
          <w:highlight w:val="none"/>
        </w:rPr>
        <w:t>（1）中标或者成交后，拒绝签订政府采购合同的；</w:t>
      </w:r>
    </w:p>
    <w:p>
      <w:pPr>
        <w:tabs>
          <w:tab w:val="left" w:pos="3780"/>
        </w:tabs>
        <w:spacing w:line="420" w:lineRule="exact"/>
        <w:ind w:firstLine="482" w:firstLineChars="200"/>
        <w:rPr>
          <w:rFonts w:ascii="宋体" w:hAnsi="宋体" w:cs="宋体"/>
          <w:b/>
          <w:sz w:val="24"/>
          <w:szCs w:val="22"/>
          <w:highlight w:val="none"/>
        </w:rPr>
      </w:pPr>
      <w:r>
        <w:rPr>
          <w:rFonts w:hint="eastAsia" w:ascii="宋体" w:hAnsi="宋体" w:cs="宋体"/>
          <w:b/>
          <w:sz w:val="24"/>
          <w:szCs w:val="22"/>
          <w:highlight w:val="none"/>
        </w:rPr>
        <w:t>（2）投标有效期内撤销投标文件的。</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如签订合同并生效后，投标人无故拒绝或延期合格交货的，除按照合同条款处罚外，列入不良行为记录一次，并给予通报。</w:t>
      </w:r>
    </w:p>
    <w:p>
      <w:pPr>
        <w:adjustRightInd w:val="0"/>
        <w:snapToGrid w:val="0"/>
        <w:spacing w:line="420" w:lineRule="exact"/>
        <w:ind w:firstLine="480" w:firstLineChars="200"/>
        <w:rPr>
          <w:rFonts w:ascii="宋体" w:hAnsi="宋体"/>
          <w:sz w:val="24"/>
          <w:highlight w:val="none"/>
        </w:rPr>
      </w:pPr>
      <w:r>
        <w:rPr>
          <w:rFonts w:hint="eastAsia" w:ascii="宋体" w:hAnsi="宋体"/>
          <w:sz w:val="24"/>
          <w:highlight w:val="none"/>
        </w:rPr>
        <w:t xml:space="preserve">中标人因制造商原因无法供货导致无法签订合同的视为“中标后无正当理由不与招标人签订合同”。 </w:t>
      </w:r>
    </w:p>
    <w:p>
      <w:pPr>
        <w:tabs>
          <w:tab w:val="left" w:pos="0"/>
        </w:tabs>
        <w:spacing w:line="420" w:lineRule="exact"/>
        <w:rPr>
          <w:rFonts w:ascii="宋体" w:hAnsi="宋体"/>
          <w:b/>
          <w:sz w:val="24"/>
          <w:highlight w:val="none"/>
        </w:rPr>
      </w:pPr>
      <w:r>
        <w:rPr>
          <w:rFonts w:hint="eastAsia" w:ascii="宋体" w:hAnsi="宋体"/>
          <w:b/>
          <w:sz w:val="24"/>
          <w:highlight w:val="none"/>
        </w:rPr>
        <w:t>（二）</w:t>
      </w:r>
      <w:r>
        <w:rPr>
          <w:rFonts w:ascii="宋体" w:hAnsi="宋体"/>
          <w:b/>
          <w:sz w:val="24"/>
          <w:highlight w:val="none"/>
        </w:rPr>
        <w:t>售后服务考核</w:t>
      </w:r>
    </w:p>
    <w:p>
      <w:pPr>
        <w:adjustRightInd w:val="0"/>
        <w:snapToGrid w:val="0"/>
        <w:spacing w:line="420" w:lineRule="exact"/>
        <w:ind w:firstLine="480" w:firstLineChars="200"/>
        <w:rPr>
          <w:rFonts w:ascii="宋体" w:hAnsi="宋体"/>
          <w:sz w:val="24"/>
          <w:highlight w:val="none"/>
        </w:rPr>
      </w:pPr>
      <w:r>
        <w:rPr>
          <w:rFonts w:ascii="宋体" w:hAnsi="宋体"/>
          <w:sz w:val="24"/>
          <w:highlight w:val="none"/>
        </w:rPr>
        <w:t>将</w:t>
      </w:r>
      <w:r>
        <w:rPr>
          <w:rFonts w:hint="eastAsia" w:ascii="宋体" w:hAnsi="宋体"/>
          <w:sz w:val="24"/>
          <w:highlight w:val="none"/>
        </w:rPr>
        <w:t>参照有关法律法规</w:t>
      </w:r>
      <w:r>
        <w:rPr>
          <w:rFonts w:ascii="宋体" w:hAnsi="宋体"/>
          <w:sz w:val="24"/>
          <w:highlight w:val="none"/>
        </w:rPr>
        <w:t>，对</w:t>
      </w:r>
      <w:r>
        <w:rPr>
          <w:rFonts w:hint="eastAsia" w:ascii="宋体" w:hAnsi="宋体"/>
          <w:sz w:val="24"/>
          <w:highlight w:val="none"/>
        </w:rPr>
        <w:t>投标人</w:t>
      </w:r>
      <w:r>
        <w:rPr>
          <w:rFonts w:ascii="宋体" w:hAnsi="宋体"/>
          <w:sz w:val="24"/>
          <w:highlight w:val="none"/>
        </w:rPr>
        <w:t>进行考核，发现弄虚作假，偷工减料，以次充好，达不到国家、行业有关标准和技术文件规定的，一经查实</w:t>
      </w:r>
      <w:r>
        <w:rPr>
          <w:rFonts w:hint="eastAsia" w:ascii="宋体" w:hAnsi="宋体"/>
          <w:sz w:val="24"/>
          <w:highlight w:val="none"/>
        </w:rPr>
        <w:t>，招标人</w:t>
      </w:r>
      <w:r>
        <w:rPr>
          <w:rFonts w:ascii="宋体" w:hAnsi="宋体"/>
          <w:sz w:val="24"/>
          <w:highlight w:val="none"/>
        </w:rPr>
        <w:t>将视情况终止合同。</w:t>
      </w:r>
    </w:p>
    <w:p>
      <w:pPr>
        <w:pStyle w:val="87"/>
        <w:rPr>
          <w:rFonts w:ascii="宋体" w:hAnsi="宋体"/>
          <w:sz w:val="24"/>
          <w:highlight w:val="none"/>
        </w:rPr>
      </w:pPr>
    </w:p>
    <w:p>
      <w:pPr>
        <w:pStyle w:val="35"/>
        <w:rPr>
          <w:rFonts w:ascii="宋体" w:hAnsi="宋体"/>
          <w:sz w:val="24"/>
          <w:highlight w:val="none"/>
        </w:rPr>
      </w:pPr>
    </w:p>
    <w:p>
      <w:pPr>
        <w:pStyle w:val="309"/>
        <w:numPr>
          <w:ilvl w:val="0"/>
          <w:numId w:val="2"/>
        </w:numPr>
        <w:spacing w:before="0" w:line="276" w:lineRule="auto"/>
        <w:ind w:firstLine="0" w:firstLineChars="0"/>
        <w:jc w:val="center"/>
        <w:outlineLvl w:val="0"/>
        <w:rPr>
          <w:rFonts w:ascii="宋体" w:hAnsi="宋体"/>
          <w:b/>
          <w:color w:val="auto"/>
          <w:sz w:val="36"/>
          <w:highlight w:val="none"/>
        </w:rPr>
      </w:pPr>
      <w:bookmarkStart w:id="80" w:name="_Toc4895"/>
      <w:r>
        <w:rPr>
          <w:rFonts w:hint="eastAsia" w:ascii="宋体" w:hAnsi="宋体"/>
          <w:b/>
          <w:color w:val="auto"/>
          <w:sz w:val="36"/>
          <w:highlight w:val="none"/>
        </w:rPr>
        <w:t>采购内容及需求</w:t>
      </w:r>
      <w:bookmarkEnd w:id="8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rPr>
      </w:pPr>
      <w:bookmarkStart w:id="81" w:name="_Toc454364282"/>
      <w:bookmarkStart w:id="82" w:name="_Toc1203"/>
      <w:bookmarkStart w:id="83" w:name="_Toc492733886"/>
      <w:bookmarkStart w:id="84" w:name="_Toc233618986"/>
      <w:bookmarkStart w:id="85" w:name="_Toc86217003"/>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范围</w:t>
      </w:r>
      <w:r>
        <w:rPr>
          <w:rFonts w:hint="eastAsia" w:ascii="宋体" w:hAnsi="宋体" w:cs="宋体"/>
          <w:b/>
          <w:bCs/>
          <w:color w:val="auto"/>
          <w:sz w:val="24"/>
          <w:szCs w:val="24"/>
          <w:highlight w:val="none"/>
          <w:lang w:eastAsia="zh-CN"/>
        </w:rPr>
        <w:t>与</w:t>
      </w:r>
      <w:r>
        <w:rPr>
          <w:rFonts w:hint="eastAsia" w:ascii="宋体" w:hAnsi="宋体" w:eastAsia="宋体" w:cs="宋体"/>
          <w:b/>
          <w:bCs/>
          <w:color w:val="auto"/>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440" w:lineRule="exact"/>
        <w:ind w:firstLine="49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道路保洁</w:t>
      </w:r>
      <w:r>
        <w:rPr>
          <w:rFonts w:hint="eastAsia" w:ascii="宋体" w:hAnsi="宋体" w:eastAsia="宋体" w:cs="宋体"/>
          <w:b w:val="0"/>
          <w:bCs w:val="0"/>
          <w:color w:val="auto"/>
          <w:sz w:val="24"/>
          <w:szCs w:val="24"/>
          <w:highlight w:val="none"/>
          <w:lang w:val="en-US" w:eastAsia="zh-CN"/>
        </w:rPr>
        <w:t>养护</w:t>
      </w:r>
      <w:r>
        <w:rPr>
          <w:rFonts w:hint="eastAsia" w:ascii="宋体" w:hAnsi="宋体" w:eastAsia="宋体" w:cs="宋体"/>
          <w:b w:val="0"/>
          <w:bCs w:val="0"/>
          <w:color w:val="auto"/>
          <w:sz w:val="24"/>
          <w:szCs w:val="24"/>
          <w:highlight w:val="none"/>
        </w:rPr>
        <w:t>范围：</w:t>
      </w:r>
      <w:r>
        <w:rPr>
          <w:rFonts w:hint="eastAsia" w:ascii="宋体" w:hAnsi="宋体" w:cs="宋体"/>
          <w:b w:val="0"/>
          <w:bCs w:val="0"/>
          <w:color w:val="auto"/>
          <w:sz w:val="24"/>
          <w:szCs w:val="24"/>
          <w:highlight w:val="none"/>
          <w:lang w:eastAsia="zh-CN"/>
        </w:rPr>
        <w:t>采购人</w:t>
      </w:r>
      <w:r>
        <w:rPr>
          <w:rFonts w:hint="eastAsia" w:ascii="宋体" w:hAnsi="宋体" w:eastAsia="宋体" w:cs="宋体"/>
          <w:color w:val="auto"/>
          <w:sz w:val="24"/>
          <w:szCs w:val="24"/>
          <w:highlight w:val="none"/>
        </w:rPr>
        <w:t>负责的</w:t>
      </w:r>
      <w:r>
        <w:rPr>
          <w:rFonts w:hint="eastAsia" w:ascii="宋体" w:hAnsi="宋体" w:cs="宋体"/>
          <w:color w:val="auto"/>
          <w:sz w:val="24"/>
          <w:szCs w:val="24"/>
          <w:highlight w:val="none"/>
          <w:lang w:val="en-US" w:eastAsia="zh-CN"/>
        </w:rPr>
        <w:t>智慧新城高铁新城一期（东至智慧大道、南至320国道、西至石华线、北至柯城路、柯安一路）及百家塘（东至江山港、南至320国道、西至常山港、北至常山港）范围内</w:t>
      </w:r>
      <w:r>
        <w:rPr>
          <w:rFonts w:hint="eastAsia" w:ascii="宋体" w:hAnsi="宋体" w:eastAsia="宋体" w:cs="宋体"/>
          <w:color w:val="auto"/>
          <w:sz w:val="24"/>
          <w:szCs w:val="24"/>
          <w:highlight w:val="none"/>
          <w:u w:val="single"/>
          <w:shd w:val="clear" w:color="auto" w:fill="auto"/>
          <w:lang w:val="en-US" w:eastAsia="zh-CN"/>
        </w:rPr>
        <w:t xml:space="preserve"> 121</w:t>
      </w:r>
      <w:r>
        <w:rPr>
          <w:rFonts w:hint="eastAsia" w:ascii="宋体" w:hAnsi="宋体" w:cs="宋体"/>
          <w:color w:val="auto"/>
          <w:sz w:val="24"/>
          <w:szCs w:val="24"/>
          <w:highlight w:val="none"/>
          <w:u w:val="single"/>
          <w:shd w:val="clear" w:color="auto" w:fill="auto"/>
          <w:lang w:val="en-US" w:eastAsia="zh-CN"/>
        </w:rPr>
        <w:t>.3</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rPr>
        <w:t>万平方米</w:t>
      </w:r>
      <w:r>
        <w:rPr>
          <w:rFonts w:hint="eastAsia" w:ascii="宋体" w:hAnsi="宋体" w:cs="宋体"/>
          <w:color w:val="auto"/>
          <w:sz w:val="24"/>
          <w:szCs w:val="24"/>
          <w:highlight w:val="none"/>
          <w:lang w:eastAsia="zh-CN"/>
        </w:rPr>
        <w:t>（其中道路保洁</w:t>
      </w:r>
      <w:r>
        <w:rPr>
          <w:rFonts w:hint="eastAsia" w:ascii="宋体" w:hAnsi="宋体" w:cs="宋体"/>
          <w:color w:val="auto"/>
          <w:sz w:val="24"/>
          <w:szCs w:val="24"/>
          <w:highlight w:val="none"/>
          <w:u w:val="single"/>
          <w:lang w:val="en-US" w:eastAsia="zh-CN"/>
        </w:rPr>
        <w:t xml:space="preserve"> 112.1553 </w:t>
      </w:r>
      <w:r>
        <w:rPr>
          <w:rFonts w:hint="eastAsia" w:ascii="宋体" w:hAnsi="宋体" w:cs="宋体"/>
          <w:color w:val="auto"/>
          <w:sz w:val="24"/>
          <w:szCs w:val="24"/>
          <w:highlight w:val="none"/>
          <w:u w:val="none"/>
          <w:lang w:val="en-US" w:eastAsia="zh-CN"/>
        </w:rPr>
        <w:t>万</w:t>
      </w:r>
      <w:r>
        <w:rPr>
          <w:rFonts w:hint="eastAsia" w:ascii="宋体" w:hAnsi="宋体" w:cs="宋体"/>
          <w:color w:val="auto"/>
          <w:sz w:val="24"/>
          <w:szCs w:val="24"/>
          <w:highlight w:val="none"/>
          <w:lang w:val="en-US" w:eastAsia="zh-CN"/>
        </w:rPr>
        <w:t>平方米，绿地保洁</w:t>
      </w:r>
      <w:r>
        <w:rPr>
          <w:rFonts w:hint="eastAsia" w:ascii="宋体" w:hAnsi="宋体" w:cs="宋体"/>
          <w:color w:val="auto"/>
          <w:sz w:val="24"/>
          <w:szCs w:val="24"/>
          <w:highlight w:val="none"/>
          <w:u w:val="single"/>
          <w:lang w:val="en-US" w:eastAsia="zh-CN"/>
        </w:rPr>
        <w:t xml:space="preserve"> 9.1447 </w:t>
      </w:r>
      <w:r>
        <w:rPr>
          <w:rFonts w:hint="eastAsia" w:ascii="宋体" w:hAnsi="宋体" w:cs="宋体"/>
          <w:color w:val="auto"/>
          <w:sz w:val="24"/>
          <w:szCs w:val="24"/>
          <w:highlight w:val="none"/>
          <w:u w:val="none"/>
          <w:lang w:val="en-US" w:eastAsia="zh-CN"/>
        </w:rPr>
        <w:t>万</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rPr>
        <w:t>道路清扫保洁</w:t>
      </w:r>
      <w:r>
        <w:rPr>
          <w:rFonts w:hint="eastAsia" w:ascii="宋体" w:hAnsi="宋体"/>
          <w:color w:val="auto"/>
          <w:sz w:val="24"/>
          <w:highlight w:val="none"/>
        </w:rPr>
        <w:t>（具体包括道路红线范围内路面、绿地、空地 ；保洁外扩区域边界，原则上以道路建设红线为起点向外延伸，有建筑物的到建筑物，有实体围墙的到围墙，无构筑物的以</w:t>
      </w:r>
      <w:r>
        <w:rPr>
          <w:rFonts w:hint="eastAsia" w:ascii="宋体" w:hAnsi="宋体"/>
          <w:color w:val="auto"/>
          <w:sz w:val="24"/>
          <w:highlight w:val="none"/>
          <w:lang w:val="en-US" w:eastAsia="zh-CN"/>
        </w:rPr>
        <w:t>道路</w:t>
      </w:r>
      <w:r>
        <w:rPr>
          <w:rFonts w:hint="eastAsia" w:ascii="宋体" w:hAnsi="宋体"/>
          <w:color w:val="auto"/>
          <w:sz w:val="24"/>
          <w:highlight w:val="none"/>
        </w:rPr>
        <w:t>非机动车道为界外扩</w:t>
      </w:r>
      <w:r>
        <w:rPr>
          <w:rFonts w:hint="eastAsia" w:ascii="宋体" w:hAnsi="宋体"/>
          <w:color w:val="auto"/>
          <w:sz w:val="24"/>
          <w:highlight w:val="none"/>
          <w:lang w:val="en-US" w:eastAsia="zh-CN"/>
        </w:rPr>
        <w:t>5</w:t>
      </w:r>
      <w:r>
        <w:rPr>
          <w:rFonts w:hint="eastAsia" w:ascii="宋体" w:hAnsi="宋体"/>
          <w:color w:val="auto"/>
          <w:sz w:val="24"/>
          <w:highlight w:val="none"/>
        </w:rPr>
        <w:t>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洒水降尘；道路绿地保洁（绿地内石块、白色垃圾、残枝、烂叶清运干净）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设施维护的日常巡查和管理；铺装硬化的保洁，其他设施保洁维护；</w:t>
      </w:r>
      <w:r>
        <w:rPr>
          <w:rFonts w:hint="eastAsia" w:ascii="宋体" w:hAnsi="宋体" w:eastAsia="宋体" w:cs="宋体"/>
          <w:color w:val="auto"/>
          <w:sz w:val="24"/>
          <w:szCs w:val="24"/>
          <w:highlight w:val="none"/>
          <w:lang w:val="en-US" w:eastAsia="zh-CN"/>
        </w:rPr>
        <w:t>乱贴乱画清理；</w:t>
      </w:r>
      <w:r>
        <w:rPr>
          <w:rFonts w:hint="eastAsia" w:ascii="宋体" w:hAnsi="宋体" w:eastAsia="宋体" w:cs="宋体"/>
          <w:color w:val="auto"/>
          <w:sz w:val="24"/>
          <w:szCs w:val="24"/>
          <w:highlight w:val="none"/>
        </w:rPr>
        <w:t>生活垃圾收集并清运至中转站；沿街果壳箱、垃圾桶等环卫设施管养。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生活垃圾收运范围：</w:t>
      </w:r>
      <w:r>
        <w:rPr>
          <w:rFonts w:hint="eastAsia" w:ascii="宋体" w:hAnsi="宋体" w:eastAsia="宋体" w:cs="宋体"/>
          <w:color w:val="auto"/>
          <w:sz w:val="24"/>
          <w:szCs w:val="24"/>
          <w:highlight w:val="none"/>
          <w:lang w:val="en-US" w:eastAsia="zh-CN"/>
        </w:rPr>
        <w:t>智慧新城</w:t>
      </w:r>
      <w:r>
        <w:rPr>
          <w:rFonts w:hint="eastAsia" w:ascii="宋体" w:hAnsi="宋体" w:cs="宋体"/>
          <w:color w:val="auto"/>
          <w:sz w:val="24"/>
          <w:szCs w:val="24"/>
          <w:highlight w:val="none"/>
          <w:lang w:val="en-US" w:eastAsia="zh-CN"/>
        </w:rPr>
        <w:t>高铁新城一期（东至智慧大道、南至320国道、西至石华线、北至柯城路、柯安一路）及百家塘（东至江山港、南至320国道、西至常山港、北至常山港）</w:t>
      </w:r>
      <w:r>
        <w:rPr>
          <w:rFonts w:hint="eastAsia" w:ascii="宋体" w:hAnsi="宋体" w:eastAsia="宋体" w:cs="宋体"/>
          <w:color w:val="auto"/>
          <w:sz w:val="24"/>
          <w:szCs w:val="24"/>
          <w:highlight w:val="none"/>
          <w:lang w:val="en-US" w:eastAsia="zh-CN"/>
        </w:rPr>
        <w:t>范围内的生活垃圾收运</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（三）创文（创卫）</w:t>
      </w:r>
      <w:r>
        <w:rPr>
          <w:rFonts w:hint="eastAsia" w:ascii="宋体" w:hAnsi="宋体" w:eastAsia="宋体" w:cs="宋体"/>
          <w:color w:val="auto"/>
          <w:sz w:val="24"/>
          <w:szCs w:val="24"/>
          <w:highlight w:val="none"/>
          <w:lang w:eastAsia="zh-CN"/>
        </w:rPr>
        <w:t>保障：</w:t>
      </w:r>
      <w:r>
        <w:rPr>
          <w:rFonts w:hint="eastAsia" w:ascii="宋体" w:hAnsi="宋体" w:eastAsia="宋体" w:cs="宋体"/>
          <w:color w:val="auto"/>
          <w:sz w:val="24"/>
          <w:szCs w:val="24"/>
          <w:highlight w:val="none"/>
          <w:lang w:val="en-US" w:eastAsia="zh-CN"/>
        </w:rPr>
        <w:t>创文（创卫）复评工作期间，</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sz w:val="24"/>
          <w:szCs w:val="24"/>
          <w:highlight w:val="none"/>
          <w:lang w:val="en-US" w:eastAsia="zh-CN"/>
        </w:rPr>
        <w:t>须无条件按照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要求增加工作人员及相关车辆设备，因此可能产生的一切费用均由</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sz w:val="24"/>
          <w:szCs w:val="24"/>
          <w:highlight w:val="none"/>
          <w:lang w:val="en-US" w:eastAsia="zh-CN"/>
        </w:rPr>
        <w:t>负责，</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不再针对相应保障工作调整中标价，</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sz w:val="24"/>
          <w:szCs w:val="24"/>
          <w:highlight w:val="none"/>
          <w:lang w:val="en-US" w:eastAsia="zh-CN"/>
        </w:rPr>
        <w:t>自行承担相应风险。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二、服务期限：</w:t>
      </w:r>
      <w:r>
        <w:rPr>
          <w:rFonts w:hint="eastAsia" w:ascii="宋体" w:hAnsi="宋体" w:eastAsia="宋体" w:cs="宋体"/>
          <w:color w:val="auto"/>
          <w:kern w:val="2"/>
          <w:sz w:val="24"/>
          <w:szCs w:val="24"/>
          <w:highlight w:val="none"/>
          <w:lang w:val="en-US" w:eastAsia="zh-CN" w:bidi="ar-SA"/>
        </w:rPr>
        <w:t>三年（   年   月   日至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eastAsia="zh-CN"/>
        </w:rPr>
        <w:t>技术</w:t>
      </w:r>
      <w:r>
        <w:rPr>
          <w:rFonts w:hint="eastAsia" w:ascii="宋体" w:hAnsi="宋体" w:eastAsia="宋体" w:cs="宋体"/>
          <w:b/>
          <w:bCs/>
          <w:color w:val="auto"/>
          <w:sz w:val="24"/>
          <w:szCs w:val="24"/>
          <w:highlight w:val="none"/>
        </w:rPr>
        <w:t>要求</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基本要求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应做到文明、清洁、安全和有序，最大限度地减少对环境的污染和对公众生活的影响。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环卫作业单位应建立健全安全生产管理制度和落实安全生产责任人，并有完整的作业和检查记录。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道路清扫保洁人员（含机扫车司机、随车的人工辅助清扫人员）作业时须穿工作服、反光背心，并保持着装干净、整洁，其他环卫作业人员也须按规定统一着装和佩证。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清扫作业间隙，清扫工具摆放整齐，保洁垃圾密闭存放。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环卫作业人员要遵纪守法、遵守社会公德。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环卫工人要根据本路段的人、车流情况，合理安排作业时间和方式，主动避开行人和车流高峰，以免发生意外。在普扫和保洁作业时，清扫机动车道中央分隔栏路面时要注意安全，注意来往车辆。道路大面积污染需要集中清扫时，需得到交警部门的配合，距清扫点来车方向近100m处设置醒目的警示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环卫各类作业车辆（机动车）出车前必须进行检查， 确保车况良好方可进行环卫作业。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eastAsia="zh-CN"/>
        </w:rPr>
        <w:t>严格遵守交通规则，环卫作业车辆尽量避开交通高峰时段作业。机扫车、洒水车车尾应有反光标志（或加贴反光膜）， 作业时须亮警示灯。夜间作业时还须开启示宽灯，降低或关闭提示音乐。洒水车需在规定取水栓取水。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eastAsia="zh-CN"/>
        </w:rPr>
        <w:t>清扫专用车必须紧靠路边停放，距公交车站50m内禁止停放，不影响其他车辆、行人通行。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道路清扫保洁</w:t>
      </w:r>
      <w:r>
        <w:rPr>
          <w:rFonts w:hint="eastAsia" w:ascii="宋体" w:hAnsi="宋体" w:eastAsia="宋体" w:cs="宋体"/>
          <w:b/>
          <w:color w:val="auto"/>
          <w:sz w:val="24"/>
          <w:szCs w:val="24"/>
          <w:highlight w:val="none"/>
          <w:lang w:eastAsia="zh-CN"/>
        </w:rPr>
        <w:t>基本</w:t>
      </w:r>
      <w:r>
        <w:rPr>
          <w:rFonts w:hint="eastAsia" w:ascii="宋体" w:hAnsi="宋体" w:eastAsia="宋体" w:cs="宋体"/>
          <w:b/>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做好辖区内的道路清扫保洁、洒水降尘、生活垃圾清运工作。巩固全国文明城市、国家卫生城市成果，并做好各种迎检和突发性事件的处理工作。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1、应全天18小时以上巡回保洁，首次普遍清扫应在清晨7时前结束。路面清洗时，每两天应不少于1次，人行道精细化冲洗每月不少于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次。洒水降尘频次，每天应不少于3次，气温30℃以上时，平均每天不应少于4次。机扫频次，每天不应少于2次。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道路清扫保洁范围：所有机动车道、非机动车道、人行道、地下通道、台阶、边沟、边坡、绿化带、沿街绿地、花坛、树池等公共场所的清扫保洁、洒水降尘；道路绿地保洁（绿地内石块、白色垃圾、残枝、烂叶清运干净）；铺装硬化的保洁；以及其他设施保洁；生活垃圾收集并清运至中转站；沿街果壳箱；垃圾桶等环卫设施管养；道路扬尘治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3、道路保洁时间：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（1）人工清扫保洁作业：18小时保洁道路，每天早上4：30至晚上22：30时为道路保洁时间。每天至少完成两次人工普扫， 首次普扫，夏秋季在上午6:30前完成，春冬季在上午7点前完成，第二次普扫在下午14:00前完成。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机械化清扫作业和道路洒水、降尘、冲洗作业：机械化清扫作业应按规定时间，原则两个班次（第一班次：每天早上04:00-07:30；第二班次：每天下午13:00-16:30，其他视保洁情况另行安排）准时出车，并按指定的路线、范围进行机扫作业。道路洒水降尘作业应按规定时间、频次准时出车，当实时气温低于2℃时，暂停洒水降尘作业。道路路面冲洗作业，应在每天23:30时以后进行（特殊情况除外），当实时气温低于 2℃时，暂停冲洗作业。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（3）果壳箱和垃圾桶保洁作业：沿街果壳箱和垃圾桶垃圾随时清理，不得满溢，箱体及周边需保持整洁。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（4）垃圾收集清运作业：沿路果壳箱要做到垃圾日产日清。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（5）护栏清洗作业：每周至少清洗1次。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4、道路保洁质量标准：保洁质量应符合城市道路清扫保洁质量与评 价标准(CJJ\T126-2008)中华人民共和国行业标准、浙江省《城市道路清扫保洁质量标准》（DB/1023-2005），同时达到如下标准：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（1）普扫作业。 道路（街巷）应做到“五无五净”即：无垃圾杂物堆积、无积水积泥、无痰迹烟蒂、无果皮纸屑、无土石杂草， 路面干净、道路绿地树圈干净、边角侧石干净、窨井盖沟眼畅通干净、果壳箱等设施整洁。路面见本色。</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（2）保洁作业。道路路面干净、地面无痰迹、道路侧石无积泥、污迹、晴天地面无积水、窨井口畅通、果壳箱、雕塑、公共椅子（凳子）等公共设施干净整洁。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其他按照未尽事宜以《智慧新城城市环境卫生质量标准及作业规范》为准</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）乱贴乱画清理</w:t>
      </w:r>
      <w:r>
        <w:rPr>
          <w:rFonts w:hint="eastAsia" w:ascii="宋体" w:hAnsi="宋体" w:eastAsia="宋体" w:cs="宋体"/>
          <w:b/>
          <w:bCs/>
          <w:color w:val="auto"/>
          <w:sz w:val="24"/>
          <w:szCs w:val="24"/>
          <w:highlight w:val="none"/>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1、处理非法涂写。作业要注意“色、形、洁、美”，达到“色、形、洁、美”的有机结合，自然、和谐。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（1）色：根据不同墙体颜色，将涂料调配成相同或相似的颜色，最大限度地将污染处恢复原来色泽；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（2）形：对被污染墙面的清除应有统一覆盖形状（四方形），有完整、清晰的轮廓；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（3）洁：清除作业要按照“一刮、二铲、三粉刷”程序操作，使作业墙达到干净、整洁；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（4）美：要使清除作业墙体在“色、形、洁”上与周边环境协调和谐。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2、处理非法招贴广告。清除作业按照“一刮、二铲、三粉刷” 要求进行；清除后不出现“残贴”，不留黏贴痕迹，尽量不损坏建（构）筑和颜色。涂料覆盖与原色协调，无明显反差，覆盖整齐，成长方形；药物清理表面整洁，不留花斑；人工铲除和机械清理不留明显痕迹，不损伤表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3、清除的时间。每天上午9:00时前完成第一遍整治清除。9:00 时以后进行巡回保洁，做到及时发现，及时清除。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4、清除作业要求严格按照作业技术标准操作，无遗留现象。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5、从事服务的人员应统一着装、统一证件、统一工具。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6、对于石材、瓷砖等建筑物表面喷漆广告先用醇酸稀料进行浸泡，再用腈纶棉纱进行擦洗、冲洗即可；对于涂料水泥墙面上的喷漆广告可先用醇酸稀料进行浸泡，再用刮刀刮掉后，按照上涂料的工序涂刷。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其他按照未尽事宜以《智慧新城城市环境卫生质量标准及作业规范》为准。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生活垃圾清运</w:t>
      </w:r>
      <w:r>
        <w:rPr>
          <w:rFonts w:hint="eastAsia" w:ascii="宋体" w:hAnsi="宋体" w:eastAsia="宋体" w:cs="宋体"/>
          <w:b/>
          <w:bCs/>
          <w:color w:val="auto"/>
          <w:sz w:val="24"/>
          <w:szCs w:val="24"/>
          <w:highlight w:val="none"/>
          <w:lang w:eastAsia="zh-CN"/>
        </w:rPr>
        <w:t>基本</w:t>
      </w:r>
      <w:r>
        <w:rPr>
          <w:rFonts w:hint="eastAsia" w:ascii="宋体" w:hAnsi="宋体" w:eastAsia="宋体" w:cs="宋体"/>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做好辖区范围内的</w:t>
      </w:r>
      <w:r>
        <w:rPr>
          <w:rFonts w:hint="eastAsia" w:ascii="宋体" w:hAnsi="宋体" w:eastAsia="宋体" w:cs="宋体"/>
          <w:color w:val="auto"/>
          <w:sz w:val="24"/>
          <w:szCs w:val="24"/>
          <w:highlight w:val="none"/>
          <w:lang w:val="en-US" w:eastAsia="zh-CN"/>
        </w:rPr>
        <w:t>生活垃圾收运</w:t>
      </w:r>
      <w:r>
        <w:rPr>
          <w:rFonts w:hint="eastAsia" w:ascii="宋体" w:hAnsi="宋体" w:eastAsia="宋体" w:cs="宋体"/>
          <w:color w:val="auto"/>
          <w:sz w:val="24"/>
          <w:szCs w:val="24"/>
          <w:highlight w:val="none"/>
        </w:rPr>
        <w:t>。同时，结合</w:t>
      </w:r>
      <w:r>
        <w:rPr>
          <w:rFonts w:hint="eastAsia" w:ascii="宋体" w:hAnsi="宋体" w:eastAsia="宋体" w:cs="宋体"/>
          <w:color w:val="auto"/>
          <w:sz w:val="24"/>
          <w:szCs w:val="24"/>
          <w:highlight w:val="none"/>
          <w:lang w:val="en-US" w:eastAsia="zh-CN"/>
        </w:rPr>
        <w:t>智慧新城</w:t>
      </w:r>
      <w:r>
        <w:rPr>
          <w:rFonts w:hint="eastAsia" w:ascii="宋体" w:hAnsi="宋体" w:eastAsia="宋体" w:cs="宋体"/>
          <w:color w:val="auto"/>
          <w:sz w:val="24"/>
          <w:szCs w:val="24"/>
          <w:highlight w:val="none"/>
        </w:rPr>
        <w:t>生活垃圾分类工作，严格做好分类垃圾收运工作。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负责生活垃圾中转清运管理。负责将辖区道路生活垃圾定时定点分类收运至中转站。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、根据垃圾产生量确定转运次数，做到日产日清、垃圾不落地、市民无投诉。转运过程不占道，不妨碍交通</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3、果壳箱垃圾清理每日不少于2次，并巡回检查，发现垃圾满溢应及时清理，果壳箱清（擦）洗每日不少于1次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垃圾运输车辆应配备有效的防臭、降尘、防滴漏设施，运输密闭性能良好。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垃圾清运车</w:t>
      </w:r>
      <w:r>
        <w:rPr>
          <w:rFonts w:hint="eastAsia" w:ascii="宋体" w:hAnsi="宋体" w:eastAsia="宋体" w:cs="宋体"/>
          <w:color w:val="auto"/>
          <w:sz w:val="24"/>
          <w:szCs w:val="24"/>
          <w:highlight w:val="none"/>
        </w:rPr>
        <w:t>辆应按要求统一喷涂颜色、编号、标识等，分类</w:t>
      </w:r>
      <w:r>
        <w:rPr>
          <w:rFonts w:hint="eastAsia" w:ascii="宋体" w:hAnsi="宋体" w:eastAsia="宋体" w:cs="宋体"/>
          <w:color w:val="auto"/>
          <w:sz w:val="24"/>
          <w:szCs w:val="24"/>
          <w:highlight w:val="none"/>
          <w:lang w:eastAsia="zh-CN"/>
        </w:rPr>
        <w:t>垃圾清运车</w:t>
      </w:r>
      <w:r>
        <w:rPr>
          <w:rFonts w:hint="eastAsia" w:ascii="宋体" w:hAnsi="宋体" w:eastAsia="宋体" w:cs="宋体"/>
          <w:color w:val="auto"/>
          <w:sz w:val="24"/>
          <w:szCs w:val="24"/>
          <w:highlight w:val="none"/>
        </w:rPr>
        <w:t>辆须按要求喷涂分类标识。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、垃圾运输应做到车辆整洁无污染，垃圾无吊挂，垃圾无暴露，污水无滴漏，设施无破损，作业无扰民，市民无投诉。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生活垃圾清吊应合理确定清吊运输的时间、频次、作业点和线路。清吊过程做到垃圾不落地并及时清理作业点；清吊运输过程中不得有垃圾抛撒滴漏、吊挂，污水、油污滴漏等现象。生活垃圾清吊应做到不漏点、不扰民，日产日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、应及时清运服务范围内的破沙发、木柜、废旧家电等大件废弃物品。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负责职工安全管理。定期进行安全教育，及时排查安全隐患，防止安全事故发生，妥善处理安全事故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10、日常相关工作的台账收集、整理、汇总、上报工作。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11、其他按照未尽事宜以《智慧新城城市环境卫生质量标准及作业规范》为准。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eastAsia="zh-CN"/>
        </w:rPr>
        <w:t>环卫数字化综合管理基本要求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投入</w:t>
      </w:r>
      <w:r>
        <w:rPr>
          <w:rFonts w:hint="eastAsia" w:ascii="宋体" w:hAnsi="宋体" w:eastAsia="宋体" w:cs="宋体"/>
          <w:color w:val="auto"/>
          <w:sz w:val="24"/>
          <w:szCs w:val="24"/>
          <w:highlight w:val="none"/>
        </w:rPr>
        <w:t>环卫数字化</w:t>
      </w:r>
      <w:r>
        <w:rPr>
          <w:rFonts w:hint="eastAsia" w:ascii="宋体" w:hAnsi="宋体" w:eastAsia="宋体" w:cs="宋体"/>
          <w:color w:val="auto"/>
          <w:sz w:val="24"/>
          <w:szCs w:val="24"/>
          <w:highlight w:val="none"/>
          <w:lang w:val="en-US" w:eastAsia="zh-CN"/>
        </w:rPr>
        <w:t>管理设施设备</w:t>
      </w:r>
      <w:r>
        <w:rPr>
          <w:rFonts w:hint="eastAsia" w:ascii="宋体" w:hAnsi="宋体" w:eastAsia="宋体" w:cs="宋体"/>
          <w:color w:val="auto"/>
          <w:sz w:val="24"/>
          <w:szCs w:val="24"/>
          <w:highlight w:val="none"/>
        </w:rPr>
        <w:t>，接入</w:t>
      </w:r>
      <w:r>
        <w:rPr>
          <w:rFonts w:hint="eastAsia" w:ascii="宋体" w:hAnsi="宋体" w:eastAsia="宋体" w:cs="宋体"/>
          <w:color w:val="auto"/>
          <w:sz w:val="24"/>
          <w:szCs w:val="24"/>
          <w:highlight w:val="none"/>
          <w:lang w:val="en-US" w:eastAsia="zh-CN"/>
        </w:rPr>
        <w:t>智慧新城</w:t>
      </w:r>
      <w:r>
        <w:rPr>
          <w:rFonts w:hint="eastAsia" w:ascii="宋体" w:hAnsi="宋体" w:eastAsia="宋体" w:cs="宋体"/>
          <w:color w:val="auto"/>
          <w:sz w:val="24"/>
          <w:szCs w:val="24"/>
          <w:highlight w:val="none"/>
          <w:lang w:eastAsia="zh-CN"/>
        </w:rPr>
        <w:t>环卫中心数字化监管平台。</w:t>
      </w:r>
      <w:r>
        <w:rPr>
          <w:rFonts w:hint="eastAsia" w:ascii="宋体" w:hAnsi="宋体" w:eastAsia="宋体" w:cs="宋体"/>
          <w:color w:val="auto"/>
          <w:sz w:val="24"/>
          <w:szCs w:val="24"/>
          <w:highlight w:val="none"/>
        </w:rPr>
        <w:t>环卫数字化</w:t>
      </w:r>
      <w:r>
        <w:rPr>
          <w:rFonts w:hint="eastAsia" w:ascii="宋体" w:hAnsi="宋体" w:eastAsia="宋体" w:cs="宋体"/>
          <w:color w:val="auto"/>
          <w:sz w:val="24"/>
          <w:szCs w:val="24"/>
          <w:highlight w:val="none"/>
          <w:lang w:val="en-US" w:eastAsia="zh-CN"/>
        </w:rPr>
        <w:t>管理设施设备包括</w:t>
      </w:r>
      <w:r>
        <w:rPr>
          <w:rFonts w:hint="eastAsia" w:ascii="宋体" w:hAnsi="宋体" w:eastAsia="宋体" w:cs="宋体"/>
          <w:color w:val="auto"/>
          <w:sz w:val="24"/>
          <w:szCs w:val="24"/>
          <w:highlight w:val="none"/>
          <w:lang w:eastAsia="zh-CN"/>
        </w:rPr>
        <w:t>对环卫管理所涉及到的人、车、垃圾桶等设施等</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进行全过程实时管理，系统功能包括环卫车辆监管、环卫人员监管和关怀、作业质量考核、垃圾桶溢满管理、垃圾收运监管、指挥调度管理、大数据分析、基础信息管理。</w:t>
      </w:r>
    </w:p>
    <w:tbl>
      <w:tblPr>
        <w:tblStyle w:val="89"/>
        <w:tblW w:w="9720"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25"/>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模块</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满足功能（包含但不限于）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人员管理</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环卫工人作业位置分布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车辆管理</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车辆定位及相应停车场配套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数字化环卫管理（智慧环卫）</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人员基本档案：实现环卫公司环卫人员花名册实时档案管理，可对人员参保情况、人员类型等信息进行维护更新，满足增、删、改、查操作。</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人员作业轨迹跟踪：通过系统可以查看人员作业的轨迹，行成作业里程图表，可追溯历史轨迹，按照计划作业路段进行轨迹对比。</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人员定位管理：通过系统查看和了解环卫人员的实时一览图。</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人员设备管理：实现对工牌设备编号、绑定人员等信息进行管理展示。</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车辆台账管理：实现对车辆的型号、车牌等信息的管理。</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车辆作业轨迹跟踪：通过系统可以查看车辆作业的轨迹，按照计划作业路段进行轨迹对比。</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实时视频监控：通过系统可以查看车辆运行的实时监控视频。</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车载设备管理：实现对车载设备编号、安装车辆等信息进行管理。</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进出场管理：构建环卫车辆场地监管，实现车辆进出场管理记录，生成车辆进出场报表。</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车辆维护/保养管理：对车辆维护、保养进行增、删、改、查，形成车辆维护及保养的汇总报表，可查询单台车辆的维护、保养记录。</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工单管理：根据设备异常与作业异常规则生成异常事件工单，线上自动分配任务，指派专人进行异常处理，形成作业监管、异常反馈管理流程。</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整改单管理：通过app端及系统后台实现问题上报、问题处理、处理结果反馈的问题上报整改管理，可以查看上报问题被处理的情况。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作业计划管理：根据作业区域范围对人员、车辆进行灵活计划，支持自定义增、删、改、查操作。</w:t>
            </w:r>
          </w:p>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报表中心：依据作业计划分析汇总车辆有效作业情况，生成日报表，关联车辆作业视频轨迹，车辆运行报表，分析车辆作业情况。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指挥中心</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软件由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软件维护服务费</w:t>
            </w:r>
            <w:r>
              <w:rPr>
                <w:rFonts w:hint="eastAsia" w:ascii="宋体" w:hAnsi="宋体" w:eastAsia="宋体" w:cs="宋体"/>
                <w:color w:val="auto"/>
                <w:sz w:val="24"/>
                <w:szCs w:val="24"/>
                <w:highlight w:val="none"/>
                <w:lang w:val="en-US" w:eastAsia="zh-CN"/>
              </w:rPr>
              <w:t>参照一期范围执行；硬件配置根据</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sz w:val="24"/>
                <w:szCs w:val="24"/>
                <w:highlight w:val="none"/>
                <w:lang w:eastAsia="zh-CN"/>
              </w:rPr>
              <w:t>的投标承诺执行。</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人员、设备及场地要求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）人员配置要求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sz w:val="24"/>
          <w:szCs w:val="24"/>
          <w:highlight w:val="none"/>
          <w:lang w:val="en-US" w:eastAsia="zh-CN"/>
        </w:rPr>
        <w:t>要严格按照</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要求，合理搭建管理服务团队架构。管理团队、机械车驾驶员、三轮车驾驶员、保洁员</w:t>
      </w:r>
      <w:r>
        <w:rPr>
          <w:rFonts w:hint="eastAsia" w:ascii="宋体" w:hAnsi="宋体" w:cs="宋体"/>
          <w:color w:val="auto"/>
          <w:sz w:val="24"/>
          <w:szCs w:val="24"/>
          <w:highlight w:val="none"/>
          <w:lang w:val="en-US" w:eastAsia="zh-CN"/>
        </w:rPr>
        <w:t>等人员</w:t>
      </w:r>
      <w:r>
        <w:rPr>
          <w:rFonts w:hint="eastAsia" w:ascii="宋体" w:hAnsi="宋体" w:eastAsia="宋体" w:cs="宋体"/>
          <w:color w:val="auto"/>
          <w:sz w:val="24"/>
          <w:szCs w:val="24"/>
          <w:highlight w:val="none"/>
          <w:lang w:val="en-US" w:eastAsia="zh-CN"/>
        </w:rPr>
        <w:t>须满足项目服务需要。其中人员最低配置不得少于</w:t>
      </w:r>
      <w:r>
        <w:rPr>
          <w:rFonts w:hint="eastAsia" w:ascii="宋体" w:hAnsi="宋体" w:cs="宋体"/>
          <w:color w:val="auto"/>
          <w:sz w:val="24"/>
          <w:szCs w:val="24"/>
          <w:highlight w:val="none"/>
          <w:u w:val="single"/>
          <w:lang w:val="en-US" w:eastAsia="zh-CN"/>
        </w:rPr>
        <w:t>120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（二）环卫作业设备</w:t>
      </w:r>
    </w:p>
    <w:p>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为确保环卫作业的质量及机械化清扫率，服务期内中标人须配备8吨洒水车4辆，5吨洒水车2辆（洗地），8吨机扫车4辆，雾炮车2辆，5吨压缩车1辆，电动高压冲洗车4辆，3轮清运车4辆，快速保洁车10辆，人力三轮车40辆。</w:t>
      </w:r>
    </w:p>
    <w:p>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2、车辆油费、保险费、维修费等一切费用由</w:t>
      </w:r>
      <w:r>
        <w:rPr>
          <w:rFonts w:hint="eastAsia" w:ascii="宋体" w:hAnsi="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lang w:val="en-US" w:eastAsia="zh-CN"/>
        </w:rPr>
        <w:t>自行承担，</w:t>
      </w:r>
      <w:r>
        <w:rPr>
          <w:rFonts w:hint="eastAsia" w:ascii="宋体" w:hAnsi="宋体" w:cs="宋体"/>
          <w:color w:val="auto"/>
          <w:kern w:val="0"/>
          <w:sz w:val="24"/>
          <w:szCs w:val="24"/>
          <w:highlight w:val="none"/>
          <w:lang w:val="en-US" w:eastAsia="zh-CN"/>
        </w:rPr>
        <w:t>所有车辆设备须在中标之日起45日内采购配置到位，如中标人不能按时完成车辆设备采购配置到位的，采购人有权取消中标人资格</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（三）场地安排</w:t>
      </w:r>
    </w:p>
    <w:p>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停车场地、管理人员办公场地、保洁人员休息场地及相关费用由</w:t>
      </w:r>
      <w:r>
        <w:rPr>
          <w:rFonts w:hint="eastAsia" w:ascii="宋体" w:hAnsi="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lang w:val="en-US" w:eastAsia="zh-CN"/>
        </w:rPr>
        <w:t>自行解决，</w:t>
      </w:r>
      <w:r>
        <w:rPr>
          <w:rFonts w:hint="eastAsia" w:ascii="宋体" w:hAnsi="宋体" w:cs="宋体"/>
          <w:b w:val="0"/>
          <w:bCs w:val="0"/>
          <w:color w:val="auto"/>
          <w:kern w:val="0"/>
          <w:sz w:val="24"/>
          <w:szCs w:val="24"/>
          <w:highlight w:val="none"/>
          <w:lang w:val="en-US" w:eastAsia="zh-CN"/>
        </w:rPr>
        <w:t>采购人</w:t>
      </w:r>
      <w:r>
        <w:rPr>
          <w:rFonts w:hint="eastAsia" w:ascii="宋体" w:hAnsi="宋体" w:eastAsia="宋体" w:cs="宋体"/>
          <w:b w:val="0"/>
          <w:bCs w:val="0"/>
          <w:color w:val="auto"/>
          <w:kern w:val="0"/>
          <w:sz w:val="24"/>
          <w:szCs w:val="24"/>
          <w:highlight w:val="none"/>
          <w:lang w:val="en-US" w:eastAsia="zh-CN"/>
        </w:rPr>
        <w:t>不提供以上场地</w:t>
      </w:r>
      <w:r>
        <w:rPr>
          <w:rFonts w:hint="eastAsia" w:ascii="宋体" w:hAnsi="宋体" w:cs="宋体"/>
          <w:b w:val="0"/>
          <w:bCs w:val="0"/>
          <w:color w:val="auto"/>
          <w:kern w:val="0"/>
          <w:sz w:val="24"/>
          <w:szCs w:val="24"/>
          <w:highlight w:val="none"/>
          <w:lang w:val="en-US" w:eastAsia="zh-CN"/>
        </w:rPr>
        <w:t>。停车场地、管理人员办公场地、保洁人员休息场地须在</w:t>
      </w:r>
      <w:r>
        <w:rPr>
          <w:rFonts w:hint="eastAsia" w:ascii="宋体" w:hAnsi="宋体" w:cs="宋体"/>
          <w:color w:val="auto"/>
          <w:kern w:val="0"/>
          <w:sz w:val="24"/>
          <w:szCs w:val="24"/>
          <w:highlight w:val="none"/>
          <w:lang w:val="en-US" w:eastAsia="zh-CN"/>
        </w:rPr>
        <w:t>中标之日起45日内配置到位，要求以上场地位于智慧新城范围或距离智慧新城范围2公里内，如中标人对场地配置不到位的，采购人有权取消中标人资格</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bCs/>
          <w:color w:val="auto"/>
          <w:sz w:val="24"/>
          <w:szCs w:val="24"/>
          <w:highlight w:val="none"/>
        </w:rPr>
        <w:t>【采购人将对</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的场地、设备及人员进行核查，如</w:t>
      </w:r>
      <w:r>
        <w:rPr>
          <w:rFonts w:hint="eastAsia" w:ascii="宋体" w:hAnsi="宋体" w:cs="宋体"/>
          <w:b/>
          <w:bCs/>
          <w:color w:val="auto"/>
          <w:sz w:val="24"/>
          <w:szCs w:val="24"/>
          <w:highlight w:val="none"/>
          <w:lang w:eastAsia="zh-CN"/>
        </w:rPr>
        <w:t>达不到</w:t>
      </w:r>
      <w:r>
        <w:rPr>
          <w:rFonts w:hint="eastAsia" w:ascii="宋体" w:hAnsi="宋体" w:eastAsia="宋体" w:cs="宋体"/>
          <w:b/>
          <w:bCs/>
          <w:color w:val="auto"/>
          <w:sz w:val="24"/>
          <w:szCs w:val="24"/>
          <w:highlight w:val="none"/>
          <w:lang w:eastAsia="zh-CN"/>
        </w:rPr>
        <w:t>人员、设备及场地要求</w:t>
      </w:r>
      <w:r>
        <w:rPr>
          <w:rFonts w:hint="eastAsia" w:ascii="宋体" w:hAnsi="宋体" w:cs="宋体"/>
          <w:b/>
          <w:bCs/>
          <w:color w:val="auto"/>
          <w:sz w:val="24"/>
          <w:szCs w:val="24"/>
          <w:highlight w:val="none"/>
          <w:lang w:eastAsia="zh-CN"/>
        </w:rPr>
        <w:t>的，采购人有权</w:t>
      </w:r>
      <w:r>
        <w:rPr>
          <w:rFonts w:hint="eastAsia" w:ascii="宋体" w:hAnsi="宋体" w:eastAsia="宋体" w:cs="宋体"/>
          <w:b/>
          <w:bCs/>
          <w:color w:val="auto"/>
          <w:sz w:val="24"/>
          <w:szCs w:val="24"/>
          <w:highlight w:val="none"/>
        </w:rPr>
        <w:t>取消</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资格。】</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五、考核管理</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必须严格按照法律、法规和标准、规范以及招标文件、政府招标合同的约定，高质量、高水平落实责任范围内的环境卫生作业和日常管理工作，并接受各级考核监管部门的检查和监督。</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要建立健全环卫作业质量自查自评工作机制，健全内部日常作业巡查和监管工作，整理完善自查资料档案，做到制度健全、工作落实、</w:t>
      </w:r>
      <w:r>
        <w:rPr>
          <w:rFonts w:hint="eastAsia" w:ascii="宋体" w:hAnsi="宋体" w:eastAsia="宋体" w:cs="宋体"/>
          <w:color w:val="auto"/>
          <w:sz w:val="24"/>
          <w:szCs w:val="24"/>
          <w:highlight w:val="none"/>
          <w:lang w:eastAsia="zh-CN"/>
        </w:rPr>
        <w:t>台账</w:t>
      </w:r>
      <w:r>
        <w:rPr>
          <w:rFonts w:hint="eastAsia" w:ascii="宋体" w:hAnsi="宋体" w:eastAsia="宋体" w:cs="宋体"/>
          <w:color w:val="auto"/>
          <w:sz w:val="24"/>
          <w:szCs w:val="24"/>
          <w:highlight w:val="none"/>
        </w:rPr>
        <w:t>资料齐全，促进环卫作业质量的不断提高。</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86" w:name="OLE_LINK2"/>
      <w:r>
        <w:rPr>
          <w:rFonts w:hint="eastAsia" w:ascii="宋体" w:hAnsi="宋体" w:eastAsia="宋体" w:cs="宋体"/>
          <w:color w:val="auto"/>
          <w:sz w:val="24"/>
          <w:szCs w:val="24"/>
          <w:highlight w:val="none"/>
        </w:rPr>
        <w:t>日常检查</w:t>
      </w:r>
      <w:bookmarkEnd w:id="86"/>
      <w:r>
        <w:rPr>
          <w:rFonts w:hint="eastAsia" w:ascii="宋体" w:hAnsi="宋体" w:eastAsia="宋体" w:cs="宋体"/>
          <w:color w:val="auto"/>
          <w:sz w:val="24"/>
          <w:szCs w:val="24"/>
          <w:highlight w:val="none"/>
        </w:rPr>
        <w:t>和月度考核各项资料应齐全，考核人员应客观、公平、公正，月度、年度考核参加人员应不少于二人同时在场，日常检查应有照片等佐证。</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4、考核达标情况报</w:t>
      </w:r>
      <w:r>
        <w:rPr>
          <w:rFonts w:hint="eastAsia" w:ascii="宋体" w:hAnsi="宋体" w:eastAsia="宋体" w:cs="宋体"/>
          <w:color w:val="auto"/>
          <w:sz w:val="24"/>
          <w:szCs w:val="24"/>
          <w:highlight w:val="none"/>
          <w:lang w:eastAsia="zh-CN"/>
        </w:rPr>
        <w:t>智慧新城</w:t>
      </w:r>
      <w:r>
        <w:rPr>
          <w:rFonts w:hint="eastAsia" w:ascii="宋体" w:hAnsi="宋体" w:cs="宋体"/>
          <w:color w:val="auto"/>
          <w:sz w:val="24"/>
          <w:szCs w:val="24"/>
          <w:highlight w:val="none"/>
          <w:lang w:val="en-US" w:eastAsia="zh-CN"/>
        </w:rPr>
        <w:t>智慧城管部</w:t>
      </w:r>
      <w:r>
        <w:rPr>
          <w:rFonts w:hint="eastAsia" w:ascii="宋体" w:hAnsi="宋体" w:eastAsia="宋体" w:cs="宋体"/>
          <w:color w:val="auto"/>
          <w:sz w:val="24"/>
          <w:szCs w:val="24"/>
          <w:highlight w:val="none"/>
        </w:rPr>
        <w:t>并存档。</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群众投诉、媒体曝光的环境卫生问题以及重大节日、活动和上级交办的环卫工作要认真制订工作措施，落实整改工作，确保发现的环境卫生问题得以及时、有效地解决。对数字城管案件、12345政府热线、通衢问政平台、110应急事项、市民投诉等应即时响应、整改，按规定时间回复。</w:t>
      </w:r>
    </w:p>
    <w:p>
      <w:pPr>
        <w:keepNext w:val="0"/>
        <w:keepLines w:val="0"/>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积极开展环境卫生宣传活动，加强环卫从业人员的职业道德教育、责任意识教育、职业技能及安全生产培训，弘扬环卫行业无私奉献精神，形成良好的环境卫生工作氛围，共同为提高城市环境卫生质量而努力。</w:t>
      </w:r>
      <w:bookmarkEnd w:id="81"/>
    </w:p>
    <w:p>
      <w:pPr>
        <w:pStyle w:val="46"/>
        <w:snapToGrid w:val="0"/>
        <w:spacing w:line="380" w:lineRule="exact"/>
        <w:ind w:firstLine="723" w:firstLineChars="200"/>
        <w:jc w:val="center"/>
        <w:rPr>
          <w:rFonts w:hint="eastAsia" w:hAnsi="宋体"/>
          <w:b/>
          <w:color w:val="auto"/>
          <w:sz w:val="36"/>
          <w:highlight w:val="none"/>
        </w:rPr>
      </w:pPr>
    </w:p>
    <w:p>
      <w:pPr>
        <w:pStyle w:val="46"/>
        <w:snapToGrid w:val="0"/>
        <w:spacing w:line="380" w:lineRule="exact"/>
        <w:ind w:firstLine="723" w:firstLineChars="200"/>
        <w:jc w:val="center"/>
        <w:rPr>
          <w:rFonts w:hAnsi="宋体"/>
          <w:b/>
          <w:color w:val="auto"/>
          <w:sz w:val="36"/>
          <w:highlight w:val="none"/>
        </w:rPr>
      </w:pPr>
      <w:r>
        <w:rPr>
          <w:rFonts w:hint="eastAsia" w:hAnsi="宋体"/>
          <w:b/>
          <w:color w:val="auto"/>
          <w:sz w:val="36"/>
          <w:highlight w:val="none"/>
        </w:rPr>
        <w:t>第四部分  合同文本</w:t>
      </w:r>
      <w:bookmarkEnd w:id="82"/>
      <w:bookmarkEnd w:id="83"/>
    </w:p>
    <w:p>
      <w:pPr>
        <w:jc w:val="center"/>
        <w:outlineLvl w:val="0"/>
        <w:rPr>
          <w:rFonts w:hint="eastAsia" w:ascii="宋体" w:hAnsi="宋体" w:eastAsia="宋体" w:cs="宋体"/>
          <w:color w:val="auto"/>
          <w:sz w:val="24"/>
          <w:szCs w:val="24"/>
          <w:highlight w:val="none"/>
        </w:rPr>
      </w:pPr>
      <w:bookmarkStart w:id="87" w:name="_Toc18798"/>
      <w:bookmarkStart w:id="88" w:name="_Toc202085295"/>
      <w:bookmarkStart w:id="89" w:name="_Toc195502585"/>
      <w:bookmarkStart w:id="90" w:name="_Toc195502495"/>
      <w:bookmarkStart w:id="91" w:name="_Toc440380879"/>
    </w:p>
    <w:p>
      <w:pPr>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（本合同仅作示范文本，具体以双方签订的正式合同为准）</w:t>
      </w:r>
      <w:bookmarkEnd w:id="87"/>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甲方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衢州智慧新城管理委员会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根据相关法律、法规、政策，甲、乙方双方在自愿、平等、协商一致的基础上，就甲方选聘乙方对</w:t>
      </w:r>
      <w:r>
        <w:rPr>
          <w:rFonts w:hint="eastAsia" w:ascii="宋体" w:hAnsi="宋体" w:eastAsia="宋体" w:cs="宋体"/>
          <w:color w:val="auto"/>
          <w:sz w:val="24"/>
          <w:szCs w:val="24"/>
          <w:highlight w:val="none"/>
          <w:u w:val="single"/>
          <w:lang w:eastAsia="zh-CN"/>
        </w:rPr>
        <w:t>衢州市</w:t>
      </w:r>
      <w:r>
        <w:rPr>
          <w:rFonts w:hint="eastAsia" w:ascii="宋体" w:hAnsi="宋体" w:eastAsia="宋体" w:cs="宋体"/>
          <w:color w:val="auto"/>
          <w:sz w:val="24"/>
          <w:szCs w:val="24"/>
          <w:highlight w:val="none"/>
          <w:u w:val="single"/>
          <w:lang w:val="en-US" w:eastAsia="zh-CN"/>
        </w:rPr>
        <w:t>智慧新城二期范围环卫作业</w:t>
      </w:r>
      <w:r>
        <w:rPr>
          <w:rFonts w:hint="eastAsia" w:ascii="宋体" w:hAnsi="宋体" w:eastAsia="宋体" w:cs="宋体"/>
          <w:color w:val="auto"/>
          <w:sz w:val="24"/>
          <w:szCs w:val="24"/>
          <w:highlight w:val="none"/>
        </w:rPr>
        <w:t>提供服务事宜，订立本合同。</w:t>
      </w:r>
    </w:p>
    <w:p>
      <w:pPr>
        <w:pStyle w:val="35"/>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一、服务费用：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总价</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三</w:t>
      </w:r>
      <w:r>
        <w:rPr>
          <w:rFonts w:hint="eastAsia" w:ascii="宋体" w:hAnsi="宋体" w:eastAsia="宋体" w:cs="宋体"/>
          <w:b w:val="0"/>
          <w:bCs w:val="0"/>
          <w:color w:val="auto"/>
          <w:sz w:val="24"/>
          <w:szCs w:val="24"/>
          <w:highlight w:val="none"/>
          <w:lang w:eastAsia="zh-CN"/>
        </w:rPr>
        <w:t>年）</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lang w:val="en-US" w:eastAsia="zh-CN"/>
        </w:rPr>
        <w:t>其中</w:t>
      </w:r>
      <w:r>
        <w:rPr>
          <w:rFonts w:hint="eastAsia" w:ascii="宋体" w:hAnsi="宋体" w:eastAsia="宋体" w:cs="宋体"/>
          <w:b w:val="0"/>
          <w:bCs w:val="0"/>
          <w:color w:val="auto"/>
          <w:sz w:val="24"/>
          <w:szCs w:val="24"/>
          <w:highlight w:val="none"/>
        </w:rPr>
        <w:t>道路</w:t>
      </w:r>
      <w:r>
        <w:rPr>
          <w:rFonts w:hint="eastAsia" w:ascii="宋体" w:hAnsi="宋体" w:cs="宋体"/>
          <w:b w:val="0"/>
          <w:bCs w:val="0"/>
          <w:color w:val="auto"/>
          <w:sz w:val="24"/>
          <w:szCs w:val="24"/>
          <w:highlight w:val="none"/>
          <w:lang w:eastAsia="zh-CN"/>
        </w:rPr>
        <w:t>保洁</w:t>
      </w:r>
      <w:r>
        <w:rPr>
          <w:rFonts w:hint="eastAsia" w:ascii="宋体" w:hAnsi="宋体" w:eastAsia="宋体" w:cs="宋体"/>
          <w:b w:val="0"/>
          <w:bCs w:val="0"/>
          <w:color w:val="auto"/>
          <w:sz w:val="24"/>
          <w:szCs w:val="24"/>
          <w:highlight w:val="none"/>
        </w:rPr>
        <w:t>单价：¥：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元</w:t>
      </w:r>
      <w:r>
        <w:rPr>
          <w:rFonts w:hint="eastAsia" w:ascii="宋体" w:hAnsi="宋体" w:eastAsia="宋体" w:cs="宋体"/>
          <w:b w:val="0"/>
          <w:bCs w:val="0"/>
          <w:color w:val="auto"/>
          <w:sz w:val="24"/>
          <w:szCs w:val="24"/>
          <w:highlight w:val="none"/>
          <w:u w:val="single"/>
          <w:lang w:val="en-US" w:eastAsia="zh-CN"/>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960" w:firstLineChars="400"/>
        <w:textAlignment w:val="auto"/>
        <w:rPr>
          <w:rFonts w:hint="eastAsia" w:ascii="宋体" w:hAnsi="宋体" w:eastAsia="宋体" w:cs="宋体"/>
          <w:b w:val="0"/>
          <w:bCs w:val="0"/>
          <w:color w:val="auto"/>
          <w:sz w:val="24"/>
          <w:szCs w:val="24"/>
          <w:highlight w:val="none"/>
          <w:u w:val="single"/>
        </w:rPr>
      </w:pPr>
      <w:r>
        <w:rPr>
          <w:rFonts w:hint="eastAsia" w:ascii="宋体" w:hAnsi="宋体" w:cs="宋体"/>
          <w:b w:val="0"/>
          <w:bCs w:val="0"/>
          <w:color w:val="auto"/>
          <w:sz w:val="24"/>
          <w:szCs w:val="24"/>
          <w:highlight w:val="none"/>
          <w:lang w:eastAsia="zh-CN"/>
        </w:rPr>
        <w:t>绿地保洁</w:t>
      </w:r>
      <w:r>
        <w:rPr>
          <w:rFonts w:hint="eastAsia" w:ascii="宋体" w:hAnsi="宋体" w:eastAsia="宋体" w:cs="宋体"/>
          <w:b w:val="0"/>
          <w:bCs w:val="0"/>
          <w:color w:val="auto"/>
          <w:sz w:val="24"/>
          <w:szCs w:val="24"/>
          <w:highlight w:val="none"/>
        </w:rPr>
        <w:t>单价：¥：</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元</w:t>
      </w:r>
      <w:r>
        <w:rPr>
          <w:rFonts w:hint="eastAsia" w:ascii="宋体" w:hAnsi="宋体" w:eastAsia="宋体" w:cs="宋体"/>
          <w:b w:val="0"/>
          <w:bCs w:val="0"/>
          <w:color w:val="auto"/>
          <w:sz w:val="24"/>
          <w:szCs w:val="24"/>
          <w:highlight w:val="none"/>
          <w:u w:val="single"/>
          <w:lang w:val="en-US" w:eastAsia="zh-CN"/>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注：</w:t>
      </w:r>
      <w:r>
        <w:rPr>
          <w:rFonts w:hint="eastAsia" w:ascii="宋体" w:hAnsi="宋体" w:cs="宋体"/>
          <w:b w:val="0"/>
          <w:bCs w:val="0"/>
          <w:color w:val="auto"/>
          <w:kern w:val="2"/>
          <w:sz w:val="24"/>
          <w:szCs w:val="24"/>
          <w:highlight w:val="none"/>
          <w:lang w:val="en-US" w:eastAsia="zh-CN" w:bidi="ar-SA"/>
        </w:rPr>
        <w:t>本合同为单价合同形式，</w:t>
      </w:r>
      <w:r>
        <w:rPr>
          <w:rFonts w:hint="eastAsia" w:ascii="宋体" w:hAnsi="宋体" w:eastAsia="宋体" w:cs="宋体"/>
          <w:b w:val="0"/>
          <w:bCs w:val="0"/>
          <w:color w:val="auto"/>
          <w:kern w:val="2"/>
          <w:sz w:val="24"/>
          <w:szCs w:val="24"/>
          <w:highlight w:val="none"/>
          <w:lang w:val="en-US" w:eastAsia="zh-CN" w:bidi="ar-SA"/>
        </w:rPr>
        <w:t>具体支付金额以考核结果为准。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二、服务期限：</w:t>
      </w:r>
      <w:r>
        <w:rPr>
          <w:rFonts w:hint="eastAsia" w:ascii="宋体" w:hAnsi="宋体" w:eastAsia="宋体" w:cs="宋体"/>
          <w:color w:val="auto"/>
          <w:kern w:val="2"/>
          <w:sz w:val="24"/>
          <w:szCs w:val="24"/>
          <w:highlight w:val="none"/>
          <w:lang w:val="en-US" w:eastAsia="zh-CN" w:bidi="ar-SA"/>
        </w:rPr>
        <w:t>三年（   年   月   日至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、内容与范围：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道路保洁</w:t>
      </w:r>
      <w:r>
        <w:rPr>
          <w:rFonts w:hint="eastAsia" w:ascii="宋体" w:hAnsi="宋体" w:eastAsia="宋体" w:cs="宋体"/>
          <w:b w:val="0"/>
          <w:bCs w:val="0"/>
          <w:color w:val="auto"/>
          <w:sz w:val="24"/>
          <w:szCs w:val="24"/>
          <w:highlight w:val="none"/>
          <w:lang w:val="en-US" w:eastAsia="zh-CN"/>
        </w:rPr>
        <w:t>养护</w:t>
      </w:r>
      <w:r>
        <w:rPr>
          <w:rFonts w:hint="eastAsia" w:ascii="宋体" w:hAnsi="宋体" w:eastAsia="宋体" w:cs="宋体"/>
          <w:b w:val="0"/>
          <w:bCs w:val="0"/>
          <w:color w:val="auto"/>
          <w:sz w:val="24"/>
          <w:szCs w:val="24"/>
          <w:highlight w:val="none"/>
        </w:rPr>
        <w:t>范围：</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负责的</w:t>
      </w:r>
      <w:r>
        <w:rPr>
          <w:rFonts w:hint="eastAsia" w:ascii="宋体" w:hAnsi="宋体" w:cs="宋体"/>
          <w:color w:val="auto"/>
          <w:sz w:val="24"/>
          <w:szCs w:val="24"/>
          <w:highlight w:val="none"/>
          <w:lang w:val="en-US" w:eastAsia="zh-CN"/>
        </w:rPr>
        <w:t>智慧新城高铁新城一期（东至智慧大道、南至320国道、西至石华线、北至柯城路、柯安一路）及百家塘（东至江山港、南至320国道、西至常山港、北至常山港）范围内</w:t>
      </w:r>
      <w:r>
        <w:rPr>
          <w:rFonts w:hint="eastAsia" w:ascii="宋体" w:hAnsi="宋体" w:eastAsia="宋体" w:cs="宋体"/>
          <w:color w:val="auto"/>
          <w:sz w:val="24"/>
          <w:szCs w:val="24"/>
          <w:highlight w:val="none"/>
          <w:u w:val="single"/>
          <w:shd w:val="clear" w:color="auto" w:fill="auto"/>
          <w:lang w:val="en-US" w:eastAsia="zh-CN"/>
        </w:rPr>
        <w:t xml:space="preserve"> 121</w:t>
      </w:r>
      <w:r>
        <w:rPr>
          <w:rFonts w:hint="eastAsia" w:ascii="宋体" w:hAnsi="宋体" w:cs="宋体"/>
          <w:color w:val="auto"/>
          <w:sz w:val="24"/>
          <w:szCs w:val="24"/>
          <w:highlight w:val="none"/>
          <w:u w:val="single"/>
          <w:shd w:val="clear" w:color="auto" w:fill="auto"/>
          <w:lang w:val="en-US" w:eastAsia="zh-CN"/>
        </w:rPr>
        <w:t>.3</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rPr>
        <w:t>万平方米</w:t>
      </w:r>
      <w:r>
        <w:rPr>
          <w:rFonts w:hint="eastAsia" w:ascii="宋体" w:hAnsi="宋体" w:cs="宋体"/>
          <w:color w:val="auto"/>
          <w:sz w:val="24"/>
          <w:szCs w:val="24"/>
          <w:highlight w:val="none"/>
          <w:lang w:eastAsia="zh-CN"/>
        </w:rPr>
        <w:t>（其中道路保洁</w:t>
      </w:r>
      <w:r>
        <w:rPr>
          <w:rFonts w:hint="eastAsia" w:ascii="宋体" w:hAnsi="宋体" w:cs="宋体"/>
          <w:color w:val="auto"/>
          <w:sz w:val="24"/>
          <w:szCs w:val="24"/>
          <w:highlight w:val="none"/>
          <w:u w:val="single"/>
          <w:lang w:val="en-US" w:eastAsia="zh-CN"/>
        </w:rPr>
        <w:t xml:space="preserve"> 112.1553 </w:t>
      </w:r>
      <w:r>
        <w:rPr>
          <w:rFonts w:hint="eastAsia" w:ascii="宋体" w:hAnsi="宋体" w:eastAsia="宋体" w:cs="宋体"/>
          <w:color w:val="auto"/>
          <w:sz w:val="24"/>
          <w:szCs w:val="24"/>
          <w:highlight w:val="none"/>
        </w:rPr>
        <w:t>万</w:t>
      </w:r>
      <w:r>
        <w:rPr>
          <w:rFonts w:hint="eastAsia" w:ascii="宋体" w:hAnsi="宋体" w:cs="宋体"/>
          <w:color w:val="auto"/>
          <w:sz w:val="24"/>
          <w:szCs w:val="24"/>
          <w:highlight w:val="none"/>
          <w:lang w:val="en-US" w:eastAsia="zh-CN"/>
        </w:rPr>
        <w:t>平方米，绿地保洁</w:t>
      </w:r>
      <w:r>
        <w:rPr>
          <w:rFonts w:hint="eastAsia" w:ascii="宋体" w:hAnsi="宋体" w:cs="宋体"/>
          <w:color w:val="auto"/>
          <w:sz w:val="24"/>
          <w:szCs w:val="24"/>
          <w:highlight w:val="none"/>
          <w:u w:val="single"/>
          <w:lang w:val="en-US" w:eastAsia="zh-CN"/>
        </w:rPr>
        <w:t xml:space="preserve"> 9.1447 </w:t>
      </w:r>
      <w:r>
        <w:rPr>
          <w:rFonts w:hint="eastAsia" w:ascii="宋体" w:hAnsi="宋体" w:eastAsia="宋体" w:cs="宋体"/>
          <w:color w:val="auto"/>
          <w:sz w:val="24"/>
          <w:szCs w:val="24"/>
          <w:highlight w:val="none"/>
        </w:rPr>
        <w:t>万</w:t>
      </w:r>
      <w:r>
        <w:rPr>
          <w:rFonts w:hint="eastAsia" w:ascii="宋体" w:hAnsi="宋体" w:cs="宋体"/>
          <w:color w:val="auto"/>
          <w:sz w:val="24"/>
          <w:szCs w:val="24"/>
          <w:highlight w:val="none"/>
          <w:lang w:val="en-US" w:eastAsia="zh-CN"/>
        </w:rPr>
        <w:t>平方米）</w:t>
      </w:r>
      <w:r>
        <w:rPr>
          <w:rFonts w:hint="eastAsia" w:ascii="宋体" w:hAnsi="宋体" w:eastAsia="宋体" w:cs="宋体"/>
          <w:color w:val="auto"/>
          <w:sz w:val="24"/>
          <w:szCs w:val="24"/>
          <w:highlight w:val="none"/>
        </w:rPr>
        <w:t>道路清扫保洁</w:t>
      </w:r>
      <w:r>
        <w:rPr>
          <w:rFonts w:hint="eastAsia" w:ascii="宋体" w:hAnsi="宋体"/>
          <w:color w:val="auto"/>
          <w:sz w:val="24"/>
          <w:highlight w:val="none"/>
        </w:rPr>
        <w:t>（具体包括道路红线范围内路面、绿地、空地 ；保洁外扩区域边界，原则上以道路建设红线为起点向外延伸，有建筑物的到建筑物，有实体围墙的到围墙，无构筑物的以</w:t>
      </w:r>
      <w:r>
        <w:rPr>
          <w:rFonts w:hint="eastAsia" w:ascii="宋体" w:hAnsi="宋体"/>
          <w:color w:val="auto"/>
          <w:sz w:val="24"/>
          <w:highlight w:val="none"/>
          <w:lang w:val="en-US" w:eastAsia="zh-CN"/>
        </w:rPr>
        <w:t>道路</w:t>
      </w:r>
      <w:r>
        <w:rPr>
          <w:rFonts w:hint="eastAsia" w:ascii="宋体" w:hAnsi="宋体"/>
          <w:color w:val="auto"/>
          <w:sz w:val="24"/>
          <w:highlight w:val="none"/>
        </w:rPr>
        <w:t>非机动车道为界外扩</w:t>
      </w:r>
      <w:r>
        <w:rPr>
          <w:rFonts w:hint="eastAsia" w:ascii="宋体" w:hAnsi="宋体"/>
          <w:color w:val="auto"/>
          <w:sz w:val="24"/>
          <w:highlight w:val="none"/>
          <w:lang w:val="en-US" w:eastAsia="zh-CN"/>
        </w:rPr>
        <w:t>5</w:t>
      </w:r>
      <w:r>
        <w:rPr>
          <w:rFonts w:hint="eastAsia" w:ascii="宋体" w:hAnsi="宋体"/>
          <w:color w:val="auto"/>
          <w:sz w:val="24"/>
          <w:highlight w:val="none"/>
        </w:rPr>
        <w:t>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洒水降尘；道路绿地保洁（绿地内石块、白色垃圾、残枝、烂叶清运干净）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设施维护的日常巡查和管理；铺装硬化的保洁，其他设施保洁维护；</w:t>
      </w:r>
      <w:r>
        <w:rPr>
          <w:rFonts w:hint="eastAsia" w:ascii="宋体" w:hAnsi="宋体" w:eastAsia="宋体" w:cs="宋体"/>
          <w:color w:val="auto"/>
          <w:sz w:val="24"/>
          <w:szCs w:val="24"/>
          <w:highlight w:val="none"/>
          <w:lang w:val="en-US" w:eastAsia="zh-CN"/>
        </w:rPr>
        <w:t>乱贴乱画清理；</w:t>
      </w:r>
      <w:r>
        <w:rPr>
          <w:rFonts w:hint="eastAsia" w:ascii="宋体" w:hAnsi="宋体" w:eastAsia="宋体" w:cs="宋体"/>
          <w:color w:val="auto"/>
          <w:sz w:val="24"/>
          <w:szCs w:val="24"/>
          <w:highlight w:val="none"/>
        </w:rPr>
        <w:t>生活垃圾收集并清运至中转站；沿街果壳箱、垃圾桶等环卫设施管养。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生活垃圾收运范围：</w:t>
      </w:r>
      <w:r>
        <w:rPr>
          <w:rFonts w:hint="eastAsia" w:ascii="宋体" w:hAnsi="宋体" w:cs="宋体"/>
          <w:color w:val="auto"/>
          <w:sz w:val="24"/>
          <w:szCs w:val="24"/>
          <w:highlight w:val="none"/>
          <w:lang w:val="en-US" w:eastAsia="zh-CN"/>
        </w:rPr>
        <w:t>智慧新城高铁新城一期（东至智慧大道、南至320国道、西至石华线、北至柯城路、柯安一路）及百家塘（东至江山港、南至320国道、西至常山港、北至常山港）</w:t>
      </w:r>
      <w:r>
        <w:rPr>
          <w:rFonts w:hint="eastAsia" w:ascii="宋体" w:hAnsi="宋体" w:eastAsia="宋体" w:cs="宋体"/>
          <w:color w:val="auto"/>
          <w:sz w:val="24"/>
          <w:szCs w:val="24"/>
          <w:highlight w:val="none"/>
          <w:lang w:val="en-US" w:eastAsia="zh-CN"/>
        </w:rPr>
        <w:t>范围内的生活垃圾收运</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（三）创文（创卫）</w:t>
      </w:r>
      <w:r>
        <w:rPr>
          <w:rFonts w:hint="eastAsia" w:ascii="宋体" w:hAnsi="宋体" w:eastAsia="宋体" w:cs="宋体"/>
          <w:color w:val="auto"/>
          <w:sz w:val="24"/>
          <w:szCs w:val="24"/>
          <w:highlight w:val="none"/>
          <w:lang w:eastAsia="zh-CN"/>
        </w:rPr>
        <w:t>保障：</w:t>
      </w:r>
      <w:r>
        <w:rPr>
          <w:rFonts w:hint="eastAsia" w:ascii="宋体" w:hAnsi="宋体" w:eastAsia="宋体" w:cs="宋体"/>
          <w:color w:val="auto"/>
          <w:sz w:val="24"/>
          <w:szCs w:val="24"/>
          <w:highlight w:val="none"/>
          <w:lang w:val="en-US" w:eastAsia="zh-CN"/>
        </w:rPr>
        <w:t>创文（创卫）复评工作期间，乙方须无条件按照甲方要求增加工作人员及相关车辆设备，因此可能产生的一切费用均由乙方负责，甲方不再针对相应保障工作调整中标价，乙方自行承担相应风险。</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、服务质量要求</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361" w:firstLineChars="15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基本要求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应做到文明、清洁、安全和有序，最大限度地减少对环境的污染和对公众生活的影响。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环卫作业单位应建立健全安全生产管理制度和落实安全生产责任人，并有完整的作业和检查记录。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道路清扫保洁人员（含机扫车司机、随车的人工辅助清扫人员）作业时须穿工作服、反光背心，并保持着装干净、整洁，其他环卫作业人员也须按规定统一着装和佩证。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清扫作业间隙，清扫工具摆放整齐，保洁垃圾密闭存放。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lang w:eastAsia="zh-CN"/>
        </w:rPr>
        <w:t>环卫作业人员要遵纪守法、遵守社会公德。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eastAsia="zh-CN"/>
        </w:rPr>
        <w:t>环卫工人要根据本路段的人、车流情况，合理安排作业时间和方式，主动避开行人和车流高峰，以免发生意外。在普扫和保洁作业时，清扫机动车道中央分隔栏路面时要注意安全，注意来往车辆。道路大面积污染需要集中清扫时，需得到交警部门的配合，距清扫点来车方向近100m处设置醒目的警示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环卫各类作业车辆（机动车）出车前必须进行检查， 确保车况良好方可进行环卫作业。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eastAsia="zh-CN"/>
        </w:rPr>
        <w:t>严格遵守交通规则，环卫作业车辆尽量避开交通高峰时段作业。机扫车、洒水车车尾应有反光标志（或加贴反光膜）， 作业时须亮警示灯。夜间作业时还须开启示宽灯，降低或关闭提示音乐。洒水车需在规定取水栓取水。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eastAsia="zh-CN"/>
        </w:rPr>
        <w:t>清扫专用车必须紧靠路边停放，距公交车站50m内禁止停放，不影响其他车辆、行人通行。</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道路清扫保洁</w:t>
      </w:r>
      <w:r>
        <w:rPr>
          <w:rFonts w:hint="eastAsia" w:ascii="宋体" w:hAnsi="宋体" w:eastAsia="宋体" w:cs="宋体"/>
          <w:b/>
          <w:color w:val="auto"/>
          <w:sz w:val="24"/>
          <w:szCs w:val="24"/>
          <w:highlight w:val="none"/>
          <w:lang w:eastAsia="zh-CN"/>
        </w:rPr>
        <w:t>基本</w:t>
      </w:r>
      <w:r>
        <w:rPr>
          <w:rFonts w:hint="eastAsia" w:ascii="宋体" w:hAnsi="宋体" w:eastAsia="宋体" w:cs="宋体"/>
          <w:b/>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做好辖区内的道路清扫保洁、洒水降尘、生活垃圾清运工作。巩固全国文明城市、国家卫生城市成果，并做好各种迎检和突发性事件的处理工作。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1、应全天18小时以上巡回保洁，首次普扫，夏秋季在上午6:30前完成，春冬季在上午7点前完成。路面清洗时，每两天应不少于1次，人行道精细化冲洗每月不少于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次。洒水降尘频次，每天应不少于3次，气温30℃以上时，平均每天不应少于4次。机扫频次，每天不应少于2次。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道路清扫保洁范围：所有机动车道、非机动车道、人行道、地下通道、台阶、边沟、边坡、绿化带、沿街绿地、花坛、树池等公共场所的清扫保洁、洒水降尘；道路绿地保洁（绿地内石块、白色垃圾、残枝、烂叶清运干净）；铺装硬化的保洁；以及其他设施保洁；生活垃圾收集并清运至中转站；沿街果壳箱；垃圾桶等环卫设施管养；道路扬尘治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3、道路保洁时间：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（1）人工清扫保洁作业：18小时保洁道路，每天早上4：30至晚上22：30时为道路保洁时间。每天至少完成两次人工普扫， 首次普扫，夏秋季在上午6:30前完成，春冬季在上午7点前完成，第二次普扫在下午14:00前完成。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机械化清扫作业和道路洒水、降尘、冲洗作业：机械化清扫作业应按规定时间，原则两个班次（第一班次：每天早上04:00-07:30；第二班次：每天下午13:00-16:30，其他视保洁情况另行安排）准时出车，并按指定的路线、范围进行机扫作业。道路洒水降尘作业应按规定时间、频次准时出车，当实时气温低于2℃时，暂停洒水降尘作业。道路路面冲洗作业，应在每天23:30时以后进行（特殊情况除外），当实时气温低于 2℃时，暂停冲洗作业。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（3）果壳箱和垃圾桶保洁作业：沿街果壳箱和垃圾桶垃圾随时清理，不得满溢，箱体及周边需保持整洁。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（4）垃圾收集清运作业：沿路果壳箱要做到垃圾日产日清。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（5）护栏清洗作业：每周至少清洗1次。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4、道路保洁质量标准：保洁质量应符合城市道路清扫保洁质量与评 价标准(CJJ\T126-2008)中华人民共和国行业标准、浙江省《城市道路清扫保洁质量标准》（DB/1023-2005），同时达到如下标准：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（1）普扫作业。 道路（街巷）应做到“五无五净”即：无垃圾杂物堆积、无积水积泥、无痰迹烟蒂、无果皮纸屑、无土石杂草， 路面干净、道路绿地树圈干净、边角侧石干净、窨井盖沟眼畅通干净、果壳箱等设施整洁。路面见本色。</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（2）保洁作业。道路路面干净、地面无痰迹、道路侧石无积泥、污迹、晴天地面无积水、窨井口畅通、果壳箱、雕塑、公共椅子（凳子）等公共设施干净整洁。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其他按照未尽事宜以《智慧新城城市环境卫生质量标准及作业规范》为准</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）乱贴乱画清理</w:t>
      </w:r>
      <w:r>
        <w:rPr>
          <w:rFonts w:hint="eastAsia" w:ascii="宋体" w:hAnsi="宋体" w:eastAsia="宋体" w:cs="宋体"/>
          <w:b/>
          <w:bCs/>
          <w:color w:val="auto"/>
          <w:sz w:val="24"/>
          <w:szCs w:val="24"/>
          <w:highlight w:val="none"/>
          <w:lang w:val="en-US" w:eastAsia="zh-CN"/>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1、处理非法涂写。作业要注意“色、形、洁、美”，达到“色、形、洁、美”的有机结合，自然、和谐。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（1）色：根据不同墙体颜色，将涂料调配成相同或相似的颜色，最大限度地将污染处恢复原来色泽；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（2）形：对被污染墙面的清除应有统一覆盖形状（四方形），有完整、清晰的轮廓；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（3）洁：清除作业要按照“一刮、二铲、三粉刷”程序操作，使作业墙达到干净、整洁；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（4）美：要使清除作业墙体在“色、形、洁”上与周边环境协调和谐。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2、处理非法招贴广告。清除作业按照“一刮、二铲、三粉刷” 要求进行；清除后不出现“残贴”，不留黏贴痕迹，尽量不损坏建（构）筑和颜色。涂料覆盖与原色协调，无明显反差，覆盖整齐，成长方形；药物清理表面整洁，不留花斑；人工铲除和机械清理不留明显痕迹，不损伤表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3、清除的时间。每天上午9:00时前完成第一遍整治清除。9:00 时以后进行巡回保洁，做到及时发现，及时清除。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4、清除作业要求严格按照作业技术标准操作，无遗留现象。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5、从事服务的人员应统一着装、统一证件、统一工具。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6、对于石材、瓷砖等建筑物表面喷漆广告先用醇酸稀料进行浸泡，再用腈纶棉纱进行擦洗、冲洗即可；对于涂料水泥墙面上的喷漆广告可先用醇酸稀料进行浸泡，再用刮刀刮掉后，按照上涂料的工序涂刷。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其他按照未尽事宜以《智慧新城城市环境卫生质量标准及作业规范》为准。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生活垃圾清运</w:t>
      </w:r>
      <w:r>
        <w:rPr>
          <w:rFonts w:hint="eastAsia" w:ascii="宋体" w:hAnsi="宋体" w:eastAsia="宋体" w:cs="宋体"/>
          <w:b/>
          <w:bCs/>
          <w:color w:val="auto"/>
          <w:sz w:val="24"/>
          <w:szCs w:val="24"/>
          <w:highlight w:val="none"/>
          <w:lang w:eastAsia="zh-CN"/>
        </w:rPr>
        <w:t>基本</w:t>
      </w:r>
      <w:r>
        <w:rPr>
          <w:rFonts w:hint="eastAsia" w:ascii="宋体" w:hAnsi="宋体" w:eastAsia="宋体" w:cs="宋体"/>
          <w:b/>
          <w:bCs/>
          <w:color w:val="auto"/>
          <w:sz w:val="24"/>
          <w:szCs w:val="24"/>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做好辖区范围内的</w:t>
      </w:r>
      <w:r>
        <w:rPr>
          <w:rFonts w:hint="eastAsia" w:ascii="宋体" w:hAnsi="宋体" w:eastAsia="宋体" w:cs="宋体"/>
          <w:color w:val="auto"/>
          <w:sz w:val="24"/>
          <w:szCs w:val="24"/>
          <w:highlight w:val="none"/>
          <w:lang w:val="en-US" w:eastAsia="zh-CN"/>
        </w:rPr>
        <w:t>生活垃圾收运</w:t>
      </w:r>
      <w:r>
        <w:rPr>
          <w:rFonts w:hint="eastAsia" w:ascii="宋体" w:hAnsi="宋体" w:eastAsia="宋体" w:cs="宋体"/>
          <w:color w:val="auto"/>
          <w:sz w:val="24"/>
          <w:szCs w:val="24"/>
          <w:highlight w:val="none"/>
        </w:rPr>
        <w:t>。同时，结合</w:t>
      </w:r>
      <w:r>
        <w:rPr>
          <w:rFonts w:hint="eastAsia" w:ascii="宋体" w:hAnsi="宋体" w:eastAsia="宋体" w:cs="宋体"/>
          <w:color w:val="auto"/>
          <w:sz w:val="24"/>
          <w:szCs w:val="24"/>
          <w:highlight w:val="none"/>
          <w:lang w:val="en-US" w:eastAsia="zh-CN"/>
        </w:rPr>
        <w:t>智慧新城</w:t>
      </w:r>
      <w:r>
        <w:rPr>
          <w:rFonts w:hint="eastAsia" w:ascii="宋体" w:hAnsi="宋体" w:eastAsia="宋体" w:cs="宋体"/>
          <w:color w:val="auto"/>
          <w:sz w:val="24"/>
          <w:szCs w:val="24"/>
          <w:highlight w:val="none"/>
        </w:rPr>
        <w:t>生活垃圾分类工作，严格做好分类垃圾收运工作。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负责生活垃圾中转清运管理。负责将辖区道路生活垃圾定时定点分类收运至中转站。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、根据垃圾产生量确定转运次数，做到日产日清、垃圾不落地、市民无投诉。转运过程不占道，不妨碍交通</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3、果壳箱垃圾清理每日不少于2次，并巡回检查，发现垃圾满溢应及时清理，果壳箱清（擦）洗每日不少于1次</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垃圾运输车辆应配备有效的防臭、降尘、防滴漏设施，运输密闭性能良好。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垃圾清运车</w:t>
      </w:r>
      <w:r>
        <w:rPr>
          <w:rFonts w:hint="eastAsia" w:ascii="宋体" w:hAnsi="宋体" w:eastAsia="宋体" w:cs="宋体"/>
          <w:color w:val="auto"/>
          <w:sz w:val="24"/>
          <w:szCs w:val="24"/>
          <w:highlight w:val="none"/>
        </w:rPr>
        <w:t>辆应按要求统一喷涂颜色、编号、标识等，分类</w:t>
      </w:r>
      <w:r>
        <w:rPr>
          <w:rFonts w:hint="eastAsia" w:ascii="宋体" w:hAnsi="宋体" w:eastAsia="宋体" w:cs="宋体"/>
          <w:color w:val="auto"/>
          <w:sz w:val="24"/>
          <w:szCs w:val="24"/>
          <w:highlight w:val="none"/>
          <w:lang w:eastAsia="zh-CN"/>
        </w:rPr>
        <w:t>垃圾清运车</w:t>
      </w:r>
      <w:r>
        <w:rPr>
          <w:rFonts w:hint="eastAsia" w:ascii="宋体" w:hAnsi="宋体" w:eastAsia="宋体" w:cs="宋体"/>
          <w:color w:val="auto"/>
          <w:sz w:val="24"/>
          <w:szCs w:val="24"/>
          <w:highlight w:val="none"/>
        </w:rPr>
        <w:t>辆须按要求喷涂分类标识。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、垃圾运输应做到车辆整洁无污染，垃圾无吊挂，垃圾无暴露，污水无滴漏，设施无破损，作业无扰民，市民无投诉。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生活垃圾清吊应合理确定清吊运输的时间、频次、作业点和线路。清吊过程做到垃圾不落地并及时清理作业点；清吊运输过程中不得有垃圾抛撒滴漏、吊挂，污水、油污滴漏等现象。生活垃圾清吊应做到不漏点、不扰民，日产日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、应及时清运服务范围内的破沙发、木柜、废旧家电等大件废弃物品。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负责职工安全管理。定期进行安全教育，及时排查安全隐患，防止安全事故发生，妥善处理安全事故</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10、日常相关工作的台账收集、整理、汇总、上报工作。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11、其他按照未尽事宜以《智慧新城城市环境卫生质量标准及作业规范》为准。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lang w:eastAsia="zh-CN"/>
        </w:rPr>
        <w:t>环卫数字化综合管理基本要求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投入</w:t>
      </w:r>
      <w:r>
        <w:rPr>
          <w:rFonts w:hint="eastAsia" w:ascii="宋体" w:hAnsi="宋体" w:eastAsia="宋体" w:cs="宋体"/>
          <w:color w:val="auto"/>
          <w:sz w:val="24"/>
          <w:szCs w:val="24"/>
          <w:highlight w:val="none"/>
        </w:rPr>
        <w:t>环卫数字化</w:t>
      </w:r>
      <w:r>
        <w:rPr>
          <w:rFonts w:hint="eastAsia" w:ascii="宋体" w:hAnsi="宋体" w:eastAsia="宋体" w:cs="宋体"/>
          <w:color w:val="auto"/>
          <w:sz w:val="24"/>
          <w:szCs w:val="24"/>
          <w:highlight w:val="none"/>
          <w:lang w:val="en-US" w:eastAsia="zh-CN"/>
        </w:rPr>
        <w:t>管理设施设备</w:t>
      </w:r>
      <w:r>
        <w:rPr>
          <w:rFonts w:hint="eastAsia" w:ascii="宋体" w:hAnsi="宋体" w:eastAsia="宋体" w:cs="宋体"/>
          <w:color w:val="auto"/>
          <w:sz w:val="24"/>
          <w:szCs w:val="24"/>
          <w:highlight w:val="none"/>
        </w:rPr>
        <w:t>，接入</w:t>
      </w:r>
      <w:r>
        <w:rPr>
          <w:rFonts w:hint="eastAsia" w:ascii="宋体" w:hAnsi="宋体" w:eastAsia="宋体" w:cs="宋体"/>
          <w:color w:val="auto"/>
          <w:sz w:val="24"/>
          <w:szCs w:val="24"/>
          <w:highlight w:val="none"/>
          <w:lang w:val="en-US" w:eastAsia="zh-CN"/>
        </w:rPr>
        <w:t>智慧新城</w:t>
      </w:r>
      <w:r>
        <w:rPr>
          <w:rFonts w:hint="eastAsia" w:ascii="宋体" w:hAnsi="宋体" w:eastAsia="宋体" w:cs="宋体"/>
          <w:color w:val="auto"/>
          <w:sz w:val="24"/>
          <w:szCs w:val="24"/>
          <w:highlight w:val="none"/>
          <w:lang w:eastAsia="zh-CN"/>
        </w:rPr>
        <w:t>环卫中心数字化监管平台。</w:t>
      </w:r>
      <w:r>
        <w:rPr>
          <w:rFonts w:hint="eastAsia" w:ascii="宋体" w:hAnsi="宋体" w:eastAsia="宋体" w:cs="宋体"/>
          <w:color w:val="auto"/>
          <w:sz w:val="24"/>
          <w:szCs w:val="24"/>
          <w:highlight w:val="none"/>
        </w:rPr>
        <w:t>环卫数字化</w:t>
      </w:r>
      <w:r>
        <w:rPr>
          <w:rFonts w:hint="eastAsia" w:ascii="宋体" w:hAnsi="宋体" w:eastAsia="宋体" w:cs="宋体"/>
          <w:color w:val="auto"/>
          <w:sz w:val="24"/>
          <w:szCs w:val="24"/>
          <w:highlight w:val="none"/>
          <w:lang w:val="en-US" w:eastAsia="zh-CN"/>
        </w:rPr>
        <w:t>管理设施设备包括</w:t>
      </w:r>
      <w:r>
        <w:rPr>
          <w:rFonts w:hint="eastAsia" w:ascii="宋体" w:hAnsi="宋体" w:eastAsia="宋体" w:cs="宋体"/>
          <w:color w:val="auto"/>
          <w:sz w:val="24"/>
          <w:szCs w:val="24"/>
          <w:highlight w:val="none"/>
          <w:lang w:eastAsia="zh-CN"/>
        </w:rPr>
        <w:t>对环卫管理所涉及到的人、车、垃圾桶等设施等</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进行全过程实时管理，系统功能包括环卫车辆监管、环卫人员监管和关怀、作业质量考核、垃圾桶溢满管理、垃圾收运监管、指挥调度管理、大数据分析、基础信息管理。</w:t>
      </w:r>
    </w:p>
    <w:tbl>
      <w:tblPr>
        <w:tblStyle w:val="89"/>
        <w:tblW w:w="9720"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425"/>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模块</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满足功能（包含但不限于）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人员管理</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环卫工人作业位置分布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车辆管理</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车辆定位及相应停车场配套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数字化环卫管理（智慧环卫）</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人员基本档案：实现环卫公司环卫人员花名册实时档案管理，可对人员参保情况、人员类型等信息进行维护更新，满足增、删、改、查操作。</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人员作业轨迹跟踪：通过系统可以查看人员作业的轨迹，行成作业里程图表，可追溯历史轨迹，按照计划作业路段进行轨迹对比。</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人员定位管理：通过系统查看和了解环卫人员的实时一览图。</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人员设备管理：实现对工牌设备编号、绑定人员等信息进行管理展示。</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车辆台账管理：实现对车辆的型号、车牌等信息的管理。</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车辆作业轨迹跟踪：通过系统可以查看车辆作业的轨迹，按照计划作业路段进行轨迹对比。</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实时视频监控：通过系统可以查看车辆运行的实时监控视频。</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车载设备管理：实现对车载设备编号、安装车辆等信息进行管理。</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进出场管理：构建环卫车辆场地监管，实现车辆进出场管理记录，生成车辆进出场报表。</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车辆维护/保养管理：对车辆维护、保养进行增、删、改、查，形成车辆维护及保养的汇总报表，可查询单台车辆的维护、保养记录。</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工单管理：根据设备异常与作业异常规则生成异常事件工单，线上自动分配任务，指派专人进行异常处理，形成作业监管、异常反馈管理流程。</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整改单管理：通过app端及系统后台实现问题上报、问题处理、处理结果反馈的问题上报整改管理，可以查看上报问题被处理的情况。</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作业计划管理：根据作业区域范围对人员、车辆进行灵活计划，支持自定义增、删、改、查操作。</w:t>
            </w:r>
          </w:p>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报表中心：依据作业计划分析汇总车辆有效作业情况，生成日报表，关联车辆作业视频轨迹，车辆运行报表，分析车辆作业情况。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指挥中心</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由甲方提供</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p>
        </w:tc>
        <w:tc>
          <w:tcPr>
            <w:tcW w:w="744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软件由甲方提供，</w:t>
            </w:r>
            <w:r>
              <w:rPr>
                <w:rFonts w:hint="eastAsia" w:ascii="宋体" w:hAnsi="宋体" w:eastAsia="宋体" w:cs="宋体"/>
                <w:color w:val="auto"/>
                <w:sz w:val="24"/>
                <w:szCs w:val="24"/>
                <w:highlight w:val="none"/>
                <w:lang w:eastAsia="zh-CN"/>
              </w:rPr>
              <w:t>软件维护服务费</w:t>
            </w:r>
            <w:r>
              <w:rPr>
                <w:rFonts w:hint="eastAsia" w:ascii="宋体" w:hAnsi="宋体" w:eastAsia="宋体" w:cs="宋体"/>
                <w:color w:val="auto"/>
                <w:sz w:val="24"/>
                <w:szCs w:val="24"/>
                <w:highlight w:val="none"/>
                <w:lang w:val="en-US" w:eastAsia="zh-CN"/>
              </w:rPr>
              <w:t>参照一期范围执行；硬件配置根据</w:t>
            </w:r>
            <w:r>
              <w:rPr>
                <w:rFonts w:hint="eastAsia" w:ascii="宋体" w:hAnsi="宋体" w:eastAsia="宋体" w:cs="宋体"/>
                <w:color w:val="auto"/>
                <w:sz w:val="24"/>
                <w:szCs w:val="24"/>
                <w:highlight w:val="none"/>
                <w:lang w:eastAsia="zh-CN"/>
              </w:rPr>
              <w:t>乙方的投标承诺执行。</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lang w:eastAsia="zh-CN"/>
        </w:rPr>
        <w:t>人员、设备及场地要求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）人员配置要求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sz w:val="24"/>
          <w:szCs w:val="24"/>
          <w:highlight w:val="none"/>
          <w:lang w:val="en-US" w:eastAsia="zh-CN"/>
        </w:rPr>
        <w:t>要严格按照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要求，合理搭建管理服务团队架构。管理团队、机械车驾驶员、三轮车驾驶员、保洁员</w:t>
      </w:r>
      <w:r>
        <w:rPr>
          <w:rFonts w:hint="eastAsia" w:ascii="宋体" w:hAnsi="宋体" w:cs="宋体"/>
          <w:color w:val="auto"/>
          <w:sz w:val="24"/>
          <w:szCs w:val="24"/>
          <w:highlight w:val="none"/>
          <w:lang w:val="en-US" w:eastAsia="zh-CN"/>
        </w:rPr>
        <w:t>等人员</w:t>
      </w:r>
      <w:r>
        <w:rPr>
          <w:rFonts w:hint="eastAsia" w:ascii="宋体" w:hAnsi="宋体" w:eastAsia="宋体" w:cs="宋体"/>
          <w:color w:val="auto"/>
          <w:sz w:val="24"/>
          <w:szCs w:val="24"/>
          <w:highlight w:val="none"/>
          <w:lang w:val="en-US" w:eastAsia="zh-CN"/>
        </w:rPr>
        <w:t>须满足项目服务需要。其中人员最低配置不得少于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120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（二）环卫作业设备</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为确保环卫作业的质量及机械化清扫率，服务期内中标人须配备8吨洒水车4辆，5吨洒水车2辆（洗地），8吨机扫车4辆，雾炮车2辆，5吨压缩车1辆，电动高压冲洗车4辆，3轮清运车4辆，快速保洁车10辆，人力三轮车40辆。</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2、车辆油费、保险费、维修费等一切费用由</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自行承担，</w:t>
      </w:r>
      <w:r>
        <w:rPr>
          <w:rFonts w:hint="eastAsia" w:ascii="宋体" w:hAnsi="宋体" w:cs="宋体"/>
          <w:color w:val="auto"/>
          <w:kern w:val="0"/>
          <w:sz w:val="24"/>
          <w:szCs w:val="24"/>
          <w:highlight w:val="none"/>
          <w:lang w:val="en-US" w:eastAsia="zh-CN"/>
        </w:rPr>
        <w:t>所有车辆设备须在中标之日起45日内采购配置到位，如乙方不能按时完成车辆设备采购配置到位的，甲方有权取消中标人资格，如合同已签订的，甲方有权单方终止合同</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（三）场地安排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停车场地、管理人员办公场地、保洁人员休息场地及相关费用由</w:t>
      </w:r>
      <w:r>
        <w:rPr>
          <w:rFonts w:hint="eastAsia" w:ascii="宋体" w:hAnsi="宋体" w:cs="宋体"/>
          <w:b w:val="0"/>
          <w:bCs w:val="0"/>
          <w:color w:val="auto"/>
          <w:kern w:val="0"/>
          <w:sz w:val="24"/>
          <w:szCs w:val="24"/>
          <w:highlight w:val="none"/>
          <w:lang w:val="en-US" w:eastAsia="zh-CN"/>
        </w:rPr>
        <w:t>乙方</w:t>
      </w:r>
      <w:r>
        <w:rPr>
          <w:rFonts w:hint="eastAsia" w:ascii="宋体" w:hAnsi="宋体" w:eastAsia="宋体" w:cs="宋体"/>
          <w:b w:val="0"/>
          <w:bCs w:val="0"/>
          <w:color w:val="auto"/>
          <w:kern w:val="0"/>
          <w:sz w:val="24"/>
          <w:szCs w:val="24"/>
          <w:highlight w:val="none"/>
          <w:lang w:val="en-US" w:eastAsia="zh-CN"/>
        </w:rPr>
        <w:t>自行解决，</w:t>
      </w:r>
      <w:r>
        <w:rPr>
          <w:rFonts w:hint="eastAsia" w:ascii="宋体" w:hAnsi="宋体" w:cs="宋体"/>
          <w:b w:val="0"/>
          <w:bCs w:val="0"/>
          <w:color w:val="auto"/>
          <w:kern w:val="0"/>
          <w:sz w:val="24"/>
          <w:szCs w:val="24"/>
          <w:highlight w:val="none"/>
          <w:lang w:val="en-US" w:eastAsia="zh-CN"/>
        </w:rPr>
        <w:t>甲方</w:t>
      </w:r>
      <w:r>
        <w:rPr>
          <w:rFonts w:hint="eastAsia" w:ascii="宋体" w:hAnsi="宋体" w:eastAsia="宋体" w:cs="宋体"/>
          <w:b w:val="0"/>
          <w:bCs w:val="0"/>
          <w:color w:val="auto"/>
          <w:kern w:val="0"/>
          <w:sz w:val="24"/>
          <w:szCs w:val="24"/>
          <w:highlight w:val="none"/>
          <w:lang w:val="en-US" w:eastAsia="zh-CN"/>
        </w:rPr>
        <w:t>不提供以上场地</w:t>
      </w:r>
      <w:r>
        <w:rPr>
          <w:rFonts w:hint="eastAsia" w:ascii="宋体" w:hAnsi="宋体" w:cs="宋体"/>
          <w:b w:val="0"/>
          <w:bCs w:val="0"/>
          <w:color w:val="auto"/>
          <w:kern w:val="0"/>
          <w:sz w:val="24"/>
          <w:szCs w:val="24"/>
          <w:highlight w:val="none"/>
          <w:lang w:val="en-US" w:eastAsia="zh-CN"/>
        </w:rPr>
        <w:t>。停车场地、管理人员办公场地、保洁人员休息场地须在</w:t>
      </w:r>
      <w:r>
        <w:rPr>
          <w:rFonts w:hint="eastAsia" w:ascii="宋体" w:hAnsi="宋体" w:cs="宋体"/>
          <w:color w:val="auto"/>
          <w:kern w:val="0"/>
          <w:sz w:val="24"/>
          <w:szCs w:val="24"/>
          <w:highlight w:val="none"/>
          <w:lang w:val="en-US" w:eastAsia="zh-CN"/>
        </w:rPr>
        <w:t>中标之日起45日内配置到位，要求以上场地位于智慧新城范围或距离智慧新城范围2公里内，如乙方对场地配置不到位的，甲方有权取消中标人资格，如合同已签订的，甲方有权单方终止合同。</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、付款方式：</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1、本项目服务费按季支付，当季服务费于下一季第一个月月底前根据考核情况予以支付。</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2、中标价的季平均价的100%为当季</w:t>
      </w:r>
      <w:r>
        <w:rPr>
          <w:rFonts w:hint="eastAsia" w:ascii="宋体" w:hAnsi="宋体" w:eastAsia="宋体" w:cs="宋体"/>
          <w:color w:val="auto"/>
          <w:sz w:val="24"/>
          <w:szCs w:val="24"/>
          <w:highlight w:val="none"/>
          <w:u w:val="none"/>
          <w:lang w:val="en-US" w:eastAsia="zh-CN"/>
        </w:rPr>
        <w:t>保洁经费</w:t>
      </w:r>
      <w:r>
        <w:rPr>
          <w:rFonts w:hint="eastAsia" w:ascii="宋体" w:hAnsi="宋体" w:eastAsia="宋体" w:cs="宋体"/>
          <w:color w:val="auto"/>
          <w:sz w:val="24"/>
          <w:szCs w:val="24"/>
          <w:highlight w:val="none"/>
          <w:u w:val="none"/>
        </w:rPr>
        <w:t>。</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3、甲方根据考核结果对服务费用进行拨付。季度考核总分在达标分</w:t>
      </w:r>
      <w:r>
        <w:rPr>
          <w:rFonts w:hint="eastAsia" w:ascii="宋体" w:hAnsi="宋体" w:eastAsia="宋体" w:cs="宋体"/>
          <w:color w:val="auto"/>
          <w:sz w:val="24"/>
          <w:szCs w:val="24"/>
          <w:highlight w:val="none"/>
          <w:u w:val="none"/>
          <w:lang w:val="en-US" w:eastAsia="zh-CN"/>
        </w:rPr>
        <w:t>90分（含）</w:t>
      </w:r>
      <w:r>
        <w:rPr>
          <w:rFonts w:hint="eastAsia" w:ascii="宋体" w:hAnsi="宋体" w:eastAsia="宋体" w:cs="宋体"/>
          <w:color w:val="auto"/>
          <w:sz w:val="24"/>
          <w:szCs w:val="24"/>
          <w:highlight w:val="none"/>
          <w:u w:val="none"/>
        </w:rPr>
        <w:t>以上的，全额拨付保洁经费；季度考核总分在达标分</w:t>
      </w:r>
      <w:r>
        <w:rPr>
          <w:rFonts w:hint="eastAsia" w:ascii="宋体" w:hAnsi="宋体" w:eastAsia="宋体" w:cs="宋体"/>
          <w:color w:val="auto"/>
          <w:sz w:val="24"/>
          <w:szCs w:val="24"/>
          <w:highlight w:val="none"/>
          <w:u w:val="none"/>
          <w:lang w:val="en-US" w:eastAsia="zh-CN"/>
        </w:rPr>
        <w:t>90分（不含）</w:t>
      </w:r>
      <w:r>
        <w:rPr>
          <w:rFonts w:hint="eastAsia" w:ascii="宋体" w:hAnsi="宋体" w:eastAsia="宋体" w:cs="宋体"/>
          <w:color w:val="auto"/>
          <w:sz w:val="24"/>
          <w:szCs w:val="24"/>
          <w:highlight w:val="none"/>
          <w:u w:val="none"/>
        </w:rPr>
        <w:t xml:space="preserve">以下的，则扣除相应的保洁经费：保洁经费核拨将根据季度考核结果进行，考核优秀的全额拨付保洁费，其余将酌情进行核减，具体核减标准如下: </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得分在85</w:t>
      </w:r>
      <w:r>
        <w:rPr>
          <w:rFonts w:hint="eastAsia" w:ascii="宋体" w:hAnsi="宋体" w:eastAsia="宋体" w:cs="宋体"/>
          <w:color w:val="auto"/>
          <w:sz w:val="24"/>
          <w:szCs w:val="24"/>
          <w:highlight w:val="none"/>
          <w:u w:val="none"/>
          <w:lang w:val="en-US" w:eastAsia="zh-CN"/>
        </w:rPr>
        <w:t>分（含）</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90</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的，扣减2.5%，支付当季97.5%保洁费;得分在80</w:t>
      </w:r>
      <w:r>
        <w:rPr>
          <w:rFonts w:hint="eastAsia" w:ascii="宋体" w:hAnsi="宋体" w:eastAsia="宋体" w:cs="宋体"/>
          <w:color w:val="auto"/>
          <w:sz w:val="24"/>
          <w:szCs w:val="24"/>
          <w:highlight w:val="none"/>
          <w:u w:val="none"/>
          <w:lang w:val="en-US" w:eastAsia="zh-CN"/>
        </w:rPr>
        <w:t>分（含）</w:t>
      </w:r>
      <w:r>
        <w:rPr>
          <w:rFonts w:hint="eastAsia" w:ascii="宋体" w:hAnsi="宋体" w:eastAsia="宋体" w:cs="宋体"/>
          <w:color w:val="auto"/>
          <w:sz w:val="24"/>
          <w:szCs w:val="24"/>
          <w:highlight w:val="none"/>
          <w:u w:val="none"/>
        </w:rPr>
        <w:t>-8</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的，扣减5%，支付当季95%保洁费。</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得分在75</w:t>
      </w:r>
      <w:r>
        <w:rPr>
          <w:rFonts w:hint="eastAsia" w:ascii="宋体" w:hAnsi="宋体" w:eastAsia="宋体" w:cs="宋体"/>
          <w:color w:val="auto"/>
          <w:sz w:val="24"/>
          <w:szCs w:val="24"/>
          <w:highlight w:val="none"/>
          <w:u w:val="none"/>
          <w:lang w:val="en-US" w:eastAsia="zh-CN"/>
        </w:rPr>
        <w:t>分（含）</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80</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的，扣减7.5%，支付当季92.5%保洁费;得分在70</w:t>
      </w:r>
      <w:r>
        <w:rPr>
          <w:rFonts w:hint="eastAsia" w:ascii="宋体" w:hAnsi="宋体" w:eastAsia="宋体" w:cs="宋体"/>
          <w:color w:val="auto"/>
          <w:sz w:val="24"/>
          <w:szCs w:val="24"/>
          <w:highlight w:val="none"/>
          <w:u w:val="none"/>
          <w:lang w:val="en-US" w:eastAsia="zh-CN"/>
        </w:rPr>
        <w:t>分（含）</w:t>
      </w:r>
      <w:r>
        <w:rPr>
          <w:rFonts w:hint="eastAsia" w:ascii="宋体" w:hAnsi="宋体" w:eastAsia="宋体" w:cs="宋体"/>
          <w:color w:val="auto"/>
          <w:sz w:val="24"/>
          <w:szCs w:val="24"/>
          <w:highlight w:val="none"/>
          <w:u w:val="none"/>
        </w:rPr>
        <w:t>-7</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的，扣减10%，支付当季90%保洁费。</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得分在70分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不含</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以下的，扣减20%，支付当季80%保洁费</w:t>
      </w:r>
      <w:r>
        <w:rPr>
          <w:rFonts w:hint="eastAsia" w:ascii="宋体" w:hAnsi="宋体" w:eastAsia="宋体" w:cs="宋体"/>
          <w:color w:val="auto"/>
          <w:sz w:val="24"/>
          <w:szCs w:val="24"/>
          <w:highlight w:val="none"/>
          <w:u w:val="none"/>
          <w:lang w:eastAsia="zh-CN"/>
        </w:rPr>
        <w:t>。</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4、乙方未按实施方案、</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技术方案严格执行或未达到项目质量要求的，甲方即时提出警告，并责令限期整改，暂缓支付</w:t>
      </w:r>
      <w:r>
        <w:rPr>
          <w:rFonts w:hint="eastAsia" w:ascii="宋体" w:hAnsi="宋体" w:eastAsia="宋体" w:cs="宋体"/>
          <w:color w:val="auto"/>
          <w:sz w:val="24"/>
          <w:szCs w:val="24"/>
          <w:highlight w:val="none"/>
          <w:u w:val="none"/>
          <w:lang w:eastAsia="zh-CN"/>
        </w:rPr>
        <w:t>服务费</w:t>
      </w:r>
      <w:r>
        <w:rPr>
          <w:rFonts w:hint="eastAsia" w:ascii="宋体" w:hAnsi="宋体" w:eastAsia="宋体" w:cs="宋体"/>
          <w:color w:val="auto"/>
          <w:sz w:val="24"/>
          <w:szCs w:val="24"/>
          <w:highlight w:val="none"/>
          <w:u w:val="none"/>
        </w:rPr>
        <w:t>；乙方在整改限期内不能达标或拒绝整改的，</w:t>
      </w:r>
      <w:r>
        <w:rPr>
          <w:rFonts w:hint="eastAsia" w:ascii="宋体" w:hAnsi="宋体" w:eastAsia="宋体" w:cs="宋体"/>
          <w:color w:val="auto"/>
          <w:sz w:val="24"/>
          <w:szCs w:val="24"/>
          <w:highlight w:val="none"/>
          <w:u w:val="none"/>
          <w:lang w:eastAsia="zh-CN"/>
        </w:rPr>
        <w:t>服务费</w:t>
      </w:r>
      <w:r>
        <w:rPr>
          <w:rFonts w:hint="eastAsia" w:ascii="宋体" w:hAnsi="宋体" w:eastAsia="宋体" w:cs="宋体"/>
          <w:color w:val="auto"/>
          <w:sz w:val="24"/>
          <w:szCs w:val="24"/>
          <w:highlight w:val="none"/>
          <w:u w:val="none"/>
        </w:rPr>
        <w:t>不予支付并可终止合同。</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履行期间，由于甲方及其他原因，增加保洁面积超过2000㎡以上，经相关部门核定后，按中标单价增加费用，增加保洁面积低于2000㎡，费用不予增加。减少保洁面积超2000㎡以上的按中标价核减，减少保洁面积低于2000㎡，费用不予减少。如遇保洁范围内道路或绿化等改造施工，改造区域的保洁面积，甲方有权调换至甲方规定的其他区域。</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乙方必须充分考虑到工资标准调整、物价上涨、生活垃圾或者建筑垃圾处置点调整等影响本项目服务价格因素，并承担相应的风险。在本项目需求范围内，服务期内</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不对中标价进行调整。</w:t>
      </w:r>
    </w:p>
    <w:p>
      <w:pPr>
        <w:keepNext w:val="0"/>
        <w:keepLines w:val="0"/>
        <w:pageBreakBefore w:val="0"/>
        <w:kinsoku/>
        <w:wordWrap/>
        <w:overflowPunct/>
        <w:topLinePunct w:val="0"/>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7、服务期内，在创文（创卫）复评、重大活动保障等工作期间，乙方须无条件按照甲方要求增加工作人员及相关车辆设备等，甲方不对此类工作增加任何费用。</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、履约保证金</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1、乙方在签订合同后15日历天内以金融机构、担保机构出具的保函形式提交履约保证金¥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     ）（项目中标金额的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2、甲方应在乙方承诺服务</w:t>
      </w:r>
      <w:r>
        <w:rPr>
          <w:rFonts w:hint="eastAsia" w:ascii="宋体" w:hAnsi="宋体" w:eastAsia="宋体" w:cs="宋体"/>
          <w:color w:val="auto"/>
          <w:sz w:val="24"/>
          <w:szCs w:val="24"/>
          <w:highlight w:val="none"/>
          <w:lang w:val="zh-CN"/>
        </w:rPr>
        <w:t>期满后</w:t>
      </w:r>
      <w:r>
        <w:rPr>
          <w:rFonts w:hint="eastAsia" w:ascii="宋体" w:hAnsi="宋体" w:eastAsia="宋体" w:cs="宋体"/>
          <w:color w:val="auto"/>
          <w:sz w:val="24"/>
          <w:szCs w:val="24"/>
          <w:highlight w:val="none"/>
        </w:rPr>
        <w:t>30日历天内</w:t>
      </w:r>
      <w:r>
        <w:rPr>
          <w:rFonts w:hint="eastAsia" w:ascii="宋体" w:hAnsi="宋体" w:eastAsia="宋体" w:cs="宋体"/>
          <w:color w:val="auto"/>
          <w:sz w:val="24"/>
          <w:szCs w:val="24"/>
          <w:highlight w:val="none"/>
          <w:lang w:val="zh-CN"/>
        </w:rPr>
        <w:t>，在乙方无任何违约、赔偿等情况前提下，将履约保证金原额无息退还给乙方</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、甲方的权利、职责与义务</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1、组织协调：甲方配合协调乙方办理与本项目有关手续、证照。</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2、通行保障：甲方配合协调交通管理部门向乙方发放</w:t>
      </w:r>
      <w:r>
        <w:rPr>
          <w:rFonts w:hint="eastAsia" w:ascii="宋体" w:hAnsi="宋体" w:eastAsia="宋体" w:cs="宋体"/>
          <w:color w:val="auto"/>
          <w:sz w:val="24"/>
          <w:szCs w:val="24"/>
          <w:highlight w:val="none"/>
          <w:lang w:eastAsia="zh-CN"/>
        </w:rPr>
        <w:t>作业</w:t>
      </w:r>
      <w:r>
        <w:rPr>
          <w:rFonts w:hint="eastAsia" w:ascii="宋体" w:hAnsi="宋体" w:eastAsia="宋体" w:cs="宋体"/>
          <w:color w:val="auto"/>
          <w:sz w:val="24"/>
          <w:szCs w:val="24"/>
          <w:highlight w:val="none"/>
        </w:rPr>
        <w:t>车辆、三轮车有关的通行证照，协调解决乙方车辆在服务范围内</w:t>
      </w:r>
      <w:r>
        <w:rPr>
          <w:rFonts w:hint="eastAsia" w:ascii="宋体" w:hAnsi="宋体" w:eastAsia="宋体" w:cs="宋体"/>
          <w:color w:val="auto"/>
          <w:sz w:val="24"/>
          <w:szCs w:val="24"/>
          <w:highlight w:val="none"/>
          <w:lang w:eastAsia="zh-CN"/>
        </w:rPr>
        <w:t>在遵守相关法律法规的前提下</w:t>
      </w:r>
      <w:r>
        <w:rPr>
          <w:rFonts w:hint="eastAsia" w:ascii="宋体" w:hAnsi="宋体" w:eastAsia="宋体" w:cs="宋体"/>
          <w:color w:val="auto"/>
          <w:sz w:val="24"/>
          <w:szCs w:val="24"/>
          <w:highlight w:val="none"/>
        </w:rPr>
        <w:t>无障碍通行。</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、税收优惠：如企业能争取到税收优惠等政策，甲方应尽量配合。</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、考核和支付服务费：在正式运行期内，</w:t>
      </w:r>
      <w:r>
        <w:rPr>
          <w:rFonts w:hint="eastAsia" w:ascii="宋体" w:hAnsi="宋体" w:eastAsia="宋体" w:cs="宋体"/>
          <w:color w:val="auto"/>
          <w:sz w:val="24"/>
          <w:szCs w:val="24"/>
          <w:highlight w:val="none"/>
          <w:lang w:eastAsia="zh-CN"/>
        </w:rPr>
        <w:t>甲方按期及时</w:t>
      </w:r>
      <w:r>
        <w:rPr>
          <w:rFonts w:hint="eastAsia" w:ascii="宋体" w:hAnsi="宋体" w:eastAsia="宋体" w:cs="宋体"/>
          <w:color w:val="auto"/>
          <w:sz w:val="24"/>
          <w:szCs w:val="24"/>
          <w:highlight w:val="none"/>
        </w:rPr>
        <w:t>完成对乙方的考核并向乙方支付服务费。</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、乙方的权利、职责与义务</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1、乙方聘用的人员必须跟其签订劳动合同并为其缴纳国家规定的相应社会保险。乙方聘用人员的劳动合同复印件、劳动者清单（含姓名、身份证号、联系方式、聘用岗位、合同期限等基本信息）在本合同签订后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天内提供给甲方</w:t>
      </w:r>
      <w:r>
        <w:rPr>
          <w:rFonts w:hint="eastAsia" w:ascii="宋体" w:hAnsi="宋体" w:eastAsia="宋体" w:cs="宋体"/>
          <w:color w:val="auto"/>
          <w:sz w:val="24"/>
          <w:szCs w:val="24"/>
          <w:highlight w:val="none"/>
          <w:lang w:eastAsia="zh-CN"/>
        </w:rPr>
        <w:t>，如有人员变更的情况，须在</w:t>
      </w:r>
      <w:r>
        <w:rPr>
          <w:rFonts w:hint="eastAsia" w:ascii="宋体" w:hAnsi="宋体" w:eastAsia="宋体" w:cs="宋体"/>
          <w:color w:val="auto"/>
          <w:sz w:val="24"/>
          <w:szCs w:val="24"/>
          <w:highlight w:val="none"/>
          <w:lang w:val="en-US" w:eastAsia="zh-CN"/>
        </w:rPr>
        <w:t>30天内将变更资料提供给甲方</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2、为确保项目顺利实施，乙方聘请员工</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eastAsia="zh-CN"/>
        </w:rPr>
        <w:t>业务、安全等</w:t>
      </w:r>
      <w:r>
        <w:rPr>
          <w:rFonts w:hint="eastAsia" w:ascii="宋体" w:hAnsi="宋体" w:eastAsia="宋体" w:cs="宋体"/>
          <w:color w:val="auto"/>
          <w:sz w:val="24"/>
          <w:szCs w:val="24"/>
          <w:highlight w:val="none"/>
        </w:rPr>
        <w:t>培训后</w:t>
      </w:r>
      <w:r>
        <w:rPr>
          <w:rFonts w:hint="eastAsia" w:ascii="宋体" w:hAnsi="宋体" w:eastAsia="宋体" w:cs="宋体"/>
          <w:color w:val="auto"/>
          <w:sz w:val="24"/>
          <w:szCs w:val="24"/>
          <w:highlight w:val="none"/>
          <w:lang w:eastAsia="zh-CN"/>
        </w:rPr>
        <w:t>方可</w:t>
      </w:r>
      <w:r>
        <w:rPr>
          <w:rFonts w:hint="eastAsia" w:ascii="宋体" w:hAnsi="宋体" w:eastAsia="宋体" w:cs="宋体"/>
          <w:color w:val="auto"/>
          <w:sz w:val="24"/>
          <w:szCs w:val="24"/>
          <w:highlight w:val="none"/>
        </w:rPr>
        <w:t>上岗。</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3、乙方聘请工作人员应符合国家法律规定，工资、津贴及加班工资发放应按照国家法律及地方有关标准执行。</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w:t>
      </w:r>
      <w:r>
        <w:rPr>
          <w:rFonts w:hint="eastAsia" w:ascii="宋体" w:hAnsi="宋体" w:eastAsia="宋体" w:cs="宋体"/>
          <w:color w:val="auto"/>
          <w:sz w:val="24"/>
          <w:szCs w:val="24"/>
          <w:highlight w:val="none"/>
          <w:lang w:eastAsia="zh-CN"/>
        </w:rPr>
        <w:t>、车辆、设备等</w:t>
      </w:r>
      <w:r>
        <w:rPr>
          <w:rFonts w:hint="eastAsia" w:ascii="宋体" w:hAnsi="宋体" w:eastAsia="宋体" w:cs="宋体"/>
          <w:color w:val="auto"/>
          <w:sz w:val="24"/>
          <w:szCs w:val="24"/>
          <w:highlight w:val="none"/>
        </w:rPr>
        <w:t>必须严格按照</w:t>
      </w:r>
      <w:r>
        <w:rPr>
          <w:rFonts w:hint="eastAsia" w:ascii="宋体" w:hAnsi="宋体" w:eastAsia="宋体" w:cs="宋体"/>
          <w:color w:val="auto"/>
          <w:sz w:val="24"/>
          <w:szCs w:val="24"/>
          <w:highlight w:val="none"/>
          <w:lang w:eastAsia="zh-CN"/>
        </w:rPr>
        <w:t>合同约定</w:t>
      </w:r>
      <w:r>
        <w:rPr>
          <w:rFonts w:hint="eastAsia" w:ascii="宋体" w:hAnsi="宋体" w:eastAsia="宋体" w:cs="宋体"/>
          <w:color w:val="auto"/>
          <w:sz w:val="24"/>
          <w:szCs w:val="24"/>
          <w:highlight w:val="none"/>
        </w:rPr>
        <w:t>进行配备。</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5、乙方应加强服务规范化管理，所有人员应统一着装，文明作业，自觉接受甲方及管理部门的检查考核和社会监督，对发现的问题要及时整改。</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十、违约责任</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1、乙方在合同期内,</w:t>
      </w:r>
      <w:r>
        <w:rPr>
          <w:rFonts w:hint="eastAsia" w:ascii="宋体" w:hAnsi="宋体" w:eastAsia="宋体" w:cs="宋体"/>
          <w:color w:val="auto"/>
          <w:sz w:val="24"/>
          <w:szCs w:val="24"/>
          <w:highlight w:val="none"/>
          <w:lang w:eastAsia="zh-CN"/>
        </w:rPr>
        <w:t>须严格按照《智慧新城城市环境卫生质量标准及作业规范》、</w:t>
      </w:r>
      <w:r>
        <w:rPr>
          <w:rFonts w:hint="eastAsia" w:ascii="宋体" w:hAnsi="宋体" w:eastAsia="宋体" w:cs="宋体"/>
          <w:color w:val="auto"/>
          <w:sz w:val="24"/>
          <w:szCs w:val="24"/>
          <w:highlight w:val="none"/>
          <w:lang w:val="en-US" w:eastAsia="zh-CN"/>
        </w:rPr>
        <w:t>甲方招标文件采购需求要求及乙方投标响应文件承诺</w:t>
      </w:r>
      <w:r>
        <w:rPr>
          <w:rFonts w:hint="eastAsia" w:ascii="宋体" w:hAnsi="宋体" w:eastAsia="宋体" w:cs="宋体"/>
          <w:color w:val="auto"/>
          <w:sz w:val="24"/>
          <w:szCs w:val="24"/>
          <w:highlight w:val="none"/>
          <w:lang w:eastAsia="zh-CN"/>
        </w:rPr>
        <w:t>开展相应服务，如服务质量未达到甲方要求，甲方有权出具整改通知书，乙方在接到</w:t>
      </w:r>
      <w:r>
        <w:rPr>
          <w:rFonts w:hint="eastAsia" w:ascii="宋体" w:hAnsi="宋体" w:eastAsia="宋体" w:cs="宋体"/>
          <w:color w:val="auto"/>
          <w:sz w:val="24"/>
          <w:szCs w:val="24"/>
          <w:highlight w:val="none"/>
        </w:rPr>
        <w:t>整改通知书后，必须</w:t>
      </w:r>
      <w:r>
        <w:rPr>
          <w:rFonts w:hint="eastAsia" w:ascii="宋体" w:hAnsi="宋体" w:eastAsia="宋体" w:cs="宋体"/>
          <w:color w:val="auto"/>
          <w:sz w:val="24"/>
          <w:szCs w:val="24"/>
          <w:highlight w:val="none"/>
          <w:lang w:eastAsia="zh-CN"/>
        </w:rPr>
        <w:t>进行相应</w:t>
      </w:r>
      <w:r>
        <w:rPr>
          <w:rFonts w:hint="eastAsia" w:ascii="宋体" w:hAnsi="宋体" w:eastAsia="宋体" w:cs="宋体"/>
          <w:color w:val="auto"/>
          <w:sz w:val="24"/>
          <w:szCs w:val="24"/>
          <w:highlight w:val="none"/>
        </w:rPr>
        <w:t>整改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整改中所产生的一切费用由乙方负责。</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在服务期内（以作业周期计算）累计出现2次月</w:t>
      </w:r>
      <w:r>
        <w:rPr>
          <w:rFonts w:hint="eastAsia" w:ascii="宋体" w:hAnsi="宋体" w:eastAsia="宋体" w:cs="宋体"/>
          <w:color w:val="auto"/>
          <w:sz w:val="24"/>
          <w:szCs w:val="24"/>
          <w:highlight w:val="none"/>
          <w:lang w:eastAsia="zh-CN"/>
        </w:rPr>
        <w:t>度考核分值</w:t>
      </w:r>
      <w:r>
        <w:rPr>
          <w:rFonts w:hint="eastAsia" w:ascii="宋体" w:hAnsi="宋体" w:eastAsia="宋体" w:cs="宋体"/>
          <w:color w:val="auto"/>
          <w:sz w:val="24"/>
          <w:szCs w:val="24"/>
          <w:highlight w:val="none"/>
        </w:rPr>
        <w:t>低于</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或出现1次</w:t>
      </w:r>
      <w:r>
        <w:rPr>
          <w:rFonts w:hint="eastAsia" w:ascii="宋体" w:hAnsi="宋体" w:eastAsia="宋体" w:cs="宋体"/>
          <w:color w:val="auto"/>
          <w:sz w:val="24"/>
          <w:szCs w:val="24"/>
          <w:highlight w:val="none"/>
          <w:lang w:eastAsia="zh-CN"/>
        </w:rPr>
        <w:t>月度考核分值</w:t>
      </w:r>
      <w:r>
        <w:rPr>
          <w:rFonts w:hint="eastAsia" w:ascii="宋体" w:hAnsi="宋体" w:eastAsia="宋体" w:cs="宋体"/>
          <w:color w:val="auto"/>
          <w:sz w:val="24"/>
          <w:szCs w:val="24"/>
          <w:highlight w:val="none"/>
        </w:rPr>
        <w:t>低于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甲方有权</w:t>
      </w:r>
      <w:r>
        <w:rPr>
          <w:rFonts w:hint="eastAsia" w:ascii="宋体" w:hAnsi="宋体" w:eastAsia="宋体" w:cs="宋体"/>
          <w:color w:val="auto"/>
          <w:sz w:val="24"/>
          <w:szCs w:val="24"/>
          <w:highlight w:val="none"/>
          <w:lang w:eastAsia="zh-CN"/>
        </w:rPr>
        <w:t>立即</w:t>
      </w:r>
      <w:r>
        <w:rPr>
          <w:rFonts w:hint="eastAsia" w:ascii="宋体" w:hAnsi="宋体" w:eastAsia="宋体" w:cs="宋体"/>
          <w:color w:val="auto"/>
          <w:sz w:val="24"/>
          <w:szCs w:val="24"/>
          <w:highlight w:val="none"/>
        </w:rPr>
        <w:t>解除本合同</w:t>
      </w:r>
      <w:r>
        <w:rPr>
          <w:rFonts w:hint="eastAsia" w:ascii="宋体" w:hAnsi="宋体" w:eastAsia="宋体" w:cs="宋体"/>
          <w:color w:val="auto"/>
          <w:sz w:val="24"/>
          <w:szCs w:val="24"/>
          <w:highlight w:val="none"/>
          <w:lang w:eastAsia="zh-CN"/>
        </w:rPr>
        <w:t>并没收全部履约保证金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乙方不得要求补偿</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投入成本</w:t>
      </w:r>
      <w:r>
        <w:rPr>
          <w:rFonts w:hint="eastAsia" w:ascii="宋体" w:hAnsi="宋体" w:eastAsia="宋体" w:cs="宋体"/>
          <w:color w:val="auto"/>
          <w:sz w:val="24"/>
          <w:szCs w:val="24"/>
          <w:highlight w:val="none"/>
          <w:lang w:eastAsia="zh-CN"/>
        </w:rPr>
        <w:t>费用并承担甲方的一切损失</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、乙方应在</w:t>
      </w:r>
      <w:r>
        <w:rPr>
          <w:rFonts w:hint="eastAsia" w:ascii="宋体" w:hAnsi="宋体" w:eastAsia="宋体" w:cs="宋体"/>
          <w:color w:val="auto"/>
          <w:sz w:val="24"/>
          <w:szCs w:val="24"/>
          <w:highlight w:val="none"/>
          <w:lang w:val="en-US" w:eastAsia="zh-CN"/>
        </w:rPr>
        <w:t>2022年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投标承诺中</w:t>
      </w:r>
      <w:r>
        <w:rPr>
          <w:rFonts w:hint="eastAsia" w:ascii="宋体" w:hAnsi="宋体" w:eastAsia="宋体" w:cs="宋体"/>
          <w:color w:val="auto"/>
          <w:sz w:val="24"/>
          <w:szCs w:val="24"/>
          <w:highlight w:val="none"/>
        </w:rPr>
        <w:t>最低设施设备及最低人员</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配置，并经甲方验收合格，</w:t>
      </w:r>
      <w:r>
        <w:rPr>
          <w:rFonts w:hint="eastAsia" w:ascii="宋体" w:hAnsi="宋体" w:eastAsia="宋体" w:cs="宋体"/>
          <w:color w:val="auto"/>
          <w:sz w:val="24"/>
          <w:szCs w:val="24"/>
          <w:highlight w:val="none"/>
          <w:lang w:val="en-US" w:eastAsia="zh-CN"/>
        </w:rPr>
        <w:t>2022年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日后</w:t>
      </w:r>
      <w:r>
        <w:rPr>
          <w:rFonts w:hint="eastAsia" w:ascii="宋体" w:hAnsi="宋体" w:eastAsia="宋体" w:cs="宋体"/>
          <w:color w:val="auto"/>
          <w:sz w:val="24"/>
          <w:szCs w:val="24"/>
          <w:highlight w:val="none"/>
        </w:rPr>
        <w:t>每逾期一天将承担1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000元的违约金，超过1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日的，甲方有权</w:t>
      </w:r>
      <w:r>
        <w:rPr>
          <w:rFonts w:hint="eastAsia" w:ascii="宋体" w:hAnsi="宋体" w:eastAsia="宋体" w:cs="宋体"/>
          <w:color w:val="auto"/>
          <w:sz w:val="24"/>
          <w:szCs w:val="24"/>
          <w:highlight w:val="none"/>
          <w:lang w:eastAsia="zh-CN"/>
        </w:rPr>
        <w:t>立即</w:t>
      </w:r>
      <w:r>
        <w:rPr>
          <w:rFonts w:hint="eastAsia" w:ascii="宋体" w:hAnsi="宋体" w:eastAsia="宋体" w:cs="宋体"/>
          <w:color w:val="auto"/>
          <w:sz w:val="24"/>
          <w:szCs w:val="24"/>
          <w:highlight w:val="none"/>
        </w:rPr>
        <w:t>解除本合同</w:t>
      </w:r>
      <w:r>
        <w:rPr>
          <w:rFonts w:hint="eastAsia" w:ascii="宋体" w:hAnsi="宋体" w:eastAsia="宋体" w:cs="宋体"/>
          <w:color w:val="auto"/>
          <w:sz w:val="24"/>
          <w:szCs w:val="24"/>
          <w:highlight w:val="none"/>
          <w:lang w:eastAsia="zh-CN"/>
        </w:rPr>
        <w:t>并没收全部履约保证金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乙方不得要求补偿</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投入成本</w:t>
      </w:r>
      <w:r>
        <w:rPr>
          <w:rFonts w:hint="eastAsia" w:ascii="宋体" w:hAnsi="宋体" w:eastAsia="宋体" w:cs="宋体"/>
          <w:color w:val="auto"/>
          <w:sz w:val="24"/>
          <w:szCs w:val="24"/>
          <w:highlight w:val="none"/>
          <w:lang w:eastAsia="zh-CN"/>
        </w:rPr>
        <w:t>费用并承担甲方的一切损失。</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乙方应在</w:t>
      </w:r>
      <w:r>
        <w:rPr>
          <w:rFonts w:hint="eastAsia" w:ascii="宋体" w:hAnsi="宋体" w:eastAsia="宋体" w:cs="宋体"/>
          <w:color w:val="auto"/>
          <w:sz w:val="24"/>
          <w:szCs w:val="24"/>
          <w:highlight w:val="none"/>
          <w:lang w:val="en-US" w:eastAsia="zh-CN"/>
        </w:rPr>
        <w:t>2022年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日前</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eastAsia="zh-CN"/>
        </w:rPr>
        <w:t>投标承诺中数字化综合管理平台硬件的</w:t>
      </w:r>
      <w:r>
        <w:rPr>
          <w:rFonts w:hint="eastAsia" w:ascii="宋体" w:hAnsi="宋体" w:eastAsia="宋体" w:cs="宋体"/>
          <w:color w:val="auto"/>
          <w:sz w:val="24"/>
          <w:szCs w:val="24"/>
          <w:highlight w:val="none"/>
        </w:rPr>
        <w:t>配置，并经甲方验收，</w:t>
      </w:r>
      <w:r>
        <w:rPr>
          <w:rFonts w:hint="eastAsia" w:ascii="宋体" w:hAnsi="宋体" w:eastAsia="宋体" w:cs="宋体"/>
          <w:color w:val="auto"/>
          <w:sz w:val="24"/>
          <w:szCs w:val="24"/>
          <w:highlight w:val="none"/>
          <w:lang w:val="en-US" w:eastAsia="zh-CN"/>
        </w:rPr>
        <w:t>上线投入使用</w:t>
      </w:r>
      <w:r>
        <w:rPr>
          <w:rFonts w:hint="eastAsia" w:ascii="宋体" w:hAnsi="宋体" w:eastAsia="宋体" w:cs="宋体"/>
          <w:color w:val="auto"/>
          <w:sz w:val="24"/>
          <w:szCs w:val="24"/>
          <w:highlight w:val="none"/>
          <w:lang w:eastAsia="zh-CN"/>
        </w:rPr>
        <w:t>。到期未能上线投入使用的，</w:t>
      </w:r>
      <w:r>
        <w:rPr>
          <w:rFonts w:hint="eastAsia" w:ascii="宋体" w:hAnsi="宋体" w:eastAsia="宋体" w:cs="宋体"/>
          <w:color w:val="auto"/>
          <w:sz w:val="24"/>
          <w:szCs w:val="24"/>
          <w:highlight w:val="none"/>
        </w:rPr>
        <w:t>甲方有权</w:t>
      </w:r>
      <w:r>
        <w:rPr>
          <w:rFonts w:hint="eastAsia" w:ascii="宋体" w:hAnsi="宋体" w:eastAsia="宋体" w:cs="宋体"/>
          <w:color w:val="auto"/>
          <w:sz w:val="24"/>
          <w:szCs w:val="24"/>
          <w:highlight w:val="none"/>
          <w:lang w:eastAsia="zh-CN"/>
        </w:rPr>
        <w:t>立即</w:t>
      </w:r>
      <w:r>
        <w:rPr>
          <w:rFonts w:hint="eastAsia" w:ascii="宋体" w:hAnsi="宋体" w:eastAsia="宋体" w:cs="宋体"/>
          <w:color w:val="auto"/>
          <w:sz w:val="24"/>
          <w:szCs w:val="24"/>
          <w:highlight w:val="none"/>
        </w:rPr>
        <w:t>解除本合同并不承担任何违约责任，</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乙方不得要求补偿</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投入成本</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、乙方购置的作业车辆必须是全新或者</w:t>
      </w:r>
      <w:r>
        <w:rPr>
          <w:rFonts w:hint="eastAsia" w:ascii="宋体" w:hAnsi="宋体" w:eastAsia="宋体" w:cs="宋体"/>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019年11月1日以后上牌的</w:t>
      </w:r>
      <w:r>
        <w:rPr>
          <w:rFonts w:hint="eastAsia" w:ascii="宋体" w:hAnsi="宋体" w:eastAsia="宋体" w:cs="宋体"/>
          <w:b w:val="0"/>
          <w:bCs w:val="0"/>
          <w:color w:val="auto"/>
          <w:sz w:val="24"/>
          <w:szCs w:val="24"/>
          <w:highlight w:val="none"/>
          <w:lang w:eastAsia="zh-CN"/>
        </w:rPr>
        <w:t>，不能以次充好，以旧充新，须在</w:t>
      </w:r>
      <w:r>
        <w:rPr>
          <w:rFonts w:hint="eastAsia" w:ascii="宋体" w:hAnsi="宋体" w:eastAsia="宋体" w:cs="宋体"/>
          <w:b w:val="0"/>
          <w:bCs w:val="0"/>
          <w:color w:val="auto"/>
          <w:sz w:val="24"/>
          <w:szCs w:val="24"/>
          <w:highlight w:val="none"/>
          <w:lang w:val="en-US" w:eastAsia="zh-CN"/>
        </w:rPr>
        <w:t>2022年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日前</w:t>
      </w:r>
      <w:r>
        <w:rPr>
          <w:rFonts w:hint="eastAsia" w:ascii="宋体" w:hAnsi="宋体" w:eastAsia="宋体" w:cs="宋体"/>
          <w:b w:val="0"/>
          <w:bCs w:val="0"/>
          <w:color w:val="auto"/>
          <w:sz w:val="24"/>
          <w:szCs w:val="24"/>
          <w:highlight w:val="none"/>
          <w:lang w:eastAsia="zh-CN"/>
        </w:rPr>
        <w:t>通过甲方验收确认，如到期未按承诺配置到位的，</w:t>
      </w:r>
      <w:r>
        <w:rPr>
          <w:rFonts w:hint="eastAsia" w:ascii="宋体" w:hAnsi="宋体" w:eastAsia="宋体" w:cs="宋体"/>
          <w:color w:val="auto"/>
          <w:sz w:val="24"/>
          <w:szCs w:val="24"/>
          <w:highlight w:val="none"/>
        </w:rPr>
        <w:t>甲方有权解除本合同</w:t>
      </w:r>
      <w:r>
        <w:rPr>
          <w:rFonts w:hint="eastAsia" w:ascii="宋体" w:hAnsi="宋体" w:eastAsia="宋体" w:cs="宋体"/>
          <w:color w:val="auto"/>
          <w:sz w:val="24"/>
          <w:szCs w:val="24"/>
          <w:highlight w:val="none"/>
          <w:lang w:eastAsia="zh-CN"/>
        </w:rPr>
        <w:t>并没收全部履约保证金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乙方不得要求补偿</w:t>
      </w:r>
      <w:r>
        <w:rPr>
          <w:rFonts w:hint="eastAsia" w:ascii="宋体" w:hAnsi="宋体" w:eastAsia="宋体" w:cs="宋体"/>
          <w:color w:val="auto"/>
          <w:sz w:val="24"/>
          <w:szCs w:val="24"/>
          <w:highlight w:val="none"/>
          <w:lang w:eastAsia="zh-CN"/>
        </w:rPr>
        <w:t>任何</w:t>
      </w:r>
      <w:r>
        <w:rPr>
          <w:rFonts w:hint="eastAsia" w:ascii="宋体" w:hAnsi="宋体" w:eastAsia="宋体" w:cs="宋体"/>
          <w:color w:val="auto"/>
          <w:sz w:val="24"/>
          <w:szCs w:val="24"/>
          <w:highlight w:val="none"/>
        </w:rPr>
        <w:t>投入成本</w:t>
      </w:r>
      <w:r>
        <w:rPr>
          <w:rFonts w:hint="eastAsia" w:ascii="宋体" w:hAnsi="宋体" w:eastAsia="宋体" w:cs="宋体"/>
          <w:color w:val="auto"/>
          <w:sz w:val="24"/>
          <w:szCs w:val="24"/>
          <w:highlight w:val="none"/>
          <w:lang w:eastAsia="zh-CN"/>
        </w:rPr>
        <w:t>费用并承担甲方的一切损失</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、乙方应承担的违约金或赔偿等其他由乙方承担的费用，甲方也有权直接在支付给乙方的服务费中直接抵扣。</w:t>
      </w: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、其他约定事项：</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1、乙方在合同有效期内，必须确保所有工作人员的安全,其产生的安全问题,由乙方自行负责。</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2、乙方所聘</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人员在作业时应严格遵守劳动纪律，遵守安全操作规程，确保安全。发生各种意外事故或财产损失均由乙方依照法律法规妥善处理和承担所有法律责任，甲方对此不承担任何法律责任。</w:t>
      </w:r>
    </w:p>
    <w:p>
      <w:pPr>
        <w:pStyle w:val="52"/>
        <w:ind w:left="0" w:leftChars="0" w:firstLine="480" w:firstLineChars="200"/>
        <w:rPr>
          <w:rFonts w:hint="default"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3、乙方及其工作人员在作业时造成他人人身损害或财产损失的，由乙方自行处理，与甲方无关。</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、乙方须严格执行投标文件承诺的管理服务方案。</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、招标文件、供应商的投标文件以及相关补充文件、澄清文件、特殊承诺等是本合同不可分割的部分。</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、本合同中未尽事宜，经双方协商可另行签订补充协议，补充协议与本合同具有同等法律效力。</w:t>
      </w:r>
    </w:p>
    <w:p>
      <w:pPr>
        <w:keepNext w:val="0"/>
        <w:keepLines w:val="0"/>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、合同有效期内，乙方及其工作人员与其他单位或个人发生债权、债务纠纷等，与甲方无关。</w:t>
      </w:r>
    </w:p>
    <w:p>
      <w:pPr>
        <w:keepNext w:val="0"/>
        <w:keepLines w:val="0"/>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8、本项目不允许转包与分包。</w:t>
      </w:r>
    </w:p>
    <w:p>
      <w:pPr>
        <w:keepNext w:val="0"/>
        <w:keepLines w:val="0"/>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（一）转包。施工承包人不得将其承包的全部工程或者将其承包的全部工程肢解后以分包的名义分别转包给其他单位或个人。</w:t>
      </w:r>
    </w:p>
    <w:p>
      <w:pPr>
        <w:keepNext w:val="0"/>
        <w:keepLines w:val="0"/>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转包违约责任：有证据证明承包人转包的，发包人有权解除合同，未支付的工程款不再支付；承包人还应向发包人承担违约责任，按签约合同价的30%支付违约金，造成发包人损失的还应赔偿损失。</w:t>
      </w:r>
    </w:p>
    <w:p>
      <w:pPr>
        <w:keepNext w:val="0"/>
        <w:keepLines w:val="0"/>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rPr>
        <w:t>、本合同在履行中发生争议，由双方协商解决，协商不成双方可选择以下第 1 种方式处理：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1、向</w:t>
      </w:r>
      <w:r>
        <w:rPr>
          <w:rFonts w:hint="eastAsia" w:ascii="宋体" w:hAnsi="宋体" w:eastAsia="宋体" w:cs="宋体"/>
          <w:color w:val="auto"/>
          <w:sz w:val="24"/>
          <w:szCs w:val="24"/>
          <w:highlight w:val="none"/>
          <w:u w:val="single"/>
        </w:rPr>
        <w:t xml:space="preserve">  衢州 </w:t>
      </w:r>
      <w:r>
        <w:rPr>
          <w:rFonts w:hint="eastAsia" w:ascii="宋体" w:hAnsi="宋体" w:eastAsia="宋体" w:cs="宋体"/>
          <w:color w:val="auto"/>
          <w:sz w:val="24"/>
          <w:szCs w:val="24"/>
          <w:highlight w:val="none"/>
        </w:rPr>
        <w:t>仲裁委员会申请仲裁；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2、向人民法院提起诉讼。</w:t>
      </w:r>
    </w:p>
    <w:p>
      <w:pPr>
        <w:keepNext w:val="0"/>
        <w:keepLines w:val="0"/>
        <w:pageBreakBefore w:val="0"/>
        <w:kinsoku/>
        <w:wordWrap/>
        <w:overflowPunct/>
        <w:topLinePunct w:val="0"/>
        <w:bidi w:val="0"/>
        <w:snapToGrid w:val="0"/>
        <w:spacing w:line="440" w:lineRule="exact"/>
        <w:ind w:left="0" w:leftChars="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本合同壹式肆份，以中文书就，甲乙双方各执贰份，双方签字并盖章时生效。</w:t>
      </w:r>
    </w:p>
    <w:p>
      <w:pPr>
        <w:keepNext w:val="0"/>
        <w:keepLines w:val="0"/>
        <w:pageBreakBefore w:val="0"/>
        <w:kinsoku/>
        <w:wordWrap/>
        <w:overflowPunct/>
        <w:topLinePunct w:val="0"/>
        <w:bidi w:val="0"/>
        <w:snapToGrid w:val="0"/>
        <w:spacing w:line="440" w:lineRule="exact"/>
        <w:ind w:left="0" w:leftChars="0" w:firstLine="482" w:firstLineChars="200"/>
        <w:jc w:val="both"/>
        <w:textAlignment w:val="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bidi w:val="0"/>
        <w:snapToGrid w:val="0"/>
        <w:spacing w:line="440" w:lineRule="exact"/>
        <w:ind w:left="0" w:lef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以下无正文</w:t>
      </w:r>
      <w:r>
        <w:rPr>
          <w:rFonts w:hint="eastAsia" w:ascii="宋体" w:hAnsi="宋体" w:eastAsia="宋体" w:cs="宋体"/>
          <w:b/>
          <w:bCs/>
          <w:color w:val="auto"/>
          <w:sz w:val="24"/>
          <w:szCs w:val="24"/>
          <w:highlight w:val="none"/>
          <w:lang w:eastAsia="zh-CN"/>
        </w:rPr>
        <w:t>。</w:t>
      </w:r>
    </w:p>
    <w:tbl>
      <w:tblPr>
        <w:tblStyle w:val="88"/>
        <w:tblpPr w:leftFromText="180" w:rightFromText="180" w:vertAnchor="text" w:horzAnchor="page" w:tblpX="1740" w:tblpY="1003"/>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甲方：                （盖章）    </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乙方：               （盖章）     </w:t>
            </w:r>
          </w:p>
        </w:tc>
      </w:tr>
      <w:tr>
        <w:tblPrEx>
          <w:tblCellMar>
            <w:top w:w="0" w:type="dxa"/>
            <w:left w:w="108" w:type="dxa"/>
            <w:bottom w:w="0" w:type="dxa"/>
            <w:right w:w="108" w:type="dxa"/>
          </w:tblCellMar>
        </w:tblPrEx>
        <w:trPr>
          <w:trHeight w:val="680"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r>
      <w:tr>
        <w:tblPrEx>
          <w:tblCellMar>
            <w:top w:w="0" w:type="dxa"/>
            <w:left w:w="108" w:type="dxa"/>
            <w:bottom w:w="0" w:type="dxa"/>
            <w:right w:w="108" w:type="dxa"/>
          </w:tblCellMar>
        </w:tblPrEx>
        <w:trPr>
          <w:trHeight w:val="385"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r>
      <w:tr>
        <w:tblPrEx>
          <w:tblCellMar>
            <w:top w:w="0" w:type="dxa"/>
            <w:left w:w="108" w:type="dxa"/>
            <w:bottom w:w="0" w:type="dxa"/>
            <w:right w:w="108" w:type="dxa"/>
          </w:tblCellMar>
        </w:tblPrEx>
        <w:trPr>
          <w:trHeight w:val="460"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r>
      <w:tr>
        <w:tblPrEx>
          <w:tblCellMar>
            <w:top w:w="0" w:type="dxa"/>
            <w:left w:w="108" w:type="dxa"/>
            <w:bottom w:w="0" w:type="dxa"/>
            <w:right w:w="108" w:type="dxa"/>
          </w:tblCellMar>
        </w:tblPrEx>
        <w:trPr>
          <w:trHeight w:val="310"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r>
      <w:tr>
        <w:tblPrEx>
          <w:tblCellMar>
            <w:top w:w="0" w:type="dxa"/>
            <w:left w:w="108" w:type="dxa"/>
            <w:bottom w:w="0" w:type="dxa"/>
            <w:right w:w="108" w:type="dxa"/>
          </w:tblCellMar>
        </w:tblPrEx>
        <w:trPr>
          <w:trHeight w:val="400"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r>
      <w:tr>
        <w:tblPrEx>
          <w:tblCellMar>
            <w:top w:w="0" w:type="dxa"/>
            <w:left w:w="108" w:type="dxa"/>
            <w:bottom w:w="0" w:type="dxa"/>
            <w:right w:w="108" w:type="dxa"/>
          </w:tblCellMar>
        </w:tblPrEx>
        <w:trPr>
          <w:trHeight w:val="395" w:hRule="atLeast"/>
        </w:trPr>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  月  日</w:t>
            </w:r>
          </w:p>
        </w:tc>
        <w:tc>
          <w:tcPr>
            <w:tcW w:w="4643" w:type="dxa"/>
            <w:tcBorders>
              <w:top w:val="nil"/>
              <w:left w:val="nil"/>
              <w:bottom w:val="nil"/>
              <w:right w:val="nil"/>
            </w:tcBorders>
            <w:noWrap w:val="0"/>
            <w:vAlign w:val="center"/>
          </w:tcPr>
          <w:p>
            <w:pPr>
              <w:pStyle w:val="309"/>
              <w:keepNext w:val="0"/>
              <w:keepLines w:val="0"/>
              <w:pageBreakBefore w:val="0"/>
              <w:kinsoku/>
              <w:wordWrap/>
              <w:overflowPunct/>
              <w:topLinePunct w:val="0"/>
              <w:bidi w:val="0"/>
              <w:snapToGrid w:val="0"/>
              <w:spacing w:before="0" w:line="440" w:lineRule="exact"/>
              <w:ind w:left="0" w:leftChars="0"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  月  日</w:t>
            </w:r>
          </w:p>
        </w:tc>
      </w:tr>
    </w:tbl>
    <w:p>
      <w:pPr>
        <w:keepNext w:val="0"/>
        <w:keepLines w:val="0"/>
        <w:pageBreakBefore w:val="0"/>
        <w:kinsoku/>
        <w:wordWrap/>
        <w:overflowPunct/>
        <w:topLinePunct w:val="0"/>
        <w:bidi w:val="0"/>
        <w:spacing w:line="440" w:lineRule="exact"/>
        <w:ind w:left="0" w:leftChars="0"/>
        <w:textAlignment w:val="auto"/>
        <w:rPr>
          <w:rFonts w:hint="eastAsia" w:ascii="宋体" w:hAnsi="宋体" w:eastAsia="宋体" w:cs="宋体"/>
          <w:color w:val="auto"/>
          <w:sz w:val="24"/>
          <w:szCs w:val="24"/>
          <w:highlight w:val="none"/>
          <w:lang w:eastAsia="zh-CN"/>
        </w:rPr>
      </w:pPr>
    </w:p>
    <w:p>
      <w:pPr>
        <w:pStyle w:val="52"/>
        <w:rPr>
          <w:rFonts w:hint="eastAsia"/>
          <w:lang w:eastAsia="zh-CN"/>
        </w:rPr>
      </w:pP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智慧新城城市环境卫生质量标准及作业规范；</w:t>
      </w:r>
    </w:p>
    <w:p>
      <w:pPr>
        <w:keepNext w:val="0"/>
        <w:keepLines w:val="0"/>
        <w:pageBreakBefore w:val="0"/>
        <w:kinsoku/>
        <w:wordWrap/>
        <w:overflowPunct/>
        <w:topLinePunct w:val="0"/>
        <w:bidi w:val="0"/>
        <w:spacing w:line="440" w:lineRule="exact"/>
        <w:ind w:left="0" w:leftChars="0" w:firstLine="1200" w:firstLineChars="5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智慧新城城市管理养护考核办法（试行）</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440" w:lineRule="exact"/>
        <w:ind w:left="0" w:leftChars="0" w:firstLine="1200" w:firstLineChars="5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道路卫生保洁考核细则</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highlight w:val="none"/>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附件1</w:t>
      </w:r>
    </w:p>
    <w:p>
      <w:pPr>
        <w:pStyle w:val="65"/>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智慧新城城市环境卫生质量标准及作业规范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加强城市环境卫生管理，创造整洁、优美、文明的城市环境，巩固全国文明城市、国家卫生城市创建成果，打造四省边际中心城市，根据相关法规、标准及作业规范，结合智慧新城实际，制定本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sz w:val="24"/>
          <w:szCs w:val="24"/>
        </w:rPr>
        <w:t>基本要求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应做到文明、清洁、安全和有序，最大限度地减少对环境的污染和对公众生活的影响。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环卫作业单位应建立健全安全生产管理制度和落实安全生产责任人，并有完整的作业和检查记录。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道路清扫保洁人员（含机扫车司机、随车的人工辅助清扫人员）作业时须穿工作服、反光背心，并保持着装干净、整洁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其他环卫作业人员也须按规定统一着装和佩证。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清扫作业间隙，清扫工具摆放整齐，保洁垃圾密闭存放。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环卫作业人员要遵纪守法、遵守社会公德。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环卫工人要根据本路段的人、车流情况，合理安排作业时间和方式，主动避开行人和车流高峰，以免发生意外。在普扫和保洁作业时，清扫机动车道中央分隔栏路面时要注意安全，注意来往车辆。道路大面积污染需要集中清扫时，需得到交警部门的配合，距清扫点来车方向近100m处设置醒目的警示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环卫各类作业车辆（机动车）出车前必须进行检查，确保车况良好方可进行环卫作业。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严格遵守交通规则，环卫作业车辆尽量避开交通高峰时段作业。机扫车、洒水车车尾应有反光标志（或加贴反光膜），作业时须亮警示灯。夜间作业时还须开启示宽灯，降低或关闭提示音乐。洒水车需在规定取水栓取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清扫专用车必须紧靠路边停放，距公交车站50m内禁止停放，不影响其他车辆、行人通行。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环境卫生保洁质量标准及作业规范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（一）城市道路保洁质量标准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城市道路分级保洁要求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一级道路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应全天18小时以上巡回保洁，</w:t>
      </w:r>
      <w:r>
        <w:rPr>
          <w:rFonts w:hint="eastAsia" w:ascii="宋体" w:hAnsi="宋体" w:eastAsia="宋体" w:cs="宋体"/>
          <w:color w:val="auto"/>
          <w:sz w:val="24"/>
          <w:szCs w:val="24"/>
          <w:highlight w:val="none"/>
          <w:lang w:val="en-US" w:eastAsia="zh-CN"/>
        </w:rPr>
        <w:t>首次普扫，夏秋季在上午6:30前完成，春冬季在上午7点前完成，第二次普扫在下午14:00前完成</w:t>
      </w:r>
      <w:r>
        <w:rPr>
          <w:rFonts w:hint="eastAsia" w:ascii="宋体" w:hAnsi="宋体" w:eastAsia="宋体" w:cs="宋体"/>
          <w:color w:val="auto"/>
          <w:sz w:val="24"/>
          <w:szCs w:val="24"/>
          <w:highlight w:val="none"/>
        </w:rPr>
        <w:t>。路面清洗时，每两天应不少于1次，人行道精细化冲洗每月不少于</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次。洒水降尘频次，每天应不少于3次，气温30℃以上时，平均每天不应少于4次。机扫频次，每天不应少于2次。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二级道路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应18小时以上巡回保洁，</w:t>
      </w:r>
      <w:r>
        <w:rPr>
          <w:rFonts w:hint="eastAsia" w:ascii="宋体" w:hAnsi="宋体" w:eastAsia="宋体" w:cs="宋体"/>
          <w:color w:val="auto"/>
          <w:sz w:val="24"/>
          <w:szCs w:val="24"/>
          <w:highlight w:val="none"/>
          <w:lang w:val="en-US" w:eastAsia="zh-CN"/>
        </w:rPr>
        <w:t>首次普扫，夏秋季在上午6:30前完成，春冬季在上午7点前完成，第二次普扫在下午14:00前完成。</w:t>
      </w:r>
      <w:r>
        <w:rPr>
          <w:rFonts w:hint="eastAsia" w:ascii="宋体" w:hAnsi="宋体" w:eastAsia="宋体" w:cs="宋体"/>
          <w:color w:val="auto"/>
          <w:sz w:val="24"/>
          <w:szCs w:val="24"/>
        </w:rPr>
        <w:t>路面清洗，每周不少于2次，人行道精细化冲洗每月不少于1次。洒水降尘频次，每天不少于2次，气温30℃以上时，平均每天不应少于3次。机扫频率，每天不应少于2次。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三级道路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不少于12小时的定时保洁，首次普遍清扫应在清晨7时前结束。路面清洗视实际情况安排</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人行道精细化冲洗每月不少于1次。平均每天洒水不少于1次。路面清洗，根据实际情况安排。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四级道路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每天清扫不应少于2次。首次清扫应在清晨7:30分前结束，部分路段应定时保洁。洒水、机扫频次，根据实际情况安排。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道路清扫保洁范围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机动车道、非机动车道、人行道、地下通道、台阶、边沟、边坡、绿化带、沿街绿地、花坛、树池等公共场所的清扫保洁、洒水降尘；道路绿地保洁（绿地内石块、白色垃圾、残枝、烂叶清运干净）；铺装硬化的保洁；以及其他设施保洁；生活垃圾收集并清运至中转站；沿街果壳箱；垃圾桶等环卫设施管养；道路扬尘治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）道路保洁时间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人工清扫保洁作业：18小时保洁道路，每天早上4：30至晚上22：30时为道路保洁时间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每天至少完成两次人工普扫，首次普扫，夏秋季在上午6:30前完成，春冬季在上午7点前完成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第二次普扫在下午14:00前完成。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机械化清扫作业和道路洒水、降尘、冲洗作业：机械化清扫作业应按规定时间，原则两个班次（第一班次：每天早上04:00-07:30；第二班次：每天下午13:00-16:30，其他视保洁情况另行安排）准时出车，并按指定的路线、范围进行机扫作业。道路洒水降尘作业应按规定时间、频次准时出车，当实时气温低于2℃时，暂停洒水降尘作业。道路路面冲洗作业，应在每天23:30时以后进行（特殊情况除外），当实时气温低于2℃时，暂停冲洗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果壳箱和垃圾桶保洁作业：沿街果壳箱和垃圾桶垃圾随时清理，不得满溢，箱体及周边需保持整洁。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垃圾收集清运作业：要做到垃圾日产日清，垃圾中转站每天剩余垃圾不能超过一箱。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护栏清洗作业：每周至少清洗1次。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）道路保洁质量标准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保洁质量应符合城市道路清扫保洁质量与评价标准(CJJ\T126-2008)中华人民共和国行业标准、浙江省《城市道路清扫保洁质量标准》（DB/1023-2005），同时达到如下标准：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普扫作业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一级、二级道路（街巷）应做到‘五无五净’即：无垃圾杂物堆积、无积水积泥、无痰迹烟蒂、无果皮纸屑、无土石杂草，路面干净、道路绿地树圈干净、边角侧石干净、窨井盖沟眼畅通干净、果壳箱等设施整洁。路面基本见本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三级、四级道路（街巷、村道）应做到‘四无四净’即：无垃圾、无积水积泥、无杂物堆积、无土石杂草，路面干净、边角侧石干净、窨井盖沟眼畅通干净、果壳箱等设施整洁。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保洁作业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rPr>
        <w:t>道路路面干净、地面无痰迹、道路侧石无积泥、污迹、晴天地面无积水、窨井口畅通、果壳箱、雕塑、公共椅子（凳子）等公共设施干净整洁。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rPr>
        <w:t>道路路面废弃物控制指标应符合下表规定。但在同一单位长度内，不得超过各单项废弃物总数的50%。路面废弃物控制指标</w:t>
      </w:r>
      <w:r>
        <w:rPr>
          <w:rFonts w:hint="eastAsia" w:ascii="宋体" w:hAnsi="宋体" w:eastAsia="宋体" w:cs="宋体"/>
          <w:color w:val="auto"/>
          <w:sz w:val="24"/>
          <w:szCs w:val="24"/>
          <w:lang w:val="en-US" w:eastAsia="zh-CN"/>
        </w:rPr>
        <w:t>如下表所示：</w:t>
      </w:r>
    </w:p>
    <w:tbl>
      <w:tblPr>
        <w:tblStyle w:val="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1800"/>
        <w:gridCol w:w="1789"/>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一、二级道路</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三、四级道路</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其他道路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纸屑、果片等垃圾滞留时间（分钟/200m）</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≤25</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烟蒂（个/200m）</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污迹（口香糖等）（处/200m）</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积泥（沙）（处/200m）</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微</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道路两侧建筑物外墙</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无污迹、无非法张贴涂写</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无污迹、无非法张贴涂写</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无污迹、无非法张贴涂写≤5(处/200m)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树圈、绿化带内残羹、烟蒂、纸屑等废弃物（个/200m）</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无</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路面（整条路）</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见本色</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基本见本色</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基本见本色</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rPr>
        <w:t>桥梁、车行隧道、涵洞、人行天桥、人行过街地下通道环境卫生质量参照本规范同等级道路标准。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公园广场（公共场所）保洁质量标准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公园广场分级保洁要求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一级公园广场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草坪、花坛（台）等绿地内无污物、垃圾等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园容整洁卫生，园路平整，无坑洼，无积水，无焚烧垃圾树叶现象。公园文化小品保持清洁，无乱贴乱画。厕所无臭味，无尿垢，无蚊蝇。园内水域无漂浮物，水中无杂物，水质清净，无臭味。园内设施完好无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二级公园广场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草坪、花坛（台）等绿地内无污物、垃圾等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大部分地段园容整洁卫生，园路平整，无坑洼，无积水，无焚烧垃圾树叶现象。公园文化小品保持清洁，无乱贴乱画。厕所无臭味，无尿垢，无蚊蝇。园内水域无漂浮物，水中无杂物，水质清净，无臭味。园内设施无明显损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三级公园广场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草坪、花坛（台）等绿地内无明显污物、垃圾等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主要地段园容整洁卫生，园路平整，无坑洼，无积水，无焚烧垃圾树叶现象。厕所基本无臭味，无尿垢，无蚊蝇。园内水域基本无漂浮物，水中基本无杂物，水质清净，无臭味。园内设施无严重损坏。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）保洁范围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绿地保洁（垃圾车随身，绿地内石块、白色垃圾、残枝、烂叶清运干净）；公园内水系、喷泉水池保洁；公园内铁木结构的亭、台、楼、阁、桥等建筑小品保洁；铺装硬化的保洁；其他设施保洁；乱贴乱画清理等</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）保洁时间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公园保洁时间：夏令时5：30-21：30，冬令时6：00点-21：00。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）保洁质量标准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周围环境整洁，做到“七无五净”：无垃圾杂物、无果皮纸屑、无积泥（沙）积水、无污迹烟蒂、无乱张贴涂写、无杂草，无陈旧、破损广告，花坛树圈干净、果壳箱、雕塑、电话亭等公共设施干净、窨井盖沟眼畅通干净、边角侧石干净、地面干净见本色。</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室内公共区域的门窗、墙壁、顶棚应无积灰、无污迹、无蛛网，玻璃窗应光洁明亮。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灯具、沙发、椅凳、栏杆扶手、指示牌、工作台、体育活动用具等设备和设施应完好整洁，表面无污迹，无积尘。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内设公共厕所保洁作业质量标准应达到相应保洁标准。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城市道路及公园广场保洁作业规范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清扫保洁作业人员必须身穿反光工作服准时上岗作业，遵守劳动纪律，不擅自离岗、串岗，不在岗与人闲聊，对分工负责的地段要严格按规定的班次和要求作业，交岔路口各延伸清扫保洁2米。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保洁作业人员应文明作业，小心清扫，控制扬尘，注意不将垃圾、污水溅到行人身上，清扫后归拢的垃圾应靠边堆放，及时清运不漏收。不将垃圾堆放或停留在窨井盖上，不将垃圾扫入或倒入窨井、道路绿地、河道等处。在巡回保洁时，要做到勤走、勤看、勤扫，确保垃圾滞留时间（不超过5分钟）确保路面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保洁作业人员必须安全作业，在清扫保洁作业时，应按车行线反方向清扫，特别在清扫中间护栏（隔离）区域时应提高警惕，注意来车。保洁车辆要停放适当，不妨碍交通。出班前要做好车辆检查，下班前要清扫干净，并停放到指定地点，如有损坏及时修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扫地车作业时必须开警示灯，洒水车、高压冲洗车作业时必须鸣报信号。要保证扫地、洒水、冲洗质量，不漏扫、漏洒、漏冲路面。机械作业都必须注意车速，扫地车作业正常速度应控制在6-7公里/小时，最快不超过10公里/小时，在清扫作业时发现路面有无法清扫的杂物要及时停车，下车将杂物清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洒水车作业正常速度应控制在25公里/小时左右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压冲洗车作业正常速度应控制在5-10公里/小时。各车驾驶员要做到遵守交通规则，礼让行车，注意行人安全，同时保持车容整洁，车辆完好，每天出车前必须进行车辆检查，及时排除故障，车辆回场后必须冲洗干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果壳箱、垃圾桶周围的垃圾或垃圾袋，道路保洁人员要随发随清，保持经常性的干净，人行道上群众随意摆放的垃圾袋滞留时间一般不超过5分钟。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按规定的时间和顺序到站点清洗保洁，按规定更换垃圾袋，作业过程中停车位置应妥当，无漏站、弃站现象。果壳箱外体无积泥、积污，内底无垃圾、无积泥、无积水，周围一米范围内无零星垃圾，无积污和积水，并清洗干净。发现果壳箱损坏、松动、被盗等情况应及时反映。果壳箱发生满溢时，应及时清理干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垃圾包清理作业标准：按规定的操作时间、路线顺序进行作业，发现垃圾包、白色污染、杂物等情况应及时清理，废物停留时间不超过5分钟。道路路面发现有大面积建筑垃圾、砂石、渣土，涉及安全的应第一时间清理，并及时向有关部门或领导反映。</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垃圾桶摆放整齐，桶（亭）周围二公尺包括人行道清洁，桶底地面无积泥和积污，垃圾桶（亭）和制度牌无蛛网、无积泥、无积灰、无积污、无乱张贴，亭顶无杂物。垃圾桶无满溢，周围无堆积垃圾。垃圾桶无缺轮、破损等现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扫的道路垃圾、沿街果壳箱和垃圾桶中的垃圾应密闭化运至指定地点，运输过程不得抛洒滴漏。沿街果壳箱和垃圾桶中的垃圾，确保无满溢、不积存，做到无暴露垃圾，无污水外流，无杂物堆放，无明显臭气，周边环境整洁，并将垃圾收集容器复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实行垃圾分类，根据垃圾分类工作相关要求，进行分类收集运输。破沙发、木柜、废旧家电等大件废弃物品，建筑（装潢）垃圾和无主垃圾收集并运输至指定场地处置。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普扫结束后，应按照规定的责任保洁区域、保洁时间组织流动保洁。流动保洁时，发现路面垃圾、污渍，应使用保洁工具立即清除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沿街果壳箱和垃圾桶应即脏即洗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果壳箱门、垃圾桶盖敞开应随手关闭，发现果壳箱、垃圾桶破损等问题应及时维修或更换，保持完好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对路面口香糖污渍、路面乱涂写招贴，应使用铲刀或高压清洗机具予以清除。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突发性环境卫生污染现场清理时，应及时消除污染物，恢复路面清洁。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气温在0℃及以下禁止洒水和清洗作业。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道路车辆运输产生的抛洒滴漏（沙、石、泥）要及时制止并清理，确保路面整洁。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遇恶劣天气情况，及时在危险路段设置警示标志，采取积极有效的措施做好积雪、积水、积泥、积叶等清理。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遇到重要节日、会议、活动等需增加保洁力度。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乱贴乱画清理作业规范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处理非法涂写。作业要注意“色、形、洁、美”，达到“色、形、洁、美”的有机结合，自然、和谐。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色：根据不同墙体颜色，将涂料调配成相同或相似的颜色，最大限度地将污染处恢复原来色泽；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形：对被污染墙面的清除应有统一覆盖形状（四方形），有完整、清晰的轮廓；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洁：清除作业要按照“一刮、二铲、三粉刷”程序操作，使作业墙达到干净、整洁；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美：要使清除作业墙体在“色、形、洁”上与周边环境协调和谐。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处理非法招贴广告。清除作业按照“一刮、二铲、三粉刷”要求进行；清除后不出现“残贴“，不留黏贴痕迹，尽量不损坏建（构）筑和颜色。涂料覆盖与原色协调，无明显反差，覆盖整齐，成长方形；药物清理表面整洁，不留花斑：人工铲除和机械清理不留明显痕迹，不损伤表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清除的时间。每天上午9:00时前完成第一遍整治清除。9:00时以后进行巡回保洁，做到即时发现，即时清除。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清除作业要求严格按照作业技术标准操作，无遗留现象。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从事服务的人员应统一着装、统一证件、统一工具。能熟练地运用相关清洁卫生工具，按照规程和要领工作，</w:t>
      </w:r>
      <w:r>
        <w:rPr>
          <w:rFonts w:hint="eastAsia" w:ascii="宋体" w:hAnsi="宋体" w:eastAsia="宋体" w:cs="宋体"/>
          <w:color w:val="auto"/>
          <w:sz w:val="24"/>
          <w:szCs w:val="24"/>
          <w:lang w:val="en-US" w:eastAsia="zh-CN"/>
        </w:rPr>
        <w:t>要</w:t>
      </w:r>
      <w:r>
        <w:rPr>
          <w:rFonts w:hint="eastAsia" w:ascii="宋体" w:hAnsi="宋体" w:eastAsia="宋体" w:cs="宋体"/>
          <w:color w:val="auto"/>
          <w:sz w:val="24"/>
          <w:szCs w:val="24"/>
        </w:rPr>
        <w:t>热情待人、文明礼貌、使用服务规范用语。遵守安全工作规定及操作程序，及时发现不安全因素，正确处理突发事件。遵守各项纪律和规章制度。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对于石材、瓷砖等建筑物表面喷漆广告先用醇酸稀料进行浸泡，再用腈纶棉纱进行擦洗、冲洗即可；对于涂料水泥墙面上的喷漆广告可先用醇酸稀料进行浸泡，再用刮刀刮掉后，按照上涂料的工序涂刷。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垃圾收集、运输作业规范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）垃圾收集作业规范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、垃圾收集点地面须硬化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生活垃圾应全部实行容器收集，并采取分类收集方式设置，分类垃圾收集容器有明显的垃圾分类标识。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、垃圾应日产日清，居民的生活垃圾应每日清除，无堆积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单位的生活垃圾应按时清除，无积压，不腐烂发臭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收集点无陈旧垃圾和污水外流现象，周边地面整洁，无蝇、无臭，无杂物堆放。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、工业垃圾、建筑垃圾、废旧家具、家用电器以及居民住宅装潢垃圾，必须与生活垃圾分开，定点定时收集。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、医疗垃圾、有毒有害特种垃圾收集点，必须用能防止污染扩散的密封容器。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、果壳箱垃圾清理每日不少于2次，并巡回检查，发现垃圾满溢应及时清理，果壳箱清（擦）洗每日不少于1次。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、垃圾收集应先清理干净垃圾桶内垃圾，然后清扫垃圾桶周边，保持地面整洁，垃圾桶有污迹应及时清（擦）洗干净。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、收集作业完成后应清理现场，可移动式桶须及时复位。做到车离地净，无遗留垃圾。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、垃圾收集点不得焚烧垃圾。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、水域沿岸的码头、趸船、单位所产生的垃圾以及行驶、停泊在市区水域的各类船舶产生的垃圾，及时收集，禁止任意排放。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）垃圾运输作业规范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1、垃圾运输车辆应定期进行保养，确保车况良好。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2、垃圾车应采取密闭方式运输，应按规定的时间、路线行驶，垃圾不得乱倒、乱卸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禁止乱吊乱挂、禁止超高超载、挂包运输垃圾、出车前须排尽污水箱中的污水，禁止沿途抛撒垃圾和滴漏污水。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驾驶员在运输过程中必须严格按照驾驶员行为规范驾驶车辆，严格遵守交通规则，每天出车前必须检修车辆，保持车容整洁、车辆性能良好，车牌号码完整。要安全操作清运，如有特殊情况发生，要及时停运，避免安全事故发生，确保行车安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4、垃圾站离居民住宅较近时，应合理安排装运时间，避开早晨以及中午，减少噪声影响居民正常生活。运输垃圾应尽量避开上下班高峰期。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5、运输作业结束，应及时将车辆清洗干净，并对所有清运车辆进行全面检查，发现问题，及时维护，确保第二天能正常使用。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中转站环境卫生质量标准及作业规范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）卫生质量标准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1、中转站内要保持干净整洁。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2、中转站内墙壁及机械设备无蜘蛛网、无灰尘、维护保养良好，起落架及垃圾箱外观整洁，无杂物、墙壁干净、门窗整洁、无乱贴、乱画。墙上挂管理规章制度要保持干净，完整。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3、垃圾坑及时清掏，做到坑内无垃圾，积水,无蛆，下水通畅。经常喷洒灭蝇药，确保站内无蚊蝇(视野内不超过3只)。</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4、中转站内不准乱堆放工具、杂物，地面、操作台，干净整洁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5、中转站内休息间的桌、椅干净整洁，玻璃、灯具、水盆、水池等生活用品经常保持干净。工具摆放整齐，有固定地点。站内的便池无尿碱，无便迹。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6、中转站周边卫生保持整洁。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7、对中转站内的墙壁每年进行统一粉刷一次，对清洁楼内贴砖墙壁及部分门、窗统一进行清洗。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1、中转站必须根据规定的时间开放，在开放时间必须有按要求管理、操作，禁止中转站操作人员外的人员进行设备操作。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转站管理人员要按时上岗，到岗后必须首先按要求仔细检查各种机械设备、设施是否完好，确保无安全隐患后方可操作。作业过程中也应随时观察液压、机械、电器等设备是否运转正常，如有异常应立即停止相关运作，做好防护措施，在故障解除或机械性能在许可范围内方可重新作业，造成作业影响时，应有相应的保障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3、做好日常消杀工作和污水及时清除工作，以及污水管不定期疏通工作，做到坑内无垃圾、污水积留，蝇蛆少见。要加强环境卫生保洁工作，物品堆放整洁有序，清扫中转站外周围5米内卫生。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4、爱护公物，站内机电设备设施要做好日常例行保养和及时维修工作，并及时记录在案，每天工作完毕后应冲洗干净，切断电源。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5、各种操作规程等规定应在中转站内醒目处设置。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公共厕所环境卫生质量标准及作业规范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开放时间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开放时间段为5:30-22:30；17小时要求有专人进行保洁与服务；有管理用房的要求24小时开放，保洁人员实行24小时值班制。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）保洁质量标准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外部环境：公共厕所周边环境应整洁有序，周边无垃圾、粪便、污水、杂草、废土、乱堆乱挂杂物，无黄土裸露，无卫生死角。坡道、台阶、扶手应保持干净整洁，无垃圾、杂物、吊挂，不得有障碍物。化粪池、贮粪池周围场地应保持整洁，无垃圾、粪迹、污水，不得有恶臭、蝇蛆。化粪池、贮粪池应当及时清掏，不得满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2、内部环境：门窗门正、反面和门把手应洁净，无污迹和吊挂杂物；门缝及闭门器应无垃圾、积灰、锈蚀。窗玻璃应干净明亮，窗台、 窗框、窗纱、排风扇等处应无垃圾、杂物、蛛网、积灰。地面： 地面应洁净，无垃圾、污迹、积水、杂物。 公厕每天消毒；厕位：蹲便器、座便器外侧应无水锈、粪便、污物；蹲便器、座便器内应洁净，无积粪、堵塞。小便器（槽）应清洁，无垃圾、尿垢、水锈，管道沟眼应保持畅通。厕位隔断板应洁净，无积灰、污迹、蛛网、乱涂乱画、广告。公厕的卫生保洁控制指标应符合：公厕废弃物（个）≤2；废弃物停滞时间≤30分钟；苍蝇（只）≤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部设施：洗手池及台面、拖把池、搁物台、镜子完好，无积灰、污迹、蛛网、水垢、毛发、杂物、乱涂乱画。洗手液分配器、烘手器、除臭设备、空调、灯具及开关、拖把架、手纸盒等设备应洁净、无积灰、污迹，使用标识应清晰、无污迹。公厕整洁有序，废纸容器不溢满，无臭味、无尿碱污物、无乱写乱画、无蚊蝇、无乱堆物品、无暴露的保洁工具和废纸；洗手（盆）池、洗手台、墩布池、标牌灯具等设施设备清洁卫生，无积尿、积水、积灰、结冰、杂物；厕纸、洗手液要求使用中档或以上品牌，且满足创文相关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4、内外墙面及屋顶：内外墙面和天花板应保持洁净，无积灰、污迹、渗漏、蛛网，无乱涂乱画、无张贴，不得安装或吊挂与公厕管理无关的物品。屋顶应无垃圾、无杂物，不得设置与公厕管理无关的物品。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洁作业时宜在入口处设置提示牌。雨天和地面保洁时，应设置防滑标志和铺设防滑垫。清洁大小便洁具的拖把、抹布应与清洁其他设施的拖把、抹布区分使用。保洁作业完毕后，应将作业工具统一放置在工具间内，摆放整齐，拖把、扫把、抹布晾晒时应置于拖把架上。公共厕所内部通道、洗手台不应放置拖把、水桶、抹布、扫把等作业工具和其他影响视觉观瞻及通行的物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、公厕的化粪池、截粪井应当委托有资质的企业作业。作业中不得有泄露、遗撒。清掏出的废弃物应按照规定的地点和方式进行排放，不得乱排乱倒。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、公厕因主体结构损坏或管道堵塞等原因停止使用时，应公示停用期限，并采取设置活动厕所或指明就近厕所位置的临时性措施解决群众用厕。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、保洁人员应服装整洁，佩戴胸卡；文明作业，礼貌待人，照顾老、幼、病、残、孕等人员；不 准与如厕者吵嘴、打架;提供的卫生纸、洗手液及时补充；熟悉公厕设备的使用和日常维护及保养，主动介绍公厕设备的正确使用方法；及时报修，并填写报修记录；工作期间，不得从事与保洁服务工作无关的工作；发现求助信号，应及时给予帮助；对破坏、损坏设施的行为，有劝阻、报告的义务；并协助公安部门做好维护社会秩序等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、要在公厕明显的位置公示保洁员编号、姓名、监督电话与联系方式，应当建立科学、完备的管理体系、专业作业服务体系，实现整洁、优美、文明的生活和工作环境。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、公共厕所管理房不应挪作他用，室内保持整洁，不得饲养宠物。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水系保洁质量标准及作业规范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）作业时间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水面保洁正常时间为8:00-18:00。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）保洁范围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保洁范围包括水面、河道两侧未征未建坡岸、防护堤及河滩、橡皮坝坝体。</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）质量标准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保洁范围内水面无漂浮物，水系两侧无生活垃圾及建筑垃圾。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）作业规范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1、配备水面保洁所需船只、阻拦网等工具，做好日常维护保养。船只驾驶员须持有船工证，水面作业时要穿戴救生衣。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2、河道范围内，要安排专人实行不间断巡回动态保洁，水面保洁安排船只、人员打捞废物（含各类垃圾、动物尸体、水生植物藻类、枯枝、油污等）。河道两侧未征未建坡岸、防护堤及河滩上的各类垃圾清理。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3、加强河道水系保洁日常巡查，发现破坏河道卫生环境、人员下河洗澡及桥底住人等行为要及时制止并报告相关主管部门，严禁河道洗衣。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4、不可预见因素引起的保洁范围内的水面污染、脏、乱、差等，及时整治清理。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5、要做好保洁范围的其他与环境卫生相关的工作。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5"/>
        <w:keepNext/>
        <w:keepLines/>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附件2</w:t>
      </w:r>
    </w:p>
    <w:p>
      <w:pPr>
        <w:spacing w:line="600" w:lineRule="exact"/>
        <w:jc w:val="center"/>
        <w:rPr>
          <w:rFonts w:hint="eastAsia" w:ascii="宋体" w:hAnsi="宋体" w:eastAsia="宋体" w:cs="宋体"/>
          <w:b/>
          <w:bCs w:val="0"/>
          <w:sz w:val="32"/>
          <w:szCs w:val="32"/>
          <w:lang w:val="en-GB"/>
        </w:rPr>
      </w:pPr>
      <w:r>
        <w:rPr>
          <w:rFonts w:hint="eastAsia" w:ascii="宋体" w:hAnsi="宋体" w:eastAsia="宋体" w:cs="宋体"/>
          <w:b/>
          <w:bCs w:val="0"/>
          <w:sz w:val="32"/>
          <w:szCs w:val="32"/>
          <w:lang w:val="en-GB"/>
        </w:rPr>
        <w:t>智慧新城城市管理养护考核办法（试行）</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为促进智慧新城城市管理养护事业的发展，探索城市管理养护在市场条件下的管理方式，提高智慧新城城市管理养护质量，结合智慧新城实际，特制定本办法。</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第一条 本办法适用于智慧新城城市管理工作的各项保洁、养护工作，包括园林绿化、市政保洁、水系、桥梁、喷泉、景观亮化、公厕、泵站等。</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第二条 养护考核方式：</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1、业主代表负责日常巡查，发现问题督促养护标段在规定时间内进行整改，养护标段不整改或整改不到位的，业主代表将问题汇总在月度考核审批表上，进行扣分，该项扣分作为业主代表日常巡查的考核分数。</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巡督考科负责月度不定期进行检查督导，发现问题汇总并填写交办单交由业主代表，由业主督促养护单位在规定时间内进行整改，未按期整改或整改不到位的，巡督考科在月度考核审批表上扣分，该项扣分作为巡督查考月度考核分数。</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3、根据媒体曝光、领导批评群众举报等情况，确因养护责任方管理不当措施不力造成的，无条件作为扣分依据。</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4、业主代表日常考核与巡督考科考核分数权重比各占50%，最终考核成绩每月进行公示。业主代表日常巡查考核与巡督考科月度不定期考核均参照《智慧新城城市管理养护考核办法》、考核实施细则等相关规定执行。</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第三条 考核内容包括：园林绿化、市政保洁、水系、桥梁、喷泉、景观亮化、公厕、泵站等保洁、养护工作合同及考核实施细则涉及内容。</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第四条 对巡查、检查、督查以及数字城管、市民反映等其它途径发现的问题，汇总至业主代表，由业主代表督促养护单位进行处理。</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第五条 考核每月评分一次（得分保留一位小数）。得分90分（含）以上为优秀，80分（含）至90分为良好，70分（含）至80分为合格，70分以下为不合格，所得分值作为核拨养护经费的主要依据。</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第六条 月度考核结果将作为年度评级的依据，一个年度内养护单位考核优秀次数达11次（含）以上的，年度评级为优秀；一个年度内养护单位考核优秀次数达9次（含）以上11次以下的，年度评级为良好；一个年度内养护单位考核优秀次数达7次（含）以上9次以下的，年度评级为合格；一个年度内养护单位考核优秀次数7次以下的，年度评级为不合格。</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第七条 养护经费核拨将根据季度考核结果进行，考核优秀的全额拨付养护费，其余将酌情进行核减，具体核减标准如下: </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（1）得分在85分（含）-90分（不含）的，扣减2.5%，支付当季97.5%保洁费;得分在80分（含）-85分（不含）的，扣减5%，支付当季95%保洁费。</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（2）得分在75分（含）-80分（不含）的，扣减7.5%，支付当季92.5%保洁费;得分在70分（含）-75分（不含）的，扣减10%，支付当季90%保洁费。</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（3）得分在70分（不含）以下的，扣减20%，支付当季80%保洁费。</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第八条 </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rPr>
        <w:t>在服务期内（以作业周期计算）</w:t>
      </w:r>
      <w:r>
        <w:rPr>
          <w:rFonts w:hint="eastAsia" w:ascii="宋体" w:hAnsi="宋体" w:eastAsia="宋体" w:cs="宋体"/>
          <w:color w:val="auto"/>
          <w:sz w:val="24"/>
          <w:szCs w:val="24"/>
          <w:highlight w:val="none"/>
          <w:lang w:val="en-US" w:eastAsia="zh-CN"/>
        </w:rPr>
        <w:t>当年</w:t>
      </w:r>
      <w:r>
        <w:rPr>
          <w:rFonts w:hint="eastAsia" w:ascii="宋体" w:hAnsi="宋体" w:eastAsia="宋体" w:cs="宋体"/>
          <w:color w:val="auto"/>
          <w:sz w:val="24"/>
          <w:szCs w:val="24"/>
          <w:highlight w:val="none"/>
        </w:rPr>
        <w:t>累计出现2次月</w:t>
      </w:r>
      <w:r>
        <w:rPr>
          <w:rFonts w:hint="eastAsia" w:ascii="宋体" w:hAnsi="宋体" w:eastAsia="宋体" w:cs="宋体"/>
          <w:color w:val="auto"/>
          <w:sz w:val="24"/>
          <w:szCs w:val="24"/>
          <w:highlight w:val="none"/>
          <w:lang w:eastAsia="zh-CN"/>
        </w:rPr>
        <w:t>度考核分值</w:t>
      </w:r>
      <w:r>
        <w:rPr>
          <w:rFonts w:hint="eastAsia" w:ascii="宋体" w:hAnsi="宋体" w:eastAsia="宋体" w:cs="宋体"/>
          <w:color w:val="auto"/>
          <w:sz w:val="24"/>
          <w:szCs w:val="24"/>
          <w:highlight w:val="none"/>
        </w:rPr>
        <w:t>低于</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或出现1次</w:t>
      </w:r>
      <w:r>
        <w:rPr>
          <w:rFonts w:hint="eastAsia" w:ascii="宋体" w:hAnsi="宋体" w:eastAsia="宋体" w:cs="宋体"/>
          <w:color w:val="auto"/>
          <w:sz w:val="24"/>
          <w:szCs w:val="24"/>
          <w:highlight w:val="none"/>
          <w:lang w:eastAsia="zh-CN"/>
        </w:rPr>
        <w:t>月度考核分值</w:t>
      </w:r>
      <w:r>
        <w:rPr>
          <w:rFonts w:hint="eastAsia" w:ascii="宋体" w:hAnsi="宋体" w:eastAsia="宋体" w:cs="宋体"/>
          <w:color w:val="auto"/>
          <w:sz w:val="24"/>
          <w:szCs w:val="24"/>
          <w:highlight w:val="none"/>
        </w:rPr>
        <w:t>低于</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中止养护合同。</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第九条 经查实，发生以下情况，直接处以经济处罚：</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1、绿化保洁问题，遇紧急事件或突发事件，接通知15分钟内未落实整改，每次扣款500元；设施问题，30分钟内未响应，每次扣款500元。</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2、市级相关部门检查，被书面通报批评的每次扣款2000元；媒体曝光造成不良社会影响，每次扣款2000元。</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3、乙方指定项目负责人每月到位天数不足24天的，每少一天扣款1000元。责任人员手机无故关机，或联系不上，每项次扣款500元。</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4、养护单位未按要求上报年度工作计划、月度作业计划、年度工作总结等材料的，每次扣500元。</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第十条  本办法于</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日起实施，由智慧新城</w:t>
      </w:r>
      <w:r>
        <w:rPr>
          <w:rFonts w:hint="eastAsia" w:ascii="宋体" w:hAnsi="宋体" w:eastAsia="宋体" w:cs="宋体"/>
          <w:sz w:val="24"/>
          <w:szCs w:val="24"/>
          <w:lang w:val="en-US" w:eastAsia="zh-CN"/>
        </w:rPr>
        <w:t>管委会智慧城管部</w:t>
      </w:r>
      <w:r>
        <w:rPr>
          <w:rFonts w:hint="eastAsia" w:ascii="宋体" w:hAnsi="宋体" w:eastAsia="宋体" w:cs="宋体"/>
          <w:sz w:val="24"/>
          <w:szCs w:val="24"/>
        </w:rPr>
        <w:t>负责解释。</w:t>
      </w: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p>
    <w:p>
      <w:pPr>
        <w:pStyle w:val="604"/>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智慧新城城市管理养护季度考核审批表</w:t>
      </w:r>
      <w:r>
        <w:rPr>
          <w:rFonts w:hint="eastAsia" w:ascii="宋体" w:hAnsi="宋体" w:eastAsia="宋体" w:cs="宋体"/>
          <w:sz w:val="24"/>
          <w:szCs w:val="24"/>
          <w:lang w:eastAsia="zh-CN"/>
        </w:rPr>
        <w:t>；</w:t>
      </w:r>
    </w:p>
    <w:p>
      <w:pPr>
        <w:pStyle w:val="604"/>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智慧新城城市管理养护月度考核审批表</w:t>
      </w:r>
      <w:r>
        <w:rPr>
          <w:rFonts w:hint="eastAsia" w:ascii="宋体" w:hAnsi="宋体" w:eastAsia="宋体" w:cs="宋体"/>
          <w:sz w:val="24"/>
          <w:szCs w:val="24"/>
          <w:lang w:eastAsia="zh-CN"/>
        </w:rPr>
        <w:t>；</w:t>
      </w:r>
    </w:p>
    <w:p>
      <w:pPr>
        <w:pStyle w:val="604"/>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智慧新城城市管理养护考核交办单</w:t>
      </w:r>
      <w:r>
        <w:rPr>
          <w:rFonts w:hint="eastAsia" w:ascii="宋体" w:hAnsi="宋体" w:eastAsia="宋体" w:cs="宋体"/>
          <w:sz w:val="24"/>
          <w:szCs w:val="24"/>
          <w:lang w:eastAsia="zh-CN"/>
        </w:rPr>
        <w:t>；</w:t>
      </w:r>
    </w:p>
    <w:p>
      <w:pPr>
        <w:pStyle w:val="604"/>
        <w:keepNext w:val="0"/>
        <w:keepLines w:val="0"/>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道路卫生保洁考核细则</w:t>
      </w:r>
      <w:r>
        <w:rPr>
          <w:rFonts w:hint="eastAsia" w:ascii="宋体" w:hAnsi="宋体" w:eastAsia="宋体" w:cs="宋体"/>
          <w:sz w:val="24"/>
          <w:szCs w:val="24"/>
          <w:lang w:eastAsia="zh-CN"/>
        </w:rPr>
        <w:t>。</w:t>
      </w:r>
    </w:p>
    <w:p>
      <w:pPr>
        <w:spacing w:line="540" w:lineRule="exact"/>
        <w:rPr>
          <w:rFonts w:hint="eastAsia" w:ascii="宋体" w:hAnsi="宋体" w:eastAsia="宋体" w:cs="宋体"/>
          <w:sz w:val="24"/>
          <w:szCs w:val="24"/>
        </w:rPr>
      </w:pPr>
    </w:p>
    <w:p>
      <w:pPr>
        <w:spacing w:line="540" w:lineRule="exact"/>
        <w:rPr>
          <w:rFonts w:hint="eastAsia" w:ascii="宋体" w:hAnsi="宋体" w:eastAsia="宋体" w:cs="宋体"/>
          <w:sz w:val="24"/>
          <w:szCs w:val="24"/>
        </w:rPr>
      </w:pPr>
    </w:p>
    <w:p>
      <w:pPr>
        <w:spacing w:line="540" w:lineRule="exact"/>
        <w:rPr>
          <w:rFonts w:hint="eastAsia" w:ascii="宋体" w:hAnsi="宋体" w:eastAsia="宋体" w:cs="宋体"/>
          <w:sz w:val="24"/>
          <w:szCs w:val="24"/>
        </w:rPr>
      </w:pPr>
    </w:p>
    <w:p>
      <w:pPr>
        <w:spacing w:line="540" w:lineRule="exact"/>
        <w:jc w:val="center"/>
        <w:rPr>
          <w:rFonts w:hint="eastAsia" w:ascii="宋体" w:hAnsi="宋体" w:eastAsia="宋体" w:cs="宋体"/>
          <w:sz w:val="24"/>
          <w:szCs w:val="24"/>
        </w:rPr>
      </w:pPr>
      <w:r>
        <w:rPr>
          <w:rFonts w:hint="eastAsia" w:ascii="宋体" w:hAnsi="宋体" w:eastAsia="宋体" w:cs="宋体"/>
          <w:b/>
          <w:sz w:val="28"/>
          <w:szCs w:val="28"/>
        </w:rPr>
        <w:t>智慧新城城市管理养护季度考核审批表</w:t>
      </w:r>
    </w:p>
    <w:tbl>
      <w:tblPr>
        <w:tblStyle w:val="88"/>
        <w:tblpPr w:leftFromText="180" w:rightFromText="180" w:vertAnchor="text" w:horzAnchor="page" w:tblpX="1397"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559"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  目</w:t>
            </w:r>
          </w:p>
        </w:tc>
        <w:tc>
          <w:tcPr>
            <w:tcW w:w="8056" w:type="dxa"/>
            <w:noWrap w:val="0"/>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9"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考核标段</w:t>
            </w:r>
          </w:p>
        </w:tc>
        <w:tc>
          <w:tcPr>
            <w:tcW w:w="8056"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559"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考核范围</w:t>
            </w:r>
          </w:p>
        </w:tc>
        <w:tc>
          <w:tcPr>
            <w:tcW w:w="805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59" w:type="dxa"/>
            <w:vMerge w:val="restart"/>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月度考核情况</w:t>
            </w:r>
          </w:p>
        </w:tc>
        <w:tc>
          <w:tcPr>
            <w:tcW w:w="8056" w:type="dxa"/>
            <w:noWrap w:val="0"/>
            <w:vAlign w:val="center"/>
          </w:tcPr>
          <w:p>
            <w:pPr>
              <w:spacing w:line="500" w:lineRule="exact"/>
              <w:ind w:left="38" w:leftChars="-41" w:hanging="153" w:hangingChars="64"/>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月份，综合考核得分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59" w:type="dxa"/>
            <w:vMerge w:val="continue"/>
            <w:noWrap w:val="0"/>
            <w:vAlign w:val="center"/>
          </w:tcPr>
          <w:p>
            <w:pPr>
              <w:spacing w:line="420" w:lineRule="exact"/>
              <w:jc w:val="center"/>
              <w:rPr>
                <w:rFonts w:hint="eastAsia" w:ascii="宋体" w:hAnsi="宋体" w:eastAsia="宋体" w:cs="宋体"/>
                <w:b/>
                <w:sz w:val="24"/>
                <w:szCs w:val="24"/>
              </w:rPr>
            </w:pPr>
          </w:p>
        </w:tc>
        <w:tc>
          <w:tcPr>
            <w:tcW w:w="8056" w:type="dxa"/>
            <w:noWrap w:val="0"/>
            <w:vAlign w:val="center"/>
          </w:tcPr>
          <w:p>
            <w:pPr>
              <w:spacing w:line="500" w:lineRule="exact"/>
              <w:ind w:left="38" w:leftChars="-41" w:hanging="153" w:hangingChars="64"/>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月份，综合考核得分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59" w:type="dxa"/>
            <w:vMerge w:val="continue"/>
            <w:noWrap w:val="0"/>
            <w:vAlign w:val="center"/>
          </w:tcPr>
          <w:p>
            <w:pPr>
              <w:spacing w:line="420" w:lineRule="exact"/>
              <w:jc w:val="center"/>
              <w:rPr>
                <w:rFonts w:hint="eastAsia" w:ascii="宋体" w:hAnsi="宋体" w:eastAsia="宋体" w:cs="宋体"/>
                <w:b/>
                <w:sz w:val="24"/>
                <w:szCs w:val="24"/>
              </w:rPr>
            </w:pPr>
          </w:p>
        </w:tc>
        <w:tc>
          <w:tcPr>
            <w:tcW w:w="8056" w:type="dxa"/>
            <w:noWrap w:val="0"/>
            <w:vAlign w:val="center"/>
          </w:tcPr>
          <w:p>
            <w:pPr>
              <w:spacing w:line="500" w:lineRule="exact"/>
              <w:ind w:left="38" w:leftChars="-41" w:hanging="153" w:hangingChars="64"/>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月份，综合考核得分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1559"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季度考核结果及评价</w:t>
            </w:r>
          </w:p>
        </w:tc>
        <w:tc>
          <w:tcPr>
            <w:tcW w:w="8056" w:type="dxa"/>
            <w:noWrap w:val="0"/>
            <w:vAlign w:val="center"/>
          </w:tcPr>
          <w:p>
            <w:pPr>
              <w:spacing w:line="500" w:lineRule="exact"/>
              <w:ind w:left="38" w:leftChars="-41" w:hanging="153" w:hangingChars="64"/>
              <w:rPr>
                <w:rFonts w:hint="eastAsia" w:ascii="宋体" w:hAnsi="宋体" w:eastAsia="宋体" w:cs="宋体"/>
                <w:sz w:val="24"/>
                <w:szCs w:val="24"/>
              </w:rPr>
            </w:pPr>
            <w:r>
              <w:rPr>
                <w:rFonts w:hint="eastAsia" w:ascii="宋体" w:hAnsi="宋体" w:eastAsia="宋体" w:cs="宋体"/>
                <w:sz w:val="24"/>
                <w:szCs w:val="24"/>
              </w:rPr>
              <w:t xml:space="preserve">     本季考核得分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分，季度考核评为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，共计扣款</w:t>
            </w:r>
            <w:r>
              <w:rPr>
                <w:rFonts w:hint="eastAsia" w:ascii="宋体" w:hAnsi="宋体" w:eastAsia="宋体" w:cs="宋体"/>
                <w:sz w:val="24"/>
                <w:szCs w:val="24"/>
                <w:u w:val="single"/>
              </w:rPr>
              <w:t xml:space="preserve">    </w:t>
            </w:r>
            <w:r>
              <w:rPr>
                <w:rFonts w:hint="eastAsia" w:ascii="宋体" w:hAnsi="宋体" w:eastAsia="宋体" w:cs="宋体"/>
                <w:sz w:val="24"/>
                <w:szCs w:val="24"/>
              </w:rPr>
              <w:t>元（扣款计算：</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559"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业主代表签字</w:t>
            </w:r>
          </w:p>
        </w:tc>
        <w:tc>
          <w:tcPr>
            <w:tcW w:w="805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559"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巡督考科人员签字</w:t>
            </w:r>
          </w:p>
        </w:tc>
        <w:tc>
          <w:tcPr>
            <w:tcW w:w="805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59"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局室负责人签字</w:t>
            </w:r>
          </w:p>
        </w:tc>
        <w:tc>
          <w:tcPr>
            <w:tcW w:w="805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559"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分管领导</w:t>
            </w:r>
          </w:p>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签字</w:t>
            </w:r>
          </w:p>
        </w:tc>
        <w:tc>
          <w:tcPr>
            <w:tcW w:w="8056" w:type="dxa"/>
            <w:noWrap w:val="0"/>
            <w:vAlign w:val="center"/>
          </w:tcPr>
          <w:p>
            <w:pPr>
              <w:rPr>
                <w:rFonts w:hint="eastAsia" w:ascii="宋体" w:hAnsi="宋体" w:eastAsia="宋体" w:cs="宋体"/>
                <w:sz w:val="24"/>
                <w:szCs w:val="24"/>
              </w:rPr>
            </w:pPr>
          </w:p>
        </w:tc>
      </w:tr>
    </w:tbl>
    <w:p>
      <w:pPr>
        <w:spacing w:line="540" w:lineRule="exact"/>
        <w:jc w:val="center"/>
        <w:rPr>
          <w:rFonts w:hint="eastAsia" w:ascii="宋体" w:hAnsi="宋体" w:eastAsia="宋体" w:cs="宋体"/>
          <w:b/>
          <w:sz w:val="24"/>
          <w:szCs w:val="24"/>
        </w:rPr>
      </w:pPr>
    </w:p>
    <w:p>
      <w:pPr>
        <w:spacing w:line="540" w:lineRule="exact"/>
        <w:jc w:val="center"/>
        <w:rPr>
          <w:rFonts w:hint="eastAsia" w:ascii="宋体" w:hAnsi="宋体" w:eastAsia="宋体" w:cs="宋体"/>
          <w:b/>
          <w:sz w:val="24"/>
          <w:szCs w:val="24"/>
        </w:rPr>
      </w:pPr>
    </w:p>
    <w:p>
      <w:pPr>
        <w:spacing w:line="540" w:lineRule="exact"/>
        <w:jc w:val="center"/>
        <w:rPr>
          <w:rFonts w:hint="eastAsia" w:ascii="宋体" w:hAnsi="宋体" w:eastAsia="宋体" w:cs="宋体"/>
          <w:b/>
          <w:sz w:val="24"/>
          <w:szCs w:val="24"/>
        </w:rPr>
      </w:pPr>
    </w:p>
    <w:p>
      <w:pPr>
        <w:pStyle w:val="5"/>
        <w:rPr>
          <w:rFonts w:hint="eastAsia"/>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智慧新城城市管理养护月度考核审批表</w:t>
      </w:r>
    </w:p>
    <w:tbl>
      <w:tblPr>
        <w:tblStyle w:val="88"/>
        <w:tblpPr w:leftFromText="180" w:rightFromText="180" w:vertAnchor="text" w:horzAnchor="page" w:tblpX="1397" w:tblpY="309"/>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900"/>
        <w:gridCol w:w="561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3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  目</w:t>
            </w:r>
          </w:p>
        </w:tc>
        <w:tc>
          <w:tcPr>
            <w:tcW w:w="7566" w:type="dxa"/>
            <w:gridSpan w:val="3"/>
            <w:noWrap w:val="0"/>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3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考核标段</w:t>
            </w:r>
          </w:p>
        </w:tc>
        <w:tc>
          <w:tcPr>
            <w:tcW w:w="7566" w:type="dxa"/>
            <w:gridSpan w:val="3"/>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34"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考核范围</w:t>
            </w:r>
          </w:p>
        </w:tc>
        <w:tc>
          <w:tcPr>
            <w:tcW w:w="7566" w:type="dxa"/>
            <w:gridSpan w:val="3"/>
            <w:noWrap w:val="0"/>
            <w:vAlign w:val="center"/>
          </w:tcPr>
          <w:p>
            <w:pPr>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734" w:type="dxa"/>
            <w:vMerge w:val="restart"/>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考核扣分情况</w:t>
            </w:r>
          </w:p>
        </w:tc>
        <w:tc>
          <w:tcPr>
            <w:tcW w:w="900" w:type="dxa"/>
            <w:noWrap w:val="0"/>
            <w:vAlign w:val="center"/>
          </w:tcPr>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类别</w:t>
            </w:r>
          </w:p>
        </w:tc>
        <w:tc>
          <w:tcPr>
            <w:tcW w:w="5616" w:type="dxa"/>
            <w:noWrap w:val="0"/>
            <w:vAlign w:val="center"/>
          </w:tcPr>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扣分项</w:t>
            </w: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restart"/>
            <w:noWrap w:val="0"/>
            <w:vAlign w:val="center"/>
          </w:tcPr>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业</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主</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代</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表</w:t>
            </w:r>
          </w:p>
        </w:tc>
        <w:tc>
          <w:tcPr>
            <w:tcW w:w="5616" w:type="dxa"/>
            <w:noWrap w:val="0"/>
            <w:vAlign w:val="center"/>
          </w:tcPr>
          <w:p>
            <w:pPr>
              <w:spacing w:line="500" w:lineRule="exact"/>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jc w:val="center"/>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jc w:val="center"/>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jc w:val="center"/>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jc w:val="center"/>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restart"/>
            <w:noWrap w:val="0"/>
            <w:vAlign w:val="center"/>
          </w:tcPr>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巡</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督</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考</w:t>
            </w:r>
          </w:p>
          <w:p>
            <w:pPr>
              <w:spacing w:line="500" w:lineRule="exact"/>
              <w:ind w:left="38" w:leftChars="-41" w:hanging="153" w:hangingChars="64"/>
              <w:jc w:val="center"/>
              <w:rPr>
                <w:rFonts w:hint="eastAsia" w:ascii="宋体" w:hAnsi="宋体" w:eastAsia="宋体" w:cs="宋体"/>
                <w:sz w:val="24"/>
                <w:szCs w:val="24"/>
              </w:rPr>
            </w:pPr>
            <w:r>
              <w:rPr>
                <w:rFonts w:hint="eastAsia" w:ascii="宋体" w:hAnsi="宋体" w:eastAsia="宋体" w:cs="宋体"/>
                <w:sz w:val="24"/>
                <w:szCs w:val="24"/>
              </w:rPr>
              <w:t>科</w:t>
            </w: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34" w:type="dxa"/>
            <w:vMerge w:val="continue"/>
            <w:noWrap w:val="0"/>
            <w:vAlign w:val="center"/>
          </w:tcPr>
          <w:p>
            <w:pPr>
              <w:spacing w:line="420" w:lineRule="exact"/>
              <w:jc w:val="center"/>
              <w:rPr>
                <w:rFonts w:hint="eastAsia" w:ascii="宋体" w:hAnsi="宋体" w:eastAsia="宋体" w:cs="宋体"/>
                <w:b/>
                <w:sz w:val="24"/>
                <w:szCs w:val="24"/>
              </w:rPr>
            </w:pPr>
          </w:p>
        </w:tc>
        <w:tc>
          <w:tcPr>
            <w:tcW w:w="900" w:type="dxa"/>
            <w:vMerge w:val="continue"/>
            <w:noWrap w:val="0"/>
            <w:vAlign w:val="center"/>
          </w:tcPr>
          <w:p>
            <w:pPr>
              <w:spacing w:line="500" w:lineRule="exact"/>
              <w:ind w:left="38" w:leftChars="-41" w:hanging="153" w:hangingChars="64"/>
              <w:rPr>
                <w:rFonts w:hint="eastAsia" w:ascii="宋体" w:hAnsi="宋体" w:eastAsia="宋体" w:cs="宋体"/>
                <w:sz w:val="24"/>
                <w:szCs w:val="24"/>
              </w:rPr>
            </w:pPr>
          </w:p>
        </w:tc>
        <w:tc>
          <w:tcPr>
            <w:tcW w:w="5616" w:type="dxa"/>
            <w:noWrap w:val="0"/>
            <w:vAlign w:val="center"/>
          </w:tcPr>
          <w:p>
            <w:pPr>
              <w:spacing w:line="500" w:lineRule="exact"/>
              <w:ind w:left="38" w:leftChars="-41" w:hanging="153" w:hangingChars="64"/>
              <w:rPr>
                <w:rFonts w:hint="eastAsia" w:ascii="宋体" w:hAnsi="宋体" w:eastAsia="宋体" w:cs="宋体"/>
                <w:sz w:val="24"/>
                <w:szCs w:val="24"/>
              </w:rPr>
            </w:pPr>
          </w:p>
        </w:tc>
        <w:tc>
          <w:tcPr>
            <w:tcW w:w="1050" w:type="dxa"/>
            <w:noWrap w:val="0"/>
            <w:vAlign w:val="center"/>
          </w:tcPr>
          <w:p>
            <w:pPr>
              <w:spacing w:line="500" w:lineRule="exact"/>
              <w:ind w:left="38" w:leftChars="-41" w:hanging="153" w:hangingChars="64"/>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734"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月度考核结果</w:t>
            </w:r>
          </w:p>
        </w:tc>
        <w:tc>
          <w:tcPr>
            <w:tcW w:w="7566" w:type="dxa"/>
            <w:gridSpan w:val="3"/>
            <w:noWrap w:val="0"/>
            <w:vAlign w:val="center"/>
          </w:tcPr>
          <w:p>
            <w:pPr>
              <w:spacing w:line="500" w:lineRule="exact"/>
              <w:jc w:val="left"/>
              <w:rPr>
                <w:rFonts w:hint="eastAsia" w:ascii="宋体" w:hAnsi="宋体" w:eastAsia="宋体" w:cs="宋体"/>
                <w:sz w:val="24"/>
                <w:szCs w:val="24"/>
              </w:rPr>
            </w:pPr>
            <w:r>
              <w:rPr>
                <w:rFonts w:hint="eastAsia" w:ascii="宋体" w:hAnsi="宋体" w:eastAsia="宋体" w:cs="宋体"/>
                <w:sz w:val="24"/>
                <w:szCs w:val="24"/>
              </w:rPr>
              <w:t>业主代表日常考核得分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分，巡督考科考核得分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分。本月最终考核得分</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734" w:type="dxa"/>
            <w:noWrap w:val="0"/>
            <w:vAlign w:val="center"/>
          </w:tcPr>
          <w:p>
            <w:pPr>
              <w:spacing w:line="420" w:lineRule="exact"/>
              <w:jc w:val="center"/>
              <w:rPr>
                <w:rFonts w:hint="eastAsia" w:ascii="宋体" w:hAnsi="宋体" w:eastAsia="宋体" w:cs="宋体"/>
                <w:b/>
                <w:sz w:val="24"/>
                <w:szCs w:val="24"/>
              </w:rPr>
            </w:pPr>
            <w:r>
              <w:rPr>
                <w:rFonts w:hint="eastAsia" w:ascii="宋体" w:hAnsi="宋体" w:eastAsia="宋体" w:cs="宋体"/>
                <w:b/>
                <w:sz w:val="24"/>
                <w:szCs w:val="24"/>
              </w:rPr>
              <w:t>考核人员签字</w:t>
            </w:r>
          </w:p>
        </w:tc>
        <w:tc>
          <w:tcPr>
            <w:tcW w:w="7566" w:type="dxa"/>
            <w:gridSpan w:val="3"/>
            <w:noWrap w:val="0"/>
            <w:vAlign w:val="center"/>
          </w:tcPr>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日期：   年   月   日</w:t>
            </w:r>
          </w:p>
        </w:tc>
      </w:tr>
    </w:tbl>
    <w:p>
      <w:pPr>
        <w:rPr>
          <w:rFonts w:hint="eastAsia" w:ascii="宋体" w:hAnsi="宋体" w:eastAsia="宋体" w:cs="宋体"/>
          <w:sz w:val="24"/>
          <w:szCs w:val="24"/>
        </w:rPr>
      </w:pPr>
      <w:r>
        <w:rPr>
          <w:rFonts w:hint="eastAsia" w:ascii="宋体" w:hAnsi="宋体" w:eastAsia="宋体" w:cs="宋体"/>
          <w:sz w:val="24"/>
          <w:szCs w:val="24"/>
        </w:rPr>
        <w:t>注：根据月度考核情况，巡督查科按实填写考核结果，汇总至业主代表，由业主代表整理后填写。</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智慧新城城市管理养护考核交办单</w:t>
      </w:r>
    </w:p>
    <w:p>
      <w:pPr>
        <w:pStyle w:val="5"/>
        <w:rPr>
          <w:rFonts w:hint="eastAsia"/>
        </w:rPr>
      </w:pPr>
    </w:p>
    <w:p>
      <w:pPr>
        <w:jc w:val="center"/>
        <w:rPr>
          <w:rFonts w:hint="eastAsia" w:ascii="宋体" w:hAnsi="宋体" w:eastAsia="宋体" w:cs="宋体"/>
          <w:sz w:val="24"/>
          <w:szCs w:val="24"/>
        </w:rPr>
      </w:pPr>
      <w:r>
        <w:rPr>
          <w:rFonts w:hint="eastAsia" w:ascii="宋体" w:hAnsi="宋体" w:eastAsia="宋体" w:cs="宋体"/>
          <w:b/>
          <w:sz w:val="24"/>
          <w:szCs w:val="24"/>
        </w:rPr>
        <w:t>　　　　　</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　（编号：　　　）</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发生地点</w:t>
            </w:r>
          </w:p>
        </w:tc>
        <w:tc>
          <w:tcPr>
            <w:tcW w:w="831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养护单位</w:t>
            </w:r>
          </w:p>
        </w:tc>
        <w:tc>
          <w:tcPr>
            <w:tcW w:w="831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378" w:type="dxa"/>
            <w:noWrap w:val="0"/>
            <w:vAlign w:val="center"/>
          </w:tcPr>
          <w:p>
            <w:pPr>
              <w:jc w:val="center"/>
              <w:rPr>
                <w:rFonts w:hint="eastAsia" w:ascii="宋体" w:hAnsi="宋体" w:eastAsia="宋体" w:cs="宋体"/>
                <w:sz w:val="24"/>
                <w:szCs w:val="24"/>
              </w:rPr>
            </w:pPr>
            <w:r>
              <w:rPr>
                <w:rFonts w:hint="eastAsia" w:ascii="宋体" w:hAnsi="宋体" w:eastAsia="宋体" w:cs="宋体"/>
                <w:b/>
                <w:sz w:val="24"/>
                <w:szCs w:val="24"/>
              </w:rPr>
              <w:t>具体问题：</w:t>
            </w:r>
          </w:p>
          <w:p>
            <w:pPr>
              <w:jc w:val="center"/>
              <w:rPr>
                <w:rFonts w:hint="eastAsia" w:ascii="宋体" w:hAnsi="宋体" w:eastAsia="宋体" w:cs="宋体"/>
                <w:sz w:val="24"/>
                <w:szCs w:val="24"/>
              </w:rPr>
            </w:pPr>
          </w:p>
        </w:tc>
        <w:tc>
          <w:tcPr>
            <w:tcW w:w="8319" w:type="dxa"/>
            <w:noWrap w:val="0"/>
            <w:vAlign w:val="top"/>
          </w:tcPr>
          <w:p>
            <w:pPr>
              <w:ind w:right="480"/>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p>
          <w:p>
            <w:pPr>
              <w:ind w:right="480"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w:t>
            </w:r>
          </w:p>
          <w:p>
            <w:pPr>
              <w:ind w:right="480"/>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经办人</w:t>
            </w:r>
          </w:p>
          <w:p>
            <w:pPr>
              <w:jc w:val="center"/>
              <w:rPr>
                <w:rFonts w:hint="eastAsia" w:ascii="宋体" w:hAnsi="宋体" w:eastAsia="宋体" w:cs="宋体"/>
                <w:b/>
                <w:sz w:val="24"/>
                <w:szCs w:val="24"/>
              </w:rPr>
            </w:pPr>
            <w:r>
              <w:rPr>
                <w:rFonts w:hint="eastAsia" w:ascii="宋体" w:hAnsi="宋体" w:eastAsia="宋体" w:cs="宋体"/>
                <w:b/>
                <w:sz w:val="24"/>
                <w:szCs w:val="24"/>
              </w:rPr>
              <w:t>意见</w:t>
            </w:r>
          </w:p>
        </w:tc>
        <w:tc>
          <w:tcPr>
            <w:tcW w:w="831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val="en-US" w:eastAsia="zh-CN"/>
              </w:rPr>
              <w:t>部</w:t>
            </w:r>
            <w:r>
              <w:rPr>
                <w:rFonts w:hint="eastAsia" w:ascii="宋体" w:hAnsi="宋体" w:eastAsia="宋体" w:cs="宋体"/>
                <w:b/>
                <w:sz w:val="24"/>
                <w:szCs w:val="24"/>
              </w:rPr>
              <w:t>室负责人意见</w:t>
            </w:r>
          </w:p>
        </w:tc>
        <w:tc>
          <w:tcPr>
            <w:tcW w:w="831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要求整改到位时间</w:t>
            </w:r>
          </w:p>
        </w:tc>
        <w:tc>
          <w:tcPr>
            <w:tcW w:w="831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378" w:type="dxa"/>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业主代表签收</w:t>
            </w:r>
          </w:p>
        </w:tc>
        <w:tc>
          <w:tcPr>
            <w:tcW w:w="8319"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378" w:type="dxa"/>
            <w:noWrap w:val="0"/>
            <w:vAlign w:val="center"/>
          </w:tcPr>
          <w:p>
            <w:pPr>
              <w:jc w:val="center"/>
              <w:rPr>
                <w:rFonts w:hint="eastAsia" w:ascii="宋体" w:hAnsi="宋体" w:eastAsia="宋体" w:cs="宋体"/>
                <w:sz w:val="24"/>
                <w:szCs w:val="24"/>
              </w:rPr>
            </w:pPr>
            <w:r>
              <w:rPr>
                <w:rFonts w:hint="eastAsia" w:ascii="宋体" w:hAnsi="宋体" w:eastAsia="宋体" w:cs="宋体"/>
                <w:b/>
                <w:sz w:val="24"/>
                <w:szCs w:val="24"/>
              </w:rPr>
              <w:t>养护单位签收</w:t>
            </w:r>
          </w:p>
        </w:tc>
        <w:tc>
          <w:tcPr>
            <w:tcW w:w="831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签收人：　　　　　　　　　　　　   　　　　　年　　月　 　日</w:t>
            </w:r>
          </w:p>
        </w:tc>
      </w:tr>
    </w:tbl>
    <w:p>
      <w:pPr>
        <w:jc w:val="center"/>
        <w:rPr>
          <w:rFonts w:hint="eastAsia" w:ascii="宋体" w:hAnsi="宋体" w:eastAsia="宋体" w:cs="宋体"/>
          <w:b/>
          <w:bCs/>
          <w:sz w:val="24"/>
          <w:szCs w:val="24"/>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智慧新城城市道路卫生保洁考核实施细则</w:t>
      </w:r>
    </w:p>
    <w:tbl>
      <w:tblPr>
        <w:tblStyle w:val="88"/>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5"/>
        <w:gridCol w:w="3504"/>
        <w:gridCol w:w="1116"/>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42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打分项目、内容</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标准分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扣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管理指标落实情况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按照保洁分类管理指标要求落实道路保洁时间</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道路保洁时间按合同要求执行，由业主代表抓落实，未达到合同约定的，每发现一次扣5分。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按照保洁分类管理指标要求落实道路保洁人员</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道路保洁人员按合同要求执行，由业主代表抓落实，每次考核，每少一人扣1分。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按照保洁分类管理指标要求落实道路保洁机械车辆</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道路保洁机械每月底上报行驶里程数，未上报的每次扣2分；平均每天里程数不足标段内道路公里数4倍的，扣1分；GPS定位显示当天扫洗车未作业的，扣1分。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2</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道路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保洁质量情况</w:t>
            </w:r>
          </w:p>
        </w:tc>
        <w:tc>
          <w:tcPr>
            <w:tcW w:w="35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路面无垃圾、无杂物、无积泥（沙石），晴天无积水，雨水井沟眼畅通干净，树圈清洁无垃圾、杂物，人行道板及各类井盖等处缝隙无垃圾、杂物。</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35分</w:t>
            </w:r>
          </w:p>
        </w:tc>
        <w:tc>
          <w:tcPr>
            <w:tcW w:w="41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路面垃圾（杂物）小于2㎡的每处扣1分,大于等于2㎡的每处扣2分。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雨水井沟眼有积泥（嵌石）的每处扣0.5分，树圈有垃圾（杂物）的每处扣0.5分。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道路积泥（沙石）长度小于5米的每处扣1分，小于10米的每处扣2分，小于20米的每处扣4分，大于等于20米的每处扣6分。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道路晴天积水大于等于3㎡的每处扣2分，极端天气路面严重积水或结冰的每处扣10分，导致有责交通事故的每次扣20分。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道路绿地（含车道绿化隔离带、人行道绿地）保洁应与道路保洁同步，做到绿化带内无杂物、无垃圾。垃圾、落叶不得倒入绿地内。</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道路绿地内垃圾(杂物)小于2㎡的每处扣1分，大于2㎡的每处扣2分。垃圾、落叶倒入绿地内，每发现一次扣2分。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道路清洗要做到机动车道、非机动车道、人行道（含店前道路）路面见本色，无污迹。</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机动车道、非机动车道、人行道（含店前道路）路面油污、污渍、污迹小于1㎡的每处扣1分，大于等于1㎡的每处扣2分，路面清洗质量不到位未见本色的，每处扣2分。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交通隔离栏（墩）、路灯杆、交通信号灯杆（2.0米以下部分）无污垢、无积尘、无牛皮癣。</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路灯杆、交通信号灯杆（2.0米以下部分）清洗质量未达标，有污迹、积尘、牛皮癣的每处扣1分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道路两侧建筑工地出入口前路面（或空地）清洁。</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建筑工地出入口有泥沙、泥浆污迹，入口两端各10m范围内督促工地清扫干净，入口两端各10m范围外，每超1m，扣1分。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3</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道路环卫设施管理情况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垃圾箱（桶）完好，无破损、歪斜、油漆剥落（或严重褪色）、表面干净无污迹现象，垃圾箱、果壳箱内的垃圾不满溢，周围无蝇，无臭。垃圾箱（桶）周边无暴露垃圾。</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垃圾箱（桶）破损的每处扣0.5分，油漆剥落（或严重褪色）、歪斜的每处扣0.5分，表面污迹未清理的每处扣0.5分。垃圾箱（桶）周边有暴露垃圾的每处扣1分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环卫专业车辆（含机动车、非机动车）外观整洁、无破损。垃圾清运车实行密闭运输，无垃圾抛洒、无污水滴漏、车厢外无吊挂。</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环卫专用车辆外观不洁、积尘、破损、车身油漆剥落（剥落面积大于15cm×15cm），垃圾清运车未实行密闭运输发生抛洒滴漏污染路面、车厢外有吊挂垃圾等问题，每发生1次，扣1分。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公共基础设施（如路面、窨井盖、电缆、杆线、交通信号灯、指示牌、果壳箱等）损坏、缺失情况，及时向管理人员报告，做好明显有效的临时维护，配合产权单位进行修复。</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发现公共设施未报告或报告未作有效维护的，每次扣1分。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4</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作业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规范执行情况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人工清扫保洁作业时，道路、人行道（含店前道路）不得漏扫、反扫，垃圾应归拢、归堆并清除彻底；清扫保洁时不得将垃圾扫入窨井中或向道路两侧反扫；垃圾清运小车作业时不得将垃圾直接落地转运；人工清雪作业时不得向路面洒雪。</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清扫保洁作业不规范导致路面扬尘的，每次扣1分。道路、人行道（含店前道路）漏扫的每处扣1分，垃圾归拢、归堆未清除的每处扣1分，清除不彻底的每处扣1分，清扫保洁时将垃圾扫入窨井中或向道路两侧反扫的每次扣1分；垃圾清运小车将垃圾直接接触路面（或地面）进行转运的每次扣1分；清雪作业时向路面洒雪的，每发生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5</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安全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管理落实情况</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安全生产工作落实，避免发生交通事故。对辖区一线道路保洁员进行安全生产全面培训，新录用环卫工人应实施安全生产培训后方可上岗，自觉养成“一停二看三作业”的良好习惯，提高自我防范意识。保洁人员须穿反光背心，人力保洁小车、垃圾清运车要在车辆前部、后部、两侧设置反光标识，普扫时应使用保洁小车和反光锥形筒围护清扫区域的路面。清除大片污染时，应做到有组织、有交通安全防护措施，采取小组作业方式进行，并设置反光锥形筒或与扫路车、洒水车协同进行。</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保洁员工作时间未穿反光工作服的，每人次扣1分；保洁小车、垃圾清运小车未在车辆前部、后部、两侧设置反光标识的，每车次扣1分；普扫时未使用反光锥形筒围护清扫区域路面的，每次扣1分。清除大片污染时，组织不周密或交通安全防护措施不落实的，每发现1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6</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遇节假日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创文</w:t>
            </w:r>
            <w:r>
              <w:rPr>
                <w:rFonts w:hint="eastAsia" w:ascii="宋体" w:hAnsi="宋体" w:eastAsia="宋体" w:cs="宋体"/>
                <w:sz w:val="21"/>
                <w:szCs w:val="21"/>
              </w:rPr>
              <w:t>、创卫等重大活动，按要求临时增加人员和延长工作时间。</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5分</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违反本条规定的，每次扣2分。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支持配合甲方所从事的</w:t>
            </w:r>
            <w:r>
              <w:rPr>
                <w:rFonts w:hint="eastAsia" w:ascii="宋体" w:hAnsi="宋体" w:eastAsia="宋体" w:cs="宋体"/>
                <w:sz w:val="21"/>
                <w:szCs w:val="21"/>
                <w:lang w:val="en-US" w:eastAsia="zh-CN"/>
              </w:rPr>
              <w:t>城市管理</w:t>
            </w:r>
            <w:r>
              <w:rPr>
                <w:rFonts w:hint="eastAsia" w:ascii="宋体" w:hAnsi="宋体" w:eastAsia="宋体" w:cs="宋体"/>
                <w:sz w:val="21"/>
                <w:szCs w:val="21"/>
              </w:rPr>
              <w:t>、工程建设、招商引资等其他工作。</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违反本条规定的，每次扣2分。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7</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社会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监督</w:t>
            </w: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群众来信、来电、来访举报，属实</w:t>
            </w:r>
          </w:p>
        </w:tc>
        <w:tc>
          <w:tcPr>
            <w:tcW w:w="11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以整改通知单为准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媒体曝光，属实</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以整改通知单为准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数字城管录入派遣单，属实</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以整改通知单为准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rPr>
            </w:pP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35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上级部门点名批评或扣分</w:t>
            </w:r>
          </w:p>
        </w:tc>
        <w:tc>
          <w:tcPr>
            <w:tcW w:w="11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以整改通知单为准</w:t>
            </w:r>
          </w:p>
        </w:tc>
      </w:tr>
    </w:tbl>
    <w:p>
      <w:pPr>
        <w:rPr>
          <w:rFonts w:hint="eastAsia"/>
          <w:lang w:val="en-US" w:eastAsia="zh-CN"/>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p>
    <w:bookmarkEnd w:id="88"/>
    <w:bookmarkEnd w:id="89"/>
    <w:bookmarkEnd w:id="90"/>
    <w:p>
      <w:pPr>
        <w:rPr>
          <w:lang w:val="zh-CN"/>
        </w:rPr>
      </w:pPr>
    </w:p>
    <w:bookmarkEnd w:id="91"/>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int="eastAsia" w:hAnsi="宋体"/>
          <w:b/>
          <w:sz w:val="36"/>
          <w:highlight w:val="none"/>
        </w:rPr>
      </w:pPr>
    </w:p>
    <w:p>
      <w:pPr>
        <w:pStyle w:val="46"/>
        <w:snapToGrid w:val="0"/>
        <w:spacing w:line="380" w:lineRule="exact"/>
        <w:ind w:firstLine="723" w:firstLineChars="200"/>
        <w:jc w:val="center"/>
        <w:rPr>
          <w:rFonts w:hAnsi="宋体"/>
          <w:b/>
          <w:sz w:val="24"/>
          <w:highlight w:val="none"/>
        </w:rPr>
      </w:pPr>
      <w:r>
        <w:rPr>
          <w:rFonts w:hint="eastAsia" w:hAnsi="宋体"/>
          <w:b/>
          <w:sz w:val="36"/>
          <w:highlight w:val="none"/>
        </w:rPr>
        <w:t xml:space="preserve">第五部分 </w:t>
      </w:r>
      <w:bookmarkEnd w:id="84"/>
      <w:bookmarkEnd w:id="85"/>
      <w:r>
        <w:rPr>
          <w:rFonts w:hint="eastAsia" w:hAnsi="宋体"/>
          <w:b/>
          <w:sz w:val="36"/>
          <w:highlight w:val="none"/>
        </w:rPr>
        <w:t>投标文件部分格式文件</w:t>
      </w:r>
    </w:p>
    <w:p>
      <w:pPr>
        <w:pStyle w:val="46"/>
        <w:adjustRightInd w:val="0"/>
        <w:snapToGrid w:val="0"/>
        <w:spacing w:line="360" w:lineRule="auto"/>
        <w:jc w:val="center"/>
        <w:outlineLvl w:val="1"/>
        <w:rPr>
          <w:rFonts w:hAnsi="宋体"/>
          <w:b/>
          <w:sz w:val="28"/>
          <w:highlight w:val="none"/>
          <w:lang w:val="zh-CN"/>
        </w:rPr>
      </w:pPr>
      <w:bookmarkStart w:id="92" w:name="_Toc2553"/>
      <w:bookmarkStart w:id="93" w:name="_Toc519670202"/>
      <w:bookmarkStart w:id="94" w:name="_Toc522530052"/>
      <w:bookmarkStart w:id="95" w:name="_Toc233618990"/>
      <w:bookmarkStart w:id="96" w:name="_Toc233618989"/>
    </w:p>
    <w:p>
      <w:pPr>
        <w:pStyle w:val="46"/>
        <w:adjustRightInd w:val="0"/>
        <w:snapToGrid w:val="0"/>
        <w:spacing w:line="360" w:lineRule="auto"/>
        <w:jc w:val="center"/>
        <w:outlineLvl w:val="1"/>
        <w:rPr>
          <w:rFonts w:hAnsi="宋体"/>
          <w:b/>
          <w:sz w:val="28"/>
          <w:highlight w:val="none"/>
        </w:rPr>
      </w:pPr>
      <w:r>
        <w:rPr>
          <w:rFonts w:hint="eastAsia" w:hAnsi="宋体"/>
          <w:b/>
          <w:sz w:val="28"/>
          <w:highlight w:val="none"/>
          <w:lang w:val="zh-CN"/>
        </w:rPr>
        <w:t>格式</w:t>
      </w:r>
      <w:r>
        <w:rPr>
          <w:rFonts w:hint="eastAsia" w:hAnsi="宋体"/>
          <w:b/>
          <w:sz w:val="28"/>
          <w:highlight w:val="none"/>
        </w:rPr>
        <w:t>一：资格审查资料</w:t>
      </w:r>
      <w:bookmarkEnd w:id="92"/>
    </w:p>
    <w:p>
      <w:pPr>
        <w:spacing w:line="500" w:lineRule="exact"/>
        <w:jc w:val="center"/>
        <w:rPr>
          <w:rFonts w:ascii="宋体" w:hAnsi="宋体" w:cs="宋体"/>
          <w:b/>
          <w:sz w:val="30"/>
          <w:szCs w:val="30"/>
          <w:highlight w:val="none"/>
        </w:rPr>
      </w:pPr>
      <w:r>
        <w:rPr>
          <w:rFonts w:ascii="宋体" w:hAnsi="宋体" w:cs="宋体"/>
          <w:b/>
          <w:sz w:val="30"/>
          <w:szCs w:val="30"/>
          <w:highlight w:val="none"/>
        </w:rPr>
        <w:t>资格审查资料</w:t>
      </w:r>
    </w:p>
    <w:p>
      <w:pPr>
        <w:autoSpaceDE w:val="0"/>
        <w:autoSpaceDN w:val="0"/>
        <w:adjustRightInd w:val="0"/>
        <w:snapToGrid w:val="0"/>
        <w:spacing w:line="300" w:lineRule="auto"/>
        <w:ind w:firstLine="560" w:firstLineChars="200"/>
        <w:jc w:val="left"/>
        <w:rPr>
          <w:rFonts w:ascii="宋体" w:hAnsi="宋体" w:cs="Arial"/>
          <w:kern w:val="0"/>
          <w:szCs w:val="21"/>
          <w:highlight w:val="none"/>
        </w:rPr>
      </w:pPr>
    </w:p>
    <w:p>
      <w:pPr>
        <w:pStyle w:val="46"/>
        <w:snapToGrid w:val="0"/>
        <w:spacing w:line="400" w:lineRule="exact"/>
        <w:ind w:firstLine="480" w:firstLineChars="200"/>
        <w:rPr>
          <w:rFonts w:hAnsi="宋体"/>
          <w:sz w:val="24"/>
          <w:szCs w:val="24"/>
          <w:highlight w:val="none"/>
        </w:rPr>
      </w:pPr>
      <w:r>
        <w:rPr>
          <w:rFonts w:hAnsi="宋体"/>
          <w:sz w:val="24"/>
          <w:szCs w:val="24"/>
          <w:highlight w:val="none"/>
        </w:rPr>
        <w:t>（一）资格审查须知</w:t>
      </w:r>
    </w:p>
    <w:p>
      <w:pPr>
        <w:pStyle w:val="46"/>
        <w:snapToGrid w:val="0"/>
        <w:spacing w:line="400" w:lineRule="exact"/>
        <w:ind w:firstLine="480" w:firstLineChars="200"/>
        <w:rPr>
          <w:rFonts w:hAnsi="宋体"/>
          <w:sz w:val="24"/>
          <w:szCs w:val="24"/>
          <w:highlight w:val="none"/>
        </w:rPr>
      </w:pPr>
      <w:r>
        <w:rPr>
          <w:rFonts w:hAnsi="宋体"/>
          <w:sz w:val="24"/>
          <w:szCs w:val="24"/>
          <w:highlight w:val="none"/>
        </w:rPr>
        <w:t>1、投标人必须认真填写招标文件规定的所有表格，并对其真实性负责，</w:t>
      </w:r>
      <w:r>
        <w:rPr>
          <w:rFonts w:hint="eastAsia" w:hAnsi="宋体"/>
          <w:sz w:val="24"/>
          <w:szCs w:val="24"/>
          <w:highlight w:val="none"/>
        </w:rPr>
        <w:t>采购人</w:t>
      </w:r>
      <w:r>
        <w:rPr>
          <w:rFonts w:hAnsi="宋体"/>
          <w:sz w:val="24"/>
          <w:szCs w:val="24"/>
          <w:highlight w:val="none"/>
        </w:rPr>
        <w:t>有权对其进行调查核实和要求澄清。</w:t>
      </w:r>
    </w:p>
    <w:p>
      <w:pPr>
        <w:pStyle w:val="46"/>
        <w:snapToGrid w:val="0"/>
        <w:spacing w:line="400" w:lineRule="exact"/>
        <w:ind w:firstLine="480" w:firstLineChars="200"/>
        <w:rPr>
          <w:rFonts w:hAnsi="宋体"/>
          <w:sz w:val="24"/>
          <w:szCs w:val="24"/>
          <w:highlight w:val="none"/>
        </w:rPr>
      </w:pPr>
      <w:r>
        <w:rPr>
          <w:rFonts w:hAnsi="宋体"/>
          <w:sz w:val="24"/>
          <w:szCs w:val="24"/>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pStyle w:val="46"/>
        <w:snapToGrid w:val="0"/>
        <w:spacing w:line="400" w:lineRule="exact"/>
        <w:ind w:firstLine="480" w:firstLineChars="200"/>
        <w:rPr>
          <w:rFonts w:hAnsi="宋体"/>
          <w:sz w:val="24"/>
          <w:szCs w:val="24"/>
          <w:highlight w:val="none"/>
        </w:rPr>
      </w:pPr>
      <w:r>
        <w:rPr>
          <w:rFonts w:hAnsi="宋体"/>
          <w:sz w:val="24"/>
          <w:szCs w:val="24"/>
          <w:highlight w:val="none"/>
        </w:rPr>
        <w:t>（二）资格审查资料格式</w:t>
      </w:r>
    </w:p>
    <w:p>
      <w:pPr>
        <w:pStyle w:val="46"/>
        <w:snapToGrid w:val="0"/>
        <w:spacing w:line="400" w:lineRule="exact"/>
        <w:ind w:firstLine="480" w:firstLineChars="200"/>
        <w:rPr>
          <w:rFonts w:hAnsi="宋体"/>
          <w:sz w:val="24"/>
          <w:szCs w:val="24"/>
          <w:highlight w:val="none"/>
        </w:rPr>
      </w:pPr>
      <w:r>
        <w:rPr>
          <w:rFonts w:hint="eastAsia" w:hAnsi="宋体"/>
          <w:sz w:val="24"/>
          <w:szCs w:val="24"/>
          <w:highlight w:val="none"/>
        </w:rPr>
        <w:t>表1 强制性资格条件</w:t>
      </w:r>
    </w:p>
    <w:p>
      <w:pPr>
        <w:pStyle w:val="46"/>
        <w:snapToGrid w:val="0"/>
        <w:spacing w:line="400" w:lineRule="exact"/>
        <w:ind w:firstLine="480" w:firstLineChars="200"/>
        <w:rPr>
          <w:rFonts w:hAnsi="宋体"/>
          <w:sz w:val="24"/>
          <w:szCs w:val="24"/>
          <w:highlight w:val="none"/>
        </w:rPr>
      </w:pPr>
      <w:r>
        <w:rPr>
          <w:rFonts w:hint="eastAsia" w:hAnsi="宋体"/>
          <w:sz w:val="24"/>
          <w:szCs w:val="24"/>
          <w:highlight w:val="none"/>
        </w:rPr>
        <w:t>表2 具有履行合同所必需的专业服务（技术）能力的承诺函</w:t>
      </w:r>
    </w:p>
    <w:p>
      <w:pPr>
        <w:pStyle w:val="46"/>
        <w:snapToGrid w:val="0"/>
        <w:spacing w:line="400" w:lineRule="exact"/>
        <w:ind w:firstLine="480" w:firstLineChars="200"/>
        <w:rPr>
          <w:rFonts w:hAnsi="宋体"/>
          <w:sz w:val="24"/>
          <w:szCs w:val="24"/>
          <w:highlight w:val="none"/>
        </w:rPr>
      </w:pPr>
      <w:r>
        <w:rPr>
          <w:rFonts w:hint="eastAsia" w:hAnsi="宋体"/>
          <w:sz w:val="24"/>
          <w:szCs w:val="24"/>
          <w:highlight w:val="none"/>
        </w:rPr>
        <w:t>表3：没有重大违法记录承诺函</w:t>
      </w:r>
    </w:p>
    <w:bookmarkEnd w:id="93"/>
    <w:p>
      <w:pPr>
        <w:pStyle w:val="46"/>
        <w:snapToGrid w:val="0"/>
        <w:spacing w:line="400" w:lineRule="exact"/>
        <w:ind w:firstLine="480" w:firstLineChars="200"/>
        <w:rPr>
          <w:rFonts w:hAnsi="宋体"/>
          <w:sz w:val="24"/>
          <w:szCs w:val="24"/>
          <w:highlight w:val="none"/>
        </w:rPr>
      </w:pPr>
      <w:r>
        <w:rPr>
          <w:rFonts w:hint="eastAsia" w:hAnsi="宋体"/>
          <w:sz w:val="24"/>
          <w:szCs w:val="24"/>
          <w:highlight w:val="none"/>
        </w:rPr>
        <w:t>表4：无违法失信的声明函</w:t>
      </w:r>
    </w:p>
    <w:p>
      <w:pPr>
        <w:pStyle w:val="46"/>
        <w:snapToGrid w:val="0"/>
        <w:spacing w:line="400" w:lineRule="exact"/>
        <w:ind w:firstLine="480" w:firstLineChars="200"/>
        <w:rPr>
          <w:rFonts w:hint="eastAsia" w:hAnsi="宋体"/>
          <w:sz w:val="24"/>
          <w:szCs w:val="24"/>
          <w:highlight w:val="none"/>
        </w:rPr>
      </w:pPr>
      <w:r>
        <w:rPr>
          <w:rFonts w:hint="eastAsia" w:hAnsi="宋体"/>
          <w:sz w:val="24"/>
          <w:szCs w:val="24"/>
          <w:highlight w:val="none"/>
        </w:rPr>
        <w:t>表5：与其他供应商无利害关系的声明函表</w:t>
      </w:r>
    </w:p>
    <w:p>
      <w:pPr>
        <w:pStyle w:val="46"/>
        <w:snapToGrid w:val="0"/>
        <w:spacing w:line="400" w:lineRule="exact"/>
        <w:ind w:firstLine="480" w:firstLineChars="200"/>
        <w:rPr>
          <w:rFonts w:hAnsi="宋体"/>
          <w:sz w:val="24"/>
          <w:szCs w:val="24"/>
          <w:highlight w:val="none"/>
        </w:rPr>
      </w:pPr>
    </w:p>
    <w:p>
      <w:pPr>
        <w:pStyle w:val="51"/>
      </w:pPr>
    </w:p>
    <w:p>
      <w:pPr>
        <w:spacing w:line="500" w:lineRule="exact"/>
        <w:rPr>
          <w:rFonts w:ascii="宋体" w:hAnsi="宋体" w:cs="宋体"/>
          <w:b/>
          <w:sz w:val="30"/>
          <w:szCs w:val="30"/>
          <w:highlight w:val="none"/>
        </w:rPr>
      </w:pPr>
    </w:p>
    <w:p>
      <w:pPr>
        <w:pStyle w:val="35"/>
        <w:rPr>
          <w:rFonts w:ascii="宋体" w:hAnsi="宋体" w:cs="宋体"/>
          <w:b/>
          <w:sz w:val="30"/>
          <w:szCs w:val="30"/>
          <w:highlight w:val="none"/>
        </w:rPr>
      </w:pPr>
    </w:p>
    <w:p>
      <w:pPr>
        <w:pStyle w:val="35"/>
        <w:rPr>
          <w:rFonts w:ascii="宋体" w:hAnsi="宋体" w:cs="宋体"/>
          <w:b/>
          <w:sz w:val="30"/>
          <w:szCs w:val="30"/>
          <w:highlight w:val="none"/>
        </w:rPr>
      </w:pPr>
    </w:p>
    <w:p>
      <w:pPr>
        <w:spacing w:line="500" w:lineRule="exact"/>
        <w:rPr>
          <w:rFonts w:ascii="宋体" w:hAnsi="宋体" w:cs="宋体"/>
          <w:b/>
          <w:sz w:val="30"/>
          <w:szCs w:val="30"/>
          <w:highlight w:val="none"/>
        </w:rPr>
      </w:pPr>
    </w:p>
    <w:p>
      <w:pPr>
        <w:spacing w:line="500" w:lineRule="exact"/>
        <w:rPr>
          <w:rFonts w:ascii="宋体" w:hAnsi="宋体" w:cs="宋体"/>
          <w:b/>
          <w:sz w:val="30"/>
          <w:szCs w:val="30"/>
          <w:highlight w:val="none"/>
        </w:rPr>
      </w:pPr>
    </w:p>
    <w:p>
      <w:pPr>
        <w:spacing w:line="500" w:lineRule="exact"/>
        <w:rPr>
          <w:rFonts w:ascii="宋体" w:hAnsi="宋体" w:cs="宋体"/>
          <w:b/>
          <w:sz w:val="30"/>
          <w:szCs w:val="30"/>
          <w:highlight w:val="none"/>
        </w:rPr>
      </w:pPr>
    </w:p>
    <w:p>
      <w:pPr>
        <w:spacing w:line="500" w:lineRule="exact"/>
        <w:rPr>
          <w:rFonts w:ascii="宋体" w:hAnsi="宋体" w:cs="宋体"/>
          <w:b/>
          <w:sz w:val="30"/>
          <w:szCs w:val="30"/>
          <w:highlight w:val="none"/>
        </w:rPr>
      </w:pPr>
    </w:p>
    <w:p>
      <w:pPr>
        <w:spacing w:line="500" w:lineRule="exact"/>
        <w:rPr>
          <w:rFonts w:ascii="宋体" w:hAnsi="宋体" w:cs="宋体"/>
          <w:b/>
          <w:sz w:val="30"/>
          <w:szCs w:val="30"/>
          <w:highlight w:val="none"/>
        </w:rPr>
      </w:pPr>
    </w:p>
    <w:p>
      <w:pPr>
        <w:spacing w:line="500" w:lineRule="exact"/>
        <w:rPr>
          <w:rFonts w:ascii="宋体" w:hAnsi="宋体" w:cs="宋体"/>
          <w:b/>
          <w:sz w:val="30"/>
          <w:szCs w:val="30"/>
          <w:highlight w:val="none"/>
        </w:rPr>
      </w:pPr>
    </w:p>
    <w:p>
      <w:pPr>
        <w:pStyle w:val="2"/>
        <w:rPr>
          <w:rFonts w:ascii="宋体" w:hAnsi="宋体" w:cs="宋体"/>
          <w:b/>
          <w:sz w:val="30"/>
          <w:szCs w:val="30"/>
          <w:highlight w:val="none"/>
        </w:rPr>
      </w:pPr>
    </w:p>
    <w:p>
      <w:pPr>
        <w:spacing w:line="340" w:lineRule="exact"/>
        <w:rPr>
          <w:rFonts w:ascii="宋体" w:hAnsi="宋体" w:cs="Arial"/>
          <w:highlight w:val="none"/>
        </w:rPr>
      </w:pPr>
      <w:r>
        <w:rPr>
          <w:rFonts w:ascii="宋体" w:hAnsi="宋体" w:cs="宋体"/>
          <w:b/>
          <w:sz w:val="30"/>
          <w:szCs w:val="30"/>
          <w:highlight w:val="none"/>
        </w:rPr>
        <w:t>表1：强制性资格条件</w:t>
      </w:r>
    </w:p>
    <w:p>
      <w:pPr>
        <w:spacing w:line="340" w:lineRule="exact"/>
        <w:jc w:val="center"/>
        <w:rPr>
          <w:rFonts w:ascii="宋体" w:hAnsi="宋体"/>
          <w:kern w:val="0"/>
          <w:highlight w:val="none"/>
        </w:rPr>
      </w:pPr>
      <w:r>
        <w:rPr>
          <w:rFonts w:ascii="宋体" w:hAnsi="宋体" w:cs="宋体"/>
          <w:b/>
          <w:sz w:val="30"/>
          <w:szCs w:val="30"/>
          <w:highlight w:val="none"/>
        </w:rPr>
        <w:t>强制性资格条件表</w:t>
      </w:r>
    </w:p>
    <w:tbl>
      <w:tblPr>
        <w:tblStyle w:val="88"/>
        <w:tblW w:w="9605" w:type="dxa"/>
        <w:tblInd w:w="-246"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661"/>
        <w:gridCol w:w="2175"/>
        <w:gridCol w:w="2685"/>
        <w:gridCol w:w="4084"/>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27" w:hRule="atLeast"/>
        </w:trPr>
        <w:tc>
          <w:tcPr>
            <w:tcW w:w="661" w:type="dxa"/>
            <w:vAlign w:val="center"/>
          </w:tcPr>
          <w:p>
            <w:pPr>
              <w:jc w:val="center"/>
              <w:rPr>
                <w:rFonts w:ascii="宋体" w:hAnsi="宋体"/>
                <w:b/>
                <w:sz w:val="20"/>
                <w:highlight w:val="none"/>
              </w:rPr>
            </w:pPr>
            <w:r>
              <w:rPr>
                <w:rFonts w:hint="eastAsia" w:ascii="宋体" w:hAnsi="宋体"/>
                <w:b/>
                <w:sz w:val="20"/>
                <w:highlight w:val="none"/>
              </w:rPr>
              <w:t>序号</w:t>
            </w:r>
          </w:p>
        </w:tc>
        <w:tc>
          <w:tcPr>
            <w:tcW w:w="2175" w:type="dxa"/>
            <w:vAlign w:val="center"/>
          </w:tcPr>
          <w:p>
            <w:pPr>
              <w:jc w:val="center"/>
              <w:rPr>
                <w:rFonts w:ascii="宋体" w:hAnsi="宋体"/>
                <w:b/>
                <w:sz w:val="20"/>
                <w:highlight w:val="none"/>
              </w:rPr>
            </w:pPr>
            <w:r>
              <w:rPr>
                <w:rFonts w:hint="eastAsia" w:ascii="宋体" w:hAnsi="宋体"/>
                <w:b/>
                <w:sz w:val="20"/>
                <w:highlight w:val="none"/>
              </w:rPr>
              <w:t>资格条件要求</w:t>
            </w:r>
          </w:p>
        </w:tc>
        <w:tc>
          <w:tcPr>
            <w:tcW w:w="6769" w:type="dxa"/>
            <w:gridSpan w:val="2"/>
            <w:vAlign w:val="center"/>
          </w:tcPr>
          <w:p>
            <w:pPr>
              <w:jc w:val="center"/>
              <w:rPr>
                <w:rFonts w:ascii="宋体" w:hAnsi="宋体"/>
                <w:b/>
                <w:sz w:val="20"/>
                <w:highlight w:val="none"/>
              </w:rPr>
            </w:pPr>
            <w:r>
              <w:rPr>
                <w:rFonts w:hint="eastAsia" w:ascii="宋体" w:hAnsi="宋体"/>
                <w:b/>
                <w:sz w:val="20"/>
                <w:highlight w:val="none"/>
              </w:rPr>
              <w:t>要求提供的证明材料</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953" w:hRule="atLeast"/>
        </w:trPr>
        <w:tc>
          <w:tcPr>
            <w:tcW w:w="661" w:type="dxa"/>
            <w:vAlign w:val="center"/>
          </w:tcPr>
          <w:p>
            <w:pPr>
              <w:jc w:val="center"/>
              <w:rPr>
                <w:rFonts w:ascii="宋体" w:hAnsi="宋体"/>
                <w:sz w:val="20"/>
                <w:highlight w:val="none"/>
              </w:rPr>
            </w:pPr>
            <w:r>
              <w:rPr>
                <w:rFonts w:hint="eastAsia" w:ascii="宋体" w:hAnsi="宋体"/>
                <w:sz w:val="20"/>
                <w:highlight w:val="none"/>
              </w:rPr>
              <w:t>1</w:t>
            </w:r>
          </w:p>
        </w:tc>
        <w:tc>
          <w:tcPr>
            <w:tcW w:w="2175" w:type="dxa"/>
            <w:vAlign w:val="center"/>
          </w:tcPr>
          <w:p>
            <w:pPr>
              <w:rPr>
                <w:rFonts w:ascii="宋体" w:hAnsi="宋体"/>
                <w:sz w:val="20"/>
                <w:highlight w:val="none"/>
              </w:rPr>
            </w:pPr>
            <w:r>
              <w:rPr>
                <w:rFonts w:hint="eastAsia" w:ascii="宋体" w:hAnsi="宋体"/>
                <w:sz w:val="20"/>
                <w:highlight w:val="none"/>
                <w:lang w:val="zh-CN"/>
              </w:rPr>
              <w:t>具有独立承担民事责任的能力</w:t>
            </w:r>
          </w:p>
        </w:tc>
        <w:tc>
          <w:tcPr>
            <w:tcW w:w="6769" w:type="dxa"/>
            <w:gridSpan w:val="2"/>
            <w:vAlign w:val="center"/>
          </w:tcPr>
          <w:p>
            <w:pPr>
              <w:rPr>
                <w:rFonts w:ascii="宋体" w:hAnsi="宋体"/>
                <w:sz w:val="20"/>
                <w:highlight w:val="none"/>
                <w:lang w:val="zh-CN"/>
              </w:rPr>
            </w:pPr>
            <w:r>
              <w:rPr>
                <w:rFonts w:hint="eastAsia" w:ascii="宋体" w:hAnsi="宋体"/>
                <w:sz w:val="20"/>
                <w:highlight w:val="none"/>
                <w:lang w:val="zh-CN"/>
              </w:rPr>
              <w:t>1）如</w:t>
            </w:r>
            <w:r>
              <w:rPr>
                <w:rFonts w:hint="eastAsia" w:ascii="宋体" w:hAnsi="宋体"/>
                <w:sz w:val="20"/>
                <w:highlight w:val="none"/>
              </w:rPr>
              <w:t>投标</w:t>
            </w:r>
            <w:r>
              <w:rPr>
                <w:rFonts w:hint="eastAsia" w:ascii="宋体" w:hAnsi="宋体"/>
                <w:sz w:val="20"/>
                <w:highlight w:val="none"/>
                <w:lang w:val="zh-CN"/>
              </w:rPr>
              <w:t>人是企业（包括合伙企业），提供在工商部门注册的有效“企业法人营业执照”或“营业执照”；</w:t>
            </w:r>
          </w:p>
          <w:p>
            <w:pPr>
              <w:rPr>
                <w:rFonts w:ascii="宋体" w:hAnsi="宋体"/>
                <w:sz w:val="20"/>
                <w:highlight w:val="none"/>
                <w:lang w:val="zh-CN"/>
              </w:rPr>
            </w:pPr>
            <w:r>
              <w:rPr>
                <w:rFonts w:hint="eastAsia" w:ascii="宋体" w:hAnsi="宋体"/>
                <w:sz w:val="20"/>
                <w:highlight w:val="none"/>
                <w:lang w:val="zh-CN"/>
              </w:rPr>
              <w:t>2）如</w:t>
            </w:r>
            <w:r>
              <w:rPr>
                <w:rFonts w:hint="eastAsia" w:ascii="宋体" w:hAnsi="宋体"/>
                <w:sz w:val="20"/>
                <w:highlight w:val="none"/>
              </w:rPr>
              <w:t>投标</w:t>
            </w:r>
            <w:r>
              <w:rPr>
                <w:rFonts w:hint="eastAsia" w:ascii="宋体" w:hAnsi="宋体"/>
                <w:sz w:val="20"/>
                <w:highlight w:val="none"/>
                <w:lang w:val="zh-CN"/>
              </w:rPr>
              <w:t>人是事业单位，提供有效的“事业单位法人证书”；</w:t>
            </w:r>
          </w:p>
          <w:p>
            <w:pPr>
              <w:rPr>
                <w:rFonts w:ascii="宋体" w:hAnsi="宋体"/>
                <w:sz w:val="20"/>
                <w:highlight w:val="none"/>
                <w:lang w:val="zh-CN"/>
              </w:rPr>
            </w:pPr>
            <w:r>
              <w:rPr>
                <w:rFonts w:hint="eastAsia" w:ascii="宋体" w:hAnsi="宋体"/>
                <w:sz w:val="20"/>
                <w:highlight w:val="none"/>
                <w:lang w:val="zh-CN"/>
              </w:rPr>
              <w:t>3）如</w:t>
            </w:r>
            <w:r>
              <w:rPr>
                <w:rFonts w:hint="eastAsia" w:ascii="宋体" w:hAnsi="宋体"/>
                <w:sz w:val="20"/>
                <w:highlight w:val="none"/>
              </w:rPr>
              <w:t>投标</w:t>
            </w:r>
            <w:r>
              <w:rPr>
                <w:rFonts w:hint="eastAsia" w:ascii="宋体" w:hAnsi="宋体"/>
                <w:sz w:val="20"/>
                <w:highlight w:val="none"/>
                <w:lang w:val="zh-CN"/>
              </w:rPr>
              <w:t>人是非企业专业服务机构的，提供执业许可证等证明文件；</w:t>
            </w:r>
          </w:p>
          <w:p>
            <w:pPr>
              <w:rPr>
                <w:rFonts w:ascii="宋体" w:hAnsi="宋体"/>
                <w:sz w:val="20"/>
                <w:highlight w:val="none"/>
                <w:lang w:val="zh-CN"/>
              </w:rPr>
            </w:pPr>
            <w:r>
              <w:rPr>
                <w:rFonts w:hint="eastAsia" w:ascii="宋体" w:hAnsi="宋体"/>
                <w:sz w:val="20"/>
                <w:highlight w:val="none"/>
                <w:lang w:val="zh-CN"/>
              </w:rPr>
              <w:t>4）如</w:t>
            </w:r>
            <w:r>
              <w:rPr>
                <w:rFonts w:hint="eastAsia" w:ascii="宋体" w:hAnsi="宋体"/>
                <w:sz w:val="20"/>
                <w:highlight w:val="none"/>
              </w:rPr>
              <w:t>投标</w:t>
            </w:r>
            <w:r>
              <w:rPr>
                <w:rFonts w:hint="eastAsia" w:ascii="宋体" w:hAnsi="宋体"/>
                <w:sz w:val="20"/>
                <w:highlight w:val="none"/>
                <w:lang w:val="zh-CN"/>
              </w:rPr>
              <w:t>人是个体工商户，提供有效的“个体工商户营业执照”；</w:t>
            </w:r>
          </w:p>
          <w:p>
            <w:pPr>
              <w:rPr>
                <w:rFonts w:ascii="宋体" w:hAnsi="宋体"/>
                <w:sz w:val="20"/>
                <w:highlight w:val="none"/>
                <w:lang w:val="zh-CN"/>
              </w:rPr>
            </w:pPr>
            <w:r>
              <w:rPr>
                <w:rFonts w:hint="eastAsia" w:ascii="宋体" w:hAnsi="宋体"/>
                <w:sz w:val="20"/>
                <w:highlight w:val="none"/>
                <w:lang w:val="zh-CN"/>
              </w:rPr>
              <w:t>5）如</w:t>
            </w:r>
            <w:r>
              <w:rPr>
                <w:rFonts w:hint="eastAsia" w:ascii="宋体" w:hAnsi="宋体"/>
                <w:sz w:val="20"/>
                <w:highlight w:val="none"/>
              </w:rPr>
              <w:t>投标</w:t>
            </w:r>
            <w:r>
              <w:rPr>
                <w:rFonts w:hint="eastAsia" w:ascii="宋体" w:hAnsi="宋体"/>
                <w:sz w:val="20"/>
                <w:highlight w:val="none"/>
                <w:lang w:val="zh-CN"/>
              </w:rPr>
              <w:t>人是自然人，提供有效的自然人身份证明。</w:t>
            </w:r>
          </w:p>
          <w:p>
            <w:pPr>
              <w:rPr>
                <w:rFonts w:ascii="宋体" w:hAnsi="宋体"/>
                <w:sz w:val="20"/>
                <w:highlight w:val="none"/>
                <w:lang w:val="zh-CN"/>
              </w:rPr>
            </w:pPr>
            <w:r>
              <w:rPr>
                <w:rFonts w:hint="eastAsia" w:ascii="宋体" w:hAnsi="宋体"/>
                <w:sz w:val="20"/>
                <w:highlight w:val="none"/>
                <w:lang w:val="zh-CN"/>
              </w:rPr>
              <w:t xml:space="preserve">注：具体资格要求详见“第一部分 </w:t>
            </w:r>
            <w:r>
              <w:rPr>
                <w:rFonts w:hint="eastAsia" w:ascii="宋体" w:hAnsi="宋体"/>
                <w:sz w:val="20"/>
                <w:highlight w:val="none"/>
              </w:rPr>
              <w:t>招标</w:t>
            </w:r>
            <w:r>
              <w:rPr>
                <w:rFonts w:hint="eastAsia" w:ascii="宋体" w:hAnsi="宋体"/>
                <w:sz w:val="20"/>
                <w:highlight w:val="none"/>
                <w:lang w:val="zh-CN"/>
              </w:rPr>
              <w:t>公告”中“四、投标人资格要求”。</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2828" w:hRule="atLeast"/>
        </w:trPr>
        <w:tc>
          <w:tcPr>
            <w:tcW w:w="661" w:type="dxa"/>
            <w:vAlign w:val="center"/>
          </w:tcPr>
          <w:p>
            <w:pPr>
              <w:jc w:val="center"/>
              <w:rPr>
                <w:rFonts w:ascii="宋体" w:hAnsi="宋体"/>
                <w:sz w:val="20"/>
                <w:highlight w:val="none"/>
              </w:rPr>
            </w:pPr>
            <w:r>
              <w:rPr>
                <w:rFonts w:hint="eastAsia" w:ascii="宋体" w:hAnsi="宋体"/>
                <w:sz w:val="20"/>
                <w:highlight w:val="none"/>
              </w:rPr>
              <w:t>2</w:t>
            </w:r>
          </w:p>
        </w:tc>
        <w:tc>
          <w:tcPr>
            <w:tcW w:w="2175" w:type="dxa"/>
            <w:vAlign w:val="center"/>
          </w:tcPr>
          <w:p>
            <w:pPr>
              <w:rPr>
                <w:rFonts w:ascii="宋体" w:hAnsi="宋体"/>
                <w:sz w:val="20"/>
                <w:highlight w:val="none"/>
              </w:rPr>
            </w:pPr>
            <w:r>
              <w:rPr>
                <w:rFonts w:hint="eastAsia" w:ascii="宋体" w:hAnsi="宋体"/>
                <w:sz w:val="20"/>
                <w:highlight w:val="none"/>
                <w:lang w:val="zh-CN"/>
              </w:rPr>
              <w:t>具有良好的商业信誉和健全的财务会计制度</w:t>
            </w:r>
          </w:p>
        </w:tc>
        <w:tc>
          <w:tcPr>
            <w:tcW w:w="6769" w:type="dxa"/>
            <w:gridSpan w:val="2"/>
            <w:vAlign w:val="center"/>
          </w:tcPr>
          <w:p>
            <w:pPr>
              <w:rPr>
                <w:rFonts w:hint="eastAsia" w:ascii="宋体" w:hAnsi="宋体" w:eastAsia="宋体"/>
                <w:sz w:val="20"/>
                <w:highlight w:val="none"/>
                <w:lang w:val="en-US" w:eastAsia="zh-CN"/>
              </w:rPr>
            </w:pPr>
            <w:r>
              <w:rPr>
                <w:rFonts w:hint="eastAsia" w:ascii="宋体" w:hAnsi="宋体"/>
                <w:sz w:val="20"/>
                <w:highlight w:val="none"/>
                <w:lang w:val="zh-CN"/>
              </w:rPr>
              <w:t>1）投标人是法人的，应提供上一年度经第三方审计的财务报告或投标人出具的财务报告（表）（若投标时间为1-6月，上一年度财务审计报告还未完成的，须提供再上一年度的财务审计报告或财务报告（表））或开标前三个月内其基本开户银行出具的资信证明并加盖公章，或财政部门认可的采购专业担保机构出具的投标担保函；未经审计的，提供资产负债表、利润表或开标前三个月内其基本开户银行出具的资信证明并加盖公章</w:t>
            </w:r>
            <w:r>
              <w:rPr>
                <w:rFonts w:hint="eastAsia" w:ascii="宋体" w:hAnsi="宋体"/>
                <w:sz w:val="20"/>
                <w:highlight w:val="none"/>
                <w:lang w:val="zh-CN" w:eastAsia="zh-CN"/>
              </w:rPr>
              <w:t>。</w:t>
            </w:r>
          </w:p>
          <w:p>
            <w:pPr>
              <w:rPr>
                <w:rFonts w:ascii="宋体" w:hAnsi="宋体"/>
                <w:sz w:val="20"/>
                <w:highlight w:val="none"/>
                <w:lang w:val="zh-CN"/>
              </w:rPr>
            </w:pPr>
            <w:r>
              <w:rPr>
                <w:rFonts w:hint="eastAsia" w:ascii="宋体" w:hAnsi="宋体"/>
                <w:sz w:val="20"/>
                <w:highlight w:val="none"/>
                <w:lang w:val="zh-CN"/>
              </w:rPr>
              <w:t>2）部分其他组织和自然人没有财务状况报告的，可以提供银行出具的资信证明；</w:t>
            </w:r>
          </w:p>
          <w:p>
            <w:pPr>
              <w:rPr>
                <w:rFonts w:ascii="宋体" w:hAnsi="宋体"/>
                <w:sz w:val="20"/>
                <w:highlight w:val="none"/>
              </w:rPr>
            </w:pPr>
            <w:r>
              <w:rPr>
                <w:rFonts w:hint="eastAsia" w:ascii="宋体" w:hAnsi="宋体"/>
                <w:sz w:val="20"/>
                <w:highlight w:val="none"/>
                <w:lang w:val="zh-CN"/>
              </w:rPr>
              <w:t>3）银行资信证明应能说明投标人与银行之间业务往来正常，企业信誉良好等，</w:t>
            </w:r>
            <w:r>
              <w:rPr>
                <w:rFonts w:hint="eastAsia" w:ascii="宋体" w:hAnsi="宋体"/>
                <w:b/>
                <w:sz w:val="20"/>
                <w:highlight w:val="none"/>
                <w:lang w:val="zh-CN"/>
              </w:rPr>
              <w:t>银行出具的存款证明不能替代银行资信证明。</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661" w:type="dxa"/>
            <w:vAlign w:val="center"/>
          </w:tcPr>
          <w:p>
            <w:pPr>
              <w:jc w:val="center"/>
              <w:rPr>
                <w:rFonts w:ascii="宋体" w:hAnsi="宋体"/>
                <w:sz w:val="20"/>
                <w:highlight w:val="none"/>
              </w:rPr>
            </w:pPr>
            <w:r>
              <w:rPr>
                <w:rFonts w:hint="eastAsia" w:ascii="宋体" w:hAnsi="宋体"/>
                <w:sz w:val="20"/>
                <w:highlight w:val="none"/>
              </w:rPr>
              <w:t>3</w:t>
            </w:r>
          </w:p>
        </w:tc>
        <w:tc>
          <w:tcPr>
            <w:tcW w:w="2175" w:type="dxa"/>
            <w:vAlign w:val="center"/>
          </w:tcPr>
          <w:p>
            <w:pPr>
              <w:rPr>
                <w:rFonts w:ascii="宋体" w:hAnsi="宋体"/>
                <w:sz w:val="20"/>
                <w:highlight w:val="none"/>
              </w:rPr>
            </w:pPr>
            <w:r>
              <w:rPr>
                <w:rFonts w:hint="eastAsia" w:ascii="宋体" w:hAnsi="宋体"/>
                <w:sz w:val="20"/>
                <w:highlight w:val="none"/>
                <w:lang w:val="zh-CN"/>
              </w:rPr>
              <w:t>具有履行合同所必需的设备和专业技术能力</w:t>
            </w:r>
          </w:p>
        </w:tc>
        <w:tc>
          <w:tcPr>
            <w:tcW w:w="6769" w:type="dxa"/>
            <w:gridSpan w:val="2"/>
            <w:vAlign w:val="center"/>
          </w:tcPr>
          <w:p>
            <w:pPr>
              <w:rPr>
                <w:rFonts w:ascii="宋体" w:hAnsi="宋体"/>
                <w:sz w:val="20"/>
                <w:highlight w:val="none"/>
                <w:lang w:val="zh-CN"/>
              </w:rPr>
            </w:pPr>
            <w:r>
              <w:rPr>
                <w:rFonts w:hint="eastAsia" w:ascii="宋体" w:hAnsi="宋体"/>
                <w:sz w:val="20"/>
                <w:highlight w:val="none"/>
                <w:lang w:val="zh-CN"/>
              </w:rPr>
              <w:t>具有履行合同所必需的设备和专业技术能力的承诺函，</w:t>
            </w:r>
            <w:r>
              <w:rPr>
                <w:rFonts w:hint="eastAsia" w:ascii="宋体" w:hAnsi="宋体"/>
                <w:sz w:val="20"/>
                <w:highlight w:val="none"/>
              </w:rPr>
              <w:t>详见表2。</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3385" w:hRule="atLeast"/>
        </w:trPr>
        <w:tc>
          <w:tcPr>
            <w:tcW w:w="661" w:type="dxa"/>
            <w:vAlign w:val="center"/>
          </w:tcPr>
          <w:p>
            <w:pPr>
              <w:jc w:val="center"/>
              <w:rPr>
                <w:rFonts w:ascii="宋体" w:hAnsi="宋体"/>
                <w:sz w:val="20"/>
                <w:highlight w:val="none"/>
              </w:rPr>
            </w:pPr>
            <w:r>
              <w:rPr>
                <w:rFonts w:hint="eastAsia" w:ascii="宋体" w:hAnsi="宋体"/>
                <w:sz w:val="20"/>
                <w:highlight w:val="none"/>
              </w:rPr>
              <w:t>4</w:t>
            </w:r>
          </w:p>
        </w:tc>
        <w:tc>
          <w:tcPr>
            <w:tcW w:w="2175" w:type="dxa"/>
            <w:vAlign w:val="center"/>
          </w:tcPr>
          <w:p>
            <w:pPr>
              <w:rPr>
                <w:rFonts w:ascii="宋体" w:hAnsi="宋体"/>
                <w:sz w:val="20"/>
                <w:highlight w:val="none"/>
              </w:rPr>
            </w:pPr>
            <w:r>
              <w:rPr>
                <w:rFonts w:hint="eastAsia" w:ascii="宋体" w:hAnsi="宋体"/>
                <w:sz w:val="20"/>
                <w:highlight w:val="none"/>
              </w:rPr>
              <w:t>有依法缴纳税收和社会保障资金的良好记录</w:t>
            </w:r>
          </w:p>
        </w:tc>
        <w:tc>
          <w:tcPr>
            <w:tcW w:w="6769" w:type="dxa"/>
            <w:gridSpan w:val="2"/>
            <w:vAlign w:val="center"/>
          </w:tcPr>
          <w:p>
            <w:pPr>
              <w:rPr>
                <w:rFonts w:ascii="宋体" w:hAnsi="宋体"/>
                <w:sz w:val="20"/>
                <w:highlight w:val="none"/>
                <w:lang w:val="zh-CN"/>
              </w:rPr>
            </w:pPr>
            <w:r>
              <w:rPr>
                <w:rFonts w:hint="eastAsia" w:ascii="宋体" w:hAnsi="宋体"/>
                <w:sz w:val="20"/>
                <w:highlight w:val="none"/>
                <w:lang w:val="zh-CN"/>
              </w:rPr>
              <w:t>1）最近六个月任意一月</w:t>
            </w:r>
            <w:r>
              <w:rPr>
                <w:rFonts w:hint="eastAsia" w:ascii="宋体" w:hAnsi="宋体"/>
                <w:b/>
                <w:sz w:val="20"/>
                <w:highlight w:val="none"/>
                <w:lang w:val="zh-CN"/>
              </w:rPr>
              <w:t>依法缴纳税收的证明材料</w:t>
            </w:r>
            <w:r>
              <w:rPr>
                <w:rFonts w:hint="eastAsia" w:ascii="宋体" w:hAnsi="宋体"/>
                <w:sz w:val="20"/>
                <w:highlight w:val="none"/>
                <w:lang w:val="zh-CN"/>
              </w:rPr>
              <w:t>指投标人参加政府采购活动前最近六个月任意一月内依法缴纳税收的凭据（完税证明或</w:t>
            </w:r>
            <w:r>
              <w:rPr>
                <w:rFonts w:ascii="宋体" w:hAnsi="宋体"/>
                <w:sz w:val="20"/>
                <w:highlight w:val="none"/>
                <w:lang w:val="zh-CN"/>
              </w:rPr>
              <w:t>纳税证明</w:t>
            </w:r>
            <w:r>
              <w:rPr>
                <w:rFonts w:hint="eastAsia" w:ascii="宋体" w:hAnsi="宋体"/>
                <w:sz w:val="20"/>
                <w:highlight w:val="none"/>
                <w:lang w:val="zh-CN"/>
              </w:rPr>
              <w:t>或银行电子缴税付款凭证等）；</w:t>
            </w:r>
          </w:p>
          <w:p>
            <w:pPr>
              <w:rPr>
                <w:rFonts w:ascii="宋体" w:hAnsi="宋体"/>
                <w:sz w:val="20"/>
                <w:highlight w:val="none"/>
                <w:lang w:val="zh-CN"/>
              </w:rPr>
            </w:pPr>
            <w:r>
              <w:rPr>
                <w:rFonts w:hint="eastAsia" w:ascii="宋体" w:hAnsi="宋体"/>
                <w:sz w:val="20"/>
                <w:highlight w:val="none"/>
                <w:lang w:val="zh-CN"/>
              </w:rPr>
              <w:t>2）依法免税的投标人，应提供相应文件证明其依法免税；</w:t>
            </w:r>
          </w:p>
          <w:p>
            <w:pPr>
              <w:rPr>
                <w:rFonts w:ascii="宋体" w:hAnsi="宋体"/>
                <w:sz w:val="20"/>
                <w:highlight w:val="none"/>
                <w:lang w:val="zh-CN"/>
              </w:rPr>
            </w:pPr>
            <w:r>
              <w:rPr>
                <w:rFonts w:hint="eastAsia" w:ascii="宋体" w:hAnsi="宋体"/>
                <w:sz w:val="20"/>
                <w:highlight w:val="none"/>
                <w:lang w:val="zh-CN"/>
              </w:rPr>
              <w:t>3）最近六个月任意一月</w:t>
            </w:r>
            <w:r>
              <w:rPr>
                <w:rFonts w:hint="eastAsia" w:ascii="宋体" w:hAnsi="宋体"/>
                <w:b/>
                <w:sz w:val="20"/>
                <w:highlight w:val="none"/>
                <w:lang w:val="zh-CN"/>
              </w:rPr>
              <w:t>依法缴纳社会保障资金的证明材料</w:t>
            </w:r>
            <w:r>
              <w:rPr>
                <w:rFonts w:hint="eastAsia" w:ascii="宋体" w:hAnsi="宋体"/>
                <w:sz w:val="20"/>
                <w:highlight w:val="none"/>
                <w:lang w:val="zh-CN"/>
              </w:rPr>
              <w:t>指投标人参加政府采购活动前最近六个月任意一月内依法缴纳社会保险的凭据（社保缴费专用收据或银行电子缴税付款凭证或社会保险缴纳清单等）；</w:t>
            </w:r>
          </w:p>
          <w:p>
            <w:pPr>
              <w:rPr>
                <w:rFonts w:ascii="宋体" w:hAnsi="宋体"/>
                <w:sz w:val="20"/>
                <w:highlight w:val="none"/>
                <w:lang w:val="zh-CN"/>
              </w:rPr>
            </w:pPr>
            <w:r>
              <w:rPr>
                <w:rFonts w:hint="eastAsia" w:ascii="宋体" w:hAnsi="宋体"/>
                <w:sz w:val="20"/>
                <w:highlight w:val="none"/>
                <w:lang w:val="zh-CN"/>
              </w:rPr>
              <w:t>4）依法不需要缴纳社会保障资金的投标人，应提供相应文件证明其依法不需要缴纳社会保障资金；</w:t>
            </w:r>
          </w:p>
          <w:p>
            <w:pPr>
              <w:rPr>
                <w:rFonts w:ascii="宋体" w:hAnsi="宋体"/>
                <w:sz w:val="20"/>
                <w:highlight w:val="none"/>
                <w:lang w:val="zh-CN"/>
              </w:rPr>
            </w:pPr>
            <w:r>
              <w:rPr>
                <w:rFonts w:hint="eastAsia" w:ascii="宋体" w:hAnsi="宋体"/>
                <w:sz w:val="20"/>
                <w:highlight w:val="none"/>
                <w:lang w:val="zh-CN"/>
              </w:rPr>
              <w:t>5）投标人因新注册成立等原因无法提供相关材料的，应在投标文件中提交如实的情况说明。</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619" w:hRule="atLeast"/>
        </w:trPr>
        <w:tc>
          <w:tcPr>
            <w:tcW w:w="661" w:type="dxa"/>
            <w:vAlign w:val="center"/>
          </w:tcPr>
          <w:p>
            <w:pPr>
              <w:jc w:val="center"/>
              <w:rPr>
                <w:rFonts w:ascii="宋体" w:hAnsi="宋体"/>
                <w:sz w:val="20"/>
                <w:highlight w:val="none"/>
              </w:rPr>
            </w:pPr>
            <w:r>
              <w:rPr>
                <w:rFonts w:hint="eastAsia" w:ascii="宋体" w:hAnsi="宋体"/>
                <w:sz w:val="20"/>
                <w:highlight w:val="none"/>
              </w:rPr>
              <w:t>5</w:t>
            </w:r>
          </w:p>
        </w:tc>
        <w:tc>
          <w:tcPr>
            <w:tcW w:w="4860" w:type="dxa"/>
            <w:gridSpan w:val="2"/>
            <w:vAlign w:val="center"/>
          </w:tcPr>
          <w:p>
            <w:pPr>
              <w:rPr>
                <w:rFonts w:ascii="宋体" w:hAnsi="宋体"/>
                <w:sz w:val="20"/>
                <w:highlight w:val="none"/>
              </w:rPr>
            </w:pPr>
            <w:r>
              <w:rPr>
                <w:rFonts w:hint="eastAsia" w:ascii="宋体" w:hAnsi="宋体"/>
                <w:sz w:val="20"/>
                <w:highlight w:val="none"/>
                <w:lang w:val="zh-CN"/>
              </w:rPr>
              <w:t>参加政府采购活动前三年内（新成立不满三年的公司自成立之日起算）在经营活动中没有重大违法记录</w:t>
            </w:r>
          </w:p>
        </w:tc>
        <w:tc>
          <w:tcPr>
            <w:tcW w:w="4084" w:type="dxa"/>
            <w:vAlign w:val="center"/>
          </w:tcPr>
          <w:p>
            <w:pPr>
              <w:rPr>
                <w:rFonts w:ascii="宋体" w:hAnsi="宋体"/>
                <w:sz w:val="20"/>
                <w:highlight w:val="none"/>
              </w:rPr>
            </w:pPr>
            <w:r>
              <w:rPr>
                <w:rFonts w:hint="eastAsia" w:ascii="宋体" w:hAnsi="宋体"/>
                <w:sz w:val="20"/>
                <w:highlight w:val="none"/>
              </w:rPr>
              <w:t>没有重大违法记录承诺函，详见表3。</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1396" w:hRule="atLeast"/>
        </w:trPr>
        <w:tc>
          <w:tcPr>
            <w:tcW w:w="661" w:type="dxa"/>
            <w:vAlign w:val="center"/>
          </w:tcPr>
          <w:p>
            <w:pPr>
              <w:jc w:val="center"/>
              <w:rPr>
                <w:rFonts w:ascii="宋体" w:hAnsi="宋体"/>
                <w:sz w:val="20"/>
                <w:highlight w:val="none"/>
              </w:rPr>
            </w:pPr>
            <w:r>
              <w:rPr>
                <w:rFonts w:hint="eastAsia" w:ascii="宋体" w:hAnsi="宋体"/>
                <w:sz w:val="20"/>
                <w:highlight w:val="none"/>
              </w:rPr>
              <w:t>6</w:t>
            </w:r>
          </w:p>
        </w:tc>
        <w:tc>
          <w:tcPr>
            <w:tcW w:w="4860" w:type="dxa"/>
            <w:gridSpan w:val="2"/>
            <w:vAlign w:val="center"/>
          </w:tcPr>
          <w:p>
            <w:pPr>
              <w:rPr>
                <w:rFonts w:ascii="宋体" w:hAnsi="宋体"/>
                <w:sz w:val="20"/>
                <w:highlight w:val="none"/>
              </w:rPr>
            </w:pPr>
            <w:r>
              <w:rPr>
                <w:rFonts w:hint="eastAsia" w:ascii="宋体" w:hAnsi="宋体"/>
                <w:sz w:val="20"/>
                <w:highlight w:val="none"/>
                <w:lang w:val="zh-CN"/>
              </w:rPr>
              <w:t>参加政府采购活动前</w:t>
            </w:r>
            <w:r>
              <w:rPr>
                <w:rFonts w:hint="eastAsia" w:ascii="宋体" w:hAnsi="宋体"/>
                <w:sz w:val="20"/>
                <w:highlight w:val="none"/>
              </w:rPr>
              <w:t>未被“信用中国”网站(www.creditchina.gov.cn)列入失信被执行人、重大税收违法案件当事人名单；未被“中国政府采购网”(www.ccgp.gov.cn)列入政府采购严重违法失信行为记录名单。</w:t>
            </w:r>
          </w:p>
        </w:tc>
        <w:tc>
          <w:tcPr>
            <w:tcW w:w="4084" w:type="dxa"/>
            <w:vAlign w:val="center"/>
          </w:tcPr>
          <w:p>
            <w:pPr>
              <w:widowControl/>
              <w:jc w:val="left"/>
              <w:rPr>
                <w:rFonts w:hint="eastAsia" w:ascii="宋体" w:hAnsi="宋体" w:eastAsia="宋体"/>
                <w:highlight w:val="none"/>
                <w:lang w:eastAsia="zh-CN"/>
              </w:rPr>
            </w:pPr>
            <w:r>
              <w:rPr>
                <w:rFonts w:hint="eastAsia" w:ascii="宋体" w:hAnsi="宋体" w:cs="宋体"/>
                <w:kern w:val="0"/>
                <w:sz w:val="20"/>
                <w:highlight w:val="none"/>
              </w:rPr>
              <w:t>无违法失信的声明函，</w:t>
            </w:r>
            <w:r>
              <w:rPr>
                <w:rFonts w:hint="eastAsia" w:ascii="宋体" w:hAnsi="宋体"/>
                <w:sz w:val="20"/>
                <w:highlight w:val="none"/>
              </w:rPr>
              <w:t>详见表4</w:t>
            </w:r>
            <w:r>
              <w:rPr>
                <w:rFonts w:hint="eastAsia" w:ascii="宋体" w:hAnsi="宋体"/>
                <w:sz w:val="20"/>
                <w:highlight w:val="none"/>
                <w:lang w:eastAsia="zh-CN"/>
              </w:rPr>
              <w:t>。</w:t>
            </w:r>
          </w:p>
          <w:p>
            <w:pPr>
              <w:rPr>
                <w:rFonts w:ascii="宋体" w:hAnsi="宋体"/>
                <w:sz w:val="20"/>
                <w:highlight w:val="none"/>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661" w:type="dxa"/>
            <w:vAlign w:val="center"/>
          </w:tcPr>
          <w:p>
            <w:pPr>
              <w:jc w:val="center"/>
              <w:rPr>
                <w:rFonts w:ascii="宋体" w:hAnsi="宋体"/>
                <w:sz w:val="20"/>
                <w:highlight w:val="none"/>
              </w:rPr>
            </w:pPr>
            <w:r>
              <w:rPr>
                <w:rFonts w:hint="eastAsia" w:ascii="宋体" w:hAnsi="宋体"/>
                <w:sz w:val="20"/>
                <w:highlight w:val="none"/>
              </w:rPr>
              <w:t>7</w:t>
            </w:r>
          </w:p>
        </w:tc>
        <w:tc>
          <w:tcPr>
            <w:tcW w:w="4860" w:type="dxa"/>
            <w:gridSpan w:val="2"/>
            <w:vAlign w:val="center"/>
          </w:tcPr>
          <w:p>
            <w:pPr>
              <w:rPr>
                <w:rFonts w:ascii="宋体" w:hAnsi="宋体"/>
                <w:sz w:val="20"/>
                <w:highlight w:val="none"/>
                <w:lang w:val="zh-CN"/>
              </w:rPr>
            </w:pPr>
            <w:r>
              <w:rPr>
                <w:rFonts w:hint="eastAsia" w:ascii="宋体" w:hAnsi="宋体"/>
                <w:sz w:val="20"/>
                <w:highlight w:val="none"/>
                <w:lang w:val="zh-CN"/>
              </w:rPr>
              <w:t>单位负责人为同一人或者存在直接控股、管理关系的不同供应商，不得参加同一合同项下的政府采购活动。</w:t>
            </w:r>
          </w:p>
        </w:tc>
        <w:tc>
          <w:tcPr>
            <w:tcW w:w="4084" w:type="dxa"/>
            <w:vAlign w:val="center"/>
          </w:tcPr>
          <w:p>
            <w:pPr>
              <w:rPr>
                <w:rFonts w:ascii="宋体" w:hAnsi="宋体"/>
                <w:sz w:val="20"/>
                <w:highlight w:val="none"/>
                <w:lang w:val="zh-CN"/>
              </w:rPr>
            </w:pPr>
            <w:r>
              <w:rPr>
                <w:rFonts w:hint="eastAsia" w:ascii="宋体" w:hAnsi="宋体"/>
                <w:sz w:val="20"/>
                <w:highlight w:val="none"/>
                <w:lang w:val="zh-CN"/>
              </w:rPr>
              <w:t>与其他供应商无利害关系的声明函，详见表</w:t>
            </w:r>
            <w:r>
              <w:rPr>
                <w:rFonts w:hint="eastAsia" w:ascii="宋体" w:hAnsi="宋体"/>
                <w:sz w:val="20"/>
                <w:highlight w:val="none"/>
              </w:rPr>
              <w:t>5。</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CellMar>
            <w:top w:w="0" w:type="dxa"/>
            <w:left w:w="108" w:type="dxa"/>
            <w:bottom w:w="0" w:type="dxa"/>
            <w:right w:w="108" w:type="dxa"/>
          </w:tblCellMar>
        </w:tblPrEx>
        <w:trPr>
          <w:trHeight w:val="571" w:hRule="atLeast"/>
        </w:trPr>
        <w:tc>
          <w:tcPr>
            <w:tcW w:w="661" w:type="dxa"/>
            <w:vAlign w:val="center"/>
          </w:tcPr>
          <w:p>
            <w:pPr>
              <w:jc w:val="center"/>
              <w:rPr>
                <w:rFonts w:hint="eastAsia" w:ascii="宋体" w:hAnsi="宋体" w:eastAsia="宋体"/>
                <w:sz w:val="20"/>
                <w:highlight w:val="none"/>
                <w:lang w:val="en-US" w:eastAsia="zh-CN"/>
              </w:rPr>
            </w:pPr>
            <w:r>
              <w:rPr>
                <w:rFonts w:hint="eastAsia" w:ascii="宋体" w:hAnsi="宋体"/>
                <w:sz w:val="20"/>
                <w:highlight w:val="none"/>
                <w:lang w:val="en-US" w:eastAsia="zh-CN"/>
              </w:rPr>
              <w:t>8</w:t>
            </w:r>
          </w:p>
        </w:tc>
        <w:tc>
          <w:tcPr>
            <w:tcW w:w="4860" w:type="dxa"/>
            <w:gridSpan w:val="2"/>
            <w:vAlign w:val="center"/>
          </w:tcPr>
          <w:p>
            <w:pPr>
              <w:rPr>
                <w:rFonts w:hint="eastAsia" w:ascii="宋体" w:hAnsi="宋体"/>
                <w:sz w:val="20"/>
                <w:highlight w:val="none"/>
                <w:lang w:val="zh-CN"/>
              </w:rPr>
            </w:pPr>
            <w:r>
              <w:rPr>
                <w:rFonts w:hint="eastAsia" w:ascii="宋体" w:hAnsi="宋体"/>
                <w:sz w:val="20"/>
                <w:highlight w:val="none"/>
                <w:lang w:val="zh-CN" w:eastAsia="zh-CN"/>
              </w:rPr>
              <w:t>投标人须具有主管部门颁发的城市生活垃圾经营性清扫、收集、运输服务许可证。</w:t>
            </w:r>
          </w:p>
        </w:tc>
        <w:tc>
          <w:tcPr>
            <w:tcW w:w="4084" w:type="dxa"/>
            <w:vAlign w:val="center"/>
          </w:tcPr>
          <w:p>
            <w:pPr>
              <w:rPr>
                <w:rFonts w:hint="eastAsia" w:ascii="宋体" w:hAnsi="宋体"/>
                <w:sz w:val="20"/>
                <w:highlight w:val="none"/>
                <w:lang w:val="zh-CN"/>
              </w:rPr>
            </w:pPr>
            <w:r>
              <w:rPr>
                <w:rFonts w:hint="eastAsia" w:ascii="宋体" w:hAnsi="宋体"/>
                <w:sz w:val="20"/>
                <w:highlight w:val="none"/>
                <w:lang w:val="zh-CN"/>
              </w:rPr>
              <w:t>提供有效的</w:t>
            </w:r>
            <w:r>
              <w:rPr>
                <w:rFonts w:hint="eastAsia" w:ascii="宋体" w:hAnsi="宋体"/>
                <w:sz w:val="20"/>
                <w:highlight w:val="none"/>
                <w:lang w:val="zh-CN" w:eastAsia="zh-CN"/>
              </w:rPr>
              <w:t>许可证</w:t>
            </w:r>
            <w:r>
              <w:rPr>
                <w:rFonts w:hint="eastAsia" w:ascii="宋体" w:hAnsi="宋体"/>
                <w:sz w:val="20"/>
                <w:highlight w:val="none"/>
                <w:lang w:val="zh-CN"/>
              </w:rPr>
              <w:t>。</w:t>
            </w:r>
          </w:p>
        </w:tc>
      </w:tr>
    </w:tbl>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rPr>
        <w:t>表2</w:t>
      </w:r>
      <w:r>
        <w:rPr>
          <w:rFonts w:ascii="宋体" w:hAnsi="宋体"/>
          <w:sz w:val="24"/>
          <w:highlight w:val="none"/>
        </w:rPr>
        <w:t>：</w:t>
      </w:r>
      <w:r>
        <w:rPr>
          <w:rFonts w:hint="eastAsia" w:ascii="宋体" w:hAnsi="宋体"/>
          <w:sz w:val="24"/>
          <w:highlight w:val="none"/>
        </w:rPr>
        <w:t>具有履行合同所必需的专业服务（技术）能力的承诺函</w:t>
      </w:r>
    </w:p>
    <w:p>
      <w:pPr>
        <w:adjustRightInd w:val="0"/>
        <w:snapToGrid w:val="0"/>
        <w:spacing w:line="360" w:lineRule="auto"/>
        <w:rPr>
          <w:rFonts w:ascii="宋体" w:hAnsi="宋体"/>
          <w:b/>
          <w:bCs/>
          <w:sz w:val="24"/>
          <w:szCs w:val="24"/>
          <w:highlight w:val="none"/>
        </w:rPr>
      </w:pPr>
    </w:p>
    <w:p>
      <w:pPr>
        <w:jc w:val="center"/>
        <w:rPr>
          <w:rFonts w:ascii="宋体" w:hAnsi="宋体"/>
          <w:b/>
          <w:sz w:val="32"/>
          <w:highlight w:val="none"/>
        </w:rPr>
      </w:pPr>
      <w:bookmarkStart w:id="97" w:name="_Toc21481"/>
      <w:r>
        <w:rPr>
          <w:rFonts w:hint="eastAsia" w:ascii="宋体" w:hAnsi="宋体"/>
          <w:b/>
          <w:sz w:val="32"/>
          <w:highlight w:val="none"/>
        </w:rPr>
        <w:t>具有履行合同所必需的专业服务（技术）能力的承诺函</w:t>
      </w:r>
      <w:bookmarkEnd w:id="97"/>
    </w:p>
    <w:p>
      <w:pPr>
        <w:spacing w:line="360" w:lineRule="auto"/>
        <w:rPr>
          <w:rFonts w:ascii="宋体" w:hAnsi="宋体"/>
          <w:highlight w:val="none"/>
        </w:rPr>
      </w:pPr>
    </w:p>
    <w:p>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u w:val="single"/>
        </w:rPr>
        <w:t xml:space="preserve">（采购人）                   </w:t>
      </w:r>
      <w:r>
        <w:rPr>
          <w:rFonts w:hint="eastAsia" w:ascii="宋体" w:hAnsi="宋体" w:cs="宋体"/>
          <w:kern w:val="0"/>
          <w:sz w:val="24"/>
          <w:highlight w:val="none"/>
        </w:rPr>
        <w:t>：</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我方</w:t>
      </w:r>
      <w:r>
        <w:rPr>
          <w:rFonts w:hint="eastAsia" w:ascii="宋体" w:hAnsi="宋体" w:cs="宋体"/>
          <w:kern w:val="0"/>
          <w:sz w:val="24"/>
          <w:highlight w:val="none"/>
          <w:u w:val="single"/>
        </w:rPr>
        <w:t xml:space="preserve"> （投标人）          </w:t>
      </w:r>
      <w:r>
        <w:rPr>
          <w:rFonts w:hint="eastAsia" w:ascii="宋体" w:hAnsi="宋体" w:cs="宋体"/>
          <w:kern w:val="0"/>
          <w:sz w:val="24"/>
          <w:highlight w:val="none"/>
        </w:rPr>
        <w:t>承诺具有履行合同所必需的专业服务（技术）能力。如有虚假，采购人可取消我方任何资格（投标/中标/签订合同），我方对此无任何异议。</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特此承诺！</w:t>
      </w:r>
    </w:p>
    <w:p>
      <w:pPr>
        <w:widowControl/>
        <w:adjustRightInd w:val="0"/>
        <w:snapToGrid w:val="0"/>
        <w:spacing w:line="360" w:lineRule="auto"/>
        <w:ind w:firstLine="480" w:firstLineChars="200"/>
        <w:jc w:val="left"/>
        <w:rPr>
          <w:rFonts w:ascii="宋体" w:hAnsi="宋体" w:cs="宋体"/>
          <w:kern w:val="0"/>
          <w:sz w:val="24"/>
          <w:highlight w:val="none"/>
        </w:rPr>
      </w:pPr>
    </w:p>
    <w:p>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pPr>
        <w:adjustRightInd w:val="0"/>
        <w:snapToGrid w:val="0"/>
        <w:spacing w:line="360" w:lineRule="auto"/>
        <w:rPr>
          <w:rFonts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pPr>
        <w:adjustRightInd w:val="0"/>
        <w:snapToGrid w:val="0"/>
        <w:spacing w:line="360" w:lineRule="auto"/>
        <w:rPr>
          <w:rFonts w:ascii="宋体" w:hAnsi="宋体" w:cs="宋体"/>
          <w:kern w:val="0"/>
          <w:sz w:val="24"/>
          <w:highlight w:val="none"/>
          <w:u w:val="singl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p>
      <w:pPr>
        <w:adjustRightInd w:val="0"/>
        <w:snapToGrid w:val="0"/>
        <w:spacing w:line="360" w:lineRule="auto"/>
        <w:rPr>
          <w:rFonts w:ascii="宋体" w:hAnsi="宋体"/>
          <w:b/>
          <w:bCs/>
          <w:sz w:val="24"/>
          <w:szCs w:val="24"/>
          <w:highlight w:val="none"/>
        </w:rPr>
      </w:pPr>
    </w:p>
    <w:p>
      <w:pPr>
        <w:rPr>
          <w:rFonts w:hint="eastAsia" w:ascii="宋体" w:hAnsi="宋体"/>
          <w:sz w:val="24"/>
          <w:highlight w:val="none"/>
        </w:rPr>
      </w:pPr>
    </w:p>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rPr>
        <w:t>表3</w:t>
      </w:r>
      <w:r>
        <w:rPr>
          <w:rFonts w:ascii="宋体" w:hAnsi="宋体"/>
          <w:sz w:val="24"/>
          <w:highlight w:val="none"/>
        </w:rPr>
        <w:t xml:space="preserve">：没有重大违法记录承诺函 </w:t>
      </w:r>
    </w:p>
    <w:p>
      <w:pPr>
        <w:jc w:val="center"/>
        <w:rPr>
          <w:rFonts w:ascii="宋体" w:hAnsi="宋体"/>
          <w:b/>
          <w:sz w:val="32"/>
          <w:highlight w:val="none"/>
        </w:rPr>
      </w:pPr>
    </w:p>
    <w:p>
      <w:pPr>
        <w:jc w:val="center"/>
        <w:rPr>
          <w:rFonts w:ascii="宋体" w:hAnsi="宋体"/>
          <w:b/>
          <w:sz w:val="32"/>
          <w:highlight w:val="none"/>
        </w:rPr>
      </w:pPr>
      <w:r>
        <w:rPr>
          <w:rFonts w:ascii="宋体" w:hAnsi="宋体"/>
          <w:b/>
          <w:sz w:val="32"/>
          <w:highlight w:val="none"/>
        </w:rPr>
        <w:t>没有重大违法记录承诺函</w:t>
      </w:r>
    </w:p>
    <w:p>
      <w:pPr>
        <w:spacing w:line="360" w:lineRule="auto"/>
        <w:rPr>
          <w:rFonts w:ascii="宋体" w:hAnsi="宋体"/>
          <w:sz w:val="24"/>
          <w:szCs w:val="24"/>
          <w:highlight w:val="none"/>
          <w:u w:val="single"/>
        </w:rPr>
      </w:pPr>
    </w:p>
    <w:p>
      <w:pPr>
        <w:spacing w:line="360" w:lineRule="auto"/>
        <w:rPr>
          <w:rFonts w:ascii="宋体" w:hAnsi="宋体"/>
          <w:sz w:val="24"/>
          <w:szCs w:val="24"/>
          <w:highlight w:val="none"/>
          <w:u w:val="single"/>
        </w:rPr>
      </w:pPr>
      <w:r>
        <w:rPr>
          <w:rFonts w:ascii="宋体" w:hAnsi="宋体"/>
          <w:sz w:val="24"/>
          <w:szCs w:val="24"/>
          <w:highlight w:val="none"/>
          <w:u w:val="single"/>
        </w:rPr>
        <w:t>（采购人）</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我方</w:t>
      </w:r>
      <w:r>
        <w:rPr>
          <w:rFonts w:hint="eastAsia" w:ascii="宋体" w:hAnsi="宋体"/>
          <w:sz w:val="24"/>
          <w:szCs w:val="24"/>
          <w:highlight w:val="none"/>
          <w:u w:val="single"/>
        </w:rPr>
        <w:t xml:space="preserve">（投标人）            </w:t>
      </w:r>
      <w:r>
        <w:rPr>
          <w:rFonts w:ascii="宋体" w:hAnsi="宋体"/>
          <w:sz w:val="24"/>
          <w:szCs w:val="24"/>
          <w:highlight w:val="none"/>
        </w:rPr>
        <w:t>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sz w:val="24"/>
          <w:szCs w:val="24"/>
          <w:highlight w:val="none"/>
        </w:rPr>
        <w:t>。</w:t>
      </w:r>
      <w:r>
        <w:rPr>
          <w:rFonts w:ascii="宋体" w:hAnsi="宋体"/>
          <w:sz w:val="24"/>
          <w:szCs w:val="24"/>
          <w:highlight w:val="none"/>
        </w:rPr>
        <w:t xml:space="preserve">如有虚假，采购人可取消我方任何资格（投标/中标/签订合同），我方对此无任何异议。 </w:t>
      </w:r>
    </w:p>
    <w:p>
      <w:pPr>
        <w:spacing w:line="360" w:lineRule="auto"/>
        <w:ind w:firstLine="480" w:firstLineChars="200"/>
        <w:rPr>
          <w:rFonts w:ascii="宋体" w:hAnsi="宋体"/>
          <w:sz w:val="24"/>
          <w:szCs w:val="24"/>
          <w:highlight w:val="none"/>
        </w:rPr>
      </w:pPr>
      <w:r>
        <w:rPr>
          <w:rFonts w:ascii="宋体" w:hAnsi="宋体"/>
          <w:sz w:val="24"/>
          <w:szCs w:val="24"/>
          <w:highlight w:val="none"/>
        </w:rPr>
        <w:t xml:space="preserve">特此承诺！ </w:t>
      </w:r>
    </w:p>
    <w:p>
      <w:pPr>
        <w:spacing w:line="360" w:lineRule="auto"/>
        <w:rPr>
          <w:rFonts w:ascii="宋体" w:hAnsi="宋体"/>
          <w:sz w:val="24"/>
          <w:szCs w:val="24"/>
          <w:highlight w:val="none"/>
        </w:rPr>
      </w:pPr>
    </w:p>
    <w:p>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法定/授权代表：</w:t>
      </w:r>
      <w:r>
        <w:rPr>
          <w:rFonts w:hint="eastAsia" w:ascii="宋体" w:hAnsi="宋体" w:cs="宋体"/>
          <w:kern w:val="0"/>
          <w:sz w:val="24"/>
          <w:highlight w:val="none"/>
          <w:u w:val="single"/>
          <w:lang w:val="zh-CN"/>
        </w:rPr>
        <w:t xml:space="preserve">（签字或盖章） </w:t>
      </w:r>
    </w:p>
    <w:p>
      <w:pPr>
        <w:adjustRightInd w:val="0"/>
        <w:snapToGrid w:val="0"/>
        <w:spacing w:line="360" w:lineRule="auto"/>
        <w:rPr>
          <w:rFonts w:ascii="宋体" w:hAnsi="宋体" w:cs="宋体"/>
          <w:kern w:val="0"/>
          <w:sz w:val="24"/>
          <w:highlight w:val="none"/>
          <w:u w:val="single"/>
          <w:lang w:val="zh-CN"/>
        </w:rPr>
      </w:pPr>
      <w:r>
        <w:rPr>
          <w:rFonts w:hint="eastAsia" w:ascii="宋体" w:hAnsi="宋体" w:cs="宋体"/>
          <w:kern w:val="0"/>
          <w:sz w:val="24"/>
          <w:highlight w:val="none"/>
          <w:lang w:val="zh-CN"/>
        </w:rPr>
        <w:t>投标人：</w:t>
      </w:r>
      <w:r>
        <w:rPr>
          <w:rFonts w:hint="eastAsia" w:ascii="宋体" w:hAnsi="宋体" w:cs="宋体"/>
          <w:kern w:val="0"/>
          <w:sz w:val="24"/>
          <w:highlight w:val="none"/>
          <w:u w:val="single"/>
          <w:lang w:val="zh-CN"/>
        </w:rPr>
        <w:t xml:space="preserve">（全称加盖公章）       </w:t>
      </w:r>
    </w:p>
    <w:p>
      <w:pPr>
        <w:adjustRightInd w:val="0"/>
        <w:snapToGrid w:val="0"/>
        <w:spacing w:line="360" w:lineRule="auto"/>
        <w:rPr>
          <w:rFonts w:ascii="宋体" w:hAnsi="宋体" w:cs="宋体"/>
          <w:b/>
          <w:sz w:val="30"/>
          <w:szCs w:val="30"/>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p>
      <w:pPr>
        <w:widowControl/>
        <w:spacing w:line="312" w:lineRule="auto"/>
        <w:jc w:val="left"/>
        <w:rPr>
          <w:rFonts w:ascii="宋体" w:hAnsi="宋体"/>
          <w:sz w:val="24"/>
          <w:highlight w:val="none"/>
        </w:rPr>
      </w:pPr>
      <w:bookmarkStart w:id="98" w:name="_Toc8165"/>
    </w:p>
    <w:p>
      <w:pPr>
        <w:widowControl/>
        <w:spacing w:line="312" w:lineRule="auto"/>
        <w:jc w:val="left"/>
        <w:rPr>
          <w:rFonts w:ascii="宋体" w:hAnsi="宋体"/>
          <w:sz w:val="24"/>
          <w:szCs w:val="22"/>
          <w:highlight w:val="none"/>
        </w:rPr>
      </w:pPr>
      <w:r>
        <w:rPr>
          <w:rFonts w:hint="eastAsia" w:ascii="宋体" w:hAnsi="宋体"/>
          <w:sz w:val="24"/>
          <w:highlight w:val="none"/>
        </w:rPr>
        <w:t>表4</w:t>
      </w:r>
      <w:r>
        <w:rPr>
          <w:rFonts w:ascii="宋体" w:hAnsi="宋体"/>
          <w:sz w:val="24"/>
          <w:highlight w:val="none"/>
        </w:rPr>
        <w:t>：</w:t>
      </w:r>
      <w:r>
        <w:rPr>
          <w:rFonts w:hint="eastAsia" w:ascii="宋体" w:hAnsi="宋体"/>
          <w:sz w:val="24"/>
          <w:szCs w:val="22"/>
          <w:highlight w:val="none"/>
        </w:rPr>
        <w:t>无违法失信的声明函</w:t>
      </w:r>
    </w:p>
    <w:p>
      <w:pPr>
        <w:spacing w:line="312" w:lineRule="auto"/>
        <w:jc w:val="center"/>
        <w:rPr>
          <w:rFonts w:ascii="宋体" w:hAnsi="宋体"/>
          <w:b/>
          <w:sz w:val="32"/>
          <w:szCs w:val="22"/>
          <w:highlight w:val="none"/>
        </w:rPr>
      </w:pPr>
      <w:r>
        <w:rPr>
          <w:rFonts w:hint="eastAsia" w:ascii="宋体" w:hAnsi="宋体"/>
          <w:b/>
          <w:sz w:val="32"/>
          <w:szCs w:val="22"/>
          <w:highlight w:val="none"/>
        </w:rPr>
        <w:t xml:space="preserve">无违法失信的声明函 </w:t>
      </w:r>
    </w:p>
    <w:p>
      <w:pPr>
        <w:spacing w:line="312" w:lineRule="auto"/>
        <w:rPr>
          <w:rFonts w:ascii="宋体" w:hAnsi="宋体"/>
          <w:highlight w:val="none"/>
        </w:rPr>
      </w:pPr>
      <w:r>
        <w:rPr>
          <w:rFonts w:ascii="宋体" w:hAnsi="宋体"/>
          <w:sz w:val="24"/>
          <w:szCs w:val="24"/>
          <w:highlight w:val="none"/>
          <w:u w:val="single"/>
        </w:rPr>
        <w:t>（采购人）</w:t>
      </w:r>
      <w:r>
        <w:rPr>
          <w:rFonts w:ascii="宋体" w:hAnsi="宋体"/>
          <w:sz w:val="24"/>
          <w:szCs w:val="24"/>
          <w:highlight w:val="none"/>
        </w:rPr>
        <w:t>：</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截至</w:t>
      </w:r>
      <w:r>
        <w:rPr>
          <w:rFonts w:hint="eastAsia" w:hAnsi="宋体"/>
          <w:sz w:val="24"/>
          <w:highlight w:val="none"/>
          <w:u w:val="single"/>
        </w:rPr>
        <w:t xml:space="preserve">（项目名称）   </w:t>
      </w:r>
      <w:r>
        <w:rPr>
          <w:rFonts w:hint="eastAsia" w:ascii="宋体" w:hAnsi="宋体"/>
          <w:sz w:val="24"/>
          <w:szCs w:val="24"/>
          <w:highlight w:val="none"/>
          <w:u w:val="single"/>
        </w:rPr>
        <w:t>（项目编号:</w:t>
      </w:r>
      <w:r>
        <w:rPr>
          <w:rFonts w:hint="eastAsia" w:ascii="宋体" w:hAnsi="宋体"/>
          <w:sz w:val="24"/>
          <w:szCs w:val="24"/>
          <w:highlight w:val="none"/>
          <w:u w:val="single"/>
          <w:lang w:eastAsia="zh-CN"/>
        </w:rPr>
        <w:t>ZZCG2022102-1</w:t>
      </w:r>
      <w:r>
        <w:rPr>
          <w:rFonts w:hint="eastAsia" w:ascii="宋体" w:hAnsi="宋体"/>
          <w:sz w:val="24"/>
          <w:szCs w:val="24"/>
          <w:highlight w:val="none"/>
          <w:u w:val="single"/>
        </w:rPr>
        <w:t>）</w:t>
      </w:r>
      <w:r>
        <w:rPr>
          <w:rFonts w:hint="eastAsia" w:ascii="宋体" w:hAnsi="宋体"/>
          <w:sz w:val="24"/>
          <w:szCs w:val="24"/>
          <w:highlight w:val="none"/>
        </w:rPr>
        <w:t xml:space="preserve">的响应文件提交截止时间，往前追溯三年，期间未被列入失信被执行人名单、重大税收违法案件当事人名单、政府采购严重违法失信行为记录名单。 </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 xml:space="preserve">本公司对上述声明的真实性负责。如有虚假，愿意承担相应责任，对此无任何异议。 </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 xml:space="preserve">特此声明！ </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 xml:space="preserve">供应商全称： </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 xml:space="preserve">（盖单位公章） </w:t>
      </w:r>
    </w:p>
    <w:p>
      <w:pPr>
        <w:spacing w:line="312" w:lineRule="auto"/>
        <w:ind w:firstLine="480" w:firstLineChars="200"/>
        <w:rPr>
          <w:rFonts w:ascii="宋体" w:hAnsi="宋体"/>
          <w:sz w:val="24"/>
          <w:szCs w:val="24"/>
          <w:highlight w:val="none"/>
        </w:rPr>
      </w:pPr>
      <w:r>
        <w:rPr>
          <w:rFonts w:hint="eastAsia" w:ascii="宋体" w:hAnsi="宋体"/>
          <w:sz w:val="24"/>
          <w:szCs w:val="24"/>
          <w:highlight w:val="none"/>
        </w:rPr>
        <w:t>日期：</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p>
      <w:pPr>
        <w:widowControl/>
        <w:spacing w:line="312" w:lineRule="auto"/>
        <w:jc w:val="left"/>
        <w:rPr>
          <w:rFonts w:ascii="宋体" w:hAnsi="宋体"/>
          <w:sz w:val="24"/>
          <w:highlight w:val="none"/>
        </w:rPr>
      </w:pPr>
    </w:p>
    <w:p>
      <w:pPr>
        <w:widowControl/>
        <w:spacing w:line="312" w:lineRule="auto"/>
        <w:jc w:val="left"/>
        <w:rPr>
          <w:rFonts w:ascii="宋体" w:hAnsi="宋体"/>
          <w:sz w:val="24"/>
          <w:highlight w:val="none"/>
        </w:rPr>
      </w:pPr>
    </w:p>
    <w:p>
      <w:pPr>
        <w:widowControl/>
        <w:spacing w:line="312" w:lineRule="auto"/>
        <w:jc w:val="left"/>
        <w:rPr>
          <w:rFonts w:ascii="宋体" w:hAnsi="宋体"/>
          <w:sz w:val="24"/>
          <w:highlight w:val="none"/>
        </w:rPr>
      </w:pPr>
    </w:p>
    <w:p>
      <w:pPr>
        <w:pStyle w:val="8"/>
        <w:ind w:firstLine="0"/>
        <w:rPr>
          <w:rFonts w:hint="eastAsia" w:ascii="宋体" w:hAnsi="宋体"/>
          <w:highlight w:val="none"/>
        </w:rPr>
      </w:pPr>
    </w:p>
    <w:p>
      <w:pPr>
        <w:pStyle w:val="8"/>
        <w:ind w:firstLine="0"/>
        <w:rPr>
          <w:rFonts w:cs="Arial"/>
          <w:highlight w:val="none"/>
        </w:rPr>
      </w:pPr>
      <w:r>
        <w:rPr>
          <w:rFonts w:hint="eastAsia" w:ascii="宋体" w:hAnsi="宋体"/>
          <w:highlight w:val="none"/>
        </w:rPr>
        <w:t>表5</w:t>
      </w:r>
      <w:r>
        <w:rPr>
          <w:rFonts w:ascii="宋体" w:hAnsi="宋体"/>
          <w:highlight w:val="none"/>
        </w:rPr>
        <w:t>：</w:t>
      </w:r>
      <w:r>
        <w:rPr>
          <w:rFonts w:hint="eastAsia" w:ascii="宋体" w:hAnsi="宋体"/>
          <w:highlight w:val="none"/>
        </w:rPr>
        <w:t>与其他供应商无利害关系的</w:t>
      </w:r>
      <w:r>
        <w:rPr>
          <w:rFonts w:cs="Arial"/>
          <w:highlight w:val="none"/>
        </w:rPr>
        <w:t>声明函</w:t>
      </w:r>
    </w:p>
    <w:p>
      <w:pPr>
        <w:rPr>
          <w:highlight w:val="none"/>
        </w:rPr>
      </w:pPr>
    </w:p>
    <w:p>
      <w:pPr>
        <w:rPr>
          <w:highlight w:val="none"/>
        </w:rPr>
      </w:pPr>
    </w:p>
    <w:p>
      <w:pPr>
        <w:spacing w:line="312" w:lineRule="auto"/>
        <w:jc w:val="center"/>
        <w:rPr>
          <w:rFonts w:ascii="宋体" w:hAnsi="宋体"/>
          <w:b/>
          <w:sz w:val="32"/>
          <w:szCs w:val="22"/>
          <w:highlight w:val="none"/>
        </w:rPr>
      </w:pPr>
      <w:r>
        <w:rPr>
          <w:rFonts w:hint="eastAsia" w:ascii="宋体" w:hAnsi="宋体"/>
          <w:b/>
          <w:sz w:val="32"/>
          <w:szCs w:val="22"/>
          <w:highlight w:val="none"/>
        </w:rPr>
        <w:t>与其他供应商无利害关系的声明函</w:t>
      </w:r>
    </w:p>
    <w:p>
      <w:pPr>
        <w:pStyle w:val="8"/>
        <w:rPr>
          <w:highlight w:val="none"/>
        </w:rPr>
      </w:pPr>
    </w:p>
    <w:p>
      <w:pPr>
        <w:spacing w:line="312" w:lineRule="auto"/>
        <w:rPr>
          <w:rFonts w:ascii="宋体" w:hAnsi="宋体"/>
          <w:highlight w:val="none"/>
        </w:rPr>
      </w:pPr>
      <w:r>
        <w:rPr>
          <w:rFonts w:ascii="宋体" w:hAnsi="宋体"/>
          <w:sz w:val="24"/>
          <w:szCs w:val="24"/>
          <w:highlight w:val="none"/>
          <w:u w:val="single"/>
        </w:rPr>
        <w:t>（采购人）</w:t>
      </w:r>
      <w:r>
        <w:rPr>
          <w:rFonts w:ascii="宋体" w:hAnsi="宋体"/>
          <w:sz w:val="24"/>
          <w:szCs w:val="24"/>
          <w:highlight w:val="none"/>
        </w:rPr>
        <w:t>：</w:t>
      </w:r>
    </w:p>
    <w:p>
      <w:pPr>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w:t>
      </w:r>
      <w:r>
        <w:rPr>
          <w:rFonts w:hint="eastAsia" w:ascii="宋体" w:hAnsi="宋体" w:cs="宋体"/>
          <w:sz w:val="24"/>
          <w:szCs w:val="24"/>
          <w:highlight w:val="none"/>
          <w:u w:val="single"/>
        </w:rPr>
        <w:t xml:space="preserve">        （投标人）     </w:t>
      </w:r>
      <w:r>
        <w:rPr>
          <w:rFonts w:hint="eastAsia" w:ascii="宋体" w:hAnsi="宋体" w:cs="宋体"/>
          <w:sz w:val="24"/>
          <w:szCs w:val="24"/>
          <w:highlight w:val="none"/>
        </w:rPr>
        <w:t>参加</w:t>
      </w:r>
      <w:r>
        <w:rPr>
          <w:rFonts w:hint="eastAsia" w:ascii="宋体" w:hAnsi="宋体" w:cs="宋体"/>
          <w:sz w:val="24"/>
          <w:szCs w:val="24"/>
          <w:highlight w:val="none"/>
          <w:u w:val="single"/>
        </w:rPr>
        <w:t xml:space="preserve">     （项目名称）</w:t>
      </w:r>
      <w:r>
        <w:rPr>
          <w:rFonts w:hint="eastAsia" w:ascii="宋体" w:hAnsi="宋体"/>
          <w:sz w:val="24"/>
          <w:szCs w:val="24"/>
          <w:highlight w:val="none"/>
          <w:u w:val="single"/>
        </w:rPr>
        <w:t>（项目编号:</w:t>
      </w:r>
      <w:r>
        <w:rPr>
          <w:rFonts w:hint="eastAsia" w:ascii="宋体" w:hAnsi="宋体"/>
          <w:sz w:val="24"/>
          <w:szCs w:val="24"/>
          <w:highlight w:val="none"/>
          <w:u w:val="single"/>
          <w:lang w:eastAsia="zh-CN"/>
        </w:rPr>
        <w:t>ZZCG2022102-1</w:t>
      </w:r>
      <w:r>
        <w:rPr>
          <w:rFonts w:hint="eastAsia" w:ascii="宋体" w:hAnsi="宋体"/>
          <w:sz w:val="24"/>
          <w:szCs w:val="24"/>
          <w:highlight w:val="none"/>
          <w:u w:val="single"/>
        </w:rPr>
        <w:t>）</w:t>
      </w:r>
      <w:r>
        <w:rPr>
          <w:rFonts w:hint="eastAsia" w:ascii="宋体" w:hAnsi="宋体" w:cs="宋体"/>
          <w:sz w:val="24"/>
          <w:szCs w:val="24"/>
          <w:highlight w:val="none"/>
        </w:rPr>
        <w:t>政府采购活动，与其他供应商不存在法定代表人为同一人或</w:t>
      </w:r>
      <w:r>
        <w:rPr>
          <w:rFonts w:hint="eastAsia" w:ascii="宋体" w:hAnsi="宋体" w:cs="宋体"/>
          <w:kern w:val="0"/>
          <w:sz w:val="24"/>
          <w:szCs w:val="24"/>
          <w:highlight w:val="none"/>
        </w:rPr>
        <w:t>存在直接控股、管理关系。</w:t>
      </w:r>
    </w:p>
    <w:p>
      <w:pPr>
        <w:snapToGrid w:val="0"/>
        <w:spacing w:line="312"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我方</w:t>
      </w:r>
      <w:r>
        <w:rPr>
          <w:rFonts w:hint="eastAsia" w:ascii="宋体" w:hAnsi="宋体" w:cs="宋体"/>
          <w:kern w:val="0"/>
          <w:sz w:val="24"/>
          <w:szCs w:val="24"/>
          <w:highlight w:val="none"/>
        </w:rPr>
        <w:t>对上述声明的真实性负责。如有虚假，愿意承担相应责任，对此无任何异议。</w:t>
      </w:r>
    </w:p>
    <w:p>
      <w:pPr>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特此声明！</w:t>
      </w:r>
    </w:p>
    <w:p>
      <w:pPr>
        <w:pStyle w:val="8"/>
        <w:rPr>
          <w:rFonts w:ascii="宋体" w:hAnsi="宋体" w:cs="宋体"/>
          <w:szCs w:val="24"/>
          <w:highlight w:val="none"/>
        </w:rPr>
      </w:pPr>
    </w:p>
    <w:p>
      <w:pPr>
        <w:rPr>
          <w:highlight w:val="none"/>
        </w:rPr>
      </w:pPr>
    </w:p>
    <w:p>
      <w:pPr>
        <w:snapToGrid w:val="0"/>
        <w:spacing w:line="480" w:lineRule="exact"/>
        <w:rPr>
          <w:rFonts w:ascii="宋体" w:hAnsi="宋体" w:cs="宋体"/>
          <w:color w:val="000000"/>
          <w:sz w:val="24"/>
          <w:szCs w:val="24"/>
          <w:highlight w:val="none"/>
        </w:rPr>
      </w:pPr>
      <w:r>
        <w:rPr>
          <w:rFonts w:hint="eastAsia" w:ascii="宋体" w:hAnsi="宋体" w:cs="宋体"/>
          <w:color w:val="000000"/>
          <w:sz w:val="24"/>
          <w:szCs w:val="24"/>
          <w:highlight w:val="none"/>
        </w:rPr>
        <w:t>投标人（盖章）：</w:t>
      </w:r>
    </w:p>
    <w:p>
      <w:pPr>
        <w:snapToGrid w:val="0"/>
        <w:spacing w:line="480" w:lineRule="exact"/>
        <w:rPr>
          <w:rFonts w:ascii="宋体" w:hAnsi="宋体" w:cs="宋体"/>
          <w:color w:val="000000"/>
          <w:sz w:val="24"/>
          <w:szCs w:val="24"/>
          <w:highlight w:val="none"/>
        </w:rPr>
      </w:pPr>
      <w:r>
        <w:rPr>
          <w:rFonts w:hint="eastAsia" w:ascii="宋体" w:hAnsi="宋体" w:cs="宋体"/>
          <w:color w:val="000000"/>
          <w:sz w:val="24"/>
          <w:szCs w:val="24"/>
          <w:highlight w:val="none"/>
        </w:rPr>
        <w:t xml:space="preserve">法定代表人或其授权代表人（签字或盖章）：                                   </w:t>
      </w:r>
    </w:p>
    <w:p>
      <w:pPr>
        <w:snapToGrid w:val="0"/>
        <w:spacing w:line="480" w:lineRule="exact"/>
        <w:rPr>
          <w:rFonts w:ascii="宋体" w:hAnsi="宋体" w:cs="宋体"/>
          <w:color w:val="000000"/>
          <w:sz w:val="24"/>
          <w:szCs w:val="24"/>
          <w:highlight w:val="none"/>
        </w:rPr>
      </w:pPr>
      <w:r>
        <w:rPr>
          <w:rFonts w:hint="eastAsia" w:ascii="宋体" w:hAnsi="宋体" w:cs="宋体"/>
          <w:color w:val="000000"/>
          <w:sz w:val="24"/>
          <w:szCs w:val="24"/>
          <w:highlight w:val="none"/>
        </w:rPr>
        <w:t>日期：</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r>
        <w:rPr>
          <w:rFonts w:hint="eastAsia" w:ascii="宋体" w:hAnsi="宋体" w:cs="宋体"/>
          <w:color w:val="000000"/>
          <w:sz w:val="24"/>
          <w:szCs w:val="24"/>
          <w:highlight w:val="none"/>
        </w:rPr>
        <w:t xml:space="preserve"> </w:t>
      </w:r>
    </w:p>
    <w:p>
      <w:pPr>
        <w:spacing w:line="312" w:lineRule="auto"/>
        <w:ind w:firstLine="480" w:firstLineChars="200"/>
        <w:rPr>
          <w:rFonts w:ascii="宋体" w:hAnsi="宋体"/>
          <w:sz w:val="24"/>
          <w:szCs w:val="24"/>
          <w:highlight w:val="none"/>
        </w:rPr>
      </w:pPr>
    </w:p>
    <w:p>
      <w:pPr>
        <w:pStyle w:val="87"/>
        <w:ind w:left="560"/>
        <w:rPr>
          <w:highlight w:val="none"/>
        </w:rPr>
      </w:pPr>
    </w:p>
    <w:p>
      <w:pPr>
        <w:pStyle w:val="2"/>
        <w:ind w:firstLine="210"/>
        <w:rPr>
          <w:highlight w:val="none"/>
        </w:rPr>
      </w:pPr>
    </w:p>
    <w:p>
      <w:pPr>
        <w:pStyle w:val="69"/>
        <w:rPr>
          <w:highlight w:val="none"/>
        </w:rPr>
      </w:pPr>
    </w:p>
    <w:p>
      <w:pPr>
        <w:pStyle w:val="8"/>
        <w:ind w:firstLine="0"/>
        <w:rPr>
          <w:rFonts w:hint="eastAsia" w:ascii="宋体" w:hAnsi="宋体" w:eastAsia="宋体"/>
          <w:highlight w:val="none"/>
        </w:rPr>
      </w:pPr>
      <w:bookmarkStart w:id="99" w:name="_Toc522530060"/>
    </w:p>
    <w:bookmarkEnd w:id="99"/>
    <w:p>
      <w:pPr>
        <w:pStyle w:val="46"/>
        <w:adjustRightInd w:val="0"/>
        <w:snapToGrid w:val="0"/>
        <w:spacing w:line="360" w:lineRule="auto"/>
        <w:jc w:val="center"/>
        <w:outlineLvl w:val="1"/>
        <w:rPr>
          <w:rFonts w:hAnsi="宋体"/>
          <w:b/>
          <w:sz w:val="28"/>
          <w:highlight w:val="none"/>
        </w:rPr>
      </w:pPr>
      <w:r>
        <w:rPr>
          <w:rFonts w:hint="eastAsia" w:hAnsi="宋体"/>
          <w:b/>
          <w:sz w:val="28"/>
          <w:highlight w:val="none"/>
        </w:rPr>
        <w:t>格式二：投标声明函</w:t>
      </w:r>
      <w:bookmarkEnd w:id="94"/>
      <w:bookmarkEnd w:id="98"/>
    </w:p>
    <w:p>
      <w:pPr>
        <w:adjustRightInd w:val="0"/>
        <w:snapToGrid w:val="0"/>
        <w:spacing w:line="360" w:lineRule="auto"/>
        <w:rPr>
          <w:rFonts w:ascii="宋体" w:hAnsi="宋体"/>
          <w:sz w:val="24"/>
          <w:highlight w:val="none"/>
        </w:rPr>
      </w:pPr>
      <w:r>
        <w:rPr>
          <w:rFonts w:hint="eastAsia" w:ascii="宋体" w:hAnsi="宋体"/>
          <w:sz w:val="24"/>
          <w:highlight w:val="none"/>
          <w:lang w:eastAsia="zh-CN"/>
        </w:rPr>
        <w:t>衢州智慧新城管理委员会</w:t>
      </w:r>
      <w:r>
        <w:rPr>
          <w:rFonts w:hint="eastAsia" w:ascii="宋体" w:hAnsi="宋体"/>
          <w:sz w:val="24"/>
          <w:highlight w:val="none"/>
        </w:rPr>
        <w:t>：</w:t>
      </w:r>
    </w:p>
    <w:p>
      <w:pPr>
        <w:adjustRightInd w:val="0"/>
        <w:snapToGrid w:val="0"/>
        <w:spacing w:line="360" w:lineRule="auto"/>
        <w:rPr>
          <w:rFonts w:ascii="宋体" w:hAnsi="宋体"/>
          <w:b/>
          <w:sz w:val="30"/>
          <w:highlight w:val="none"/>
        </w:rPr>
      </w:pPr>
      <w:r>
        <w:rPr>
          <w:rFonts w:hint="eastAsia" w:ascii="宋体" w:hAnsi="宋体"/>
          <w:sz w:val="24"/>
          <w:highlight w:val="none"/>
        </w:rPr>
        <w:t>浙江中正工程项目管理有限公司：</w:t>
      </w:r>
    </w:p>
    <w:p>
      <w:pPr>
        <w:pStyle w:val="46"/>
        <w:adjustRightInd w:val="0"/>
        <w:snapToGrid w:val="0"/>
        <w:spacing w:line="360" w:lineRule="auto"/>
        <w:ind w:firstLine="480" w:firstLineChars="200"/>
        <w:rPr>
          <w:rFonts w:hAnsi="宋体"/>
          <w:sz w:val="24"/>
          <w:highlight w:val="none"/>
        </w:rPr>
      </w:pPr>
      <w:r>
        <w:rPr>
          <w:rFonts w:hint="eastAsia" w:hAnsi="宋体"/>
          <w:sz w:val="24"/>
          <w:highlight w:val="none"/>
        </w:rPr>
        <w:t>本单位自愿参加</w:t>
      </w:r>
      <w:r>
        <w:rPr>
          <w:rFonts w:hint="eastAsia" w:hAnsi="宋体"/>
          <w:sz w:val="24"/>
          <w:highlight w:val="none"/>
          <w:u w:val="single"/>
        </w:rPr>
        <w:t xml:space="preserve">              （项目名称）  (项目编号：</w:t>
      </w:r>
      <w:r>
        <w:rPr>
          <w:rFonts w:hint="eastAsia" w:hAnsi="宋体"/>
          <w:sz w:val="24"/>
          <w:highlight w:val="none"/>
          <w:u w:val="single"/>
          <w:lang w:eastAsia="zh-CN"/>
        </w:rPr>
        <w:t>ZZCG2022102-1</w:t>
      </w:r>
      <w:r>
        <w:rPr>
          <w:rFonts w:hint="eastAsia" w:hAnsi="宋体"/>
          <w:sz w:val="24"/>
          <w:highlight w:val="none"/>
          <w:u w:val="single"/>
        </w:rPr>
        <w:t>)</w:t>
      </w:r>
      <w:r>
        <w:rPr>
          <w:rFonts w:hint="eastAsia" w:hAnsi="宋体"/>
          <w:sz w:val="24"/>
          <w:highlight w:val="none"/>
        </w:rPr>
        <w:t>的投标，并保证投标文件中所列举的投报价文件及相关资料和公司基本情况资料是真实的、合法的，我方：</w:t>
      </w:r>
    </w:p>
    <w:p>
      <w:pPr>
        <w:adjustRightInd w:val="0"/>
        <w:snapToGrid w:val="0"/>
        <w:spacing w:line="360" w:lineRule="auto"/>
        <w:ind w:firstLine="480"/>
        <w:rPr>
          <w:rFonts w:ascii="宋体" w:hAnsi="宋体"/>
          <w:kern w:val="0"/>
          <w:sz w:val="24"/>
          <w:highlight w:val="none"/>
        </w:rPr>
      </w:pPr>
      <w:bookmarkStart w:id="100" w:name="_Toc522530053"/>
      <w:r>
        <w:rPr>
          <w:rFonts w:hint="eastAsia" w:ascii="宋体" w:hAnsi="宋体"/>
          <w:kern w:val="0"/>
          <w:sz w:val="24"/>
          <w:highlight w:val="none"/>
        </w:rPr>
        <w:t>1、已详细阅读全部招标文件，包括招标文件补充文件（（如果有，包括相关的补充、更正、澄清公告和文件））、参考资料及有关附件，确认无误。我方完全理解并接受招标文件的各项规定和要求。</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2、同意提供按照贵方可能要求的与投标有关的一切数据或资料等。若贵方需要，我方愿意提供我方作出的一切承诺的证明材料。</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3、中标或者成交后，按采购文件规定与采购人签订合同。拒绝签订合同的，承诺按采购预算金额的 2%对采购人进行赔偿；赔偿金额不足以弥补采购人损失的，承诺继续承担超过部分的损失。</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4、同意在招标文件中投标人须知规定的开标日期起遵守本投标书中的承诺且在投标有效期满之前均具有约束力。</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5、投标有效期内不撤销投标文件；强行撤销的，承诺按采购预算金额的2%赔偿对采购组织机构造成损失；</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6、中标或者成交后，按采购文件规定的采购代理服务费标准，承诺在签订合同前向采购代理机构支付采购代理服务费。</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7、完全理解贵方不一定要接受最低价的投标。</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8、单位、法定代表人、本项目授权代表及本项目负责人在参加本项目前三年内（以法院判决书生效日期为准）均无行贿犯罪记录。</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9、如有下列情形之一的，我方愿意被取消中标资格（如中标），同时继续承担其他一切法律后果，并不再寻求任何旨在减轻或免除法律责任的解释：</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(1)提供虚假材料（承诺）谋取中标、成交的；</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(2)采取不正当手段诋毁、排挤其他投标人的；</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(3)与招标人、其它投标人或者招标代理机构恶意串通的；</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(4)向招标人、招标代理机构行贿或者提供其他不正当利益的；</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(5)在招标采购过程中与招标人进行协商谈判的；</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(6)拒绝有关部门监督检查或提供虚假情况的。</w:t>
      </w:r>
    </w:p>
    <w:p>
      <w:pPr>
        <w:adjustRightInd w:val="0"/>
        <w:snapToGrid w:val="0"/>
        <w:spacing w:line="360" w:lineRule="auto"/>
        <w:ind w:firstLine="480"/>
        <w:rPr>
          <w:rFonts w:ascii="宋体" w:hAnsi="宋体"/>
          <w:kern w:val="0"/>
          <w:sz w:val="24"/>
          <w:highlight w:val="none"/>
        </w:rPr>
      </w:pPr>
    </w:p>
    <w:p>
      <w:pPr>
        <w:adjustRightInd w:val="0"/>
        <w:snapToGrid w:val="0"/>
        <w:spacing w:line="360" w:lineRule="auto"/>
        <w:ind w:firstLine="480"/>
        <w:rPr>
          <w:rFonts w:ascii="宋体" w:hAnsi="宋体"/>
          <w:kern w:val="0"/>
          <w:sz w:val="24"/>
          <w:highlight w:val="none"/>
        </w:rPr>
      </w:pPr>
    </w:p>
    <w:p>
      <w:pPr>
        <w:adjustRightInd w:val="0"/>
        <w:snapToGrid w:val="0"/>
        <w:spacing w:line="360" w:lineRule="auto"/>
        <w:ind w:firstLine="480"/>
        <w:rPr>
          <w:rFonts w:ascii="宋体" w:hAnsi="宋体"/>
          <w:kern w:val="0"/>
          <w:sz w:val="24"/>
          <w:highlight w:val="none"/>
        </w:rPr>
      </w:pP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法定（授权）代表人（签字或盖章）：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投标人盖章：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联系电话（手机及座机）：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传真：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电子邮件：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纳税人识别号：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开户银行：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银行账号：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联系地址：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 xml:space="preserve">邮政编码：                     </w:t>
      </w:r>
    </w:p>
    <w:p>
      <w:pPr>
        <w:adjustRightInd w:val="0"/>
        <w:snapToGrid w:val="0"/>
        <w:spacing w:line="360" w:lineRule="auto"/>
        <w:ind w:firstLine="480"/>
        <w:rPr>
          <w:rFonts w:ascii="宋体" w:hAnsi="宋体"/>
          <w:kern w:val="0"/>
          <w:sz w:val="24"/>
          <w:highlight w:val="none"/>
        </w:rPr>
      </w:pPr>
      <w:r>
        <w:rPr>
          <w:rFonts w:hint="eastAsia" w:ascii="宋体" w:hAnsi="宋体"/>
          <w:kern w:val="0"/>
          <w:sz w:val="24"/>
          <w:highlight w:val="none"/>
        </w:rPr>
        <w:t>日    期：</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p>
      <w:pPr>
        <w:adjustRightInd w:val="0"/>
        <w:snapToGrid w:val="0"/>
        <w:spacing w:line="360" w:lineRule="auto"/>
        <w:ind w:firstLine="480"/>
        <w:rPr>
          <w:rFonts w:ascii="宋体" w:hAnsi="宋体"/>
          <w:kern w:val="0"/>
          <w:sz w:val="24"/>
          <w:highlight w:val="none"/>
        </w:rPr>
      </w:pPr>
    </w:p>
    <w:p>
      <w:pPr>
        <w:adjustRightInd w:val="0"/>
        <w:snapToGrid w:val="0"/>
        <w:spacing w:line="360" w:lineRule="auto"/>
        <w:ind w:firstLine="480"/>
        <w:rPr>
          <w:rFonts w:ascii="宋体" w:hAnsi="宋体"/>
          <w:kern w:val="0"/>
          <w:sz w:val="24"/>
          <w:highlight w:val="none"/>
        </w:rPr>
      </w:pPr>
    </w:p>
    <w:p>
      <w:pPr>
        <w:adjustRightInd w:val="0"/>
        <w:snapToGrid w:val="0"/>
        <w:spacing w:line="360" w:lineRule="auto"/>
        <w:rPr>
          <w:rFonts w:ascii="宋体" w:hAnsi="宋体"/>
          <w:highlight w:val="none"/>
        </w:rPr>
        <w:sectPr>
          <w:headerReference r:id="rId4" w:type="first"/>
          <w:footerReference r:id="rId6" w:type="first"/>
          <w:headerReference r:id="rId3" w:type="default"/>
          <w:footerReference r:id="rId5" w:type="default"/>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pPr>
      <w:r>
        <w:rPr>
          <w:rFonts w:hint="eastAsia" w:ascii="宋体" w:hAnsi="宋体"/>
          <w:b/>
          <w:kern w:val="0"/>
          <w:sz w:val="24"/>
          <w:highlight w:val="none"/>
          <w:lang w:val="zh-CN"/>
        </w:rPr>
        <w:t>注：未按照本投标声明函要求填报的将被视为非实质性响应，从而可能导致该投标文件被拒绝。</w:t>
      </w:r>
    </w:p>
    <w:p>
      <w:pPr>
        <w:pStyle w:val="46"/>
        <w:adjustRightInd w:val="0"/>
        <w:snapToGrid w:val="0"/>
        <w:spacing w:line="360" w:lineRule="auto"/>
        <w:outlineLvl w:val="1"/>
        <w:rPr>
          <w:rFonts w:hAnsi="宋体"/>
          <w:b/>
          <w:sz w:val="28"/>
          <w:highlight w:val="none"/>
        </w:rPr>
      </w:pPr>
      <w:bookmarkStart w:id="101" w:name="_Toc15127"/>
      <w:r>
        <w:rPr>
          <w:rFonts w:hint="eastAsia" w:hAnsi="宋体"/>
          <w:b/>
          <w:kern w:val="0"/>
          <w:sz w:val="30"/>
          <w:highlight w:val="none"/>
          <w:lang w:val="zh-CN"/>
        </w:rPr>
        <w:t>格式三：</w:t>
      </w:r>
      <w:r>
        <w:rPr>
          <w:rFonts w:hint="eastAsia" w:hAnsi="宋体"/>
          <w:b/>
          <w:sz w:val="28"/>
          <w:highlight w:val="none"/>
        </w:rPr>
        <w:t>法定代表人身份证明或法定代表人身份证明及授权委托书</w:t>
      </w:r>
      <w:bookmarkEnd w:id="100"/>
      <w:bookmarkEnd w:id="101"/>
    </w:p>
    <w:p>
      <w:pPr>
        <w:pStyle w:val="46"/>
        <w:adjustRightInd w:val="0"/>
        <w:snapToGrid w:val="0"/>
        <w:spacing w:line="360" w:lineRule="auto"/>
        <w:jc w:val="center"/>
        <w:rPr>
          <w:rFonts w:hAnsi="宋体"/>
          <w:b/>
          <w:sz w:val="28"/>
          <w:highlight w:val="none"/>
        </w:rPr>
      </w:pPr>
    </w:p>
    <w:p>
      <w:pPr>
        <w:pStyle w:val="46"/>
        <w:adjustRightInd w:val="0"/>
        <w:snapToGrid w:val="0"/>
        <w:spacing w:line="360" w:lineRule="auto"/>
        <w:jc w:val="center"/>
        <w:rPr>
          <w:rFonts w:hAnsi="宋体"/>
          <w:b/>
          <w:kern w:val="0"/>
          <w:sz w:val="30"/>
          <w:highlight w:val="none"/>
          <w:lang w:val="zh-CN"/>
        </w:rPr>
      </w:pPr>
      <w:r>
        <w:rPr>
          <w:rFonts w:hint="eastAsia" w:hAnsi="宋体"/>
          <w:b/>
          <w:sz w:val="28"/>
          <w:highlight w:val="none"/>
        </w:rPr>
        <w:t>3-1</w:t>
      </w:r>
      <w:r>
        <w:rPr>
          <w:rFonts w:hAnsi="宋体"/>
          <w:b/>
          <w:sz w:val="28"/>
          <w:highlight w:val="none"/>
        </w:rPr>
        <w:t>法定代表人身份证明</w:t>
      </w:r>
    </w:p>
    <w:p>
      <w:pPr>
        <w:adjustRightInd w:val="0"/>
        <w:snapToGrid w:val="0"/>
        <w:spacing w:line="360" w:lineRule="auto"/>
        <w:rPr>
          <w:rFonts w:ascii="宋体" w:hAnsi="宋体"/>
          <w:sz w:val="24"/>
          <w:highlight w:val="none"/>
        </w:rPr>
      </w:pPr>
    </w:p>
    <w:p>
      <w:pPr>
        <w:adjustRightInd w:val="0"/>
        <w:snapToGrid w:val="0"/>
        <w:spacing w:line="324" w:lineRule="auto"/>
        <w:ind w:firstLine="480" w:firstLineChars="200"/>
        <w:rPr>
          <w:rFonts w:ascii="宋体" w:hAnsi="宋体"/>
          <w:sz w:val="24"/>
          <w:highlight w:val="none"/>
          <w:u w:val="single"/>
        </w:rPr>
      </w:pPr>
      <w:r>
        <w:rPr>
          <w:rFonts w:ascii="宋体" w:hAnsi="宋体"/>
          <w:sz w:val="24"/>
          <w:highlight w:val="none"/>
        </w:rPr>
        <w:t>姓名：  性别：  年龄：  职务：</w:t>
      </w:r>
    </w:p>
    <w:p>
      <w:pPr>
        <w:adjustRightInd w:val="0"/>
        <w:snapToGrid w:val="0"/>
        <w:spacing w:line="324" w:lineRule="auto"/>
        <w:ind w:firstLine="480" w:firstLineChars="200"/>
        <w:rPr>
          <w:rFonts w:ascii="宋体" w:hAnsi="宋体"/>
          <w:sz w:val="24"/>
          <w:highlight w:val="none"/>
          <w:u w:val="single"/>
        </w:rPr>
      </w:pPr>
      <w:r>
        <w:rPr>
          <w:rFonts w:ascii="宋体" w:hAnsi="宋体"/>
          <w:sz w:val="24"/>
          <w:highlight w:val="none"/>
        </w:rPr>
        <w:t>身份证号码：系（投标人名称）的法定代表人。</w:t>
      </w:r>
    </w:p>
    <w:p>
      <w:pPr>
        <w:adjustRightInd w:val="0"/>
        <w:snapToGrid w:val="0"/>
        <w:spacing w:line="324" w:lineRule="auto"/>
        <w:ind w:firstLine="560"/>
        <w:rPr>
          <w:rFonts w:ascii="宋体" w:hAnsi="宋体"/>
          <w:sz w:val="24"/>
          <w:highlight w:val="none"/>
        </w:rPr>
      </w:pPr>
    </w:p>
    <w:p>
      <w:pPr>
        <w:adjustRightInd w:val="0"/>
        <w:snapToGrid w:val="0"/>
        <w:spacing w:line="324" w:lineRule="auto"/>
        <w:ind w:firstLine="480" w:firstLineChars="200"/>
        <w:rPr>
          <w:rFonts w:ascii="宋体" w:hAnsi="宋体"/>
          <w:sz w:val="24"/>
          <w:highlight w:val="none"/>
        </w:rPr>
      </w:pPr>
      <w:r>
        <w:rPr>
          <w:rFonts w:ascii="宋体" w:hAnsi="宋体"/>
          <w:sz w:val="24"/>
          <w:highlight w:val="none"/>
        </w:rPr>
        <w:t>特此证明。</w:t>
      </w:r>
    </w:p>
    <w:p>
      <w:pPr>
        <w:adjustRightInd w:val="0"/>
        <w:snapToGrid w:val="0"/>
        <w:spacing w:line="324" w:lineRule="auto"/>
        <w:rPr>
          <w:rFonts w:ascii="宋体" w:hAnsi="宋体"/>
          <w:sz w:val="24"/>
          <w:highlight w:val="none"/>
        </w:rPr>
      </w:pPr>
      <w:r>
        <w:rPr>
          <w:rFonts w:ascii="宋体" w:hAnsi="宋体"/>
          <w:sz w:val="24"/>
          <w:highlight w:val="none"/>
        </w:rPr>
        <w:t>附：法定代表人身份证复印件</w:t>
      </w:r>
    </w:p>
    <w:p>
      <w:pPr>
        <w:adjustRightInd w:val="0"/>
        <w:snapToGrid w:val="0"/>
        <w:spacing w:line="324" w:lineRule="auto"/>
        <w:rPr>
          <w:rFonts w:ascii="宋体" w:hAnsi="宋体"/>
          <w:sz w:val="24"/>
          <w:highlight w:val="none"/>
        </w:rPr>
      </w:pPr>
    </w:p>
    <w:p>
      <w:pPr>
        <w:adjustRightInd w:val="0"/>
        <w:snapToGrid w:val="0"/>
        <w:spacing w:line="324" w:lineRule="auto"/>
        <w:ind w:right="1200"/>
        <w:rPr>
          <w:rFonts w:ascii="宋体" w:hAnsi="宋体"/>
          <w:sz w:val="24"/>
          <w:highlight w:val="none"/>
        </w:rPr>
      </w:pPr>
      <w:r>
        <w:rPr>
          <w:rFonts w:ascii="宋体" w:hAnsi="宋体"/>
          <w:sz w:val="24"/>
          <w:highlight w:val="none"/>
        </w:rPr>
        <w:t>投标人：（</w:t>
      </w:r>
      <w:r>
        <w:rPr>
          <w:rFonts w:hint="eastAsia" w:ascii="宋体" w:hAnsi="宋体"/>
          <w:sz w:val="24"/>
          <w:highlight w:val="none"/>
        </w:rPr>
        <w:t>全称加</w:t>
      </w:r>
      <w:r>
        <w:rPr>
          <w:rFonts w:ascii="宋体" w:hAnsi="宋体"/>
          <w:sz w:val="24"/>
          <w:highlight w:val="none"/>
        </w:rPr>
        <w:t>盖</w:t>
      </w:r>
      <w:r>
        <w:rPr>
          <w:rFonts w:hint="eastAsia" w:ascii="宋体" w:hAnsi="宋体"/>
          <w:sz w:val="24"/>
          <w:highlight w:val="none"/>
        </w:rPr>
        <w:t>公</w:t>
      </w:r>
      <w:r>
        <w:rPr>
          <w:rFonts w:ascii="宋体" w:hAnsi="宋体"/>
          <w:sz w:val="24"/>
          <w:highlight w:val="none"/>
        </w:rPr>
        <w:t xml:space="preserve">章） </w:t>
      </w:r>
    </w:p>
    <w:p>
      <w:pPr>
        <w:adjustRightInd w:val="0"/>
        <w:snapToGrid w:val="0"/>
        <w:spacing w:line="324" w:lineRule="auto"/>
        <w:ind w:right="1200"/>
        <w:rPr>
          <w:rFonts w:ascii="宋体" w:hAnsi="宋体"/>
          <w:b/>
          <w:sz w:val="24"/>
          <w:highlight w:val="none"/>
        </w:rPr>
      </w:pPr>
      <w:r>
        <w:rPr>
          <w:rFonts w:ascii="宋体" w:hAnsi="宋体"/>
          <w:sz w:val="24"/>
          <w:highlight w:val="none"/>
        </w:rPr>
        <w:t>日期：</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tbl>
      <w:tblPr>
        <w:tblStyle w:val="8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9242" w:type="dxa"/>
            <w:vAlign w:val="center"/>
          </w:tcPr>
          <w:p>
            <w:pPr>
              <w:adjustRightInd w:val="0"/>
              <w:snapToGrid w:val="0"/>
              <w:spacing w:line="360" w:lineRule="auto"/>
              <w:jc w:val="center"/>
              <w:rPr>
                <w:rFonts w:ascii="宋体" w:hAnsi="宋体"/>
                <w:highlight w:val="none"/>
              </w:rPr>
            </w:pPr>
            <w:r>
              <w:rPr>
                <w:rFonts w:ascii="宋体" w:hAnsi="宋体"/>
                <w:highlight w:val="none"/>
              </w:rPr>
              <w:t>法定代表人</w:t>
            </w:r>
            <w:r>
              <w:rPr>
                <w:rFonts w:hint="eastAsia" w:ascii="宋体" w:hAnsi="宋体"/>
                <w:highlight w:val="none"/>
              </w:rPr>
              <w:t>身份证复印件粘贴处（正、反面）</w:t>
            </w:r>
          </w:p>
        </w:tc>
      </w:tr>
    </w:tbl>
    <w:p>
      <w:pPr>
        <w:spacing w:before="120" w:beforeLines="50" w:line="360" w:lineRule="auto"/>
        <w:jc w:val="center"/>
        <w:rPr>
          <w:rFonts w:ascii="宋体" w:hAnsi="宋体"/>
          <w:b/>
          <w:highlight w:val="none"/>
        </w:rPr>
      </w:pPr>
    </w:p>
    <w:p>
      <w:pPr>
        <w:spacing w:before="120" w:beforeLines="50" w:line="360" w:lineRule="auto"/>
        <w:jc w:val="center"/>
        <w:rPr>
          <w:rFonts w:ascii="宋体" w:hAnsi="宋体"/>
          <w:b/>
          <w:highlight w:val="none"/>
        </w:rPr>
      </w:pPr>
    </w:p>
    <w:p>
      <w:pPr>
        <w:spacing w:before="120" w:beforeLines="50" w:line="360" w:lineRule="auto"/>
        <w:jc w:val="center"/>
        <w:rPr>
          <w:rFonts w:ascii="宋体" w:hAnsi="宋体"/>
          <w:b/>
          <w:highlight w:val="none"/>
        </w:rPr>
      </w:pPr>
    </w:p>
    <w:p>
      <w:pPr>
        <w:spacing w:before="120" w:beforeLines="50" w:line="360" w:lineRule="auto"/>
        <w:jc w:val="center"/>
        <w:rPr>
          <w:rFonts w:ascii="宋体" w:hAnsi="宋体"/>
          <w:b/>
          <w:highlight w:val="none"/>
        </w:rPr>
      </w:pPr>
      <w:r>
        <w:rPr>
          <w:rFonts w:hint="eastAsia" w:ascii="宋体" w:hAnsi="宋体"/>
          <w:b/>
          <w:highlight w:val="none"/>
        </w:rPr>
        <w:t>3-2法定代表人</w:t>
      </w:r>
      <w:r>
        <w:rPr>
          <w:rFonts w:ascii="宋体" w:hAnsi="宋体"/>
          <w:b/>
          <w:highlight w:val="none"/>
        </w:rPr>
        <w:t>授权委托书</w:t>
      </w:r>
    </w:p>
    <w:p>
      <w:pPr>
        <w:spacing w:line="324" w:lineRule="auto"/>
        <w:rPr>
          <w:rFonts w:ascii="宋体" w:hAnsi="宋体"/>
          <w:kern w:val="0"/>
          <w:sz w:val="24"/>
          <w:highlight w:val="none"/>
        </w:rPr>
      </w:pPr>
      <w:r>
        <w:rPr>
          <w:rFonts w:hint="eastAsia" w:ascii="宋体" w:hAnsi="宋体"/>
          <w:sz w:val="24"/>
          <w:highlight w:val="none"/>
          <w:lang w:eastAsia="zh-CN"/>
        </w:rPr>
        <w:t>衢州智慧新城管理委员会</w:t>
      </w:r>
      <w:r>
        <w:rPr>
          <w:rFonts w:hint="eastAsia" w:ascii="宋体" w:hAnsi="宋体"/>
          <w:kern w:val="0"/>
          <w:sz w:val="24"/>
          <w:highlight w:val="none"/>
        </w:rPr>
        <w:t>：</w:t>
      </w:r>
    </w:p>
    <w:p>
      <w:pPr>
        <w:adjustRightInd w:val="0"/>
        <w:snapToGrid w:val="0"/>
        <w:spacing w:line="324" w:lineRule="auto"/>
        <w:rPr>
          <w:rFonts w:ascii="宋体" w:hAnsi="宋体"/>
          <w:sz w:val="24"/>
          <w:highlight w:val="none"/>
        </w:rPr>
      </w:pPr>
      <w:r>
        <w:rPr>
          <w:rFonts w:hint="eastAsia" w:ascii="宋体" w:hAnsi="宋体"/>
          <w:kern w:val="0"/>
          <w:sz w:val="24"/>
          <w:highlight w:val="none"/>
          <w:lang w:val="zh-CN"/>
        </w:rPr>
        <w:t>浙江中正工程项目管理有限公司：</w:t>
      </w:r>
    </w:p>
    <w:p>
      <w:pPr>
        <w:adjustRightInd w:val="0"/>
        <w:snapToGrid w:val="0"/>
        <w:spacing w:line="312" w:lineRule="auto"/>
        <w:ind w:firstLine="480" w:firstLineChars="200"/>
        <w:rPr>
          <w:rFonts w:ascii="宋体" w:hAnsi="宋体"/>
          <w:sz w:val="24"/>
          <w:highlight w:val="none"/>
        </w:rPr>
      </w:pPr>
      <w:r>
        <w:rPr>
          <w:rFonts w:ascii="宋体" w:hAnsi="宋体"/>
          <w:sz w:val="24"/>
          <w:highlight w:val="none"/>
        </w:rPr>
        <w:t>本人</w:t>
      </w:r>
      <w:r>
        <w:rPr>
          <w:rFonts w:ascii="宋体" w:hAnsi="宋体"/>
          <w:sz w:val="24"/>
          <w:highlight w:val="none"/>
          <w:u w:val="single"/>
        </w:rPr>
        <w:t xml:space="preserve">      （姓名）</w:t>
      </w:r>
      <w:r>
        <w:rPr>
          <w:rFonts w:ascii="宋体" w:hAnsi="宋体"/>
          <w:sz w:val="24"/>
          <w:highlight w:val="none"/>
        </w:rPr>
        <w:t>系</w:t>
      </w:r>
      <w:r>
        <w:rPr>
          <w:rFonts w:ascii="宋体" w:hAnsi="宋体"/>
          <w:sz w:val="24"/>
          <w:highlight w:val="none"/>
          <w:u w:val="single"/>
        </w:rPr>
        <w:t xml:space="preserve">  （投标人名称）</w:t>
      </w:r>
      <w:r>
        <w:rPr>
          <w:rFonts w:ascii="宋体" w:hAnsi="宋体"/>
          <w:sz w:val="24"/>
          <w:highlight w:val="none"/>
        </w:rPr>
        <w:t>的法定代表人，现委托</w:t>
      </w:r>
      <w:r>
        <w:rPr>
          <w:rFonts w:ascii="宋体" w:hAnsi="宋体"/>
          <w:sz w:val="24"/>
          <w:highlight w:val="none"/>
          <w:u w:val="single"/>
        </w:rPr>
        <w:t xml:space="preserve">      （姓名）  </w:t>
      </w:r>
      <w:r>
        <w:rPr>
          <w:rFonts w:hint="eastAsia" w:ascii="宋体" w:hAnsi="宋体"/>
          <w:sz w:val="24"/>
          <w:highlight w:val="none"/>
          <w:u w:val="single"/>
        </w:rPr>
        <w:t>（职务）</w:t>
      </w:r>
      <w:r>
        <w:rPr>
          <w:rFonts w:ascii="宋体" w:hAnsi="宋体"/>
          <w:sz w:val="24"/>
          <w:highlight w:val="none"/>
        </w:rPr>
        <w:t>为我方</w:t>
      </w:r>
      <w:r>
        <w:rPr>
          <w:rFonts w:hint="eastAsia" w:ascii="宋体" w:hAnsi="宋体"/>
          <w:sz w:val="24"/>
          <w:highlight w:val="none"/>
        </w:rPr>
        <w:t>授权代表，以</w:t>
      </w:r>
      <w:r>
        <w:rPr>
          <w:rFonts w:ascii="宋体" w:hAnsi="宋体"/>
          <w:sz w:val="24"/>
          <w:highlight w:val="none"/>
        </w:rPr>
        <w:t>我方名义签署、澄清、说明、补正、递交、撤回、修改</w:t>
      </w:r>
      <w:r>
        <w:rPr>
          <w:rFonts w:hint="eastAsia" w:hAnsi="宋体"/>
          <w:sz w:val="24"/>
          <w:highlight w:val="none"/>
          <w:u w:val="single"/>
        </w:rPr>
        <w:t xml:space="preserve">（项目名称）   </w:t>
      </w:r>
      <w:r>
        <w:rPr>
          <w:rFonts w:hint="eastAsia" w:ascii="宋体" w:hAnsi="宋体"/>
          <w:sz w:val="24"/>
          <w:highlight w:val="none"/>
          <w:u w:val="single"/>
        </w:rPr>
        <w:t>(项目编号：</w:t>
      </w:r>
      <w:r>
        <w:rPr>
          <w:rFonts w:hint="eastAsia" w:ascii="宋体" w:hAnsi="宋体"/>
          <w:sz w:val="24"/>
          <w:highlight w:val="none"/>
          <w:u w:val="single"/>
          <w:lang w:eastAsia="zh-CN"/>
        </w:rPr>
        <w:t>ZZCG2022102-1</w:t>
      </w:r>
      <w:r>
        <w:rPr>
          <w:rFonts w:hint="eastAsia" w:ascii="宋体" w:hAnsi="宋体"/>
          <w:sz w:val="24"/>
          <w:highlight w:val="none"/>
          <w:u w:val="single"/>
        </w:rPr>
        <w:t xml:space="preserve">) </w:t>
      </w:r>
      <w:r>
        <w:rPr>
          <w:rFonts w:ascii="宋体" w:hAnsi="宋体"/>
          <w:sz w:val="24"/>
          <w:highlight w:val="none"/>
        </w:rPr>
        <w:t>投标文件、签订合同和处理有关事宜，其法律后果由我方承担。</w:t>
      </w:r>
    </w:p>
    <w:p>
      <w:pPr>
        <w:adjustRightInd w:val="0"/>
        <w:snapToGrid w:val="0"/>
        <w:spacing w:line="312" w:lineRule="auto"/>
        <w:ind w:firstLine="480" w:firstLineChars="200"/>
        <w:rPr>
          <w:rFonts w:ascii="宋体" w:hAnsi="宋体"/>
          <w:sz w:val="24"/>
          <w:highlight w:val="none"/>
        </w:rPr>
      </w:pPr>
      <w:r>
        <w:rPr>
          <w:rFonts w:hint="eastAsia" w:ascii="宋体" w:hAnsi="宋体"/>
          <w:sz w:val="24"/>
          <w:highlight w:val="none"/>
        </w:rPr>
        <w:t>在撤销授权的书面通知以前，本授权书一直有效。被授权人在授权书有效期内签署的所有文件不因授权的撤销而失效。</w:t>
      </w:r>
    </w:p>
    <w:p>
      <w:pPr>
        <w:adjustRightInd w:val="0"/>
        <w:snapToGrid w:val="0"/>
        <w:spacing w:line="312" w:lineRule="auto"/>
        <w:ind w:firstLine="480" w:firstLineChars="200"/>
        <w:rPr>
          <w:rFonts w:ascii="宋体" w:hAnsi="宋体"/>
          <w:sz w:val="24"/>
          <w:highlight w:val="none"/>
        </w:rPr>
      </w:pPr>
      <w:r>
        <w:rPr>
          <w:rFonts w:hint="eastAsia" w:ascii="宋体" w:hAnsi="宋体"/>
          <w:sz w:val="24"/>
          <w:highlight w:val="none"/>
        </w:rPr>
        <w:t>该授权代表</w:t>
      </w:r>
      <w:r>
        <w:rPr>
          <w:rFonts w:ascii="宋体" w:hAnsi="宋体"/>
          <w:sz w:val="24"/>
          <w:highlight w:val="none"/>
        </w:rPr>
        <w:t>无转委托权</w:t>
      </w:r>
      <w:r>
        <w:rPr>
          <w:rFonts w:hint="eastAsia" w:ascii="宋体" w:hAnsi="宋体"/>
          <w:sz w:val="24"/>
          <w:highlight w:val="none"/>
        </w:rPr>
        <w:t>，特此委托</w:t>
      </w:r>
    </w:p>
    <w:p>
      <w:pPr>
        <w:adjustRightInd w:val="0"/>
        <w:snapToGrid w:val="0"/>
        <w:spacing w:line="312" w:lineRule="auto"/>
        <w:ind w:firstLine="480" w:firstLineChars="200"/>
        <w:rPr>
          <w:rFonts w:ascii="宋体" w:hAnsi="宋体"/>
          <w:sz w:val="24"/>
          <w:highlight w:val="none"/>
        </w:rPr>
      </w:pPr>
      <w:r>
        <w:rPr>
          <w:rFonts w:ascii="宋体" w:hAnsi="宋体"/>
          <w:sz w:val="24"/>
          <w:highlight w:val="none"/>
        </w:rPr>
        <w:t>附：</w:t>
      </w:r>
    </w:p>
    <w:p>
      <w:pPr>
        <w:adjustRightInd w:val="0"/>
        <w:snapToGrid w:val="0"/>
        <w:spacing w:line="312"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委托代理人身份证复印件</w:t>
      </w:r>
    </w:p>
    <w:p>
      <w:pPr>
        <w:adjustRightInd w:val="0"/>
        <w:snapToGrid w:val="0"/>
        <w:spacing w:line="312"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、授权代表为投标人在职员工的证明文件（投标人为其缴纳的社保记录或劳务合同等）。</w:t>
      </w:r>
    </w:p>
    <w:p>
      <w:pPr>
        <w:adjustRightInd w:val="0"/>
        <w:snapToGrid w:val="0"/>
        <w:spacing w:line="312" w:lineRule="auto"/>
        <w:rPr>
          <w:rFonts w:ascii="宋体" w:hAnsi="宋体"/>
          <w:sz w:val="24"/>
          <w:highlight w:val="none"/>
        </w:rPr>
      </w:pPr>
    </w:p>
    <w:p>
      <w:pPr>
        <w:adjustRightInd w:val="0"/>
        <w:snapToGrid w:val="0"/>
        <w:spacing w:line="312" w:lineRule="auto"/>
        <w:rPr>
          <w:rFonts w:ascii="宋体" w:hAnsi="宋体"/>
          <w:sz w:val="24"/>
          <w:highlight w:val="none"/>
        </w:rPr>
      </w:pPr>
      <w:r>
        <w:rPr>
          <w:rFonts w:ascii="宋体" w:hAnsi="宋体"/>
          <w:sz w:val="24"/>
          <w:highlight w:val="none"/>
        </w:rPr>
        <w:t>投标人：（</w:t>
      </w:r>
      <w:r>
        <w:rPr>
          <w:rFonts w:hint="eastAsia" w:ascii="宋体" w:hAnsi="宋体"/>
          <w:sz w:val="24"/>
          <w:highlight w:val="none"/>
        </w:rPr>
        <w:t>全称加</w:t>
      </w:r>
      <w:r>
        <w:rPr>
          <w:rFonts w:ascii="宋体" w:hAnsi="宋体"/>
          <w:sz w:val="24"/>
          <w:highlight w:val="none"/>
        </w:rPr>
        <w:t>盖</w:t>
      </w:r>
      <w:r>
        <w:rPr>
          <w:rFonts w:hint="eastAsia" w:ascii="宋体" w:hAnsi="宋体"/>
          <w:sz w:val="24"/>
          <w:highlight w:val="none"/>
        </w:rPr>
        <w:t>公</w:t>
      </w:r>
      <w:r>
        <w:rPr>
          <w:rFonts w:ascii="宋体" w:hAnsi="宋体"/>
          <w:sz w:val="24"/>
          <w:highlight w:val="none"/>
        </w:rPr>
        <w:t>章）</w:t>
      </w:r>
    </w:p>
    <w:p>
      <w:pPr>
        <w:adjustRightInd w:val="0"/>
        <w:snapToGrid w:val="0"/>
        <w:spacing w:line="312" w:lineRule="auto"/>
        <w:rPr>
          <w:rFonts w:ascii="宋体" w:hAnsi="宋体"/>
          <w:sz w:val="24"/>
          <w:highlight w:val="none"/>
        </w:rPr>
      </w:pPr>
      <w:r>
        <w:rPr>
          <w:rFonts w:ascii="宋体" w:hAnsi="宋体"/>
          <w:sz w:val="24"/>
          <w:highlight w:val="none"/>
        </w:rPr>
        <w:t>法定代表：（签字或盖章）</w:t>
      </w:r>
      <w:r>
        <w:rPr>
          <w:rFonts w:hint="eastAsia" w:ascii="宋体" w:hAnsi="宋体"/>
          <w:sz w:val="24"/>
          <w:highlight w:val="none"/>
        </w:rPr>
        <w:t xml:space="preserve">                        授权代表</w:t>
      </w:r>
      <w:r>
        <w:rPr>
          <w:rFonts w:ascii="宋体" w:hAnsi="宋体"/>
          <w:sz w:val="24"/>
          <w:highlight w:val="none"/>
        </w:rPr>
        <w:t>：（签字或盖章）</w:t>
      </w:r>
    </w:p>
    <w:p>
      <w:pPr>
        <w:adjustRightInd w:val="0"/>
        <w:snapToGrid w:val="0"/>
        <w:spacing w:line="360" w:lineRule="auto"/>
        <w:ind w:firstLine="5160" w:firstLineChars="2150"/>
        <w:rPr>
          <w:rFonts w:ascii="宋体" w:hAnsi="宋体"/>
          <w:sz w:val="24"/>
          <w:highlight w:val="none"/>
        </w:rPr>
      </w:pPr>
      <w:r>
        <w:rPr>
          <w:rFonts w:ascii="宋体" w:hAnsi="宋体"/>
          <w:sz w:val="24"/>
          <w:highlight w:val="none"/>
        </w:rPr>
        <w:t>日期：</w:t>
      </w:r>
      <w:r>
        <w:rPr>
          <w:rFonts w:ascii="宋体" w:hAnsi="宋体"/>
          <w:sz w:val="24"/>
          <w:szCs w:val="24"/>
          <w:highlight w:val="none"/>
        </w:rPr>
        <w:t>202</w:t>
      </w:r>
      <w:r>
        <w:rPr>
          <w:rFonts w:hint="eastAsia" w:ascii="宋体" w:hAnsi="宋体"/>
          <w:sz w:val="24"/>
          <w:szCs w:val="24"/>
          <w:highlight w:val="none"/>
          <w:lang w:val="en-US" w:eastAsia="zh-CN"/>
        </w:rPr>
        <w:t>2</w:t>
      </w:r>
      <w:r>
        <w:rPr>
          <w:rFonts w:ascii="宋体" w:hAnsi="宋体"/>
          <w:sz w:val="24"/>
          <w:szCs w:val="24"/>
          <w:highlight w:val="none"/>
        </w:rPr>
        <w:t xml:space="preserve"> </w:t>
      </w:r>
      <w:r>
        <w:rPr>
          <w:rFonts w:hint="eastAsia" w:ascii="宋体" w:hAnsi="宋体"/>
          <w:sz w:val="24"/>
          <w:szCs w:val="24"/>
          <w:highlight w:val="none"/>
        </w:rPr>
        <w:t>年  月  日</w:t>
      </w:r>
    </w:p>
    <w:tbl>
      <w:tblPr>
        <w:tblStyle w:val="8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jc w:val="center"/>
        </w:trPr>
        <w:tc>
          <w:tcPr>
            <w:tcW w:w="9425" w:type="dxa"/>
            <w:vAlign w:val="center"/>
          </w:tcPr>
          <w:p>
            <w:pPr>
              <w:adjustRightInd w:val="0"/>
              <w:snapToGrid w:val="0"/>
              <w:spacing w:line="360" w:lineRule="auto"/>
              <w:jc w:val="center"/>
              <w:rPr>
                <w:rFonts w:ascii="宋体" w:hAnsi="宋体"/>
                <w:highlight w:val="none"/>
              </w:rPr>
            </w:pPr>
            <w:r>
              <w:rPr>
                <w:rFonts w:hint="eastAsia" w:ascii="宋体" w:hAnsi="宋体"/>
                <w:highlight w:val="none"/>
              </w:rPr>
              <w:t>授权代表身份证复印件粘贴处（正、反面）</w:t>
            </w:r>
          </w:p>
        </w:tc>
      </w:tr>
    </w:tbl>
    <w:p>
      <w:pPr>
        <w:adjustRightInd w:val="0"/>
        <w:snapToGrid w:val="0"/>
        <w:spacing w:line="312" w:lineRule="auto"/>
        <w:rPr>
          <w:rFonts w:ascii="宋体" w:hAnsi="宋体"/>
          <w:b/>
          <w:sz w:val="24"/>
          <w:highlight w:val="none"/>
        </w:rPr>
      </w:pPr>
      <w:r>
        <w:rPr>
          <w:rFonts w:hint="eastAsia" w:ascii="宋体" w:hAnsi="宋体"/>
          <w:b/>
          <w:sz w:val="24"/>
          <w:highlight w:val="none"/>
        </w:rPr>
        <w:t>注：如投标文件由授权代表签字或盖章的，投标文件必须附此授权委托书，否则视为无效投标文件。</w:t>
      </w:r>
    </w:p>
    <w:bookmarkEnd w:id="95"/>
    <w:p>
      <w:pPr>
        <w:pStyle w:val="46"/>
        <w:adjustRightInd w:val="0"/>
        <w:snapToGrid w:val="0"/>
        <w:spacing w:line="360" w:lineRule="auto"/>
        <w:jc w:val="center"/>
        <w:outlineLvl w:val="1"/>
        <w:rPr>
          <w:rFonts w:hAnsi="宋体"/>
          <w:b/>
          <w:kern w:val="0"/>
          <w:sz w:val="30"/>
          <w:highlight w:val="none"/>
          <w:lang w:val="zh-CN"/>
        </w:rPr>
      </w:pPr>
      <w:bookmarkStart w:id="102" w:name="_Toc522530054"/>
      <w:bookmarkStart w:id="103" w:name="_Toc391277571"/>
      <w:bookmarkStart w:id="104" w:name="_Toc354859475"/>
      <w:bookmarkStart w:id="105" w:name="_Toc354859632"/>
      <w:bookmarkStart w:id="106" w:name="_Toc354859551"/>
      <w:bookmarkStart w:id="107" w:name="_Toc233618991"/>
    </w:p>
    <w:p>
      <w:pPr>
        <w:pStyle w:val="46"/>
        <w:adjustRightInd w:val="0"/>
        <w:snapToGrid w:val="0"/>
        <w:spacing w:line="360" w:lineRule="auto"/>
        <w:jc w:val="center"/>
        <w:outlineLvl w:val="1"/>
        <w:rPr>
          <w:rFonts w:hAnsi="宋体"/>
          <w:b/>
          <w:kern w:val="0"/>
          <w:sz w:val="30"/>
          <w:highlight w:val="none"/>
          <w:lang w:val="zh-CN"/>
        </w:rPr>
      </w:pPr>
    </w:p>
    <w:p>
      <w:pPr>
        <w:pStyle w:val="46"/>
        <w:adjustRightInd w:val="0"/>
        <w:snapToGrid w:val="0"/>
        <w:spacing w:line="360" w:lineRule="auto"/>
        <w:outlineLvl w:val="1"/>
        <w:rPr>
          <w:rFonts w:hAnsi="宋体"/>
          <w:b/>
          <w:kern w:val="0"/>
          <w:sz w:val="30"/>
          <w:highlight w:val="none"/>
          <w:lang w:val="zh-CN"/>
        </w:rPr>
      </w:pPr>
    </w:p>
    <w:p>
      <w:pPr>
        <w:pStyle w:val="46"/>
        <w:adjustRightInd w:val="0"/>
        <w:snapToGrid w:val="0"/>
        <w:spacing w:line="360" w:lineRule="auto"/>
        <w:outlineLvl w:val="1"/>
        <w:rPr>
          <w:rFonts w:hAnsi="宋体"/>
          <w:b/>
          <w:kern w:val="0"/>
          <w:sz w:val="30"/>
          <w:highlight w:val="none"/>
          <w:lang w:val="zh-CN"/>
        </w:rPr>
      </w:pPr>
    </w:p>
    <w:p>
      <w:pPr>
        <w:pStyle w:val="46"/>
        <w:adjustRightInd w:val="0"/>
        <w:snapToGrid w:val="0"/>
        <w:spacing w:line="360" w:lineRule="auto"/>
        <w:outlineLvl w:val="1"/>
        <w:rPr>
          <w:rFonts w:hAnsi="宋体"/>
          <w:b/>
          <w:kern w:val="0"/>
          <w:sz w:val="30"/>
          <w:highlight w:val="none"/>
          <w:lang w:val="zh-CN"/>
        </w:rPr>
      </w:pPr>
    </w:p>
    <w:bookmarkEnd w:id="102"/>
    <w:p>
      <w:pPr>
        <w:pStyle w:val="46"/>
        <w:adjustRightInd w:val="0"/>
        <w:snapToGrid w:val="0"/>
        <w:spacing w:line="360" w:lineRule="auto"/>
        <w:jc w:val="center"/>
        <w:outlineLvl w:val="1"/>
        <w:rPr>
          <w:rFonts w:hAnsi="宋体"/>
          <w:b/>
          <w:kern w:val="0"/>
          <w:sz w:val="28"/>
          <w:szCs w:val="28"/>
          <w:highlight w:val="none"/>
          <w:lang w:val="zh-CN"/>
        </w:rPr>
      </w:pPr>
      <w:bookmarkStart w:id="108" w:name="_Toc522530055"/>
      <w:bookmarkStart w:id="109" w:name="_Toc25910"/>
      <w:r>
        <w:rPr>
          <w:rFonts w:hint="eastAsia" w:hAnsi="宋体"/>
          <w:b/>
          <w:sz w:val="28"/>
          <w:szCs w:val="28"/>
          <w:highlight w:val="none"/>
        </w:rPr>
        <w:t>格式</w:t>
      </w:r>
      <w:r>
        <w:rPr>
          <w:rFonts w:hint="eastAsia" w:hAnsi="宋体"/>
          <w:b/>
          <w:sz w:val="28"/>
          <w:szCs w:val="28"/>
          <w:highlight w:val="none"/>
          <w:lang w:eastAsia="zh-CN"/>
        </w:rPr>
        <w:t>四</w:t>
      </w:r>
      <w:r>
        <w:rPr>
          <w:rFonts w:hint="eastAsia" w:hAnsi="宋体"/>
          <w:b/>
          <w:sz w:val="28"/>
          <w:szCs w:val="28"/>
          <w:highlight w:val="none"/>
        </w:rPr>
        <w:t>：</w:t>
      </w:r>
      <w:r>
        <w:rPr>
          <w:rFonts w:hint="eastAsia" w:hAnsi="宋体"/>
          <w:b/>
          <w:kern w:val="0"/>
          <w:sz w:val="28"/>
          <w:szCs w:val="28"/>
          <w:highlight w:val="none"/>
          <w:lang w:val="zh-CN"/>
        </w:rPr>
        <w:t>以往业绩情况表</w:t>
      </w:r>
    </w:p>
    <w:tbl>
      <w:tblPr>
        <w:tblStyle w:val="88"/>
        <w:tblW w:w="9084"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820"/>
        <w:gridCol w:w="1980"/>
        <w:gridCol w:w="1605"/>
        <w:gridCol w:w="112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autoSpaceDE w:val="0"/>
              <w:autoSpaceDN w:val="0"/>
              <w:adjustRightInd w:val="0"/>
              <w:jc w:val="center"/>
              <w:rPr>
                <w:rFonts w:ascii="宋体" w:hAnsi="宋体"/>
                <w:b/>
                <w:kern w:val="0"/>
                <w:sz w:val="24"/>
                <w:highlight w:val="none"/>
              </w:rPr>
            </w:pPr>
            <w:r>
              <w:rPr>
                <w:rFonts w:hint="eastAsia" w:ascii="宋体" w:hAnsi="宋体"/>
                <w:b/>
                <w:kern w:val="0"/>
                <w:sz w:val="24"/>
                <w:highlight w:val="none"/>
              </w:rPr>
              <w:t>序号</w:t>
            </w:r>
          </w:p>
        </w:tc>
        <w:tc>
          <w:tcPr>
            <w:tcW w:w="3820" w:type="dxa"/>
            <w:vAlign w:val="center"/>
          </w:tcPr>
          <w:p>
            <w:pPr>
              <w:autoSpaceDE w:val="0"/>
              <w:autoSpaceDN w:val="0"/>
              <w:adjustRightInd w:val="0"/>
              <w:jc w:val="center"/>
              <w:rPr>
                <w:rFonts w:ascii="宋体" w:hAnsi="宋体"/>
                <w:b/>
                <w:kern w:val="0"/>
                <w:sz w:val="24"/>
                <w:highlight w:val="none"/>
              </w:rPr>
            </w:pPr>
            <w:r>
              <w:rPr>
                <w:rFonts w:hint="eastAsia" w:ascii="宋体" w:hAnsi="宋体"/>
                <w:b/>
                <w:kern w:val="0"/>
                <w:sz w:val="24"/>
                <w:highlight w:val="none"/>
              </w:rPr>
              <w:t>项目名称</w:t>
            </w:r>
          </w:p>
        </w:tc>
        <w:tc>
          <w:tcPr>
            <w:tcW w:w="1980" w:type="dxa"/>
            <w:vAlign w:val="center"/>
          </w:tcPr>
          <w:p>
            <w:pPr>
              <w:autoSpaceDE w:val="0"/>
              <w:autoSpaceDN w:val="0"/>
              <w:adjustRightInd w:val="0"/>
              <w:jc w:val="center"/>
              <w:rPr>
                <w:rFonts w:ascii="宋体" w:hAnsi="宋体"/>
                <w:b/>
                <w:kern w:val="0"/>
                <w:sz w:val="24"/>
                <w:highlight w:val="none"/>
              </w:rPr>
            </w:pPr>
            <w:r>
              <w:rPr>
                <w:rFonts w:hint="eastAsia" w:ascii="宋体" w:hAnsi="宋体"/>
                <w:b/>
                <w:sz w:val="24"/>
                <w:highlight w:val="none"/>
              </w:rPr>
              <w:t>业主名称</w:t>
            </w:r>
          </w:p>
        </w:tc>
        <w:tc>
          <w:tcPr>
            <w:tcW w:w="1605" w:type="dxa"/>
            <w:vAlign w:val="center"/>
          </w:tcPr>
          <w:p>
            <w:pPr>
              <w:autoSpaceDE w:val="0"/>
              <w:autoSpaceDN w:val="0"/>
              <w:adjustRightInd w:val="0"/>
              <w:jc w:val="center"/>
              <w:rPr>
                <w:rFonts w:ascii="宋体" w:hAnsi="宋体"/>
                <w:b/>
                <w:kern w:val="0"/>
                <w:sz w:val="24"/>
                <w:highlight w:val="none"/>
              </w:rPr>
            </w:pPr>
            <w:r>
              <w:rPr>
                <w:rFonts w:hint="eastAsia" w:ascii="宋体" w:hAnsi="宋体"/>
                <w:b/>
                <w:kern w:val="0"/>
                <w:sz w:val="24"/>
                <w:highlight w:val="none"/>
              </w:rPr>
              <w:t>签订日期</w:t>
            </w:r>
          </w:p>
        </w:tc>
        <w:tc>
          <w:tcPr>
            <w:tcW w:w="1125" w:type="dxa"/>
            <w:vAlign w:val="center"/>
          </w:tcPr>
          <w:p>
            <w:pPr>
              <w:autoSpaceDE w:val="0"/>
              <w:autoSpaceDN w:val="0"/>
              <w:adjustRightInd w:val="0"/>
              <w:jc w:val="center"/>
              <w:rPr>
                <w:rFonts w:ascii="宋体" w:hAnsi="宋体"/>
                <w:b/>
                <w:kern w:val="0"/>
                <w:sz w:val="24"/>
                <w:highlight w:val="none"/>
              </w:rPr>
            </w:pPr>
            <w:r>
              <w:rPr>
                <w:rFonts w:hint="eastAsia" w:ascii="宋体" w:hAnsi="宋体"/>
                <w:b/>
                <w:kern w:val="0"/>
                <w:sz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1</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2</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3</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54" w:type="dxa"/>
            <w:vAlign w:val="center"/>
          </w:tcPr>
          <w:p>
            <w:pPr>
              <w:autoSpaceDE w:val="0"/>
              <w:autoSpaceDN w:val="0"/>
              <w:adjustRightInd w:val="0"/>
              <w:jc w:val="center"/>
              <w:rPr>
                <w:rFonts w:ascii="宋体" w:hAnsi="宋体"/>
                <w:kern w:val="0"/>
                <w:sz w:val="24"/>
                <w:highlight w:val="none"/>
              </w:rPr>
            </w:pPr>
            <w:r>
              <w:rPr>
                <w:rFonts w:hint="eastAsia" w:ascii="宋体" w:hAnsi="宋体"/>
                <w:kern w:val="0"/>
                <w:sz w:val="24"/>
                <w:highlight w:val="none"/>
              </w:rPr>
              <w:t>…</w:t>
            </w:r>
          </w:p>
        </w:tc>
        <w:tc>
          <w:tcPr>
            <w:tcW w:w="3820" w:type="dxa"/>
            <w:vAlign w:val="center"/>
          </w:tcPr>
          <w:p>
            <w:pPr>
              <w:autoSpaceDE w:val="0"/>
              <w:autoSpaceDN w:val="0"/>
              <w:adjustRightInd w:val="0"/>
              <w:rPr>
                <w:rFonts w:ascii="宋体" w:hAnsi="宋体"/>
                <w:kern w:val="0"/>
                <w:sz w:val="24"/>
                <w:highlight w:val="none"/>
              </w:rPr>
            </w:pPr>
          </w:p>
        </w:tc>
        <w:tc>
          <w:tcPr>
            <w:tcW w:w="1980" w:type="dxa"/>
            <w:vAlign w:val="center"/>
          </w:tcPr>
          <w:p>
            <w:pPr>
              <w:autoSpaceDE w:val="0"/>
              <w:autoSpaceDN w:val="0"/>
              <w:adjustRightInd w:val="0"/>
              <w:rPr>
                <w:rFonts w:ascii="宋体" w:hAnsi="宋体"/>
                <w:kern w:val="0"/>
                <w:sz w:val="24"/>
                <w:highlight w:val="none"/>
              </w:rPr>
            </w:pPr>
          </w:p>
        </w:tc>
        <w:tc>
          <w:tcPr>
            <w:tcW w:w="1605" w:type="dxa"/>
            <w:vAlign w:val="center"/>
          </w:tcPr>
          <w:p>
            <w:pPr>
              <w:autoSpaceDE w:val="0"/>
              <w:autoSpaceDN w:val="0"/>
              <w:adjustRightInd w:val="0"/>
              <w:rPr>
                <w:rFonts w:ascii="宋体" w:hAnsi="宋体"/>
                <w:kern w:val="0"/>
                <w:sz w:val="24"/>
                <w:highlight w:val="none"/>
              </w:rPr>
            </w:pPr>
          </w:p>
        </w:tc>
        <w:tc>
          <w:tcPr>
            <w:tcW w:w="1125" w:type="dxa"/>
            <w:vAlign w:val="center"/>
          </w:tcPr>
          <w:p>
            <w:pPr>
              <w:autoSpaceDE w:val="0"/>
              <w:autoSpaceDN w:val="0"/>
              <w:adjustRightInd w:val="0"/>
              <w:rPr>
                <w:rFonts w:ascii="宋体" w:hAnsi="宋体"/>
                <w:kern w:val="0"/>
                <w:sz w:val="24"/>
                <w:highlight w:val="none"/>
              </w:rPr>
            </w:pPr>
          </w:p>
        </w:tc>
      </w:tr>
    </w:tbl>
    <w:p>
      <w:pPr>
        <w:adjustRightInd w:val="0"/>
        <w:snapToGrid w:val="0"/>
        <w:spacing w:line="360" w:lineRule="auto"/>
        <w:rPr>
          <w:rFonts w:ascii="宋体" w:hAnsi="宋体"/>
          <w:b/>
          <w:sz w:val="24"/>
          <w:highlight w:val="none"/>
        </w:rPr>
      </w:pPr>
      <w:r>
        <w:rPr>
          <w:rFonts w:hint="eastAsia" w:ascii="宋体" w:hAnsi="宋体"/>
          <w:b/>
          <w:kern w:val="0"/>
          <w:sz w:val="24"/>
          <w:highlight w:val="none"/>
        </w:rPr>
        <w:t>注：本表后附评分办法中要求的证明材料。</w:t>
      </w:r>
    </w:p>
    <w:p>
      <w:pPr>
        <w:adjustRightInd w:val="0"/>
        <w:snapToGrid w:val="0"/>
        <w:spacing w:line="360" w:lineRule="auto"/>
        <w:jc w:val="center"/>
        <w:rPr>
          <w:rFonts w:ascii="宋体" w:hAnsi="宋体"/>
          <w:b/>
          <w:sz w:val="24"/>
          <w:highlight w:val="none"/>
        </w:rPr>
      </w:pPr>
    </w:p>
    <w:p>
      <w:pPr>
        <w:pStyle w:val="46"/>
        <w:adjustRightInd w:val="0"/>
        <w:snapToGrid w:val="0"/>
        <w:spacing w:line="360" w:lineRule="auto"/>
        <w:jc w:val="center"/>
        <w:outlineLvl w:val="1"/>
        <w:rPr>
          <w:rFonts w:hAnsi="宋体"/>
          <w:b/>
          <w:sz w:val="28"/>
          <w:highlight w:val="none"/>
        </w:rPr>
      </w:pPr>
    </w:p>
    <w:p>
      <w:pPr>
        <w:adjustRightInd w:val="0"/>
        <w:snapToGrid w:val="0"/>
        <w:spacing w:line="360"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360"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360" w:lineRule="auto"/>
        <w:rPr>
          <w:rFonts w:ascii="宋体" w:hAnsi="宋体"/>
          <w:kern w:val="0"/>
          <w:sz w:val="24"/>
          <w:highlight w:val="none"/>
          <w:u w:val="single"/>
        </w:rPr>
      </w:pPr>
      <w:r>
        <w:rPr>
          <w:rFonts w:hint="eastAsia" w:ascii="宋体" w:hAnsi="宋体"/>
          <w:kern w:val="0"/>
          <w:sz w:val="24"/>
          <w:highlight w:val="none"/>
          <w:lang w:val="zh-CN"/>
        </w:rPr>
        <w:t>日期</w:t>
      </w:r>
      <w:r>
        <w:rPr>
          <w:rFonts w:hint="eastAsia" w:ascii="宋体" w:hAnsi="宋体"/>
          <w:kern w:val="0"/>
          <w:sz w:val="24"/>
          <w:highlight w:val="none"/>
        </w:rPr>
        <w:t>： 202</w:t>
      </w:r>
      <w:r>
        <w:rPr>
          <w:rFonts w:hint="eastAsia" w:ascii="宋体" w:hAnsi="宋体"/>
          <w:kern w:val="0"/>
          <w:sz w:val="24"/>
          <w:highlight w:val="none"/>
          <w:lang w:val="en-US" w:eastAsia="zh-CN"/>
        </w:rPr>
        <w:t>2</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adjustRightInd w:val="0"/>
        <w:snapToGrid w:val="0"/>
        <w:spacing w:line="360" w:lineRule="auto"/>
        <w:ind w:firstLine="562" w:firstLineChars="200"/>
        <w:jc w:val="center"/>
        <w:rPr>
          <w:rFonts w:hint="eastAsia" w:hAnsi="宋体"/>
          <w:b/>
          <w:highlight w:val="none"/>
        </w:rPr>
      </w:pPr>
    </w:p>
    <w:p>
      <w:pPr>
        <w:keepNext w:val="0"/>
        <w:keepLines w:val="0"/>
        <w:pageBreakBefore w:val="0"/>
        <w:kinsoku/>
        <w:wordWrap/>
        <w:overflowPunct/>
        <w:topLinePunct w:val="0"/>
        <w:autoSpaceDE w:val="0"/>
        <w:autoSpaceDN w:val="0"/>
        <w:bidi w:val="0"/>
        <w:adjustRightInd w:val="0"/>
        <w:spacing w:line="440" w:lineRule="exact"/>
        <w:jc w:val="center"/>
        <w:rPr>
          <w:rFonts w:hint="eastAsia" w:ascii="宋体" w:hAnsi="宋体" w:eastAsia="宋体" w:cs="宋体"/>
          <w:color w:val="auto"/>
          <w:sz w:val="28"/>
          <w:szCs w:val="28"/>
          <w:highlight w:val="none"/>
          <w:lang w:val="zh-CN"/>
        </w:rPr>
      </w:pPr>
      <w:r>
        <w:rPr>
          <w:rFonts w:hint="eastAsia" w:hAnsi="宋体"/>
          <w:b/>
          <w:highlight w:val="none"/>
        </w:rPr>
        <w:t>格式</w:t>
      </w:r>
      <w:r>
        <w:rPr>
          <w:rFonts w:hint="eastAsia" w:hAnsi="宋体"/>
          <w:b/>
          <w:highlight w:val="none"/>
          <w:lang w:eastAsia="zh-CN"/>
        </w:rPr>
        <w:t>五</w:t>
      </w:r>
      <w:r>
        <w:rPr>
          <w:rFonts w:hint="eastAsia" w:hAnsi="宋体"/>
          <w:b/>
          <w:highlight w:val="none"/>
        </w:rPr>
        <w:t>：</w:t>
      </w:r>
      <w:bookmarkEnd w:id="108"/>
      <w:bookmarkEnd w:id="109"/>
      <w:r>
        <w:rPr>
          <w:rFonts w:hint="eastAsia" w:ascii="宋体" w:hAnsi="宋体" w:eastAsia="宋体" w:cs="宋体"/>
          <w:b/>
          <w:color w:val="auto"/>
          <w:sz w:val="28"/>
          <w:szCs w:val="28"/>
          <w:highlight w:val="none"/>
        </w:rPr>
        <w:t>拟派的项目组人员情况</w:t>
      </w:r>
    </w:p>
    <w:tbl>
      <w:tblPr>
        <w:tblStyle w:val="88"/>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900"/>
        <w:gridCol w:w="720"/>
        <w:gridCol w:w="1245"/>
        <w:gridCol w:w="1410"/>
        <w:gridCol w:w="159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7"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0"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00"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720"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5"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本项目中的职责</w:t>
            </w:r>
          </w:p>
        </w:tc>
        <w:tc>
          <w:tcPr>
            <w:tcW w:w="1410"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学历</w:t>
            </w:r>
            <w:r>
              <w:rPr>
                <w:rFonts w:hint="eastAsia" w:ascii="宋体" w:hAnsi="宋体" w:eastAsia="宋体" w:cs="宋体"/>
                <w:color w:val="auto"/>
                <w:sz w:val="24"/>
                <w:szCs w:val="24"/>
                <w:highlight w:val="none"/>
              </w:rPr>
              <w:t>/职称</w:t>
            </w:r>
          </w:p>
        </w:tc>
        <w:tc>
          <w:tcPr>
            <w:tcW w:w="1590"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c>
          <w:tcPr>
            <w:tcW w:w="835" w:type="dxa"/>
            <w:noWrap w:val="0"/>
            <w:vAlign w:val="center"/>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07" w:type="dxa"/>
            <w:noWrap w:val="0"/>
            <w:vAlign w:val="top"/>
          </w:tcPr>
          <w:p>
            <w:pPr>
              <w:keepNext w:val="0"/>
              <w:keepLines w:val="0"/>
              <w:pageBreakBefore w:val="0"/>
              <w:kinsoku/>
              <w:wordWrap/>
              <w:overflowPunct/>
              <w:topLinePunct w:val="0"/>
              <w:bidi w:val="0"/>
              <w:spacing w:line="440" w:lineRule="exact"/>
              <w:jc w:val="center"/>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90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72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24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41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1590"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c>
          <w:tcPr>
            <w:tcW w:w="835" w:type="dxa"/>
            <w:noWrap w:val="0"/>
            <w:vAlign w:val="top"/>
          </w:tcPr>
          <w:p>
            <w:pPr>
              <w:keepNext w:val="0"/>
              <w:keepLines w:val="0"/>
              <w:pageBreakBefore w:val="0"/>
              <w:kinsoku/>
              <w:wordWrap/>
              <w:overflowPunct/>
              <w:topLinePunct w:val="0"/>
              <w:bidi w:val="0"/>
              <w:spacing w:line="440" w:lineRule="exact"/>
              <w:rPr>
                <w:rFonts w:hint="eastAsia" w:ascii="宋体" w:hAnsi="宋体" w:eastAsia="宋体" w:cs="宋体"/>
                <w:color w:val="auto"/>
                <w:sz w:val="24"/>
                <w:szCs w:val="24"/>
                <w:highlight w:val="none"/>
              </w:rPr>
            </w:pPr>
          </w:p>
        </w:tc>
      </w:tr>
    </w:tbl>
    <w:p>
      <w:pPr>
        <w:adjustRightInd w:val="0"/>
        <w:snapToGrid w:val="0"/>
        <w:spacing w:line="360" w:lineRule="auto"/>
        <w:jc w:val="both"/>
        <w:rPr>
          <w:rFonts w:hint="eastAsia" w:ascii="宋体" w:hAnsi="宋体" w:eastAsia="宋体"/>
          <w:b w:val="0"/>
          <w:bCs/>
          <w:kern w:val="0"/>
          <w:sz w:val="21"/>
          <w:szCs w:val="21"/>
          <w:highlight w:val="none"/>
          <w:lang w:eastAsia="zh-CN"/>
        </w:rPr>
      </w:pPr>
      <w:r>
        <w:rPr>
          <w:rFonts w:hint="eastAsia" w:ascii="宋体" w:hAnsi="宋体"/>
          <w:b w:val="0"/>
          <w:bCs/>
          <w:kern w:val="0"/>
          <w:sz w:val="21"/>
          <w:szCs w:val="21"/>
          <w:highlight w:val="none"/>
        </w:rPr>
        <w:t>注：</w:t>
      </w:r>
      <w:r>
        <w:rPr>
          <w:rFonts w:hint="eastAsia" w:ascii="宋体" w:hAnsi="宋体"/>
          <w:b w:val="0"/>
          <w:bCs/>
          <w:kern w:val="0"/>
          <w:sz w:val="21"/>
          <w:szCs w:val="21"/>
          <w:highlight w:val="none"/>
          <w:lang w:val="en-US" w:eastAsia="zh-CN"/>
        </w:rPr>
        <w:t>1、</w:t>
      </w:r>
      <w:r>
        <w:rPr>
          <w:rFonts w:hint="eastAsia" w:ascii="宋体" w:hAnsi="宋体"/>
          <w:b w:val="0"/>
          <w:bCs/>
          <w:kern w:val="0"/>
          <w:sz w:val="21"/>
          <w:szCs w:val="21"/>
          <w:highlight w:val="none"/>
        </w:rPr>
        <w:t>本表后附对应的人员</w:t>
      </w:r>
      <w:r>
        <w:rPr>
          <w:rFonts w:hint="eastAsia" w:ascii="宋体" w:hAnsi="宋体"/>
          <w:b w:val="0"/>
          <w:bCs/>
          <w:kern w:val="0"/>
          <w:sz w:val="21"/>
          <w:szCs w:val="21"/>
          <w:highlight w:val="none"/>
          <w:lang w:eastAsia="zh-CN"/>
        </w:rPr>
        <w:t>相关证明材料</w:t>
      </w:r>
      <w:r>
        <w:rPr>
          <w:rFonts w:hint="eastAsia" w:ascii="宋体" w:hAnsi="宋体"/>
          <w:b w:val="0"/>
          <w:bCs/>
          <w:kern w:val="0"/>
          <w:sz w:val="21"/>
          <w:szCs w:val="21"/>
          <w:highlight w:val="none"/>
        </w:rPr>
        <w:t>及投标截止时间</w:t>
      </w:r>
      <w:r>
        <w:rPr>
          <w:rFonts w:hint="eastAsia" w:ascii="宋体" w:hAnsi="宋体"/>
          <w:b w:val="0"/>
          <w:bCs/>
          <w:kern w:val="0"/>
          <w:sz w:val="21"/>
          <w:szCs w:val="21"/>
          <w:highlight w:val="none"/>
          <w:lang w:val="zh-CN" w:eastAsia="zh-CN"/>
        </w:rPr>
        <w:t>前连续三个月</w:t>
      </w:r>
      <w:r>
        <w:rPr>
          <w:rFonts w:hint="eastAsia" w:ascii="宋体" w:hAnsi="宋体"/>
          <w:b w:val="0"/>
          <w:bCs/>
          <w:kern w:val="0"/>
          <w:sz w:val="21"/>
          <w:szCs w:val="21"/>
          <w:highlight w:val="none"/>
        </w:rPr>
        <w:t>投标单位为其缴纳的养老保险缴纳凭证</w:t>
      </w:r>
      <w:r>
        <w:rPr>
          <w:rFonts w:hint="eastAsia" w:ascii="宋体" w:hAnsi="宋体"/>
          <w:b w:val="0"/>
          <w:bCs/>
          <w:kern w:val="0"/>
          <w:sz w:val="21"/>
          <w:szCs w:val="21"/>
          <w:highlight w:val="none"/>
          <w:lang w:eastAsia="zh-CN"/>
        </w:rPr>
        <w:t>。</w:t>
      </w:r>
    </w:p>
    <w:p>
      <w:pPr>
        <w:numPr>
          <w:ilvl w:val="0"/>
          <w:numId w:val="3"/>
        </w:numPr>
        <w:adjustRightInd w:val="0"/>
        <w:snapToGrid w:val="0"/>
        <w:rPr>
          <w:rFonts w:hint="eastAsia" w:ascii="宋体" w:hAnsi="宋体"/>
          <w:b w:val="0"/>
          <w:bCs/>
          <w:kern w:val="0"/>
          <w:sz w:val="21"/>
          <w:szCs w:val="21"/>
          <w:highlight w:val="none"/>
        </w:rPr>
      </w:pPr>
      <w:r>
        <w:rPr>
          <w:rFonts w:hint="eastAsia" w:ascii="宋体" w:hAnsi="宋体"/>
          <w:b w:val="0"/>
          <w:bCs/>
          <w:kern w:val="0"/>
          <w:sz w:val="21"/>
          <w:szCs w:val="21"/>
          <w:highlight w:val="none"/>
        </w:rPr>
        <w:t>列入本表人员如要更换，需经采购单位同意；擅自更换或不到位属违约行为。</w:t>
      </w:r>
    </w:p>
    <w:p>
      <w:pPr>
        <w:numPr>
          <w:ilvl w:val="0"/>
          <w:numId w:val="0"/>
        </w:numPr>
        <w:adjustRightInd w:val="0"/>
        <w:snapToGrid w:val="0"/>
        <w:rPr>
          <w:rFonts w:hint="eastAsia" w:ascii="宋体" w:hAnsi="宋体"/>
          <w:b w:val="0"/>
          <w:bCs/>
          <w:kern w:val="0"/>
          <w:sz w:val="21"/>
          <w:szCs w:val="21"/>
          <w:highlight w:val="none"/>
        </w:rPr>
      </w:pPr>
      <w:r>
        <w:rPr>
          <w:rFonts w:hint="eastAsia" w:ascii="宋体" w:hAnsi="宋体"/>
          <w:b w:val="0"/>
          <w:bCs/>
          <w:kern w:val="0"/>
          <w:sz w:val="21"/>
          <w:szCs w:val="21"/>
          <w:highlight w:val="none"/>
        </w:rPr>
        <w:t>3、表格可以延续。</w:t>
      </w:r>
    </w:p>
    <w:p>
      <w:pPr>
        <w:adjustRightInd w:val="0"/>
        <w:snapToGrid w:val="0"/>
        <w:rPr>
          <w:rFonts w:ascii="宋体" w:hAnsi="宋体"/>
          <w:b/>
          <w:kern w:val="0"/>
          <w:sz w:val="24"/>
          <w:highlight w:val="none"/>
        </w:rPr>
      </w:pPr>
    </w:p>
    <w:p>
      <w:pPr>
        <w:adjustRightInd w:val="0"/>
        <w:snapToGrid w:val="0"/>
        <w:spacing w:line="360"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360"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360" w:lineRule="auto"/>
        <w:rPr>
          <w:rFonts w:ascii="宋体" w:hAnsi="宋体"/>
          <w:kern w:val="0"/>
          <w:sz w:val="24"/>
          <w:highlight w:val="none"/>
          <w:u w:val="single"/>
        </w:rPr>
      </w:pPr>
      <w:r>
        <w:rPr>
          <w:rFonts w:hint="eastAsia" w:ascii="宋体" w:hAnsi="宋体"/>
          <w:kern w:val="0"/>
          <w:sz w:val="24"/>
          <w:highlight w:val="none"/>
          <w:lang w:val="zh-CN"/>
        </w:rPr>
        <w:t>日期</w:t>
      </w:r>
      <w:r>
        <w:rPr>
          <w:rFonts w:hint="eastAsia" w:ascii="宋体" w:hAnsi="宋体"/>
          <w:kern w:val="0"/>
          <w:sz w:val="24"/>
          <w:highlight w:val="none"/>
        </w:rPr>
        <w:t>： 202</w:t>
      </w:r>
      <w:r>
        <w:rPr>
          <w:rFonts w:hint="eastAsia" w:ascii="宋体" w:hAnsi="宋体"/>
          <w:kern w:val="0"/>
          <w:sz w:val="24"/>
          <w:highlight w:val="none"/>
          <w:lang w:val="en-US" w:eastAsia="zh-CN"/>
        </w:rPr>
        <w:t>2</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pStyle w:val="100"/>
        <w:ind w:firstLine="482"/>
        <w:rPr>
          <w:rFonts w:ascii="宋体" w:hAnsi="宋体"/>
          <w:b/>
          <w:highlight w:val="none"/>
        </w:rPr>
      </w:pPr>
    </w:p>
    <w:p>
      <w:pPr>
        <w:pStyle w:val="100"/>
        <w:ind w:firstLine="482"/>
        <w:rPr>
          <w:rFonts w:ascii="宋体" w:hAnsi="宋体"/>
          <w:b/>
          <w:highlight w:val="none"/>
        </w:rPr>
      </w:pPr>
    </w:p>
    <w:p>
      <w:pPr>
        <w:pStyle w:val="100"/>
        <w:ind w:firstLine="482"/>
        <w:rPr>
          <w:rFonts w:ascii="宋体" w:hAnsi="宋体"/>
          <w:b/>
          <w:highlight w:val="none"/>
        </w:rPr>
      </w:pPr>
    </w:p>
    <w:p>
      <w:pPr>
        <w:pStyle w:val="87"/>
        <w:ind w:left="560"/>
        <w:rPr>
          <w:highlight w:val="none"/>
        </w:rPr>
      </w:pPr>
    </w:p>
    <w:p>
      <w:pPr>
        <w:pStyle w:val="2"/>
        <w:ind w:firstLine="210"/>
        <w:rPr>
          <w:highlight w:val="none"/>
        </w:rPr>
      </w:pPr>
    </w:p>
    <w:p>
      <w:pPr>
        <w:rPr>
          <w:highlight w:val="none"/>
        </w:rPr>
      </w:pPr>
    </w:p>
    <w:p>
      <w:pPr>
        <w:pStyle w:val="87"/>
        <w:rPr>
          <w:highlight w:val="none"/>
        </w:rPr>
      </w:pPr>
    </w:p>
    <w:p>
      <w:pPr>
        <w:pStyle w:val="35"/>
        <w:rPr>
          <w:highlight w:val="none"/>
        </w:rPr>
      </w:pPr>
    </w:p>
    <w:p>
      <w:pPr>
        <w:pStyle w:val="2"/>
      </w:pPr>
    </w:p>
    <w:p>
      <w:pPr>
        <w:rPr>
          <w:highlight w:val="none"/>
        </w:rPr>
      </w:pPr>
    </w:p>
    <w:p>
      <w:pPr>
        <w:pStyle w:val="2"/>
        <w:ind w:firstLine="210"/>
        <w:rPr>
          <w:highlight w:val="none"/>
        </w:rPr>
      </w:pPr>
    </w:p>
    <w:p>
      <w:pPr>
        <w:rPr>
          <w:highlight w:val="none"/>
        </w:rPr>
      </w:pPr>
    </w:p>
    <w:p>
      <w:pPr>
        <w:spacing w:line="700" w:lineRule="exact"/>
        <w:jc w:val="center"/>
        <w:rPr>
          <w:rFonts w:hint="eastAsia"/>
          <w:b/>
          <w:sz w:val="30"/>
          <w:szCs w:val="30"/>
        </w:rPr>
      </w:pPr>
      <w:bookmarkStart w:id="110" w:name="_Toc522530058"/>
      <w:bookmarkStart w:id="111" w:name="_Toc8841"/>
      <w:r>
        <w:rPr>
          <w:rFonts w:hint="eastAsia" w:hAnsi="宋体"/>
          <w:b/>
          <w:highlight w:val="none"/>
        </w:rPr>
        <w:t>格式</w:t>
      </w:r>
      <w:r>
        <w:rPr>
          <w:rFonts w:hint="eastAsia" w:hAnsi="宋体"/>
          <w:b/>
          <w:highlight w:val="none"/>
          <w:lang w:eastAsia="zh-CN"/>
        </w:rPr>
        <w:t>六</w:t>
      </w:r>
      <w:r>
        <w:rPr>
          <w:rFonts w:hint="eastAsia" w:hAnsi="宋体"/>
          <w:b/>
          <w:highlight w:val="none"/>
        </w:rPr>
        <w:t>：</w:t>
      </w:r>
      <w:r>
        <w:rPr>
          <w:rFonts w:hint="eastAsia" w:hAnsi="宋体"/>
          <w:b/>
          <w:highlight w:val="none"/>
          <w:lang w:val="en-US" w:eastAsia="zh-CN"/>
        </w:rPr>
        <w:t>拟投入机械设备配置</w:t>
      </w:r>
      <w:r>
        <w:rPr>
          <w:rFonts w:hint="eastAsia"/>
          <w:b/>
          <w:sz w:val="30"/>
          <w:szCs w:val="30"/>
        </w:rPr>
        <w:t>表</w:t>
      </w:r>
    </w:p>
    <w:p>
      <w:pPr>
        <w:spacing w:line="0" w:lineRule="atLeast"/>
        <w:jc w:val="center"/>
        <w:rPr>
          <w:rFonts w:hint="eastAsia"/>
          <w:bCs/>
          <w:sz w:val="30"/>
          <w:szCs w:val="30"/>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639"/>
        <w:gridCol w:w="1785"/>
        <w:gridCol w:w="10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0" w:type="dxa"/>
            <w:noWrap w:val="0"/>
            <w:vAlign w:val="center"/>
          </w:tcPr>
          <w:p>
            <w:pPr>
              <w:spacing w:line="0" w:lineRule="atLeast"/>
              <w:jc w:val="center"/>
              <w:rPr>
                <w:rFonts w:hint="eastAsia"/>
                <w:b/>
                <w:sz w:val="21"/>
                <w:szCs w:val="21"/>
              </w:rPr>
            </w:pPr>
            <w:r>
              <w:rPr>
                <w:rFonts w:hint="eastAsia"/>
                <w:b/>
                <w:sz w:val="21"/>
                <w:szCs w:val="21"/>
              </w:rPr>
              <w:t>序号</w:t>
            </w:r>
          </w:p>
        </w:tc>
        <w:tc>
          <w:tcPr>
            <w:tcW w:w="2639" w:type="dxa"/>
            <w:noWrap w:val="0"/>
            <w:vAlign w:val="center"/>
          </w:tcPr>
          <w:p>
            <w:pPr>
              <w:spacing w:line="0" w:lineRule="atLeast"/>
              <w:jc w:val="center"/>
              <w:rPr>
                <w:rFonts w:hint="eastAsia"/>
                <w:b/>
                <w:sz w:val="21"/>
                <w:szCs w:val="21"/>
              </w:rPr>
            </w:pPr>
            <w:r>
              <w:rPr>
                <w:rFonts w:hint="eastAsia"/>
                <w:b/>
                <w:sz w:val="21"/>
                <w:szCs w:val="21"/>
              </w:rPr>
              <w:t>设备名称及型号</w:t>
            </w:r>
          </w:p>
        </w:tc>
        <w:tc>
          <w:tcPr>
            <w:tcW w:w="1785" w:type="dxa"/>
            <w:noWrap w:val="0"/>
            <w:vAlign w:val="center"/>
          </w:tcPr>
          <w:p>
            <w:pPr>
              <w:spacing w:line="0" w:lineRule="atLeast"/>
              <w:jc w:val="center"/>
              <w:rPr>
                <w:rFonts w:hint="eastAsia"/>
                <w:b/>
                <w:sz w:val="21"/>
                <w:szCs w:val="21"/>
              </w:rPr>
            </w:pPr>
            <w:r>
              <w:rPr>
                <w:rFonts w:hint="eastAsia"/>
                <w:b/>
                <w:sz w:val="21"/>
                <w:szCs w:val="21"/>
              </w:rPr>
              <w:t>购置时间</w:t>
            </w:r>
          </w:p>
        </w:tc>
        <w:tc>
          <w:tcPr>
            <w:tcW w:w="1095" w:type="dxa"/>
            <w:noWrap w:val="0"/>
            <w:vAlign w:val="center"/>
          </w:tcPr>
          <w:p>
            <w:pPr>
              <w:spacing w:line="0" w:lineRule="atLeast"/>
              <w:jc w:val="center"/>
              <w:rPr>
                <w:rFonts w:hint="eastAsia"/>
                <w:b/>
                <w:sz w:val="21"/>
                <w:szCs w:val="21"/>
              </w:rPr>
            </w:pPr>
            <w:r>
              <w:rPr>
                <w:rFonts w:hint="eastAsia"/>
                <w:b/>
                <w:sz w:val="21"/>
                <w:szCs w:val="21"/>
              </w:rPr>
              <w:t>数量</w:t>
            </w:r>
          </w:p>
        </w:tc>
        <w:tc>
          <w:tcPr>
            <w:tcW w:w="2336" w:type="dxa"/>
            <w:noWrap w:val="0"/>
            <w:vAlign w:val="center"/>
          </w:tcPr>
          <w:p>
            <w:pPr>
              <w:spacing w:line="0" w:lineRule="atLeast"/>
              <w:jc w:val="center"/>
              <w:rPr>
                <w:rFonts w:hint="eastAsia" w:eastAsia="宋体"/>
                <w:b/>
                <w:sz w:val="21"/>
                <w:szCs w:val="21"/>
                <w:lang w:eastAsia="zh-CN"/>
              </w:rPr>
            </w:pPr>
            <w:r>
              <w:rPr>
                <w:rFonts w:hint="eastAsia"/>
                <w:b/>
                <w:sz w:val="21"/>
                <w:szCs w:val="21"/>
                <w:lang w:eastAsia="zh-CN"/>
              </w:rPr>
              <w:t>备注（自有或租用）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0" w:type="dxa"/>
            <w:noWrap w:val="0"/>
            <w:vAlign w:val="top"/>
          </w:tcPr>
          <w:p>
            <w:pPr>
              <w:spacing w:line="0" w:lineRule="atLeast"/>
              <w:jc w:val="center"/>
              <w:rPr>
                <w:rFonts w:hint="eastAsia"/>
              </w:rPr>
            </w:pPr>
          </w:p>
        </w:tc>
        <w:tc>
          <w:tcPr>
            <w:tcW w:w="2639" w:type="dxa"/>
            <w:noWrap w:val="0"/>
            <w:vAlign w:val="top"/>
          </w:tcPr>
          <w:p>
            <w:pPr>
              <w:spacing w:line="0" w:lineRule="atLeast"/>
              <w:jc w:val="center"/>
              <w:rPr>
                <w:rFonts w:hint="eastAsia"/>
              </w:rPr>
            </w:pPr>
          </w:p>
        </w:tc>
        <w:tc>
          <w:tcPr>
            <w:tcW w:w="1785" w:type="dxa"/>
            <w:noWrap w:val="0"/>
            <w:vAlign w:val="top"/>
          </w:tcPr>
          <w:p>
            <w:pPr>
              <w:spacing w:line="0" w:lineRule="atLeast"/>
              <w:jc w:val="center"/>
              <w:rPr>
                <w:rFonts w:hint="eastAsia"/>
              </w:rPr>
            </w:pPr>
          </w:p>
        </w:tc>
        <w:tc>
          <w:tcPr>
            <w:tcW w:w="1095" w:type="dxa"/>
            <w:noWrap w:val="0"/>
            <w:vAlign w:val="top"/>
          </w:tcPr>
          <w:p>
            <w:pPr>
              <w:spacing w:line="0" w:lineRule="atLeast"/>
              <w:jc w:val="center"/>
              <w:rPr>
                <w:rFonts w:hint="eastAsia"/>
              </w:rPr>
            </w:pPr>
          </w:p>
        </w:tc>
        <w:tc>
          <w:tcPr>
            <w:tcW w:w="2336" w:type="dxa"/>
            <w:noWrap w:val="0"/>
            <w:vAlign w:val="top"/>
          </w:tcPr>
          <w:p>
            <w:pPr>
              <w:spacing w:line="0" w:lineRule="atLeast"/>
              <w:jc w:val="center"/>
              <w:rPr>
                <w:rFonts w:hint="eastAsia"/>
              </w:rPr>
            </w:pPr>
          </w:p>
        </w:tc>
      </w:tr>
    </w:tbl>
    <w:p>
      <w:pPr>
        <w:pStyle w:val="5"/>
        <w:ind w:left="0" w:firstLine="0"/>
        <w:jc w:val="center"/>
        <w:rPr>
          <w:rFonts w:hint="eastAsia" w:ascii="宋体" w:hAnsi="宋体" w:eastAsia="宋体"/>
          <w:sz w:val="28"/>
          <w:highlight w:val="none"/>
          <w:lang w:eastAsia="zh-CN"/>
        </w:rPr>
      </w:pPr>
    </w:p>
    <w:p>
      <w:pPr>
        <w:adjustRightInd w:val="0"/>
        <w:snapToGrid w:val="0"/>
        <w:spacing w:line="360"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360"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202</w:t>
      </w:r>
      <w:r>
        <w:rPr>
          <w:rFonts w:hint="eastAsia" w:ascii="宋体" w:hAnsi="宋体"/>
          <w:kern w:val="0"/>
          <w:sz w:val="24"/>
          <w:highlight w:val="none"/>
          <w:lang w:val="en-US" w:eastAsia="zh-CN"/>
        </w:rPr>
        <w:t>2</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pStyle w:val="87"/>
        <w:rPr>
          <w:rFonts w:hint="eastAsia"/>
          <w:lang w:val="zh-CN"/>
        </w:rPr>
      </w:pPr>
    </w:p>
    <w:p>
      <w:pPr>
        <w:pStyle w:val="35"/>
        <w:rPr>
          <w:rFonts w:hint="eastAsia" w:ascii="宋体" w:hAnsi="宋体"/>
          <w:kern w:val="0"/>
          <w:sz w:val="24"/>
          <w:highlight w:val="none"/>
          <w:lang w:val="zh-CN"/>
        </w:rPr>
      </w:pPr>
    </w:p>
    <w:p>
      <w:pPr>
        <w:pStyle w:val="2"/>
        <w:pageBreakBefore w:val="0"/>
        <w:widowControl w:val="0"/>
        <w:kinsoku/>
        <w:wordWrap/>
        <w:overflowPunct/>
        <w:topLinePunct w:val="0"/>
        <w:autoSpaceDE/>
        <w:autoSpaceDN/>
        <w:bidi w:val="0"/>
        <w:adjustRightInd/>
        <w:spacing w:after="0" w:line="500" w:lineRule="exact"/>
        <w:ind w:left="0" w:leftChars="0" w:right="0" w:rightChars="0"/>
        <w:textAlignment w:val="auto"/>
        <w:rPr>
          <w:rFonts w:hint="eastAsia" w:ascii="宋体" w:hAnsi="宋体"/>
          <w:kern w:val="0"/>
          <w:sz w:val="24"/>
          <w:highlight w:val="none"/>
          <w:lang w:val="zh-CN"/>
        </w:rPr>
      </w:pPr>
    </w:p>
    <w:p>
      <w:pPr>
        <w:pageBreakBefore w:val="0"/>
        <w:widowControl w:val="0"/>
        <w:kinsoku/>
        <w:wordWrap/>
        <w:overflowPunct/>
        <w:topLinePunct w:val="0"/>
        <w:autoSpaceDE/>
        <w:autoSpaceDN/>
        <w:bidi w:val="0"/>
        <w:adjustRightInd/>
        <w:spacing w:line="500" w:lineRule="exact"/>
        <w:ind w:left="0" w:leftChars="0" w:right="0" w:rightChars="0"/>
        <w:textAlignment w:val="auto"/>
        <w:rPr>
          <w:rFonts w:hint="eastAsia" w:ascii="宋体" w:hAnsi="宋体"/>
          <w:kern w:val="0"/>
          <w:sz w:val="24"/>
          <w:highlight w:val="none"/>
          <w:lang w:val="zh-CN"/>
        </w:rPr>
      </w:pPr>
    </w:p>
    <w:p>
      <w:pPr>
        <w:pStyle w:val="87"/>
        <w:pageBreakBefore w:val="0"/>
        <w:widowControl w:val="0"/>
        <w:kinsoku/>
        <w:wordWrap/>
        <w:overflowPunct/>
        <w:topLinePunct w:val="0"/>
        <w:autoSpaceDE/>
        <w:autoSpaceDN/>
        <w:bidi w:val="0"/>
        <w:adjustRightInd/>
        <w:spacing w:after="0" w:line="500" w:lineRule="exact"/>
        <w:ind w:left="0" w:leftChars="0" w:right="0" w:rightChars="0"/>
        <w:textAlignment w:val="auto"/>
        <w:rPr>
          <w:rFonts w:hint="eastAsia" w:ascii="宋体" w:hAnsi="宋体"/>
          <w:kern w:val="0"/>
          <w:sz w:val="24"/>
          <w:highlight w:val="none"/>
          <w:lang w:val="zh-CN"/>
        </w:rPr>
      </w:pPr>
    </w:p>
    <w:p>
      <w:pPr>
        <w:pStyle w:val="5"/>
        <w:pageBreakBefore w:val="0"/>
        <w:widowControl w:val="0"/>
        <w:kinsoku/>
        <w:wordWrap/>
        <w:overflowPunct/>
        <w:topLinePunct w:val="0"/>
        <w:autoSpaceDE/>
        <w:autoSpaceDN/>
        <w:bidi w:val="0"/>
        <w:adjustRightInd/>
        <w:spacing w:line="500" w:lineRule="exact"/>
        <w:ind w:left="0" w:leftChars="0" w:right="0" w:rightChars="0" w:firstLine="0"/>
        <w:jc w:val="both"/>
        <w:textAlignment w:val="auto"/>
        <w:rPr>
          <w:rFonts w:hint="eastAsia" w:ascii="宋体" w:hAnsi="宋体" w:eastAsia="宋体"/>
          <w:sz w:val="28"/>
          <w:highlight w:val="none"/>
        </w:rPr>
      </w:pPr>
    </w:p>
    <w:p>
      <w:pPr>
        <w:pageBreakBefore w:val="0"/>
        <w:widowControl w:val="0"/>
        <w:kinsoku/>
        <w:wordWrap/>
        <w:overflowPunct/>
        <w:topLinePunct w:val="0"/>
        <w:autoSpaceDE/>
        <w:autoSpaceDN/>
        <w:bidi w:val="0"/>
        <w:adjustRightInd/>
        <w:spacing w:line="500" w:lineRule="exact"/>
        <w:ind w:left="0" w:leftChars="0" w:right="0" w:rightChars="0"/>
        <w:textAlignment w:val="auto"/>
        <w:rPr>
          <w:rFonts w:hint="eastAsia"/>
        </w:rPr>
      </w:pPr>
    </w:p>
    <w:p>
      <w:pPr>
        <w:spacing w:line="700" w:lineRule="exact"/>
        <w:jc w:val="center"/>
        <w:rPr>
          <w:rFonts w:hint="eastAsia" w:hAnsi="宋体"/>
          <w:b/>
          <w:highlight w:val="none"/>
        </w:rPr>
      </w:pPr>
    </w:p>
    <w:p>
      <w:pPr>
        <w:spacing w:line="700" w:lineRule="exact"/>
        <w:jc w:val="center"/>
        <w:rPr>
          <w:rFonts w:hint="eastAsia" w:hAnsi="宋体"/>
          <w:b/>
          <w:highlight w:val="none"/>
        </w:rPr>
      </w:pPr>
      <w:r>
        <w:rPr>
          <w:rFonts w:hint="eastAsia" w:hAnsi="宋体"/>
          <w:b/>
          <w:highlight w:val="none"/>
        </w:rPr>
        <w:t>格式</w:t>
      </w:r>
      <w:r>
        <w:rPr>
          <w:rFonts w:hint="eastAsia" w:hAnsi="宋体"/>
          <w:b/>
          <w:highlight w:val="none"/>
          <w:lang w:eastAsia="zh-CN"/>
        </w:rPr>
        <w:t>七</w:t>
      </w:r>
      <w:r>
        <w:rPr>
          <w:rFonts w:hint="eastAsia" w:hAnsi="宋体"/>
          <w:b/>
          <w:highlight w:val="none"/>
        </w:rPr>
        <w:t>：</w:t>
      </w:r>
      <w:r>
        <w:rPr>
          <w:rFonts w:hint="eastAsia" w:hAnsi="宋体"/>
          <w:b/>
          <w:highlight w:val="none"/>
          <w:lang w:eastAsia="zh-CN"/>
        </w:rPr>
        <w:t>商务</w:t>
      </w:r>
      <w:r>
        <w:rPr>
          <w:rFonts w:hint="eastAsia" w:hAnsi="宋体"/>
          <w:b/>
          <w:highlight w:val="none"/>
        </w:rPr>
        <w:t>技术偏离表</w:t>
      </w:r>
    </w:p>
    <w:p>
      <w:pPr>
        <w:spacing w:line="700" w:lineRule="exact"/>
        <w:jc w:val="center"/>
        <w:rPr>
          <w:rFonts w:hint="eastAsia" w:hAnsi="宋体"/>
          <w:b/>
          <w:highlight w:val="none"/>
        </w:rPr>
      </w:pPr>
    </w:p>
    <w:tbl>
      <w:tblPr>
        <w:tblStyle w:val="88"/>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693"/>
        <w:gridCol w:w="2593"/>
        <w:gridCol w:w="1431"/>
        <w:gridCol w:w="184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序号</w:t>
            </w:r>
          </w:p>
        </w:tc>
        <w:tc>
          <w:tcPr>
            <w:tcW w:w="2693"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招标文件要求</w:t>
            </w:r>
          </w:p>
        </w:tc>
        <w:tc>
          <w:tcPr>
            <w:tcW w:w="2593"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投标文件响应</w:t>
            </w:r>
          </w:p>
        </w:tc>
        <w:tc>
          <w:tcPr>
            <w:tcW w:w="1431"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正/负偏离</w:t>
            </w:r>
          </w:p>
        </w:tc>
        <w:tc>
          <w:tcPr>
            <w:tcW w:w="1848" w:type="dx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1</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2</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3</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utoSpaceDE w:val="0"/>
              <w:autoSpaceDN w:val="0"/>
              <w:adjustRightInd w:val="0"/>
              <w:jc w:val="center"/>
              <w:rPr>
                <w:rFonts w:ascii="宋体" w:hAnsi="宋体"/>
                <w:color w:val="auto"/>
                <w:kern w:val="0"/>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kern w:val="0"/>
                <w:sz w:val="24"/>
                <w:highlight w:val="none"/>
              </w:rPr>
              <w:t>…</w:t>
            </w:r>
          </w:p>
        </w:tc>
        <w:tc>
          <w:tcPr>
            <w:tcW w:w="2693" w:type="dxa"/>
            <w:noWrap w:val="0"/>
            <w:vAlign w:val="center"/>
          </w:tcPr>
          <w:p>
            <w:pPr>
              <w:adjustRightInd w:val="0"/>
              <w:snapToGrid w:val="0"/>
              <w:jc w:val="center"/>
              <w:rPr>
                <w:rFonts w:ascii="宋体" w:hAnsi="宋体"/>
                <w:color w:val="auto"/>
                <w:sz w:val="24"/>
                <w:highlight w:val="none"/>
              </w:rPr>
            </w:pPr>
          </w:p>
        </w:tc>
        <w:tc>
          <w:tcPr>
            <w:tcW w:w="2593" w:type="dxa"/>
            <w:noWrap w:val="0"/>
            <w:vAlign w:val="center"/>
          </w:tcPr>
          <w:p>
            <w:pPr>
              <w:adjustRightInd w:val="0"/>
              <w:snapToGrid w:val="0"/>
              <w:jc w:val="center"/>
              <w:rPr>
                <w:rFonts w:ascii="宋体" w:hAnsi="宋体"/>
                <w:color w:val="auto"/>
                <w:sz w:val="24"/>
                <w:highlight w:val="none"/>
              </w:rPr>
            </w:pPr>
          </w:p>
        </w:tc>
        <w:tc>
          <w:tcPr>
            <w:tcW w:w="1431" w:type="dxa"/>
            <w:noWrap w:val="0"/>
            <w:vAlign w:val="center"/>
          </w:tcPr>
          <w:p>
            <w:pPr>
              <w:adjustRightInd w:val="0"/>
              <w:snapToGrid w:val="0"/>
              <w:jc w:val="center"/>
              <w:rPr>
                <w:rFonts w:ascii="宋体" w:hAnsi="宋体"/>
                <w:color w:val="auto"/>
                <w:sz w:val="24"/>
                <w:highlight w:val="none"/>
              </w:rPr>
            </w:pPr>
          </w:p>
        </w:tc>
        <w:tc>
          <w:tcPr>
            <w:tcW w:w="1848" w:type="dxa"/>
            <w:noWrap w:val="0"/>
            <w:vAlign w:val="center"/>
          </w:tcPr>
          <w:p>
            <w:pPr>
              <w:adjustRightInd w:val="0"/>
              <w:snapToGrid w:val="0"/>
              <w:jc w:val="center"/>
              <w:rPr>
                <w:rFonts w:ascii="宋体" w:hAnsi="宋体"/>
                <w:color w:val="auto"/>
                <w:sz w:val="24"/>
                <w:highlight w:val="none"/>
              </w:rPr>
            </w:pPr>
          </w:p>
        </w:tc>
      </w:tr>
    </w:tbl>
    <w:p>
      <w:pPr>
        <w:autoSpaceDE w:val="0"/>
        <w:autoSpaceDN w:val="0"/>
        <w:adjustRightInd w:val="0"/>
        <w:spacing w:line="360" w:lineRule="auto"/>
        <w:ind w:firstLine="5160" w:firstLineChars="2150"/>
        <w:rPr>
          <w:rFonts w:ascii="宋体" w:hAnsi="宋体"/>
          <w:color w:val="auto"/>
          <w:kern w:val="0"/>
          <w:sz w:val="24"/>
          <w:highlight w:val="none"/>
          <w:lang w:val="zh-CN"/>
        </w:rPr>
      </w:pPr>
    </w:p>
    <w:p>
      <w:pPr>
        <w:adjustRightInd w:val="0"/>
        <w:snapToGrid w:val="0"/>
        <w:spacing w:line="360" w:lineRule="auto"/>
        <w:rPr>
          <w:rFonts w:ascii="宋体" w:hAnsi="宋体"/>
          <w:b/>
          <w:color w:val="auto"/>
          <w:kern w:val="0"/>
          <w:sz w:val="24"/>
          <w:highlight w:val="none"/>
          <w:lang w:val="zh-CN"/>
        </w:rPr>
      </w:pPr>
      <w:r>
        <w:rPr>
          <w:rFonts w:hint="eastAsia" w:ascii="宋体" w:hAnsi="宋体"/>
          <w:b/>
          <w:color w:val="auto"/>
          <w:kern w:val="0"/>
          <w:sz w:val="24"/>
          <w:highlight w:val="none"/>
          <w:lang w:val="zh-CN"/>
        </w:rPr>
        <w:t>注：“商务技术偏离”是指对“第三部分  采购内容及需求”中条款的偏离。本表仅在有偏离时填写，注明是正/负偏离，并说明理由。“投标文件响应”复制“招标文件要求”内容，不填写或未提供偏离表均视为无偏离。</w:t>
      </w:r>
    </w:p>
    <w:p>
      <w:pPr>
        <w:adjustRightInd w:val="0"/>
        <w:snapToGrid w:val="0"/>
        <w:spacing w:line="360" w:lineRule="auto"/>
        <w:rPr>
          <w:rFonts w:ascii="宋体" w:hAnsi="宋体"/>
          <w:color w:val="auto"/>
          <w:kern w:val="0"/>
          <w:sz w:val="24"/>
          <w:highlight w:val="none"/>
          <w:lang w:val="zh-CN"/>
        </w:rPr>
      </w:pPr>
    </w:p>
    <w:p>
      <w:pPr>
        <w:pStyle w:val="5"/>
        <w:ind w:left="0" w:firstLine="0"/>
        <w:jc w:val="center"/>
        <w:rPr>
          <w:rFonts w:hint="eastAsia" w:ascii="宋体" w:hAnsi="宋体" w:eastAsia="宋体"/>
          <w:sz w:val="28"/>
          <w:highlight w:val="none"/>
          <w:lang w:eastAsia="zh-CN"/>
        </w:rPr>
      </w:pPr>
    </w:p>
    <w:p>
      <w:pPr>
        <w:adjustRightInd w:val="0"/>
        <w:snapToGrid w:val="0"/>
        <w:spacing w:line="360"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360"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202</w:t>
      </w:r>
      <w:r>
        <w:rPr>
          <w:rFonts w:hint="eastAsia" w:ascii="宋体" w:hAnsi="宋体"/>
          <w:kern w:val="0"/>
          <w:sz w:val="24"/>
          <w:highlight w:val="none"/>
          <w:lang w:val="en-US" w:eastAsia="zh-CN"/>
        </w:rPr>
        <w:t>2</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adjustRightInd w:val="0"/>
        <w:snapToGrid w:val="0"/>
        <w:spacing w:line="360" w:lineRule="auto"/>
        <w:rPr>
          <w:rFonts w:hint="eastAsia" w:ascii="宋体" w:hAnsi="宋体"/>
          <w:kern w:val="0"/>
          <w:sz w:val="24"/>
          <w:highlight w:val="none"/>
          <w:lang w:val="zh-CN"/>
        </w:rPr>
      </w:pPr>
    </w:p>
    <w:p>
      <w:pPr>
        <w:spacing w:line="700" w:lineRule="exact"/>
        <w:jc w:val="center"/>
        <w:rPr>
          <w:rFonts w:hint="eastAsia" w:hAnsi="宋体"/>
          <w:b/>
          <w:highlight w:val="none"/>
        </w:rPr>
      </w:pPr>
      <w:r>
        <w:rPr>
          <w:rFonts w:hint="eastAsia" w:hAnsi="宋体"/>
          <w:b/>
          <w:highlight w:val="none"/>
        </w:rPr>
        <w:t>格式</w:t>
      </w:r>
      <w:r>
        <w:rPr>
          <w:rFonts w:hint="eastAsia" w:hAnsi="宋体"/>
          <w:b/>
          <w:highlight w:val="none"/>
          <w:lang w:eastAsia="zh-CN"/>
        </w:rPr>
        <w:t>八</w:t>
      </w:r>
      <w:r>
        <w:rPr>
          <w:rFonts w:hint="eastAsia" w:hAnsi="宋体"/>
          <w:b/>
          <w:highlight w:val="none"/>
        </w:rPr>
        <w:t>：开标一览表</w:t>
      </w:r>
      <w:bookmarkEnd w:id="103"/>
      <w:bookmarkEnd w:id="104"/>
      <w:bookmarkEnd w:id="105"/>
      <w:bookmarkEnd w:id="106"/>
      <w:bookmarkEnd w:id="107"/>
      <w:bookmarkEnd w:id="110"/>
      <w:bookmarkEnd w:id="111"/>
    </w:p>
    <w:p>
      <w:pPr>
        <w:pageBreakBefore w:val="0"/>
        <w:widowControl w:val="0"/>
        <w:kinsoku/>
        <w:wordWrap/>
        <w:overflowPunct/>
        <w:topLinePunct w:val="0"/>
        <w:autoSpaceDE/>
        <w:autoSpaceDN/>
        <w:bidi w:val="0"/>
        <w:adjustRightInd/>
        <w:snapToGrid w:val="0"/>
        <w:spacing w:line="500" w:lineRule="exact"/>
        <w:ind w:left="0" w:leftChars="0" w:right="0" w:rightChars="0"/>
        <w:textAlignment w:val="auto"/>
        <w:rPr>
          <w:rFonts w:hint="eastAsia" w:ascii="宋体" w:hAnsi="宋体" w:cs="宋体"/>
          <w:sz w:val="24"/>
          <w:szCs w:val="24"/>
        </w:rPr>
      </w:pPr>
      <w:r>
        <w:rPr>
          <w:rFonts w:hint="eastAsia" w:ascii="宋体" w:hAnsi="宋体" w:cs="宋体"/>
          <w:sz w:val="24"/>
          <w:szCs w:val="24"/>
        </w:rPr>
        <w:t xml:space="preserve"> </w:t>
      </w:r>
    </w:p>
    <w:p>
      <w:pPr>
        <w:snapToGrid w:val="0"/>
        <w:ind w:right="274" w:rightChars="98"/>
        <w:rPr>
          <w:rFonts w:hint="eastAsia" w:ascii="宋体" w:hAnsi="宋体" w:cs="宋体"/>
          <w:sz w:val="24"/>
          <w:szCs w:val="24"/>
          <w:lang w:eastAsia="zh-CN"/>
        </w:rPr>
      </w:pPr>
      <w:r>
        <w:rPr>
          <w:rFonts w:hint="eastAsia" w:ascii="宋体" w:hAnsi="宋体" w:cs="宋体"/>
          <w:sz w:val="24"/>
          <w:szCs w:val="24"/>
        </w:rPr>
        <w:t>项目名称：                     项目编号</w:t>
      </w:r>
      <w:r>
        <w:rPr>
          <w:rFonts w:hint="eastAsia" w:ascii="宋体" w:hAnsi="宋体" w:cs="宋体"/>
          <w:bCs/>
          <w:sz w:val="24"/>
          <w:szCs w:val="24"/>
        </w:rPr>
        <w:t>：</w:t>
      </w:r>
      <w:r>
        <w:rPr>
          <w:rFonts w:hint="eastAsia" w:ascii="宋体" w:hAnsi="宋体" w:cs="宋体"/>
          <w:sz w:val="24"/>
          <w:szCs w:val="24"/>
        </w:rPr>
        <w:t xml:space="preserve">             单位：</w:t>
      </w:r>
      <w:r>
        <w:rPr>
          <w:rFonts w:hint="eastAsia" w:ascii="宋体" w:hAnsi="宋体" w:cs="宋体"/>
          <w:sz w:val="24"/>
          <w:szCs w:val="24"/>
          <w:lang w:eastAsia="zh-CN"/>
        </w:rPr>
        <w:t>元</w:t>
      </w:r>
    </w:p>
    <w:tbl>
      <w:tblPr>
        <w:tblStyle w:val="8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4006"/>
        <w:gridCol w:w="1012"/>
        <w:gridCol w:w="788"/>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序号</w:t>
            </w:r>
          </w:p>
        </w:tc>
        <w:tc>
          <w:tcPr>
            <w:tcW w:w="4006" w:type="dxa"/>
            <w:noWrap w:val="0"/>
            <w:vAlign w:val="center"/>
          </w:tcPr>
          <w:p>
            <w:pPr>
              <w:snapToGrid w:val="0"/>
              <w:spacing w:line="560" w:lineRule="exact"/>
              <w:ind w:firstLine="420" w:firstLineChars="200"/>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标项名称</w:t>
            </w:r>
          </w:p>
        </w:tc>
        <w:tc>
          <w:tcPr>
            <w:tcW w:w="1012"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数量</w:t>
            </w:r>
          </w:p>
        </w:tc>
        <w:tc>
          <w:tcPr>
            <w:tcW w:w="788"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单位</w:t>
            </w:r>
          </w:p>
        </w:tc>
        <w:tc>
          <w:tcPr>
            <w:tcW w:w="2582"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lang w:eastAsia="zh-CN"/>
              </w:rPr>
            </w:pPr>
            <w:r>
              <w:rPr>
                <w:rFonts w:hint="eastAsia" w:ascii="宋体" w:hAnsi="宋体" w:eastAsia="宋体" w:cs="宋体"/>
                <w:color w:val="auto"/>
                <w:kern w:val="56"/>
                <w:sz w:val="21"/>
                <w:szCs w:val="21"/>
                <w:highlight w:val="none"/>
                <w:shd w:val="clear" w:color="auto" w:fill="FFFFFF"/>
                <w:lang w:eastAsia="zh-CN"/>
              </w:rPr>
              <w:t>服务周期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1</w:t>
            </w:r>
          </w:p>
        </w:tc>
        <w:tc>
          <w:tcPr>
            <w:tcW w:w="4006" w:type="dxa"/>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rPr>
            </w:pPr>
            <w:r>
              <w:rPr>
                <w:rFonts w:hint="eastAsia" w:ascii="宋体" w:hAnsi="宋体" w:cs="宋体"/>
                <w:color w:val="auto"/>
                <w:kern w:val="56"/>
                <w:sz w:val="21"/>
                <w:szCs w:val="21"/>
                <w:highlight w:val="none"/>
                <w:shd w:val="clear" w:color="auto" w:fill="FFFFFF"/>
                <w:lang w:val="en-US" w:eastAsia="zh-CN"/>
              </w:rPr>
              <w:t>衢州市智慧新城二期范围保洁作业服务</w:t>
            </w:r>
            <w:r>
              <w:rPr>
                <w:rFonts w:hint="eastAsia" w:ascii="宋体" w:hAnsi="宋体" w:eastAsia="宋体" w:cs="宋体"/>
                <w:color w:val="auto"/>
                <w:kern w:val="56"/>
                <w:sz w:val="21"/>
                <w:szCs w:val="21"/>
                <w:highlight w:val="none"/>
                <w:shd w:val="clear" w:color="auto" w:fill="FFFFFF"/>
                <w:lang w:val="en-US" w:eastAsia="zh-CN"/>
              </w:rPr>
              <w:t>采购</w:t>
            </w:r>
            <w:r>
              <w:rPr>
                <w:rFonts w:hint="eastAsia" w:ascii="宋体" w:hAnsi="宋体" w:eastAsia="宋体" w:cs="宋体"/>
                <w:color w:val="auto"/>
                <w:kern w:val="56"/>
                <w:sz w:val="21"/>
                <w:szCs w:val="21"/>
                <w:highlight w:val="none"/>
                <w:shd w:val="clear" w:color="auto" w:fill="FFFFFF"/>
                <w:lang w:eastAsia="zh-CN"/>
              </w:rPr>
              <w:t>项目</w:t>
            </w:r>
          </w:p>
        </w:tc>
        <w:tc>
          <w:tcPr>
            <w:tcW w:w="1012"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1</w:t>
            </w:r>
          </w:p>
        </w:tc>
        <w:tc>
          <w:tcPr>
            <w:tcW w:w="788"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项</w:t>
            </w:r>
          </w:p>
        </w:tc>
        <w:tc>
          <w:tcPr>
            <w:tcW w:w="2582"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响应采购文件规定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2</w:t>
            </w:r>
          </w:p>
        </w:tc>
        <w:tc>
          <w:tcPr>
            <w:tcW w:w="4006" w:type="dxa"/>
            <w:noWrap w:val="0"/>
            <w:vAlign w:val="center"/>
          </w:tcPr>
          <w:p>
            <w:pPr>
              <w:snapToGrid w:val="0"/>
              <w:spacing w:line="560" w:lineRule="exact"/>
              <w:rPr>
                <w:rFonts w:hint="default" w:ascii="宋体" w:hAnsi="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单价报价（121.3万平方米）</w:t>
            </w:r>
          </w:p>
        </w:tc>
        <w:tc>
          <w:tcPr>
            <w:tcW w:w="4382" w:type="dxa"/>
            <w:gridSpan w:val="3"/>
            <w:noWrap w:val="0"/>
            <w:vAlign w:val="center"/>
          </w:tcPr>
          <w:p>
            <w:pPr>
              <w:snapToGrid w:val="0"/>
              <w:spacing w:line="560" w:lineRule="exact"/>
              <w:jc w:val="both"/>
              <w:rPr>
                <w:rFonts w:hint="eastAsia" w:ascii="宋体" w:hAnsi="宋体" w:eastAsia="宋体" w:cs="宋体"/>
                <w:color w:val="auto"/>
                <w:kern w:val="56"/>
                <w:sz w:val="21"/>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default" w:ascii="宋体" w:hAnsi="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2.1</w:t>
            </w:r>
          </w:p>
        </w:tc>
        <w:tc>
          <w:tcPr>
            <w:tcW w:w="4006" w:type="dxa"/>
            <w:noWrap w:val="0"/>
            <w:vAlign w:val="center"/>
          </w:tcPr>
          <w:p>
            <w:pPr>
              <w:snapToGrid w:val="0"/>
              <w:spacing w:line="560" w:lineRule="exact"/>
              <w:rPr>
                <w:rFonts w:hint="eastAsia" w:ascii="宋体" w:hAnsi="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道路保洁单价报价（112.1553万平方米）</w:t>
            </w:r>
          </w:p>
        </w:tc>
        <w:tc>
          <w:tcPr>
            <w:tcW w:w="4382" w:type="dxa"/>
            <w:gridSpan w:val="3"/>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lang w:val="en-US" w:eastAsia="zh-CN"/>
              </w:rPr>
            </w:pPr>
            <w:r>
              <w:rPr>
                <w:rFonts w:hint="eastAsia" w:ascii="宋体" w:hAnsi="宋体" w:eastAsia="宋体" w:cs="宋体"/>
                <w:color w:val="auto"/>
                <w:kern w:val="56"/>
                <w:sz w:val="21"/>
                <w:szCs w:val="21"/>
                <w:highlight w:val="none"/>
                <w:shd w:val="clear" w:color="auto" w:fill="FFFFFF"/>
              </w:rPr>
              <w:t>小写：￥         元</w:t>
            </w:r>
            <w:r>
              <w:rPr>
                <w:rFonts w:hint="eastAsia" w:ascii="宋体" w:hAnsi="宋体" w:eastAsia="宋体" w:cs="宋体"/>
                <w:color w:val="auto"/>
                <w:kern w:val="56"/>
                <w:sz w:val="21"/>
                <w:szCs w:val="21"/>
                <w:highlight w:val="none"/>
                <w:shd w:val="clear" w:color="auto" w:fill="FFFFFF"/>
                <w:lang w:val="en-US" w:eastAsia="zh-CN"/>
              </w:rPr>
              <w:t>/</w:t>
            </w:r>
            <w:r>
              <w:rPr>
                <w:rFonts w:hint="eastAsia" w:ascii="宋体" w:hAnsi="宋体" w:cs="宋体"/>
                <w:color w:val="auto"/>
                <w:kern w:val="56"/>
                <w:sz w:val="21"/>
                <w:szCs w:val="21"/>
                <w:highlight w:val="none"/>
                <w:shd w:val="clear" w:color="auto" w:fill="FFFFFF"/>
                <w:lang w:val="en-US" w:eastAsia="zh-CN"/>
              </w:rPr>
              <w:t>每平方</w:t>
            </w:r>
          </w:p>
          <w:p>
            <w:pPr>
              <w:snapToGrid w:val="0"/>
              <w:spacing w:line="560" w:lineRule="exact"/>
              <w:jc w:val="both"/>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大写：人民币           元</w:t>
            </w:r>
            <w:r>
              <w:rPr>
                <w:rFonts w:hint="eastAsia" w:ascii="宋体" w:hAnsi="宋体" w:eastAsia="宋体" w:cs="宋体"/>
                <w:color w:val="auto"/>
                <w:kern w:val="56"/>
                <w:sz w:val="21"/>
                <w:szCs w:val="21"/>
                <w:highlight w:val="none"/>
                <w:shd w:val="clear" w:color="auto" w:fill="FFFFFF"/>
                <w:lang w:eastAsia="zh-CN"/>
              </w:rPr>
              <w:t>每</w:t>
            </w:r>
            <w:r>
              <w:rPr>
                <w:rFonts w:hint="eastAsia" w:ascii="宋体" w:hAnsi="宋体" w:cs="宋体"/>
                <w:color w:val="auto"/>
                <w:kern w:val="56"/>
                <w:sz w:val="21"/>
                <w:szCs w:val="21"/>
                <w:highlight w:val="none"/>
                <w:shd w:val="clear" w:color="auto" w:fill="FFFFFF"/>
                <w:lang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default" w:ascii="宋体" w:hAnsi="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2.2</w:t>
            </w:r>
          </w:p>
        </w:tc>
        <w:tc>
          <w:tcPr>
            <w:tcW w:w="4006" w:type="dxa"/>
            <w:noWrap w:val="0"/>
            <w:vAlign w:val="center"/>
          </w:tcPr>
          <w:p>
            <w:pPr>
              <w:snapToGrid w:val="0"/>
              <w:spacing w:line="560" w:lineRule="exact"/>
              <w:rPr>
                <w:rFonts w:hint="eastAsia" w:ascii="宋体" w:hAnsi="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绿地保洁单价报价（9.1447万平方米）</w:t>
            </w:r>
          </w:p>
        </w:tc>
        <w:tc>
          <w:tcPr>
            <w:tcW w:w="4382" w:type="dxa"/>
            <w:gridSpan w:val="3"/>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lang w:val="en-US" w:eastAsia="zh-CN"/>
              </w:rPr>
            </w:pPr>
            <w:r>
              <w:rPr>
                <w:rFonts w:hint="eastAsia" w:ascii="宋体" w:hAnsi="宋体" w:eastAsia="宋体" w:cs="宋体"/>
                <w:color w:val="auto"/>
                <w:kern w:val="56"/>
                <w:sz w:val="21"/>
                <w:szCs w:val="21"/>
                <w:highlight w:val="none"/>
                <w:shd w:val="clear" w:color="auto" w:fill="FFFFFF"/>
              </w:rPr>
              <w:t>小写：￥         元</w:t>
            </w:r>
            <w:r>
              <w:rPr>
                <w:rFonts w:hint="eastAsia" w:ascii="宋体" w:hAnsi="宋体" w:eastAsia="宋体" w:cs="宋体"/>
                <w:color w:val="auto"/>
                <w:kern w:val="56"/>
                <w:sz w:val="21"/>
                <w:szCs w:val="21"/>
                <w:highlight w:val="none"/>
                <w:shd w:val="clear" w:color="auto" w:fill="FFFFFF"/>
                <w:lang w:val="en-US" w:eastAsia="zh-CN"/>
              </w:rPr>
              <w:t>/</w:t>
            </w:r>
            <w:r>
              <w:rPr>
                <w:rFonts w:hint="eastAsia" w:ascii="宋体" w:hAnsi="宋体" w:cs="宋体"/>
                <w:color w:val="auto"/>
                <w:kern w:val="56"/>
                <w:sz w:val="21"/>
                <w:szCs w:val="21"/>
                <w:highlight w:val="none"/>
                <w:shd w:val="clear" w:color="auto" w:fill="FFFFFF"/>
                <w:lang w:val="en-US" w:eastAsia="zh-CN"/>
              </w:rPr>
              <w:t>每平方</w:t>
            </w:r>
          </w:p>
          <w:p>
            <w:pPr>
              <w:snapToGrid w:val="0"/>
              <w:spacing w:line="560" w:lineRule="exact"/>
              <w:jc w:val="both"/>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大写：人民币           元</w:t>
            </w:r>
            <w:r>
              <w:rPr>
                <w:rFonts w:hint="eastAsia" w:ascii="宋体" w:hAnsi="宋体" w:eastAsia="宋体" w:cs="宋体"/>
                <w:color w:val="auto"/>
                <w:kern w:val="56"/>
                <w:sz w:val="21"/>
                <w:szCs w:val="21"/>
                <w:highlight w:val="none"/>
                <w:shd w:val="clear" w:color="auto" w:fill="FFFFFF"/>
                <w:lang w:eastAsia="zh-CN"/>
              </w:rPr>
              <w:t>每</w:t>
            </w:r>
            <w:r>
              <w:rPr>
                <w:rFonts w:hint="eastAsia" w:ascii="宋体" w:hAnsi="宋体" w:cs="宋体"/>
                <w:color w:val="auto"/>
                <w:kern w:val="56"/>
                <w:sz w:val="21"/>
                <w:szCs w:val="21"/>
                <w:highlight w:val="none"/>
                <w:shd w:val="clear" w:color="auto" w:fill="FFFFFF"/>
                <w:lang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lang w:eastAsia="zh-CN"/>
              </w:rPr>
            </w:pPr>
            <w:r>
              <w:rPr>
                <w:rFonts w:hint="eastAsia" w:ascii="宋体" w:hAnsi="宋体" w:cs="宋体"/>
                <w:color w:val="auto"/>
                <w:kern w:val="56"/>
                <w:sz w:val="21"/>
                <w:szCs w:val="21"/>
                <w:highlight w:val="none"/>
                <w:shd w:val="clear" w:color="auto" w:fill="FFFFFF"/>
                <w:lang w:val="en-US" w:eastAsia="zh-CN"/>
              </w:rPr>
              <w:t>3</w:t>
            </w:r>
          </w:p>
        </w:tc>
        <w:tc>
          <w:tcPr>
            <w:tcW w:w="4006" w:type="dxa"/>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lang w:eastAsia="zh-CN"/>
              </w:rPr>
            </w:pPr>
            <w:r>
              <w:rPr>
                <w:rFonts w:hint="eastAsia" w:ascii="宋体" w:hAnsi="宋体" w:eastAsia="宋体" w:cs="宋体"/>
                <w:color w:val="auto"/>
                <w:kern w:val="56"/>
                <w:sz w:val="21"/>
                <w:szCs w:val="21"/>
                <w:highlight w:val="none"/>
                <w:shd w:val="clear" w:color="auto" w:fill="FFFFFF"/>
                <w:lang w:eastAsia="zh-CN"/>
              </w:rPr>
              <w:t>单年报价</w:t>
            </w:r>
          </w:p>
        </w:tc>
        <w:tc>
          <w:tcPr>
            <w:tcW w:w="4382" w:type="dxa"/>
            <w:gridSpan w:val="3"/>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lang w:val="en-US" w:eastAsia="zh-CN"/>
              </w:rPr>
            </w:pPr>
            <w:r>
              <w:rPr>
                <w:rFonts w:hint="eastAsia" w:ascii="宋体" w:hAnsi="宋体" w:eastAsia="宋体" w:cs="宋体"/>
                <w:color w:val="auto"/>
                <w:kern w:val="56"/>
                <w:sz w:val="21"/>
                <w:szCs w:val="21"/>
                <w:highlight w:val="none"/>
                <w:shd w:val="clear" w:color="auto" w:fill="FFFFFF"/>
              </w:rPr>
              <w:t>小写：￥         元</w:t>
            </w:r>
            <w:r>
              <w:rPr>
                <w:rFonts w:hint="eastAsia" w:ascii="宋体" w:hAnsi="宋体" w:eastAsia="宋体" w:cs="宋体"/>
                <w:color w:val="auto"/>
                <w:kern w:val="56"/>
                <w:sz w:val="21"/>
                <w:szCs w:val="21"/>
                <w:highlight w:val="none"/>
                <w:shd w:val="clear" w:color="auto" w:fill="FFFFFF"/>
                <w:lang w:val="en-US" w:eastAsia="zh-CN"/>
              </w:rPr>
              <w:t>/年</w:t>
            </w:r>
          </w:p>
          <w:p>
            <w:pPr>
              <w:snapToGrid w:val="0"/>
              <w:spacing w:line="560" w:lineRule="exact"/>
              <w:rPr>
                <w:rFonts w:hint="eastAsia" w:ascii="宋体" w:hAnsi="宋体" w:eastAsia="宋体" w:cs="宋体"/>
                <w:color w:val="auto"/>
                <w:kern w:val="56"/>
                <w:sz w:val="21"/>
                <w:szCs w:val="21"/>
                <w:highlight w:val="none"/>
                <w:shd w:val="clear" w:color="auto" w:fill="FFFFFF"/>
                <w:lang w:eastAsia="zh-CN"/>
              </w:rPr>
            </w:pPr>
            <w:r>
              <w:rPr>
                <w:rFonts w:hint="eastAsia" w:ascii="宋体" w:hAnsi="宋体" w:eastAsia="宋体" w:cs="宋体"/>
                <w:color w:val="auto"/>
                <w:kern w:val="56"/>
                <w:sz w:val="21"/>
                <w:szCs w:val="21"/>
                <w:highlight w:val="none"/>
                <w:shd w:val="clear" w:color="auto" w:fill="FFFFFF"/>
              </w:rPr>
              <w:t>大写：人民币           元</w:t>
            </w:r>
            <w:r>
              <w:rPr>
                <w:rFonts w:hint="eastAsia" w:ascii="宋体" w:hAnsi="宋体" w:eastAsia="宋体" w:cs="宋体"/>
                <w:color w:val="auto"/>
                <w:kern w:val="56"/>
                <w:sz w:val="21"/>
                <w:szCs w:val="21"/>
                <w:highlight w:val="none"/>
                <w:shd w:val="clear" w:color="auto" w:fill="FFFFFF"/>
                <w:lang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0" w:type="dxa"/>
            <w:noWrap w:val="0"/>
            <w:vAlign w:val="center"/>
          </w:tcPr>
          <w:p>
            <w:pPr>
              <w:snapToGrid w:val="0"/>
              <w:spacing w:line="560" w:lineRule="exact"/>
              <w:jc w:val="center"/>
              <w:rPr>
                <w:rFonts w:hint="eastAsia" w:ascii="宋体" w:hAnsi="宋体" w:eastAsia="宋体" w:cs="宋体"/>
                <w:color w:val="auto"/>
                <w:kern w:val="56"/>
                <w:sz w:val="21"/>
                <w:szCs w:val="21"/>
                <w:highlight w:val="none"/>
                <w:shd w:val="clear" w:color="auto" w:fill="FFFFFF"/>
                <w:lang w:val="en-US" w:eastAsia="zh-CN"/>
              </w:rPr>
            </w:pPr>
            <w:r>
              <w:rPr>
                <w:rFonts w:hint="eastAsia" w:ascii="宋体" w:hAnsi="宋体" w:cs="宋体"/>
                <w:color w:val="auto"/>
                <w:kern w:val="56"/>
                <w:sz w:val="21"/>
                <w:szCs w:val="21"/>
                <w:highlight w:val="none"/>
                <w:shd w:val="clear" w:color="auto" w:fill="FFFFFF"/>
                <w:lang w:val="en-US" w:eastAsia="zh-CN"/>
              </w:rPr>
              <w:t>4</w:t>
            </w:r>
          </w:p>
        </w:tc>
        <w:tc>
          <w:tcPr>
            <w:tcW w:w="4006" w:type="dxa"/>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lang w:eastAsia="zh-CN"/>
              </w:rPr>
            </w:pPr>
            <w:r>
              <w:rPr>
                <w:rFonts w:hint="eastAsia" w:ascii="宋体" w:hAnsi="宋体" w:eastAsia="宋体" w:cs="宋体"/>
                <w:color w:val="auto"/>
                <w:kern w:val="56"/>
                <w:sz w:val="21"/>
                <w:szCs w:val="21"/>
                <w:highlight w:val="none"/>
                <w:shd w:val="clear" w:color="auto" w:fill="FFFFFF"/>
                <w:lang w:eastAsia="zh-CN"/>
              </w:rPr>
              <w:t>三年总价</w:t>
            </w:r>
          </w:p>
        </w:tc>
        <w:tc>
          <w:tcPr>
            <w:tcW w:w="4382" w:type="dxa"/>
            <w:gridSpan w:val="3"/>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小写：￥         元</w:t>
            </w:r>
          </w:p>
          <w:p>
            <w:pPr>
              <w:snapToGrid w:val="0"/>
              <w:spacing w:line="560" w:lineRule="exact"/>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color w:val="auto"/>
                <w:kern w:val="56"/>
                <w:sz w:val="21"/>
                <w:szCs w:val="21"/>
                <w:highlight w:val="none"/>
                <w:shd w:val="clear" w:color="auto" w:fill="FFFFFF"/>
              </w:rPr>
              <w:t>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98" w:type="dxa"/>
            <w:gridSpan w:val="5"/>
            <w:noWrap w:val="0"/>
            <w:vAlign w:val="center"/>
          </w:tcPr>
          <w:p>
            <w:pPr>
              <w:snapToGrid w:val="0"/>
              <w:spacing w:line="560" w:lineRule="exact"/>
              <w:rPr>
                <w:rFonts w:hint="eastAsia" w:ascii="宋体" w:hAnsi="宋体" w:eastAsia="宋体" w:cs="宋体"/>
                <w:color w:val="auto"/>
                <w:kern w:val="56"/>
                <w:sz w:val="21"/>
                <w:szCs w:val="21"/>
                <w:highlight w:val="none"/>
                <w:shd w:val="clear" w:color="auto" w:fill="FFFFFF"/>
              </w:rPr>
            </w:pPr>
            <w:r>
              <w:rPr>
                <w:rFonts w:hint="eastAsia" w:ascii="宋体" w:hAnsi="宋体" w:eastAsia="宋体" w:cs="宋体"/>
                <w:b/>
                <w:bCs/>
                <w:color w:val="auto"/>
                <w:kern w:val="56"/>
                <w:sz w:val="21"/>
                <w:szCs w:val="21"/>
                <w:highlight w:val="none"/>
                <w:shd w:val="clear" w:color="auto" w:fill="FFFFFF"/>
              </w:rPr>
              <w:t>填写说明：大写金额与小写金额不一致时，以大写金额为准。</w:t>
            </w:r>
          </w:p>
        </w:tc>
      </w:tr>
    </w:tbl>
    <w:p>
      <w:pPr>
        <w:snapToGrid w:val="0"/>
        <w:ind w:right="274" w:rightChars="98"/>
        <w:rPr>
          <w:rFonts w:hint="eastAsia" w:ascii="宋体" w:hAnsi="宋体" w:eastAsia="宋体" w:cs="宋体"/>
          <w:sz w:val="24"/>
          <w:szCs w:val="24"/>
          <w:lang w:eastAsia="zh-CN"/>
        </w:rPr>
      </w:pPr>
    </w:p>
    <w:p>
      <w:pPr>
        <w:pStyle w:val="8"/>
        <w:spacing w:line="400" w:lineRule="exact"/>
        <w:rPr>
          <w:rFonts w:hint="eastAsia"/>
          <w:sz w:val="21"/>
          <w:szCs w:val="21"/>
        </w:rPr>
      </w:pPr>
      <w:r>
        <w:rPr>
          <w:rFonts w:hint="eastAsia"/>
          <w:sz w:val="21"/>
          <w:szCs w:val="21"/>
        </w:rPr>
        <w:t>注：本项目</w:t>
      </w:r>
      <w:r>
        <w:rPr>
          <w:rFonts w:hint="eastAsia"/>
          <w:sz w:val="21"/>
          <w:szCs w:val="21"/>
          <w:lang w:eastAsia="zh-CN"/>
        </w:rPr>
        <w:t>投标</w:t>
      </w:r>
      <w:r>
        <w:rPr>
          <w:rFonts w:hint="eastAsia"/>
          <w:sz w:val="21"/>
          <w:szCs w:val="21"/>
        </w:rPr>
        <w:t>报价为</w:t>
      </w:r>
      <w:r>
        <w:rPr>
          <w:rFonts w:hint="eastAsia"/>
          <w:sz w:val="21"/>
          <w:szCs w:val="21"/>
          <w:lang w:val="en-US" w:eastAsia="zh-CN"/>
        </w:rPr>
        <w:t>衢州市智慧新城二期范围保洁作业服务</w:t>
      </w:r>
      <w:r>
        <w:rPr>
          <w:rFonts w:hint="eastAsia"/>
          <w:sz w:val="21"/>
          <w:szCs w:val="21"/>
          <w:lang w:eastAsia="zh-CN"/>
        </w:rPr>
        <w:t>采购项目</w:t>
      </w:r>
      <w:r>
        <w:rPr>
          <w:rFonts w:hint="eastAsia"/>
          <w:sz w:val="21"/>
          <w:szCs w:val="21"/>
        </w:rPr>
        <w:t>含税总价，包</w:t>
      </w:r>
      <w:r>
        <w:rPr>
          <w:rFonts w:hint="eastAsia"/>
          <w:sz w:val="21"/>
          <w:szCs w:val="21"/>
          <w:lang w:eastAsia="zh-CN"/>
        </w:rPr>
        <w:t>括</w:t>
      </w:r>
      <w:r>
        <w:rPr>
          <w:rFonts w:hint="eastAsia"/>
          <w:sz w:val="21"/>
          <w:szCs w:val="21"/>
        </w:rPr>
        <w:t>在承包区域内提供</w:t>
      </w:r>
      <w:r>
        <w:rPr>
          <w:rFonts w:hint="eastAsia"/>
          <w:sz w:val="21"/>
          <w:szCs w:val="21"/>
          <w:lang w:val="en-US" w:eastAsia="zh-CN"/>
        </w:rPr>
        <w:t>衢州市智慧新城二期范围保洁作业服务</w:t>
      </w:r>
      <w:r>
        <w:rPr>
          <w:rFonts w:hint="eastAsia"/>
          <w:sz w:val="21"/>
          <w:szCs w:val="21"/>
        </w:rPr>
        <w:t>所需的</w:t>
      </w:r>
      <w:r>
        <w:rPr>
          <w:rFonts w:hint="eastAsia"/>
          <w:sz w:val="21"/>
          <w:szCs w:val="21"/>
          <w:lang w:eastAsia="zh-CN"/>
        </w:rPr>
        <w:t>一切</w:t>
      </w:r>
      <w:r>
        <w:rPr>
          <w:rFonts w:hint="eastAsia"/>
          <w:sz w:val="21"/>
          <w:szCs w:val="21"/>
          <w:lang w:val="en-US" w:eastAsia="zh-CN"/>
        </w:rPr>
        <w:t>人工费、材料费、机械费、</w:t>
      </w:r>
      <w:r>
        <w:rPr>
          <w:rFonts w:hint="eastAsia"/>
          <w:sz w:val="21"/>
          <w:szCs w:val="21"/>
        </w:rPr>
        <w:t>药品药剂、肥料、各种社会保险、服装、管理费用、仓储费用、养护期间各类绿化的补种、保洁、垃圾清运、施工登高措施费、大型活动所需的突击养护保洁费用、园区安全管理费用、水电费、税费、利润</w:t>
      </w:r>
      <w:r>
        <w:rPr>
          <w:rFonts w:hint="eastAsia"/>
          <w:sz w:val="21"/>
          <w:szCs w:val="21"/>
          <w:lang w:eastAsia="zh-CN"/>
        </w:rPr>
        <w:t>、</w:t>
      </w:r>
      <w:r>
        <w:rPr>
          <w:rFonts w:hint="eastAsia"/>
          <w:sz w:val="21"/>
          <w:szCs w:val="21"/>
          <w:lang w:val="en-US" w:eastAsia="zh-CN"/>
        </w:rPr>
        <w:t>风险等</w:t>
      </w:r>
      <w:r>
        <w:rPr>
          <w:rFonts w:hint="eastAsia"/>
          <w:sz w:val="21"/>
          <w:szCs w:val="21"/>
        </w:rPr>
        <w:t>完成合同所需的一切本身和不可或缺的所有工作开支、政策性文件规定及合同包含的所有风险、责任等各项全部费用并承担一切风险责任。</w:t>
      </w:r>
    </w:p>
    <w:p>
      <w:pPr>
        <w:pStyle w:val="8"/>
        <w:spacing w:line="400" w:lineRule="exact"/>
        <w:rPr>
          <w:rFonts w:hint="eastAsia"/>
          <w:sz w:val="21"/>
          <w:szCs w:val="21"/>
        </w:rPr>
      </w:pPr>
    </w:p>
    <w:p>
      <w:pPr>
        <w:adjustRightInd w:val="0"/>
        <w:snapToGrid w:val="0"/>
        <w:spacing w:line="360"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360"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202</w:t>
      </w:r>
      <w:r>
        <w:rPr>
          <w:rFonts w:hint="eastAsia" w:ascii="宋体" w:hAnsi="宋体"/>
          <w:kern w:val="0"/>
          <w:sz w:val="24"/>
          <w:highlight w:val="none"/>
          <w:lang w:val="en-US" w:eastAsia="zh-CN"/>
        </w:rPr>
        <w:t>2</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pStyle w:val="52"/>
        <w:rPr>
          <w:rFonts w:hint="eastAsia" w:ascii="宋体" w:hAnsi="宋体"/>
          <w:kern w:val="0"/>
          <w:sz w:val="24"/>
          <w:highlight w:val="none"/>
          <w:lang w:val="zh-CN"/>
        </w:rPr>
      </w:pPr>
    </w:p>
    <w:p>
      <w:pPr>
        <w:pStyle w:val="5"/>
        <w:ind w:left="0" w:firstLine="0"/>
        <w:jc w:val="center"/>
        <w:rPr>
          <w:rFonts w:hint="eastAsia" w:ascii="宋体" w:hAnsi="宋体" w:eastAsia="宋体"/>
          <w:sz w:val="28"/>
          <w:highlight w:val="none"/>
        </w:rPr>
      </w:pPr>
      <w:bookmarkStart w:id="112" w:name="_Toc522530061"/>
      <w:bookmarkStart w:id="113" w:name="_Toc16646"/>
      <w:r>
        <w:rPr>
          <w:rFonts w:hint="eastAsia" w:ascii="宋体" w:hAnsi="宋体" w:eastAsia="宋体"/>
          <w:sz w:val="28"/>
          <w:highlight w:val="none"/>
          <w:lang w:eastAsia="zh-CN"/>
        </w:rPr>
        <w:t>格式九、</w:t>
      </w:r>
      <w:r>
        <w:rPr>
          <w:rFonts w:hint="eastAsia" w:ascii="宋体" w:hAnsi="宋体" w:eastAsia="宋体"/>
          <w:sz w:val="28"/>
          <w:highlight w:val="none"/>
        </w:rPr>
        <w:t>交纳采购代理服务费承诺书</w:t>
      </w:r>
    </w:p>
    <w:p>
      <w:pPr>
        <w:snapToGrid w:val="0"/>
        <w:spacing w:line="560" w:lineRule="exact"/>
        <w:ind w:firstLine="560" w:firstLineChars="200"/>
        <w:rPr>
          <w:rFonts w:ascii="仿宋" w:hAnsi="仿宋" w:eastAsia="仿宋" w:cs="仿宋"/>
          <w:color w:val="auto"/>
          <w:kern w:val="56"/>
          <w:sz w:val="28"/>
          <w:szCs w:val="28"/>
          <w:highlight w:val="none"/>
          <w:shd w:val="clear" w:color="auto" w:fill="FFFFFF"/>
        </w:rPr>
      </w:pP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r>
        <w:rPr>
          <w:rFonts w:hint="eastAsia" w:ascii="宋体" w:hAnsi="宋体" w:eastAsia="宋体" w:cs="宋体"/>
          <w:color w:val="auto"/>
          <w:kern w:val="56"/>
          <w:sz w:val="24"/>
          <w:szCs w:val="24"/>
          <w:highlight w:val="none"/>
          <w:shd w:val="clear" w:color="auto" w:fill="FFFFFF"/>
          <w:lang w:eastAsia="zh-CN"/>
        </w:rPr>
        <w:t>浙江中正工程项目管理</w:t>
      </w:r>
      <w:r>
        <w:rPr>
          <w:rFonts w:hint="eastAsia" w:ascii="宋体" w:hAnsi="宋体" w:eastAsia="宋体" w:cs="宋体"/>
          <w:color w:val="auto"/>
          <w:kern w:val="56"/>
          <w:sz w:val="24"/>
          <w:szCs w:val="24"/>
          <w:highlight w:val="none"/>
          <w:shd w:val="clear" w:color="auto" w:fill="FFFFFF"/>
        </w:rPr>
        <w:t>有限公司：</w:t>
      </w: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r>
        <w:rPr>
          <w:rFonts w:hint="eastAsia" w:ascii="宋体" w:hAnsi="宋体" w:eastAsia="宋体" w:cs="宋体"/>
          <w:color w:val="auto"/>
          <w:kern w:val="56"/>
          <w:sz w:val="24"/>
          <w:szCs w:val="24"/>
          <w:highlight w:val="none"/>
          <w:shd w:val="clear" w:color="auto" w:fill="FFFFFF"/>
        </w:rPr>
        <w:t>我单位在你公司组织的</w:t>
      </w:r>
      <w:r>
        <w:rPr>
          <w:rFonts w:hint="eastAsia" w:ascii="宋体" w:hAnsi="宋体" w:eastAsia="宋体" w:cs="宋体"/>
          <w:i w:val="0"/>
          <w:iCs w:val="0"/>
          <w:color w:val="auto"/>
          <w:kern w:val="56"/>
          <w:sz w:val="24"/>
          <w:szCs w:val="24"/>
          <w:highlight w:val="none"/>
          <w:u w:val="single"/>
          <w:shd w:val="clear" w:color="auto" w:fill="FFFFFF"/>
        </w:rPr>
        <w:t xml:space="preserve"> </w:t>
      </w:r>
      <w:r>
        <w:rPr>
          <w:rFonts w:hint="eastAsia" w:ascii="宋体" w:hAnsi="宋体" w:cs="宋体"/>
          <w:i w:val="0"/>
          <w:iCs w:val="0"/>
          <w:color w:val="auto"/>
          <w:kern w:val="56"/>
          <w:sz w:val="24"/>
          <w:szCs w:val="24"/>
          <w:highlight w:val="none"/>
          <w:u w:val="single"/>
          <w:shd w:val="clear" w:color="auto" w:fill="FFFFFF"/>
          <w:lang w:eastAsia="zh-CN"/>
        </w:rPr>
        <w:t>衢州市智慧新城二期范围保洁作业服务</w:t>
      </w:r>
      <w:r>
        <w:rPr>
          <w:rFonts w:hint="eastAsia" w:ascii="宋体" w:hAnsi="宋体" w:eastAsia="宋体" w:cs="宋体"/>
          <w:i w:val="0"/>
          <w:iCs w:val="0"/>
          <w:color w:val="auto"/>
          <w:kern w:val="56"/>
          <w:sz w:val="24"/>
          <w:szCs w:val="24"/>
          <w:highlight w:val="none"/>
          <w:u w:val="single"/>
          <w:shd w:val="clear" w:color="auto" w:fill="FFFFFF"/>
        </w:rPr>
        <w:t>采购项目</w:t>
      </w:r>
      <w:r>
        <w:rPr>
          <w:rFonts w:hint="eastAsia" w:ascii="宋体" w:hAnsi="宋体" w:eastAsia="宋体" w:cs="宋体"/>
          <w:color w:val="auto"/>
          <w:kern w:val="56"/>
          <w:sz w:val="24"/>
          <w:szCs w:val="24"/>
          <w:highlight w:val="none"/>
          <w:shd w:val="clear" w:color="auto" w:fill="FFFFFF"/>
        </w:rPr>
        <w:t>（项目名称）</w:t>
      </w:r>
      <w:r>
        <w:rPr>
          <w:rFonts w:hint="eastAsia" w:ascii="宋体" w:hAnsi="宋体" w:cs="宋体"/>
          <w:color w:val="auto"/>
          <w:kern w:val="56"/>
          <w:sz w:val="24"/>
          <w:szCs w:val="24"/>
          <w:highlight w:val="none"/>
          <w:u w:val="single"/>
          <w:shd w:val="clear" w:color="auto" w:fill="FFFFFF"/>
          <w:lang w:val="en-US" w:eastAsia="zh-CN"/>
        </w:rPr>
        <w:t>ZZCG2022102-1</w:t>
      </w:r>
      <w:r>
        <w:rPr>
          <w:rFonts w:hint="eastAsia" w:ascii="宋体" w:hAnsi="宋体" w:eastAsia="宋体" w:cs="宋体"/>
          <w:color w:val="auto"/>
          <w:kern w:val="56"/>
          <w:sz w:val="24"/>
          <w:szCs w:val="24"/>
          <w:highlight w:val="none"/>
          <w:shd w:val="clear" w:color="auto" w:fill="FFFFFF"/>
        </w:rPr>
        <w:t>（项目编号）的采购中若获成交，我单位保证按采购文件的规定，向你公司（即：</w:t>
      </w:r>
      <w:r>
        <w:rPr>
          <w:rFonts w:hint="eastAsia" w:ascii="宋体" w:hAnsi="宋体" w:eastAsia="宋体" w:cs="宋体"/>
          <w:color w:val="auto"/>
          <w:kern w:val="56"/>
          <w:sz w:val="24"/>
          <w:szCs w:val="24"/>
          <w:highlight w:val="none"/>
          <w:shd w:val="clear" w:color="auto" w:fill="FFFFFF"/>
          <w:lang w:eastAsia="zh-CN"/>
        </w:rPr>
        <w:t>浙江中正工程项目管理</w:t>
      </w:r>
      <w:r>
        <w:rPr>
          <w:rFonts w:hint="eastAsia" w:ascii="宋体" w:hAnsi="宋体" w:eastAsia="宋体" w:cs="宋体"/>
          <w:color w:val="auto"/>
          <w:kern w:val="56"/>
          <w:sz w:val="24"/>
          <w:szCs w:val="24"/>
          <w:highlight w:val="none"/>
          <w:shd w:val="clear" w:color="auto" w:fill="FFFFFF"/>
        </w:rPr>
        <w:t>有限公司）支付采购代理服务费。如我单位未按上述承诺支付采购代理服务费，你公司有权取消我单位成交资格，由此产生的一切法律后果和责任由我单位承担。我单位声明放弃对此提出任何异议和追索的权利。</w:t>
      </w: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r>
        <w:rPr>
          <w:rFonts w:hint="eastAsia" w:ascii="宋体" w:hAnsi="宋体" w:eastAsia="宋体" w:cs="宋体"/>
          <w:color w:val="auto"/>
          <w:kern w:val="56"/>
          <w:sz w:val="24"/>
          <w:szCs w:val="24"/>
          <w:highlight w:val="none"/>
          <w:shd w:val="clear" w:color="auto" w:fill="FFFFFF"/>
        </w:rPr>
        <w:t>特此承诺。</w:t>
      </w: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r>
        <w:rPr>
          <w:rFonts w:hint="eastAsia" w:ascii="宋体" w:hAnsi="宋体" w:eastAsia="宋体" w:cs="宋体"/>
          <w:color w:val="auto"/>
          <w:kern w:val="56"/>
          <w:sz w:val="24"/>
          <w:szCs w:val="24"/>
          <w:highlight w:val="none"/>
          <w:shd w:val="clear" w:color="auto" w:fill="FFFFFF"/>
        </w:rPr>
        <w:t>供应商全称：              （盖单位公章）</w:t>
      </w:r>
    </w:p>
    <w:p>
      <w:pPr>
        <w:snapToGrid w:val="0"/>
        <w:spacing w:line="560" w:lineRule="exact"/>
        <w:ind w:firstLine="480" w:firstLineChars="200"/>
        <w:rPr>
          <w:rFonts w:hint="eastAsia" w:ascii="宋体" w:hAnsi="宋体" w:eastAsia="宋体" w:cs="宋体"/>
          <w:color w:val="auto"/>
          <w:kern w:val="56"/>
          <w:sz w:val="24"/>
          <w:szCs w:val="24"/>
          <w:highlight w:val="none"/>
          <w:shd w:val="clear" w:color="auto" w:fill="FFFFFF"/>
        </w:rPr>
      </w:pPr>
      <w:r>
        <w:rPr>
          <w:rFonts w:hint="eastAsia" w:ascii="宋体" w:hAnsi="宋体" w:eastAsia="宋体" w:cs="宋体"/>
          <w:color w:val="auto"/>
          <w:kern w:val="56"/>
          <w:sz w:val="24"/>
          <w:szCs w:val="24"/>
          <w:highlight w:val="none"/>
          <w:shd w:val="clear" w:color="auto" w:fill="FFFFFF"/>
        </w:rPr>
        <w:t>日期：</w:t>
      </w:r>
      <w:r>
        <w:rPr>
          <w:rFonts w:hint="eastAsia" w:ascii="宋体" w:hAnsi="宋体" w:eastAsia="宋体" w:cs="宋体"/>
          <w:color w:val="auto"/>
          <w:kern w:val="56"/>
          <w:sz w:val="24"/>
          <w:szCs w:val="24"/>
          <w:highlight w:val="none"/>
          <w:shd w:val="clear" w:color="auto" w:fill="FFFFFF"/>
          <w:lang w:eastAsia="zh-CN"/>
        </w:rPr>
        <w:t>202</w:t>
      </w:r>
      <w:r>
        <w:rPr>
          <w:rFonts w:hint="eastAsia" w:ascii="宋体" w:hAnsi="宋体" w:eastAsia="宋体" w:cs="宋体"/>
          <w:color w:val="auto"/>
          <w:kern w:val="56"/>
          <w:sz w:val="24"/>
          <w:szCs w:val="24"/>
          <w:highlight w:val="none"/>
          <w:shd w:val="clear" w:color="auto" w:fill="FFFFFF"/>
          <w:lang w:val="en-US" w:eastAsia="zh-CN"/>
        </w:rPr>
        <w:t>2</w:t>
      </w:r>
      <w:r>
        <w:rPr>
          <w:rFonts w:hint="eastAsia" w:ascii="宋体" w:hAnsi="宋体" w:eastAsia="宋体" w:cs="宋体"/>
          <w:color w:val="auto"/>
          <w:kern w:val="56"/>
          <w:sz w:val="24"/>
          <w:szCs w:val="24"/>
          <w:highlight w:val="none"/>
          <w:shd w:val="clear" w:color="auto" w:fill="FFFFFF"/>
        </w:rPr>
        <w:t>年  月  日</w:t>
      </w:r>
    </w:p>
    <w:p>
      <w:pPr>
        <w:pStyle w:val="8"/>
        <w:ind w:firstLine="0"/>
        <w:jc w:val="center"/>
        <w:rPr>
          <w:rFonts w:hint="eastAsia" w:ascii="宋体" w:hAnsi="宋体" w:eastAsia="宋体"/>
          <w:b/>
          <w:bCs/>
          <w:sz w:val="28"/>
          <w:szCs w:val="28"/>
          <w:highlight w:val="none"/>
        </w:rPr>
      </w:pPr>
      <w:r>
        <w:rPr>
          <w:rFonts w:hint="eastAsia" w:ascii="宋体" w:hAnsi="宋体" w:eastAsia="宋体" w:cs="宋体"/>
          <w:color w:val="auto"/>
          <w:kern w:val="56"/>
          <w:sz w:val="24"/>
          <w:szCs w:val="24"/>
          <w:highlight w:val="none"/>
          <w:shd w:val="clear" w:color="auto" w:fill="FFFFFF"/>
        </w:rPr>
        <w:br w:type="page"/>
      </w:r>
      <w:r>
        <w:rPr>
          <w:rFonts w:hint="eastAsia" w:ascii="宋体" w:hAnsi="宋体" w:eastAsia="宋体"/>
          <w:b/>
          <w:bCs/>
          <w:sz w:val="28"/>
          <w:szCs w:val="28"/>
          <w:highlight w:val="none"/>
        </w:rPr>
        <w:t>格式</w:t>
      </w:r>
      <w:r>
        <w:rPr>
          <w:rFonts w:hint="eastAsia" w:ascii="宋体" w:hAnsi="宋体"/>
          <w:b/>
          <w:bCs/>
          <w:sz w:val="28"/>
          <w:szCs w:val="28"/>
          <w:highlight w:val="none"/>
          <w:lang w:eastAsia="zh-CN"/>
        </w:rPr>
        <w:t>十</w:t>
      </w:r>
      <w:r>
        <w:rPr>
          <w:rFonts w:hint="eastAsia" w:ascii="宋体" w:hAnsi="宋体" w:eastAsia="宋体"/>
          <w:b/>
          <w:bCs/>
          <w:sz w:val="28"/>
          <w:szCs w:val="28"/>
          <w:highlight w:val="none"/>
        </w:rPr>
        <w:t>：中小企业/监狱企业/残疾人福利性单位声明函</w:t>
      </w:r>
    </w:p>
    <w:p>
      <w:pPr>
        <w:pStyle w:val="601"/>
        <w:keepNext/>
        <w:keepLines/>
        <w:spacing w:after="0" w:line="400" w:lineRule="exact"/>
        <w:ind w:firstLine="0"/>
        <w:rPr>
          <w:rFonts w:hint="eastAsia"/>
          <w:b/>
          <w:sz w:val="24"/>
          <w:highlight w:val="none"/>
        </w:rPr>
      </w:pPr>
    </w:p>
    <w:p>
      <w:pPr>
        <w:pStyle w:val="601"/>
        <w:keepNext/>
        <w:keepLines/>
        <w:spacing w:after="0" w:line="400" w:lineRule="exact"/>
        <w:ind w:firstLine="0"/>
        <w:rPr>
          <w:b/>
          <w:color w:val="000000"/>
          <w:sz w:val="24"/>
          <w:szCs w:val="24"/>
          <w:highlight w:val="none"/>
        </w:rPr>
      </w:pPr>
      <w:r>
        <w:rPr>
          <w:rFonts w:hint="eastAsia"/>
          <w:b/>
          <w:sz w:val="24"/>
          <w:highlight w:val="none"/>
        </w:rPr>
        <w:t>（一）</w:t>
      </w:r>
      <w:bookmarkStart w:id="114" w:name="bookmark29"/>
      <w:bookmarkStart w:id="115" w:name="bookmark28"/>
      <w:bookmarkStart w:id="116" w:name="bookmark27"/>
      <w:r>
        <w:rPr>
          <w:b/>
          <w:color w:val="000000"/>
          <w:sz w:val="24"/>
          <w:szCs w:val="24"/>
          <w:highlight w:val="none"/>
        </w:rPr>
        <w:t>中小企业声明函</w:t>
      </w:r>
      <w:bookmarkEnd w:id="114"/>
      <w:bookmarkEnd w:id="115"/>
      <w:bookmarkEnd w:id="116"/>
    </w:p>
    <w:p>
      <w:pPr>
        <w:adjustRightInd w:val="0"/>
        <w:snapToGrid w:val="0"/>
        <w:spacing w:line="440" w:lineRule="exact"/>
        <w:rPr>
          <w:rFonts w:ascii="宋体" w:hAnsi="宋体"/>
          <w:sz w:val="24"/>
          <w:highlight w:val="none"/>
        </w:rPr>
      </w:pPr>
    </w:p>
    <w:p>
      <w:pPr>
        <w:adjustRightInd w:val="0"/>
        <w:snapToGrid w:val="0"/>
        <w:spacing w:line="440" w:lineRule="exact"/>
        <w:rPr>
          <w:b/>
          <w:color w:val="000000"/>
          <w:sz w:val="24"/>
          <w:szCs w:val="24"/>
          <w:highlight w:val="none"/>
        </w:rPr>
      </w:pPr>
      <w:r>
        <w:rPr>
          <w:rFonts w:hint="eastAsia" w:ascii="宋体" w:hAnsi="宋体"/>
          <w:sz w:val="24"/>
          <w:highlight w:val="none"/>
          <w:lang w:eastAsia="zh-CN"/>
        </w:rPr>
        <w:t>衢州智慧新城管理委员会</w:t>
      </w:r>
      <w:r>
        <w:rPr>
          <w:rFonts w:hint="eastAsia" w:ascii="宋体" w:hAnsi="宋体"/>
          <w:sz w:val="24"/>
          <w:highlight w:val="none"/>
        </w:rPr>
        <w:t>：</w:t>
      </w:r>
    </w:p>
    <w:p>
      <w:pPr>
        <w:pStyle w:val="602"/>
        <w:spacing w:line="440" w:lineRule="exact"/>
        <w:ind w:firstLine="660"/>
        <w:rPr>
          <w:sz w:val="24"/>
          <w:szCs w:val="24"/>
          <w:highlight w:val="none"/>
        </w:rPr>
      </w:pPr>
      <w:r>
        <w:rPr>
          <w:rFonts w:hint="eastAsia"/>
          <w:color w:val="000000"/>
          <w:sz w:val="24"/>
          <w:szCs w:val="24"/>
          <w:highlight w:val="none"/>
        </w:rPr>
        <w:t>本公司郑重声明，根据《政府采购促进中小企业发展管理办法》（财库〔2020）46号）的规定，本公司参加</w:t>
      </w:r>
      <w:r>
        <w:rPr>
          <w:rFonts w:hint="eastAsia"/>
          <w:color w:val="000000"/>
          <w:sz w:val="24"/>
          <w:szCs w:val="24"/>
          <w:highlight w:val="none"/>
          <w:u w:val="single"/>
        </w:rPr>
        <w:t>（单位名称）</w:t>
      </w:r>
      <w:r>
        <w:rPr>
          <w:rFonts w:hint="eastAsia"/>
          <w:color w:val="000000"/>
          <w:sz w:val="24"/>
          <w:szCs w:val="24"/>
          <w:highlight w:val="none"/>
        </w:rPr>
        <w:t>的</w:t>
      </w:r>
      <w:r>
        <w:rPr>
          <w:rFonts w:hint="eastAsia"/>
          <w:color w:val="000000"/>
          <w:sz w:val="24"/>
          <w:szCs w:val="24"/>
          <w:highlight w:val="none"/>
          <w:u w:val="single"/>
        </w:rPr>
        <w:t>（项目名称）</w:t>
      </w:r>
      <w:r>
        <w:rPr>
          <w:rFonts w:hint="eastAsia"/>
          <w:color w:val="000000"/>
          <w:sz w:val="24"/>
          <w:szCs w:val="24"/>
          <w:highlight w:val="none"/>
        </w:rPr>
        <w:t>采购活动,</w:t>
      </w:r>
      <w:r>
        <w:rPr>
          <w:rFonts w:hint="eastAsia"/>
          <w:color w:val="000000"/>
          <w:sz w:val="24"/>
          <w:szCs w:val="24"/>
          <w:highlight w:val="none"/>
          <w:lang w:eastAsia="zh-CN"/>
        </w:rPr>
        <w:t>服务</w:t>
      </w:r>
      <w:r>
        <w:rPr>
          <w:rFonts w:hint="eastAsia"/>
          <w:color w:val="000000"/>
          <w:sz w:val="24"/>
          <w:szCs w:val="24"/>
          <w:highlight w:val="none"/>
        </w:rPr>
        <w:t>全部由符合政策要求的中小企业</w:t>
      </w:r>
      <w:r>
        <w:rPr>
          <w:rFonts w:hint="eastAsia"/>
          <w:color w:val="000000"/>
          <w:sz w:val="24"/>
          <w:szCs w:val="24"/>
          <w:highlight w:val="none"/>
          <w:lang w:eastAsia="zh-CN"/>
        </w:rPr>
        <w:t>承接</w:t>
      </w:r>
      <w:r>
        <w:rPr>
          <w:rFonts w:hint="eastAsia"/>
          <w:color w:val="000000"/>
          <w:sz w:val="24"/>
          <w:szCs w:val="24"/>
          <w:highlight w:val="none"/>
        </w:rPr>
        <w:t>。相关企业的具体情况如下：</w:t>
      </w:r>
    </w:p>
    <w:p>
      <w:pPr>
        <w:pStyle w:val="602"/>
        <w:tabs>
          <w:tab w:val="left" w:pos="1238"/>
          <w:tab w:val="left" w:pos="4435"/>
          <w:tab w:val="left" w:pos="6672"/>
        </w:tabs>
        <w:spacing w:line="440" w:lineRule="exact"/>
        <w:ind w:firstLine="480" w:firstLineChars="200"/>
        <w:rPr>
          <w:sz w:val="24"/>
          <w:szCs w:val="24"/>
          <w:highlight w:val="none"/>
        </w:rPr>
      </w:pPr>
      <w:bookmarkStart w:id="117" w:name="bookmark30"/>
      <w:bookmarkEnd w:id="117"/>
      <w:r>
        <w:rPr>
          <w:rFonts w:hint="eastAsia"/>
          <w:color w:val="000000"/>
          <w:sz w:val="24"/>
          <w:szCs w:val="24"/>
          <w:highlight w:val="none"/>
          <w:lang w:val="en-US" w:eastAsia="zh-CN"/>
        </w:rPr>
        <w:t>1.</w:t>
      </w:r>
      <w:r>
        <w:rPr>
          <w:rFonts w:hint="eastAsia"/>
          <w:color w:val="000000"/>
          <w:sz w:val="24"/>
          <w:szCs w:val="24"/>
          <w:highlight w:val="none"/>
          <w:u w:val="single"/>
        </w:rPr>
        <w:t>（标的名称）</w:t>
      </w:r>
      <w:r>
        <w:rPr>
          <w:rFonts w:hint="eastAsia"/>
          <w:color w:val="000000"/>
          <w:sz w:val="24"/>
          <w:szCs w:val="24"/>
          <w:highlight w:val="none"/>
        </w:rPr>
        <w:t>,属于</w:t>
      </w:r>
      <w:r>
        <w:rPr>
          <w:rFonts w:hint="eastAsia"/>
          <w:color w:val="000000"/>
          <w:sz w:val="24"/>
          <w:szCs w:val="24"/>
          <w:highlight w:val="none"/>
          <w:u w:val="single"/>
        </w:rPr>
        <w:t xml:space="preserve">（采购文件中明确的所属行业丿 </w:t>
      </w:r>
      <w:r>
        <w:rPr>
          <w:rFonts w:hint="eastAsia"/>
          <w:color w:val="000000"/>
          <w:sz w:val="24"/>
          <w:szCs w:val="24"/>
          <w:highlight w:val="none"/>
          <w:u w:val="single"/>
          <w:lang w:eastAsia="zh-CN"/>
        </w:rPr>
        <w:t>；</w:t>
      </w:r>
      <w:r>
        <w:rPr>
          <w:rFonts w:hint="eastAsia"/>
          <w:color w:val="000000"/>
          <w:sz w:val="24"/>
          <w:szCs w:val="24"/>
          <w:highlight w:val="none"/>
          <w:lang w:eastAsia="zh-CN"/>
        </w:rPr>
        <w:t>承接企业</w:t>
      </w:r>
      <w:r>
        <w:rPr>
          <w:rFonts w:hint="eastAsia"/>
          <w:color w:val="000000"/>
          <w:sz w:val="24"/>
          <w:szCs w:val="24"/>
          <w:highlight w:val="none"/>
        </w:rPr>
        <w:t>为</w:t>
      </w:r>
      <w:r>
        <w:rPr>
          <w:rFonts w:hint="eastAsia"/>
          <w:color w:val="000000"/>
          <w:sz w:val="24"/>
          <w:szCs w:val="24"/>
          <w:highlight w:val="none"/>
          <w:u w:val="single"/>
        </w:rPr>
        <w:t>（企业名称）</w:t>
      </w:r>
      <w:r>
        <w:rPr>
          <w:rFonts w:hint="eastAsia"/>
          <w:color w:val="000000"/>
          <w:sz w:val="24"/>
          <w:szCs w:val="24"/>
          <w:highlight w:val="none"/>
        </w:rPr>
        <w:t>,从业人员</w:t>
      </w:r>
      <w:r>
        <w:rPr>
          <w:rFonts w:hint="eastAsia"/>
          <w:color w:val="000000"/>
          <w:sz w:val="24"/>
          <w:szCs w:val="24"/>
          <w:highlight w:val="none"/>
          <w:u w:val="single"/>
          <w:lang w:val="en-US" w:eastAsia="zh-CN"/>
        </w:rPr>
        <w:t xml:space="preserve">     </w:t>
      </w:r>
      <w:r>
        <w:rPr>
          <w:rFonts w:hint="eastAsia"/>
          <w:color w:val="000000"/>
          <w:sz w:val="24"/>
          <w:szCs w:val="24"/>
          <w:highlight w:val="none"/>
        </w:rPr>
        <w:t>人，营业收入为</w:t>
      </w:r>
      <w:r>
        <w:rPr>
          <w:rFonts w:hint="eastAsia"/>
          <w:color w:val="000000"/>
          <w:sz w:val="24"/>
          <w:szCs w:val="24"/>
          <w:highlight w:val="none"/>
          <w:u w:val="single"/>
          <w:lang w:val="en-US" w:eastAsia="zh-CN"/>
        </w:rPr>
        <w:t xml:space="preserve">   </w:t>
      </w:r>
      <w:r>
        <w:rPr>
          <w:rFonts w:hint="eastAsia"/>
          <w:color w:val="000000"/>
          <w:sz w:val="24"/>
          <w:szCs w:val="24"/>
          <w:highlight w:val="none"/>
        </w:rPr>
        <w:t>万元，资产总额为</w:t>
      </w:r>
      <w:r>
        <w:rPr>
          <w:rFonts w:hint="eastAsia"/>
          <w:sz w:val="24"/>
          <w:szCs w:val="24"/>
          <w:highlight w:val="none"/>
          <w:u w:val="single"/>
        </w:rPr>
        <w:t xml:space="preserve"> </w:t>
      </w:r>
      <w:r>
        <w:rPr>
          <w:rFonts w:hint="eastAsia"/>
          <w:sz w:val="24"/>
          <w:szCs w:val="24"/>
          <w:highlight w:val="none"/>
          <w:u w:val="single"/>
        </w:rPr>
        <w:tab/>
      </w:r>
      <w:r>
        <w:rPr>
          <w:rFonts w:hint="eastAsia"/>
          <w:color w:val="000000"/>
          <w:sz w:val="24"/>
          <w:szCs w:val="24"/>
          <w:highlight w:val="none"/>
        </w:rPr>
        <w:t>万元</w:t>
      </w:r>
      <w:r>
        <w:rPr>
          <w:rFonts w:hint="eastAsia"/>
          <w:color w:val="000000"/>
          <w:sz w:val="24"/>
          <w:szCs w:val="24"/>
          <w:highlight w:val="none"/>
          <w:lang w:eastAsia="zh-CN"/>
        </w:rPr>
        <w:t>，</w:t>
      </w:r>
      <w:r>
        <w:rPr>
          <w:rFonts w:hint="eastAsia"/>
          <w:color w:val="000000"/>
          <w:sz w:val="24"/>
          <w:szCs w:val="24"/>
          <w:highlight w:val="none"/>
        </w:rPr>
        <w:t>属于</w:t>
      </w:r>
      <w:r>
        <w:rPr>
          <w:rFonts w:hint="eastAsia"/>
          <w:color w:val="000000"/>
          <w:sz w:val="24"/>
          <w:szCs w:val="24"/>
          <w:highlight w:val="none"/>
          <w:u w:val="single"/>
        </w:rPr>
        <w:t>（中型企业、小型企业、微型企业）</w:t>
      </w:r>
      <w:r>
        <w:rPr>
          <w:rFonts w:hint="eastAsia"/>
          <w:color w:val="000000"/>
          <w:sz w:val="24"/>
          <w:szCs w:val="24"/>
          <w:highlight w:val="none"/>
        </w:rPr>
        <w:t>,</w:t>
      </w:r>
    </w:p>
    <w:p>
      <w:pPr>
        <w:pStyle w:val="602"/>
        <w:tabs>
          <w:tab w:val="left" w:pos="1238"/>
          <w:tab w:val="left" w:pos="6331"/>
        </w:tabs>
        <w:spacing w:line="440" w:lineRule="exact"/>
        <w:ind w:firstLine="480" w:firstLineChars="200"/>
        <w:rPr>
          <w:sz w:val="24"/>
          <w:szCs w:val="24"/>
          <w:highlight w:val="none"/>
        </w:rPr>
      </w:pPr>
      <w:bookmarkStart w:id="118" w:name="bookmark31"/>
      <w:bookmarkEnd w:id="118"/>
      <w:r>
        <w:rPr>
          <w:rFonts w:hint="eastAsia"/>
          <w:color w:val="000000"/>
          <w:sz w:val="24"/>
          <w:szCs w:val="24"/>
          <w:highlight w:val="none"/>
          <w:lang w:val="en-US" w:eastAsia="zh-CN"/>
        </w:rPr>
        <w:t>2.</w:t>
      </w:r>
      <w:r>
        <w:rPr>
          <w:rFonts w:hint="eastAsia"/>
          <w:color w:val="000000"/>
          <w:sz w:val="24"/>
          <w:szCs w:val="24"/>
          <w:highlight w:val="none"/>
          <w:u w:val="single"/>
        </w:rPr>
        <w:t>（标的名称）</w:t>
      </w:r>
      <w:r>
        <w:rPr>
          <w:rFonts w:hint="eastAsia"/>
          <w:color w:val="000000"/>
          <w:sz w:val="24"/>
          <w:szCs w:val="24"/>
          <w:highlight w:val="none"/>
        </w:rPr>
        <w:t>,属于</w:t>
      </w:r>
      <w:r>
        <w:rPr>
          <w:rFonts w:hint="eastAsia"/>
          <w:color w:val="000000"/>
          <w:sz w:val="24"/>
          <w:szCs w:val="24"/>
          <w:highlight w:val="none"/>
          <w:u w:val="single"/>
        </w:rPr>
        <w:t>（采购文件中明确的所属行业） 行业</w:t>
      </w:r>
      <w:r>
        <w:rPr>
          <w:rFonts w:hint="eastAsia"/>
          <w:color w:val="000000"/>
          <w:sz w:val="24"/>
          <w:szCs w:val="24"/>
          <w:highlight w:val="none"/>
        </w:rPr>
        <w:t>；</w:t>
      </w:r>
      <w:r>
        <w:rPr>
          <w:rFonts w:hint="eastAsia"/>
          <w:color w:val="000000"/>
          <w:sz w:val="24"/>
          <w:szCs w:val="24"/>
          <w:highlight w:val="none"/>
          <w:lang w:eastAsia="zh-CN"/>
        </w:rPr>
        <w:t>承接企业</w:t>
      </w:r>
      <w:r>
        <w:rPr>
          <w:rFonts w:hint="eastAsia"/>
          <w:color w:val="000000"/>
          <w:sz w:val="24"/>
          <w:szCs w:val="24"/>
          <w:highlight w:val="none"/>
        </w:rPr>
        <w:t>为</w:t>
      </w:r>
      <w:r>
        <w:rPr>
          <w:rFonts w:hint="eastAsia"/>
          <w:color w:val="000000"/>
          <w:sz w:val="24"/>
          <w:szCs w:val="24"/>
          <w:highlight w:val="none"/>
          <w:u w:val="single"/>
        </w:rPr>
        <w:t>（企业名称）</w:t>
      </w:r>
      <w:r>
        <w:rPr>
          <w:rFonts w:hint="eastAsia"/>
          <w:color w:val="000000"/>
          <w:sz w:val="24"/>
          <w:szCs w:val="24"/>
          <w:highlight w:val="none"/>
        </w:rPr>
        <w:t>,从业人员</w:t>
      </w:r>
      <w:r>
        <w:rPr>
          <w:rFonts w:hint="eastAsia"/>
          <w:sz w:val="24"/>
          <w:szCs w:val="24"/>
          <w:highlight w:val="none"/>
          <w:u w:val="single"/>
        </w:rPr>
        <w:t xml:space="preserve"> </w:t>
      </w:r>
      <w:r>
        <w:rPr>
          <w:rFonts w:hint="eastAsia"/>
          <w:sz w:val="24"/>
          <w:szCs w:val="24"/>
          <w:highlight w:val="none"/>
          <w:u w:val="single"/>
          <w:lang w:val="en-US" w:eastAsia="zh-CN"/>
        </w:rPr>
        <w:t xml:space="preserve">    </w:t>
      </w:r>
      <w:r>
        <w:rPr>
          <w:rFonts w:hint="eastAsia"/>
          <w:color w:val="000000"/>
          <w:sz w:val="24"/>
          <w:szCs w:val="24"/>
          <w:highlight w:val="none"/>
        </w:rPr>
        <w:t>人，营业收入为</w:t>
      </w:r>
      <w:r>
        <w:rPr>
          <w:rFonts w:hint="eastAsia"/>
          <w:color w:val="000000"/>
          <w:sz w:val="24"/>
          <w:szCs w:val="24"/>
          <w:highlight w:val="none"/>
          <w:u w:val="single"/>
          <w:lang w:val="en-US" w:eastAsia="zh-CN"/>
        </w:rPr>
        <w:t xml:space="preserve">     </w:t>
      </w:r>
      <w:r>
        <w:rPr>
          <w:rFonts w:hint="eastAsia"/>
          <w:color w:val="000000"/>
          <w:sz w:val="24"/>
          <w:szCs w:val="24"/>
          <w:highlight w:val="none"/>
        </w:rPr>
        <w:t>万元，资产总额为</w:t>
      </w:r>
      <w:r>
        <w:rPr>
          <w:rFonts w:hint="eastAsia"/>
          <w:color w:val="000000"/>
          <w:sz w:val="24"/>
          <w:szCs w:val="24"/>
          <w:highlight w:val="none"/>
          <w:u w:val="single"/>
          <w:lang w:val="en-US" w:eastAsia="zh-CN"/>
        </w:rPr>
        <w:t xml:space="preserve">    </w:t>
      </w:r>
      <w:r>
        <w:rPr>
          <w:rFonts w:hint="eastAsia"/>
          <w:color w:val="000000"/>
          <w:sz w:val="24"/>
          <w:szCs w:val="24"/>
          <w:highlight w:val="none"/>
        </w:rPr>
        <w:t>万元，属于</w:t>
      </w:r>
      <w:r>
        <w:rPr>
          <w:rFonts w:hint="eastAsia"/>
          <w:color w:val="000000"/>
          <w:sz w:val="24"/>
          <w:szCs w:val="24"/>
          <w:highlight w:val="none"/>
          <w:u w:val="single"/>
        </w:rPr>
        <w:t>（中型企业、小型企业、微型企</w:t>
      </w:r>
      <w:r>
        <w:rPr>
          <w:rFonts w:hint="eastAsia"/>
          <w:color w:val="000000"/>
          <w:sz w:val="24"/>
          <w:szCs w:val="24"/>
          <w:highlight w:val="none"/>
          <w:u w:val="single"/>
          <w:lang w:val="zh-CN" w:eastAsia="zh-CN" w:bidi="zh-CN"/>
        </w:rPr>
        <w:t>业）</w:t>
      </w:r>
      <w:r>
        <w:rPr>
          <w:rFonts w:hint="eastAsia"/>
          <w:color w:val="000000"/>
          <w:sz w:val="24"/>
          <w:szCs w:val="24"/>
          <w:highlight w:val="none"/>
          <w:lang w:val="zh-CN" w:eastAsia="zh-CN" w:bidi="zh-CN"/>
        </w:rPr>
        <w:t>。</w:t>
      </w:r>
    </w:p>
    <w:p>
      <w:pPr>
        <w:pStyle w:val="602"/>
        <w:tabs>
          <w:tab w:val="left" w:leader="dot" w:pos="-1007"/>
        </w:tabs>
        <w:spacing w:line="440" w:lineRule="exact"/>
        <w:ind w:hanging="1540"/>
        <w:jc w:val="left"/>
        <w:rPr>
          <w:sz w:val="24"/>
          <w:szCs w:val="24"/>
          <w:highlight w:val="none"/>
        </w:rPr>
      </w:pPr>
    </w:p>
    <w:p>
      <w:pPr>
        <w:pStyle w:val="602"/>
        <w:spacing w:line="440" w:lineRule="exact"/>
        <w:ind w:firstLine="660"/>
        <w:rPr>
          <w:sz w:val="24"/>
          <w:szCs w:val="24"/>
          <w:highlight w:val="none"/>
        </w:rPr>
      </w:pPr>
      <w:r>
        <w:rPr>
          <w:rFonts w:hint="eastAsia"/>
          <w:color w:val="000000"/>
          <w:sz w:val="24"/>
          <w:szCs w:val="24"/>
          <w:highlight w:val="none"/>
        </w:rPr>
        <w:t>以上企业，不属于大企业的分支机构，不存在控股股东为大企业的情形，也不存在与大企业的负责人为同一人的情形。</w:t>
      </w:r>
    </w:p>
    <w:p>
      <w:pPr>
        <w:pStyle w:val="602"/>
        <w:spacing w:line="440" w:lineRule="exact"/>
        <w:ind w:firstLine="660"/>
        <w:rPr>
          <w:sz w:val="24"/>
          <w:szCs w:val="24"/>
          <w:highlight w:val="none"/>
        </w:rPr>
      </w:pPr>
      <w:r>
        <w:rPr>
          <w:rFonts w:hint="eastAsia"/>
          <w:color w:val="000000"/>
          <w:sz w:val="24"/>
          <w:szCs w:val="24"/>
          <w:highlight w:val="none"/>
        </w:rPr>
        <w:t>本企业对上述声明内容的真实性负责。如有虚假，将依法承担相应责任。</w:t>
      </w:r>
    </w:p>
    <w:p>
      <w:pPr>
        <w:pStyle w:val="602"/>
        <w:spacing w:line="440" w:lineRule="exact"/>
        <w:ind w:firstLine="4320" w:firstLineChars="1800"/>
        <w:jc w:val="left"/>
        <w:rPr>
          <w:color w:val="000000"/>
          <w:sz w:val="24"/>
          <w:szCs w:val="24"/>
          <w:highlight w:val="none"/>
        </w:rPr>
      </w:pPr>
    </w:p>
    <w:p>
      <w:pPr>
        <w:pStyle w:val="602"/>
        <w:spacing w:line="440" w:lineRule="exact"/>
        <w:jc w:val="left"/>
        <w:rPr>
          <w:sz w:val="24"/>
          <w:szCs w:val="24"/>
          <w:highlight w:val="none"/>
        </w:rPr>
      </w:pPr>
      <w:r>
        <w:rPr>
          <w:rFonts w:hint="eastAsia"/>
          <w:color w:val="000000"/>
          <w:sz w:val="24"/>
          <w:szCs w:val="24"/>
          <w:highlight w:val="none"/>
          <w:lang w:eastAsia="zh-CN"/>
        </w:rPr>
        <w:t>企业</w:t>
      </w:r>
      <w:r>
        <w:rPr>
          <w:rFonts w:hint="eastAsia"/>
          <w:color w:val="000000"/>
          <w:sz w:val="24"/>
          <w:szCs w:val="24"/>
          <w:highlight w:val="none"/>
        </w:rPr>
        <w:t>名称（盖章）:</w:t>
      </w:r>
    </w:p>
    <w:p>
      <w:pPr>
        <w:pStyle w:val="602"/>
        <w:spacing w:line="440" w:lineRule="exact"/>
        <w:ind w:firstLine="240" w:firstLineChars="100"/>
        <w:rPr>
          <w:sz w:val="24"/>
          <w:szCs w:val="24"/>
          <w:highlight w:val="none"/>
        </w:rPr>
      </w:pPr>
      <w:r>
        <w:rPr>
          <w:rFonts w:hint="eastAsia"/>
          <w:color w:val="000000"/>
          <w:sz w:val="24"/>
          <w:szCs w:val="24"/>
          <w:highlight w:val="none"/>
          <w:lang w:val="en-US" w:eastAsia="zh-CN"/>
        </w:rPr>
        <w:t xml:space="preserve"> </w:t>
      </w:r>
      <w:r>
        <w:rPr>
          <w:rFonts w:hint="eastAsia"/>
          <w:color w:val="000000"/>
          <w:sz w:val="24"/>
          <w:szCs w:val="24"/>
          <w:highlight w:val="none"/>
        </w:rPr>
        <w:t>日期：</w:t>
      </w:r>
      <w:r>
        <w:rPr>
          <w:rFonts w:hint="eastAsia"/>
          <w:color w:val="000000"/>
          <w:sz w:val="24"/>
          <w:szCs w:val="24"/>
          <w:highlight w:val="none"/>
          <w:lang w:val="en-US" w:eastAsia="zh-CN"/>
        </w:rPr>
        <w:t xml:space="preserve">  </w:t>
      </w:r>
      <w:r>
        <w:rPr>
          <w:rFonts w:hint="eastAsia"/>
          <w:kern w:val="0"/>
          <w:sz w:val="24"/>
          <w:highlight w:val="none"/>
          <w:lang w:val="zh-CN"/>
        </w:rPr>
        <w:t>年</w:t>
      </w:r>
      <w:r>
        <w:rPr>
          <w:rFonts w:hint="eastAsia"/>
          <w:kern w:val="0"/>
          <w:sz w:val="24"/>
          <w:highlight w:val="none"/>
          <w:lang w:val="en-US" w:eastAsia="zh-CN"/>
        </w:rPr>
        <w:t xml:space="preserve">   </w:t>
      </w:r>
      <w:r>
        <w:rPr>
          <w:rFonts w:hint="eastAsia"/>
          <w:kern w:val="0"/>
          <w:sz w:val="24"/>
          <w:highlight w:val="none"/>
          <w:lang w:val="zh-CN"/>
        </w:rPr>
        <w:t>月</w:t>
      </w:r>
      <w:r>
        <w:rPr>
          <w:rFonts w:hint="eastAsia"/>
          <w:kern w:val="0"/>
          <w:sz w:val="24"/>
          <w:highlight w:val="none"/>
          <w:lang w:val="en-US" w:eastAsia="zh-CN"/>
        </w:rPr>
        <w:t xml:space="preserve">   </w:t>
      </w:r>
      <w:r>
        <w:rPr>
          <w:rFonts w:hint="eastAsia"/>
          <w:kern w:val="0"/>
          <w:sz w:val="24"/>
          <w:highlight w:val="none"/>
          <w:lang w:val="zh-CN"/>
        </w:rPr>
        <w:t>日</w:t>
      </w:r>
    </w:p>
    <w:p>
      <w:pPr>
        <w:pStyle w:val="603"/>
        <w:spacing w:line="360" w:lineRule="exact"/>
        <w:jc w:val="left"/>
        <w:rPr>
          <w:b/>
          <w:bCs/>
          <w:color w:val="000000"/>
          <w:sz w:val="21"/>
          <w:szCs w:val="21"/>
          <w:highlight w:val="none"/>
          <w:lang w:eastAsia="zh-CN"/>
        </w:rPr>
      </w:pPr>
    </w:p>
    <w:p>
      <w:pPr>
        <w:pStyle w:val="603"/>
        <w:spacing w:line="360" w:lineRule="exact"/>
        <w:jc w:val="left"/>
        <w:rPr>
          <w:b/>
          <w:bCs/>
          <w:color w:val="000000"/>
          <w:sz w:val="21"/>
          <w:szCs w:val="21"/>
          <w:highlight w:val="none"/>
        </w:rPr>
      </w:pPr>
      <w:r>
        <w:rPr>
          <w:rFonts w:hint="eastAsia"/>
          <w:b/>
          <w:bCs/>
          <w:color w:val="000000"/>
          <w:sz w:val="21"/>
          <w:szCs w:val="21"/>
          <w:highlight w:val="none"/>
          <w:lang w:eastAsia="zh-CN"/>
        </w:rPr>
        <w:t>注：</w:t>
      </w:r>
      <w:r>
        <w:rPr>
          <w:rFonts w:hint="eastAsia"/>
          <w:b/>
          <w:bCs/>
          <w:color w:val="000000"/>
          <w:sz w:val="21"/>
          <w:szCs w:val="21"/>
          <w:highlight w:val="none"/>
        </w:rPr>
        <w:t>从业人员、营业收入、资产总额填报上一年度数据，无上一年度数据的新成立企业可不填报。</w:t>
      </w:r>
    </w:p>
    <w:p>
      <w:pPr>
        <w:adjustRightInd w:val="0"/>
        <w:snapToGrid w:val="0"/>
        <w:spacing w:line="360" w:lineRule="auto"/>
        <w:jc w:val="center"/>
        <w:rPr>
          <w:rFonts w:ascii="宋体" w:hAnsi="宋体"/>
          <w:b/>
          <w:sz w:val="24"/>
          <w:highlight w:val="none"/>
        </w:rPr>
      </w:pPr>
      <w:r>
        <w:rPr>
          <w:rFonts w:ascii="宋体" w:hAnsi="宋体"/>
          <w:b/>
          <w:kern w:val="0"/>
          <w:sz w:val="24"/>
          <w:highlight w:val="none"/>
          <w:lang w:val="zh-CN"/>
        </w:rPr>
        <w:br w:type="page"/>
      </w:r>
      <w:r>
        <w:rPr>
          <w:rFonts w:hint="eastAsia" w:ascii="宋体" w:hAnsi="宋体"/>
          <w:b/>
          <w:sz w:val="24"/>
          <w:highlight w:val="none"/>
        </w:rPr>
        <w:t>（二）监狱企业声明函</w:t>
      </w:r>
    </w:p>
    <w:p>
      <w:pPr>
        <w:adjustRightInd w:val="0"/>
        <w:snapToGrid w:val="0"/>
        <w:spacing w:line="264" w:lineRule="auto"/>
        <w:rPr>
          <w:rFonts w:ascii="宋体" w:hAnsi="宋体"/>
          <w:sz w:val="24"/>
          <w:highlight w:val="none"/>
        </w:rPr>
      </w:pPr>
    </w:p>
    <w:p>
      <w:pPr>
        <w:adjustRightInd w:val="0"/>
        <w:snapToGrid w:val="0"/>
        <w:spacing w:line="264" w:lineRule="auto"/>
        <w:rPr>
          <w:rFonts w:ascii="宋体" w:hAnsi="宋体"/>
          <w:sz w:val="24"/>
          <w:highlight w:val="none"/>
        </w:rPr>
      </w:pPr>
      <w:r>
        <w:rPr>
          <w:rFonts w:hint="eastAsia" w:ascii="宋体" w:hAnsi="宋体"/>
          <w:sz w:val="24"/>
          <w:highlight w:val="none"/>
          <w:lang w:eastAsia="zh-CN"/>
        </w:rPr>
        <w:t>衢州智慧新城管理委员会</w:t>
      </w:r>
      <w:r>
        <w:rPr>
          <w:rFonts w:hint="eastAsia" w:ascii="宋体" w:hAnsi="宋体"/>
          <w:sz w:val="24"/>
          <w:highlight w:val="none"/>
        </w:rPr>
        <w:t>：</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本公司郑重声明，本公司为监狱企业。</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1.本公司为监狱企业的证明材料如下：</w:t>
      </w:r>
    </w:p>
    <w:p>
      <w:pPr>
        <w:spacing w:line="264"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u w:val="single"/>
        </w:rPr>
        <w:t>附：</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u w:val="single"/>
        </w:rPr>
        <w:t>附：</w:t>
      </w:r>
      <w:r>
        <w:rPr>
          <w:rFonts w:hint="eastAsia" w:ascii="宋体" w:hAnsi="宋体"/>
          <w:sz w:val="24"/>
          <w:highlight w:val="none"/>
        </w:rPr>
        <w:t>。</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2.本公司参加</w:t>
      </w:r>
      <w:r>
        <w:rPr>
          <w:rFonts w:hint="eastAsia" w:ascii="宋体" w:hAnsi="宋体"/>
          <w:sz w:val="24"/>
          <w:highlight w:val="none"/>
          <w:u w:val="single"/>
        </w:rPr>
        <w:t xml:space="preserve"> </w:t>
      </w:r>
      <w:r>
        <w:rPr>
          <w:rFonts w:hint="eastAsia" w:ascii="宋体" w:hAnsi="宋体"/>
          <w:sz w:val="24"/>
          <w:highlight w:val="none"/>
          <w:u w:val="single"/>
          <w:lang w:eastAsia="zh-CN"/>
        </w:rPr>
        <w:t>衢州智慧新城管理委员会</w:t>
      </w:r>
      <w:r>
        <w:rPr>
          <w:rFonts w:hint="eastAsia" w:ascii="宋体" w:hAnsi="宋体"/>
          <w:sz w:val="24"/>
          <w:highlight w:val="none"/>
        </w:rPr>
        <w:t>单位的</w:t>
      </w:r>
      <w:r>
        <w:rPr>
          <w:rFonts w:hint="eastAsia" w:ascii="宋体" w:hAnsi="宋体"/>
          <w:sz w:val="24"/>
          <w:highlight w:val="none"/>
          <w:u w:val="single"/>
        </w:rPr>
        <w:t xml:space="preserve">            </w:t>
      </w:r>
      <w:r>
        <w:rPr>
          <w:rFonts w:hint="eastAsia" w:ascii="宋体" w:hAnsi="宋体"/>
          <w:sz w:val="24"/>
          <w:highlight w:val="none"/>
        </w:rPr>
        <w:t>项目采购活动</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提供本企业制造的货物，由本企业承担工程、提供服务。证明材料如下：</w:t>
      </w:r>
    </w:p>
    <w:p>
      <w:pPr>
        <w:spacing w:line="264"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u w:val="single"/>
        </w:rPr>
        <w:t>附：</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u w:val="single"/>
        </w:rPr>
        <w:t>附：</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（可指向资格后审材料中的具体页码）</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或者</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提供其他______（请填写：小型、微型、监狱）企业制造的货物，该企业为______（请填写：小型、微型、监狱）企业且该货物由该企业生产的证明文件如下：</w:t>
      </w:r>
    </w:p>
    <w:p>
      <w:pPr>
        <w:spacing w:line="264" w:lineRule="auto"/>
        <w:ind w:firstLine="480" w:firstLineChars="200"/>
        <w:rPr>
          <w:rFonts w:ascii="宋体" w:hAnsi="宋体"/>
          <w:sz w:val="24"/>
          <w:highlight w:val="none"/>
        </w:rPr>
      </w:pPr>
      <w:r>
        <w:rPr>
          <w:rFonts w:hint="eastAsia" w:ascii="宋体" w:hAnsi="宋体"/>
          <w:sz w:val="24"/>
          <w:highlight w:val="none"/>
        </w:rPr>
        <w:t>（1）企业名称：</w:t>
      </w:r>
      <w:r>
        <w:rPr>
          <w:rFonts w:hint="eastAsia" w:ascii="宋体" w:hAnsi="宋体"/>
          <w:sz w:val="24"/>
          <w:highlight w:val="none"/>
          <w:u w:val="single"/>
        </w:rPr>
        <w:t xml:space="preserve">附：该企业营业执照                  </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（2）该企业从业人员：</w:t>
      </w:r>
      <w:r>
        <w:rPr>
          <w:rFonts w:hint="eastAsia" w:ascii="宋体" w:hAnsi="宋体"/>
          <w:sz w:val="24"/>
          <w:highlight w:val="none"/>
          <w:u w:val="single"/>
        </w:rPr>
        <w:t xml:space="preserve">附：该企业社保缴纳记录        </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（3）该企业营业收入证明：</w:t>
      </w:r>
      <w:r>
        <w:rPr>
          <w:rFonts w:hint="eastAsia" w:ascii="宋体" w:hAnsi="宋体"/>
          <w:sz w:val="24"/>
          <w:highlight w:val="none"/>
          <w:u w:val="single"/>
        </w:rPr>
        <w:t>附：该企业上一年度（投标截止时间若为每年5月前的且无法提供上一年度的，可提供前一年度）的经第三方审计的财务报告</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或者</w:t>
      </w:r>
    </w:p>
    <w:p>
      <w:pPr>
        <w:spacing w:line="264" w:lineRule="auto"/>
        <w:ind w:firstLine="480" w:firstLineChars="200"/>
        <w:rPr>
          <w:rFonts w:ascii="宋体" w:hAnsi="宋体"/>
          <w:sz w:val="24"/>
          <w:highlight w:val="none"/>
        </w:rPr>
      </w:pPr>
      <w:r>
        <w:rPr>
          <w:rFonts w:hint="eastAsia" w:ascii="宋体" w:hAnsi="宋体"/>
          <w:sz w:val="24"/>
          <w:highlight w:val="none"/>
        </w:rPr>
        <w:t>（2）该企业为监狱企业的证明：</w:t>
      </w:r>
      <w:r>
        <w:rPr>
          <w:rFonts w:hint="eastAsia" w:ascii="宋体" w:hAnsi="宋体"/>
          <w:sz w:val="24"/>
          <w:highlight w:val="none"/>
          <w:u w:val="single"/>
        </w:rPr>
        <w:t xml:space="preserve">附： </w:t>
      </w:r>
      <w:r>
        <w:rPr>
          <w:rFonts w:hint="eastAsia" w:ascii="宋体" w:hAnsi="宋体"/>
          <w:sz w:val="24"/>
          <w:highlight w:val="none"/>
        </w:rPr>
        <w:t>；</w:t>
      </w:r>
    </w:p>
    <w:p>
      <w:pPr>
        <w:spacing w:line="264" w:lineRule="auto"/>
        <w:ind w:firstLine="480" w:firstLineChars="200"/>
        <w:rPr>
          <w:rFonts w:ascii="宋体" w:hAnsi="宋体"/>
          <w:sz w:val="24"/>
          <w:highlight w:val="none"/>
        </w:rPr>
      </w:pPr>
      <w:r>
        <w:rPr>
          <w:rFonts w:hint="eastAsia" w:ascii="宋体" w:hAnsi="宋体"/>
          <w:sz w:val="24"/>
          <w:highlight w:val="none"/>
        </w:rPr>
        <w:t>（3/4）货物由该企业生产的证明材料：</w:t>
      </w:r>
      <w:r>
        <w:rPr>
          <w:rFonts w:hint="eastAsia" w:ascii="宋体" w:hAnsi="宋体"/>
          <w:sz w:val="24"/>
          <w:highlight w:val="none"/>
          <w:u w:val="single"/>
        </w:rPr>
        <w:t xml:space="preserve">附： </w:t>
      </w:r>
      <w:r>
        <w:rPr>
          <w:rFonts w:hint="eastAsia" w:ascii="宋体" w:hAnsi="宋体"/>
          <w:sz w:val="24"/>
          <w:highlight w:val="none"/>
        </w:rPr>
        <w:t>。</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本条所称货物不包括使用大型企业注册商标的货物。</w:t>
      </w:r>
    </w:p>
    <w:p>
      <w:pPr>
        <w:adjustRightInd w:val="0"/>
        <w:snapToGrid w:val="0"/>
        <w:spacing w:line="264" w:lineRule="auto"/>
        <w:ind w:firstLine="480" w:firstLineChars="200"/>
        <w:rPr>
          <w:rFonts w:ascii="宋体" w:hAnsi="宋体"/>
          <w:sz w:val="24"/>
          <w:highlight w:val="none"/>
        </w:rPr>
      </w:pPr>
      <w:r>
        <w:rPr>
          <w:rFonts w:hint="eastAsia" w:ascii="宋体" w:hAnsi="宋体"/>
          <w:sz w:val="24"/>
          <w:highlight w:val="none"/>
        </w:rPr>
        <w:t>本公司对上述声明的真实性负责。如有虚假，将依法承担相应责任。</w:t>
      </w:r>
    </w:p>
    <w:p>
      <w:pPr>
        <w:adjustRightInd w:val="0"/>
        <w:snapToGrid w:val="0"/>
        <w:spacing w:line="264" w:lineRule="auto"/>
        <w:ind w:firstLine="480" w:firstLineChars="200"/>
        <w:rPr>
          <w:rFonts w:ascii="宋体" w:hAnsi="宋体"/>
          <w:sz w:val="24"/>
          <w:highlight w:val="none"/>
        </w:rPr>
      </w:pPr>
    </w:p>
    <w:p>
      <w:pPr>
        <w:adjustRightInd w:val="0"/>
        <w:snapToGrid w:val="0"/>
        <w:spacing w:line="264" w:lineRule="auto"/>
        <w:rPr>
          <w:rFonts w:ascii="宋体" w:hAnsi="宋体"/>
          <w:kern w:val="0"/>
          <w:sz w:val="24"/>
          <w:highlight w:val="none"/>
        </w:rPr>
      </w:pPr>
      <w:r>
        <w:rPr>
          <w:rFonts w:hint="eastAsia" w:ascii="宋体" w:hAnsi="宋体"/>
          <w:kern w:val="0"/>
          <w:sz w:val="24"/>
          <w:highlight w:val="none"/>
          <w:lang w:val="zh-CN"/>
        </w:rPr>
        <w:t>法定/授权代表：</w:t>
      </w:r>
      <w:r>
        <w:rPr>
          <w:rFonts w:hint="eastAsia" w:ascii="宋体" w:hAnsi="宋体"/>
          <w:kern w:val="0"/>
          <w:sz w:val="24"/>
          <w:highlight w:val="none"/>
          <w:u w:val="single"/>
          <w:lang w:val="zh-CN"/>
        </w:rPr>
        <w:t xml:space="preserve">（签字或盖章） </w:t>
      </w:r>
    </w:p>
    <w:p>
      <w:pPr>
        <w:adjustRightInd w:val="0"/>
        <w:snapToGrid w:val="0"/>
        <w:spacing w:line="264" w:lineRule="auto"/>
        <w:rPr>
          <w:rFonts w:ascii="宋体" w:hAnsi="宋体"/>
          <w:kern w:val="0"/>
          <w:sz w:val="24"/>
          <w:highlight w:val="none"/>
          <w:u w:val="single"/>
          <w:lang w:val="zh-CN"/>
        </w:rPr>
      </w:pPr>
      <w:r>
        <w:rPr>
          <w:rFonts w:hint="eastAsia" w:ascii="宋体" w:hAnsi="宋体"/>
          <w:kern w:val="0"/>
          <w:sz w:val="24"/>
          <w:highlight w:val="none"/>
          <w:lang w:val="zh-CN"/>
        </w:rPr>
        <w:t>投标人：</w:t>
      </w:r>
      <w:r>
        <w:rPr>
          <w:rFonts w:hint="eastAsia" w:ascii="宋体" w:hAnsi="宋体"/>
          <w:kern w:val="0"/>
          <w:sz w:val="24"/>
          <w:highlight w:val="none"/>
          <w:u w:val="single"/>
          <w:lang w:val="zh-CN"/>
        </w:rPr>
        <w:t xml:space="preserve">（全称加盖公章）       </w:t>
      </w:r>
    </w:p>
    <w:p>
      <w:pPr>
        <w:adjustRightInd w:val="0"/>
        <w:snapToGrid w:val="0"/>
        <w:spacing w:line="264" w:lineRule="auto"/>
        <w:rPr>
          <w:rFonts w:ascii="宋体" w:hAnsi="宋体"/>
          <w:kern w:val="0"/>
          <w:sz w:val="24"/>
          <w:highlight w:val="none"/>
          <w:lang w:val="zh-CN"/>
        </w:rPr>
      </w:pPr>
      <w:r>
        <w:rPr>
          <w:rFonts w:hint="eastAsia" w:ascii="宋体" w:hAnsi="宋体"/>
          <w:kern w:val="0"/>
          <w:sz w:val="24"/>
          <w:highlight w:val="none"/>
          <w:lang w:val="zh-CN"/>
        </w:rPr>
        <w:t>日期</w:t>
      </w:r>
      <w:r>
        <w:rPr>
          <w:rFonts w:hint="eastAsia" w:ascii="宋体" w:hAnsi="宋体"/>
          <w:kern w:val="0"/>
          <w:sz w:val="24"/>
          <w:highlight w:val="none"/>
        </w:rPr>
        <w:t xml:space="preserve">： </w:t>
      </w:r>
      <w:r>
        <w:rPr>
          <w:rFonts w:hint="eastAsia" w:ascii="宋体" w:hAnsi="宋体"/>
          <w:kern w:val="0"/>
          <w:sz w:val="24"/>
          <w:highlight w:val="none"/>
          <w:lang w:val="zh-CN"/>
        </w:rPr>
        <w:t>年</w:t>
      </w:r>
      <w:r>
        <w:rPr>
          <w:rFonts w:hint="eastAsia" w:ascii="宋体" w:hAnsi="宋体"/>
          <w:kern w:val="0"/>
          <w:sz w:val="24"/>
          <w:highlight w:val="none"/>
        </w:rPr>
        <w:t xml:space="preserve">  </w:t>
      </w:r>
      <w:r>
        <w:rPr>
          <w:rFonts w:hint="eastAsia" w:ascii="宋体" w:hAnsi="宋体"/>
          <w:kern w:val="0"/>
          <w:sz w:val="24"/>
          <w:highlight w:val="none"/>
          <w:lang w:val="zh-CN"/>
        </w:rPr>
        <w:t>月</w:t>
      </w:r>
      <w:r>
        <w:rPr>
          <w:rFonts w:hint="eastAsia" w:ascii="宋体" w:hAnsi="宋体"/>
          <w:kern w:val="0"/>
          <w:sz w:val="24"/>
          <w:highlight w:val="none"/>
        </w:rPr>
        <w:t xml:space="preserve">  </w:t>
      </w:r>
      <w:r>
        <w:rPr>
          <w:rFonts w:hint="eastAsia" w:ascii="宋体" w:hAnsi="宋体"/>
          <w:kern w:val="0"/>
          <w:sz w:val="24"/>
          <w:highlight w:val="none"/>
          <w:lang w:val="zh-CN"/>
        </w:rPr>
        <w:t>日</w:t>
      </w:r>
    </w:p>
    <w:p>
      <w:pPr>
        <w:adjustRightInd w:val="0"/>
        <w:snapToGrid w:val="0"/>
        <w:spacing w:line="264" w:lineRule="auto"/>
        <w:rPr>
          <w:rFonts w:ascii="宋体" w:hAnsi="宋体"/>
          <w:b/>
          <w:kern w:val="0"/>
          <w:sz w:val="24"/>
          <w:highlight w:val="none"/>
          <w:lang w:val="zh-CN"/>
        </w:rPr>
      </w:pPr>
    </w:p>
    <w:p>
      <w:pPr>
        <w:adjustRightInd w:val="0"/>
        <w:snapToGrid w:val="0"/>
        <w:spacing w:line="264" w:lineRule="auto"/>
        <w:rPr>
          <w:rFonts w:ascii="宋体" w:hAnsi="宋体"/>
          <w:b/>
          <w:kern w:val="0"/>
          <w:sz w:val="24"/>
          <w:highlight w:val="none"/>
          <w:lang w:val="zh-CN"/>
        </w:rPr>
      </w:pPr>
      <w:r>
        <w:rPr>
          <w:rFonts w:hint="eastAsia" w:ascii="宋体" w:hAnsi="宋体"/>
          <w:b/>
          <w:kern w:val="0"/>
          <w:sz w:val="24"/>
          <w:highlight w:val="none"/>
          <w:lang w:val="zh-CN"/>
        </w:rPr>
        <w:t>注：本声明函为监狱企业填写。</w:t>
      </w:r>
    </w:p>
    <w:p>
      <w:pPr>
        <w:adjustRightInd w:val="0"/>
        <w:snapToGrid w:val="0"/>
        <w:spacing w:line="360" w:lineRule="auto"/>
        <w:ind w:firstLine="2409" w:firstLineChars="1000"/>
        <w:rPr>
          <w:rFonts w:ascii="宋体" w:hAnsi="宋体"/>
          <w:b/>
          <w:sz w:val="24"/>
          <w:highlight w:val="none"/>
        </w:rPr>
      </w:pPr>
    </w:p>
    <w:p>
      <w:pPr>
        <w:pStyle w:val="87"/>
        <w:ind w:left="560"/>
        <w:rPr>
          <w:rFonts w:ascii="宋体" w:hAnsi="宋体" w:eastAsia="宋体"/>
          <w:highlight w:val="none"/>
        </w:rPr>
      </w:pPr>
    </w:p>
    <w:p>
      <w:pPr>
        <w:pStyle w:val="87"/>
        <w:ind w:left="560"/>
        <w:rPr>
          <w:rFonts w:ascii="宋体" w:hAnsi="宋体" w:eastAsia="宋体"/>
          <w:highlight w:val="none"/>
        </w:rPr>
      </w:pPr>
    </w:p>
    <w:p>
      <w:pPr>
        <w:pStyle w:val="87"/>
        <w:ind w:left="560"/>
        <w:rPr>
          <w:rFonts w:ascii="宋体" w:hAnsi="宋体" w:eastAsia="宋体"/>
          <w:highlight w:val="none"/>
        </w:rPr>
      </w:pPr>
    </w:p>
    <w:p>
      <w:pPr>
        <w:pStyle w:val="2"/>
        <w:ind w:firstLine="210"/>
        <w:rPr>
          <w:highlight w:val="none"/>
        </w:rPr>
      </w:pPr>
    </w:p>
    <w:p>
      <w:pPr>
        <w:pStyle w:val="2"/>
        <w:ind w:firstLine="210"/>
        <w:rPr>
          <w:highlight w:val="none"/>
        </w:rPr>
      </w:pPr>
    </w:p>
    <w:p>
      <w:pPr>
        <w:pStyle w:val="87"/>
        <w:ind w:left="560"/>
        <w:rPr>
          <w:rFonts w:ascii="宋体" w:hAnsi="宋体" w:eastAsia="宋体"/>
          <w:highlight w:val="none"/>
        </w:rPr>
      </w:pPr>
    </w:p>
    <w:p>
      <w:pPr>
        <w:pStyle w:val="87"/>
        <w:ind w:left="560"/>
        <w:rPr>
          <w:rFonts w:ascii="宋体" w:hAnsi="宋体" w:eastAsia="宋体"/>
          <w:highlight w:val="none"/>
        </w:rPr>
      </w:pPr>
    </w:p>
    <w:p>
      <w:pPr>
        <w:pStyle w:val="87"/>
        <w:ind w:left="0" w:leftChars="0" w:firstLine="0" w:firstLineChars="0"/>
        <w:rPr>
          <w:rFonts w:ascii="宋体" w:hAnsi="宋体" w:eastAsia="宋体"/>
          <w:highlight w:val="none"/>
        </w:rPr>
      </w:pPr>
    </w:p>
    <w:p>
      <w:pPr>
        <w:adjustRightInd w:val="0"/>
        <w:snapToGrid w:val="0"/>
        <w:spacing w:line="360" w:lineRule="auto"/>
        <w:ind w:firstLine="2409" w:firstLineChars="1000"/>
        <w:rPr>
          <w:rFonts w:ascii="宋体" w:hAnsi="宋体"/>
          <w:b/>
          <w:sz w:val="24"/>
          <w:highlight w:val="none"/>
        </w:rPr>
      </w:pPr>
      <w:r>
        <w:rPr>
          <w:rFonts w:hint="eastAsia" w:ascii="宋体" w:hAnsi="宋体"/>
          <w:b/>
          <w:sz w:val="24"/>
          <w:highlight w:val="none"/>
        </w:rPr>
        <w:t>（三）残疾人福利性单位声明函</w:t>
      </w:r>
    </w:p>
    <w:p>
      <w:pPr>
        <w:adjustRightInd w:val="0"/>
        <w:snapToGrid w:val="0"/>
        <w:spacing w:line="312" w:lineRule="auto"/>
        <w:ind w:firstLine="240" w:firstLineChars="100"/>
        <w:rPr>
          <w:rFonts w:ascii="宋体" w:hAnsi="宋体"/>
          <w:sz w:val="24"/>
          <w:highlight w:val="none"/>
        </w:rPr>
      </w:pPr>
    </w:p>
    <w:p>
      <w:pPr>
        <w:adjustRightInd w:val="0"/>
        <w:snapToGrid w:val="0"/>
        <w:spacing w:line="312" w:lineRule="auto"/>
        <w:rPr>
          <w:rFonts w:ascii="宋体" w:hAnsi="宋体"/>
          <w:sz w:val="24"/>
          <w:highlight w:val="none"/>
        </w:rPr>
      </w:pPr>
      <w:r>
        <w:rPr>
          <w:rFonts w:hint="eastAsia" w:ascii="宋体" w:hAnsi="宋体"/>
          <w:sz w:val="24"/>
          <w:highlight w:val="none"/>
          <w:lang w:eastAsia="zh-CN"/>
        </w:rPr>
        <w:t>衢州智慧新城管理委员会</w:t>
      </w:r>
      <w:r>
        <w:rPr>
          <w:rFonts w:hint="eastAsia" w:ascii="宋体" w:hAnsi="宋体"/>
          <w:sz w:val="24"/>
          <w:highlight w:val="none"/>
        </w:rPr>
        <w:t>：</w:t>
      </w:r>
    </w:p>
    <w:p>
      <w:pPr>
        <w:spacing w:line="312" w:lineRule="auto"/>
        <w:ind w:firstLine="480" w:firstLineChars="200"/>
        <w:rPr>
          <w:rFonts w:ascii="宋体" w:hAnsi="宋体"/>
          <w:sz w:val="24"/>
          <w:highlight w:val="none"/>
        </w:rPr>
      </w:pPr>
      <w:r>
        <w:rPr>
          <w:rFonts w:ascii="宋体" w:hAnsi="宋体"/>
          <w:sz w:val="24"/>
          <w:highlight w:val="none"/>
        </w:rPr>
        <w:t>本单位郑重声明，根据《财政部、民政部、中国残疾人联合会关于促进残疾人就业政府采购政策的 通知》（财库〔2017〕141 号）的规定，本单位为符合条件的残疾人福利性单位，且本单位参加</w:t>
      </w:r>
      <w:r>
        <w:rPr>
          <w:rFonts w:ascii="宋体" w:hAnsi="宋体"/>
          <w:sz w:val="24"/>
          <w:highlight w:val="none"/>
          <w:u w:val="single"/>
        </w:rPr>
        <w:t>（采购 人名称）</w:t>
      </w:r>
      <w:r>
        <w:rPr>
          <w:rFonts w:ascii="宋体" w:hAnsi="宋体"/>
          <w:sz w:val="24"/>
          <w:highlight w:val="none"/>
        </w:rPr>
        <w:t>单位的</w:t>
      </w:r>
      <w:r>
        <w:rPr>
          <w:rFonts w:ascii="宋体" w:hAnsi="宋体"/>
          <w:sz w:val="24"/>
          <w:highlight w:val="none"/>
          <w:u w:val="single"/>
        </w:rPr>
        <w:t xml:space="preserve"> （项目名称）</w:t>
      </w:r>
      <w:r>
        <w:rPr>
          <w:rFonts w:ascii="宋体" w:hAnsi="宋体"/>
          <w:sz w:val="24"/>
          <w:highlight w:val="none"/>
        </w:rPr>
        <w:t xml:space="preserve">项目采购活动提供本单位制造的货物（由本单位承担 工程/提供服务），或者提供其他残疾人福利性单位制造的货物（不包括使用非残疾人福利性单位注册商标的货物）。 </w:t>
      </w:r>
    </w:p>
    <w:p>
      <w:pPr>
        <w:spacing w:line="312" w:lineRule="auto"/>
        <w:ind w:firstLine="480" w:firstLineChars="200"/>
        <w:rPr>
          <w:rFonts w:ascii="宋体" w:hAnsi="宋体"/>
          <w:sz w:val="24"/>
          <w:highlight w:val="none"/>
        </w:rPr>
      </w:pPr>
      <w:r>
        <w:rPr>
          <w:rFonts w:ascii="宋体" w:hAnsi="宋体"/>
          <w:sz w:val="24"/>
          <w:highlight w:val="none"/>
        </w:rPr>
        <w:t xml:space="preserve">本单位对上述声明的真实性负责。如有虚假，将依法承担相应责任。 </w:t>
      </w:r>
    </w:p>
    <w:p>
      <w:pPr>
        <w:spacing w:line="312" w:lineRule="auto"/>
        <w:ind w:firstLine="480" w:firstLineChars="200"/>
        <w:rPr>
          <w:rFonts w:ascii="宋体" w:hAnsi="宋体"/>
          <w:sz w:val="24"/>
          <w:highlight w:val="none"/>
        </w:rPr>
      </w:pPr>
    </w:p>
    <w:p>
      <w:pPr>
        <w:pStyle w:val="35"/>
        <w:rPr>
          <w:highlight w:val="none"/>
        </w:rPr>
      </w:pPr>
    </w:p>
    <w:p>
      <w:pPr>
        <w:spacing w:line="312" w:lineRule="auto"/>
        <w:ind w:firstLine="480" w:firstLineChars="200"/>
        <w:rPr>
          <w:rFonts w:ascii="宋体" w:hAnsi="宋体"/>
          <w:sz w:val="24"/>
          <w:highlight w:val="none"/>
        </w:rPr>
      </w:pPr>
      <w:r>
        <w:rPr>
          <w:rFonts w:hint="eastAsia" w:ascii="宋体" w:hAnsi="宋体"/>
          <w:sz w:val="24"/>
          <w:highlight w:val="none"/>
        </w:rPr>
        <w:t>投标人</w:t>
      </w:r>
      <w:r>
        <w:rPr>
          <w:rFonts w:ascii="宋体" w:hAnsi="宋体"/>
          <w:sz w:val="24"/>
          <w:highlight w:val="none"/>
        </w:rPr>
        <w:t xml:space="preserve">名称（盖章）： </w:t>
      </w:r>
    </w:p>
    <w:p>
      <w:pPr>
        <w:spacing w:line="312" w:lineRule="auto"/>
        <w:ind w:firstLine="480" w:firstLineChars="200"/>
        <w:rPr>
          <w:rFonts w:ascii="宋体" w:hAnsi="宋体"/>
          <w:sz w:val="24"/>
          <w:highlight w:val="none"/>
        </w:rPr>
      </w:pPr>
      <w:r>
        <w:rPr>
          <w:rFonts w:ascii="宋体" w:hAnsi="宋体"/>
          <w:sz w:val="24"/>
          <w:highlight w:val="none"/>
        </w:rPr>
        <w:t xml:space="preserve">日期： 年 月 日 </w:t>
      </w:r>
    </w:p>
    <w:p>
      <w:pPr>
        <w:spacing w:line="312" w:lineRule="auto"/>
        <w:ind w:firstLine="480" w:firstLineChars="200"/>
        <w:rPr>
          <w:rFonts w:ascii="宋体" w:hAnsi="宋体"/>
          <w:sz w:val="24"/>
          <w:highlight w:val="none"/>
        </w:rPr>
      </w:pPr>
    </w:p>
    <w:p>
      <w:pPr>
        <w:adjustRightInd w:val="0"/>
        <w:snapToGrid w:val="0"/>
        <w:rPr>
          <w:rFonts w:ascii="宋体" w:hAnsi="宋体"/>
          <w:b/>
          <w:kern w:val="0"/>
          <w:sz w:val="24"/>
          <w:highlight w:val="none"/>
          <w:u w:val="single"/>
        </w:rPr>
      </w:pPr>
      <w:r>
        <w:rPr>
          <w:rFonts w:ascii="宋体" w:hAnsi="宋体"/>
          <w:b/>
          <w:kern w:val="0"/>
          <w:sz w:val="24"/>
          <w:highlight w:val="none"/>
          <w:lang w:val="zh-CN"/>
        </w:rPr>
        <w:br w:type="page"/>
      </w:r>
    </w:p>
    <w:p>
      <w:pPr>
        <w:pStyle w:val="5"/>
        <w:ind w:left="0" w:firstLine="0"/>
        <w:rPr>
          <w:rFonts w:ascii="宋体" w:hAnsi="宋体"/>
          <w:sz w:val="44"/>
          <w:szCs w:val="44"/>
          <w:highlight w:val="none"/>
        </w:rPr>
      </w:pPr>
      <w:r>
        <w:rPr>
          <w:rFonts w:hint="eastAsia" w:ascii="宋体" w:hAnsi="宋体" w:eastAsia="宋体"/>
          <w:sz w:val="28"/>
          <w:highlight w:val="none"/>
        </w:rPr>
        <w:t>投标文件封面</w:t>
      </w:r>
      <w:bookmarkEnd w:id="112"/>
      <w:bookmarkEnd w:id="113"/>
    </w:p>
    <w:p>
      <w:pPr>
        <w:tabs>
          <w:tab w:val="left" w:pos="4500"/>
        </w:tabs>
        <w:autoSpaceDE w:val="0"/>
        <w:autoSpaceDN w:val="0"/>
        <w:adjustRightInd w:val="0"/>
        <w:snapToGrid w:val="0"/>
        <w:spacing w:line="336" w:lineRule="auto"/>
        <w:jc w:val="center"/>
        <w:textAlignment w:val="bottom"/>
        <w:rPr>
          <w:rFonts w:hint="eastAsia" w:ascii="宋体" w:hAnsi="宋体"/>
          <w:b/>
          <w:sz w:val="32"/>
          <w:szCs w:val="32"/>
          <w:highlight w:val="none"/>
          <w:lang w:eastAsia="zh-CN"/>
        </w:rPr>
      </w:pPr>
    </w:p>
    <w:p>
      <w:pPr>
        <w:tabs>
          <w:tab w:val="left" w:pos="4500"/>
        </w:tabs>
        <w:autoSpaceDE w:val="0"/>
        <w:autoSpaceDN w:val="0"/>
        <w:adjustRightInd w:val="0"/>
        <w:snapToGrid w:val="0"/>
        <w:spacing w:line="336" w:lineRule="auto"/>
        <w:jc w:val="center"/>
        <w:textAlignment w:val="bottom"/>
        <w:rPr>
          <w:rFonts w:hint="eastAsia" w:ascii="宋体" w:hAnsi="宋体"/>
          <w:b/>
          <w:sz w:val="32"/>
          <w:szCs w:val="32"/>
          <w:highlight w:val="none"/>
          <w:lang w:eastAsia="zh-CN"/>
        </w:rPr>
      </w:pPr>
      <w:r>
        <w:rPr>
          <w:rFonts w:hint="eastAsia" w:ascii="宋体" w:hAnsi="宋体"/>
          <w:b/>
          <w:sz w:val="32"/>
          <w:szCs w:val="32"/>
          <w:highlight w:val="none"/>
          <w:lang w:val="en-US" w:eastAsia="zh-CN"/>
        </w:rPr>
        <w:t>衢州市智慧新城二期范围保洁作业服务</w:t>
      </w:r>
      <w:r>
        <w:rPr>
          <w:rFonts w:hint="eastAsia" w:ascii="宋体" w:hAnsi="宋体"/>
          <w:b/>
          <w:sz w:val="32"/>
          <w:szCs w:val="32"/>
          <w:highlight w:val="none"/>
          <w:lang w:eastAsia="zh-CN"/>
        </w:rPr>
        <w:t>采购项目</w:t>
      </w:r>
    </w:p>
    <w:p>
      <w:pPr>
        <w:spacing w:before="24" w:beforeLines="10" w:line="360" w:lineRule="auto"/>
        <w:jc w:val="center"/>
        <w:rPr>
          <w:rFonts w:ascii="宋体" w:hAnsi="宋体"/>
          <w:b/>
          <w:sz w:val="32"/>
          <w:szCs w:val="32"/>
          <w:highlight w:val="none"/>
        </w:rPr>
      </w:pPr>
    </w:p>
    <w:p>
      <w:pPr>
        <w:pStyle w:val="5"/>
      </w:pPr>
    </w:p>
    <w:p>
      <w:pPr>
        <w:spacing w:before="24" w:beforeLines="10" w:line="360" w:lineRule="auto"/>
        <w:jc w:val="center"/>
        <w:rPr>
          <w:rFonts w:hint="eastAsia" w:ascii="宋体" w:hAnsi="宋体" w:eastAsia="宋体"/>
          <w:b/>
          <w:sz w:val="32"/>
          <w:szCs w:val="32"/>
          <w:highlight w:val="none"/>
          <w:lang w:eastAsia="zh-CN"/>
        </w:rPr>
      </w:pPr>
      <w:r>
        <w:rPr>
          <w:rFonts w:hint="eastAsia" w:ascii="宋体" w:hAnsi="宋体"/>
          <w:b/>
          <w:sz w:val="32"/>
          <w:szCs w:val="32"/>
          <w:highlight w:val="none"/>
        </w:rPr>
        <w:t>项目编号：</w:t>
      </w:r>
      <w:r>
        <w:rPr>
          <w:rFonts w:hint="eastAsia" w:ascii="宋体" w:hAnsi="宋体"/>
          <w:b/>
          <w:sz w:val="32"/>
          <w:szCs w:val="32"/>
          <w:highlight w:val="none"/>
          <w:lang w:eastAsia="zh-CN"/>
        </w:rPr>
        <w:t>ZZCG2022102-1</w:t>
      </w:r>
    </w:p>
    <w:p>
      <w:pPr>
        <w:pStyle w:val="8"/>
        <w:rPr>
          <w:highlight w:val="none"/>
        </w:rPr>
      </w:pPr>
    </w:p>
    <w:p>
      <w:pPr>
        <w:pStyle w:val="8"/>
        <w:rPr>
          <w:highlight w:val="none"/>
        </w:rPr>
      </w:pPr>
    </w:p>
    <w:p>
      <w:pPr>
        <w:pStyle w:val="8"/>
        <w:rPr>
          <w:highlight w:val="none"/>
        </w:rPr>
      </w:pPr>
    </w:p>
    <w:bookmarkEnd w:id="23"/>
    <w:bookmarkEnd w:id="24"/>
    <w:bookmarkEnd w:id="25"/>
    <w:bookmarkEnd w:id="26"/>
    <w:bookmarkEnd w:id="96"/>
    <w:p>
      <w:pPr>
        <w:adjustRightInd w:val="0"/>
        <w:snapToGrid w:val="0"/>
        <w:spacing w:line="360" w:lineRule="auto"/>
        <w:jc w:val="center"/>
        <w:rPr>
          <w:rFonts w:ascii="宋体" w:hAnsi="宋体"/>
          <w:sz w:val="72"/>
          <w:highlight w:val="none"/>
        </w:rPr>
      </w:pPr>
      <w:r>
        <w:rPr>
          <w:rFonts w:hint="eastAsia" w:ascii="宋体" w:hAnsi="宋体"/>
          <w:sz w:val="72"/>
          <w:highlight w:val="none"/>
        </w:rPr>
        <w:t>投</w:t>
      </w:r>
    </w:p>
    <w:p>
      <w:pPr>
        <w:spacing w:line="360" w:lineRule="auto"/>
        <w:jc w:val="center"/>
        <w:rPr>
          <w:rFonts w:ascii="宋体" w:hAnsi="宋体"/>
          <w:sz w:val="72"/>
          <w:highlight w:val="none"/>
        </w:rPr>
      </w:pPr>
      <w:r>
        <w:rPr>
          <w:rFonts w:hint="eastAsia" w:ascii="宋体" w:hAnsi="宋体"/>
          <w:sz w:val="72"/>
          <w:highlight w:val="none"/>
        </w:rPr>
        <w:t>标</w:t>
      </w:r>
    </w:p>
    <w:p>
      <w:pPr>
        <w:spacing w:line="360" w:lineRule="auto"/>
        <w:jc w:val="center"/>
        <w:rPr>
          <w:rFonts w:ascii="宋体" w:hAnsi="宋体"/>
          <w:sz w:val="72"/>
          <w:highlight w:val="none"/>
        </w:rPr>
      </w:pPr>
      <w:r>
        <w:rPr>
          <w:rFonts w:hint="eastAsia" w:ascii="宋体" w:hAnsi="宋体"/>
          <w:sz w:val="72"/>
          <w:highlight w:val="none"/>
        </w:rPr>
        <w:t>文</w:t>
      </w:r>
    </w:p>
    <w:p>
      <w:pPr>
        <w:spacing w:line="360" w:lineRule="auto"/>
        <w:jc w:val="center"/>
        <w:rPr>
          <w:rFonts w:ascii="宋体" w:hAnsi="宋体"/>
          <w:sz w:val="72"/>
          <w:highlight w:val="none"/>
        </w:rPr>
      </w:pPr>
      <w:r>
        <w:rPr>
          <w:rFonts w:hint="eastAsia" w:ascii="宋体" w:hAnsi="宋体"/>
          <w:sz w:val="72"/>
          <w:highlight w:val="none"/>
        </w:rPr>
        <w:t>件</w:t>
      </w:r>
    </w:p>
    <w:p>
      <w:pPr>
        <w:spacing w:line="312" w:lineRule="auto"/>
        <w:ind w:firstLine="960" w:firstLineChars="300"/>
        <w:rPr>
          <w:rFonts w:ascii="宋体" w:hAnsi="宋体"/>
          <w:sz w:val="32"/>
          <w:highlight w:val="none"/>
        </w:rPr>
      </w:pPr>
    </w:p>
    <w:p>
      <w:pPr>
        <w:spacing w:line="312" w:lineRule="auto"/>
        <w:ind w:firstLine="960" w:firstLineChars="300"/>
        <w:rPr>
          <w:rFonts w:ascii="宋体" w:hAnsi="宋体"/>
          <w:sz w:val="32"/>
          <w:highlight w:val="none"/>
        </w:rPr>
      </w:pPr>
    </w:p>
    <w:p>
      <w:pPr>
        <w:spacing w:line="312" w:lineRule="auto"/>
        <w:ind w:firstLine="960" w:firstLineChars="300"/>
        <w:rPr>
          <w:rFonts w:ascii="宋体" w:hAnsi="宋体"/>
          <w:sz w:val="32"/>
          <w:highlight w:val="none"/>
        </w:rPr>
      </w:pPr>
      <w:r>
        <w:rPr>
          <w:rFonts w:hint="eastAsia" w:ascii="宋体" w:hAnsi="宋体"/>
          <w:sz w:val="32"/>
          <w:highlight w:val="none"/>
        </w:rPr>
        <w:t>投标人：（加盖公章）</w:t>
      </w:r>
    </w:p>
    <w:p>
      <w:pPr>
        <w:spacing w:line="312" w:lineRule="auto"/>
        <w:ind w:firstLine="960" w:firstLineChars="300"/>
        <w:rPr>
          <w:rFonts w:ascii="宋体" w:hAnsi="宋体"/>
          <w:sz w:val="32"/>
          <w:highlight w:val="none"/>
        </w:rPr>
      </w:pPr>
      <w:r>
        <w:rPr>
          <w:rFonts w:hint="eastAsia" w:ascii="宋体" w:hAnsi="宋体"/>
          <w:sz w:val="32"/>
          <w:highlight w:val="none"/>
        </w:rPr>
        <w:t>地址：</w:t>
      </w:r>
    </w:p>
    <w:p>
      <w:pPr>
        <w:ind w:firstLine="960" w:firstLineChars="300"/>
        <w:rPr>
          <w:rFonts w:ascii="宋体" w:hAnsi="宋体"/>
          <w:sz w:val="32"/>
          <w:highlight w:val="none"/>
          <w:u w:val="single"/>
        </w:rPr>
      </w:pPr>
      <w:r>
        <w:rPr>
          <w:rFonts w:hint="eastAsia" w:ascii="宋体" w:hAnsi="宋体"/>
          <w:sz w:val="32"/>
          <w:highlight w:val="none"/>
        </w:rPr>
        <w:t>日期：</w:t>
      </w:r>
    </w:p>
    <w:p>
      <w:pPr>
        <w:pageBreakBefore/>
        <w:adjustRightInd w:val="0"/>
        <w:snapToGrid w:val="0"/>
        <w:spacing w:line="360" w:lineRule="auto"/>
        <w:jc w:val="center"/>
        <w:outlineLvl w:val="0"/>
        <w:rPr>
          <w:rFonts w:ascii="宋体" w:hAnsi="宋体"/>
          <w:b/>
          <w:sz w:val="36"/>
          <w:highlight w:val="none"/>
        </w:rPr>
      </w:pPr>
      <w:bookmarkStart w:id="119" w:name="_Toc15453"/>
      <w:r>
        <w:rPr>
          <w:rFonts w:hint="eastAsia" w:ascii="宋体" w:hAnsi="宋体"/>
          <w:b/>
          <w:sz w:val="36"/>
          <w:highlight w:val="none"/>
        </w:rPr>
        <w:t>第六部分  评分办法</w:t>
      </w:r>
      <w:bookmarkEnd w:id="119"/>
    </w:p>
    <w:p>
      <w:pPr>
        <w:pStyle w:val="5"/>
        <w:ind w:left="0" w:firstLine="0"/>
        <w:rPr>
          <w:rFonts w:ascii="宋体" w:hAnsi="宋体" w:eastAsia="宋体"/>
          <w:sz w:val="32"/>
          <w:highlight w:val="none"/>
        </w:rPr>
      </w:pPr>
      <w:bookmarkStart w:id="120" w:name="_Toc522530063"/>
      <w:bookmarkStart w:id="121" w:name="_Toc28449"/>
      <w:r>
        <w:rPr>
          <w:rFonts w:hint="eastAsia" w:ascii="宋体" w:hAnsi="宋体" w:eastAsia="宋体"/>
          <w:sz w:val="32"/>
          <w:highlight w:val="none"/>
        </w:rPr>
        <w:t>一、评分办法</w:t>
      </w:r>
      <w:bookmarkEnd w:id="120"/>
      <w:bookmarkEnd w:id="121"/>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本项目评分采用：</w:t>
      </w:r>
      <w:r>
        <w:rPr>
          <w:rFonts w:hint="eastAsia" w:ascii="宋体" w:hAnsi="宋体" w:eastAsia="宋体" w:cs="Times New Roman"/>
          <w:sz w:val="24"/>
          <w:highlight w:val="none"/>
          <w:u w:val="single"/>
        </w:rPr>
        <w:t>综合评分法。即在投标文件满足招标文件全部实质性要求的前提下，按照评审因素的量化指标评审得分从高到低的顺序推荐投标人为第一、第二、……中标候选人的评标办法</w:t>
      </w:r>
      <w:r>
        <w:rPr>
          <w:rFonts w:hint="eastAsia" w:ascii="宋体" w:hAnsi="宋体" w:eastAsia="宋体" w:cs="Times New Roman"/>
          <w:sz w:val="24"/>
          <w:highlight w:val="none"/>
        </w:rPr>
        <w:t>。</w:t>
      </w:r>
    </w:p>
    <w:p>
      <w:pPr>
        <w:spacing w:line="440" w:lineRule="exact"/>
        <w:ind w:firstLine="480" w:firstLineChars="200"/>
        <w:jc w:val="left"/>
        <w:rPr>
          <w:rFonts w:hint="eastAsia" w:ascii="宋体" w:hAnsi="宋体"/>
          <w:sz w:val="24"/>
          <w:highlight w:val="none"/>
        </w:rPr>
      </w:pPr>
      <w:r>
        <w:rPr>
          <w:rFonts w:hint="eastAsia" w:ascii="宋体" w:hAnsi="宋体"/>
          <w:sz w:val="24"/>
          <w:highlight w:val="none"/>
        </w:rPr>
        <w:t>投标人的评审得分=商务技术分</w:t>
      </w:r>
      <w:r>
        <w:rPr>
          <w:rFonts w:hint="eastAsia" w:ascii="宋体" w:hAnsi="宋体"/>
          <w:sz w:val="24"/>
          <w:highlight w:val="none"/>
          <w:lang w:eastAsia="zh-CN"/>
        </w:rPr>
        <w:t>（</w:t>
      </w:r>
      <w:r>
        <w:rPr>
          <w:rFonts w:hint="eastAsia" w:ascii="宋体" w:hAnsi="宋体"/>
          <w:sz w:val="24"/>
          <w:highlight w:val="none"/>
          <w:lang w:val="en-US" w:eastAsia="zh-CN"/>
        </w:rPr>
        <w:t>80分）</w:t>
      </w:r>
      <w:r>
        <w:rPr>
          <w:rFonts w:hint="eastAsia" w:ascii="宋体" w:hAnsi="宋体"/>
          <w:sz w:val="24"/>
          <w:highlight w:val="none"/>
        </w:rPr>
        <w:t>+价格分</w:t>
      </w:r>
      <w:r>
        <w:rPr>
          <w:rFonts w:hint="eastAsia" w:ascii="宋体" w:hAnsi="宋体"/>
          <w:sz w:val="24"/>
          <w:highlight w:val="none"/>
          <w:lang w:eastAsia="zh-CN"/>
        </w:rPr>
        <w:t>（</w:t>
      </w:r>
      <w:r>
        <w:rPr>
          <w:rFonts w:hint="eastAsia" w:ascii="宋体" w:hAnsi="宋体"/>
          <w:sz w:val="24"/>
          <w:highlight w:val="none"/>
          <w:lang w:val="en-US" w:eastAsia="zh-CN"/>
        </w:rPr>
        <w:t>20分）</w:t>
      </w:r>
      <w:r>
        <w:rPr>
          <w:rFonts w:hint="eastAsia" w:ascii="宋体" w:hAnsi="宋体"/>
          <w:sz w:val="24"/>
          <w:highlight w:val="none"/>
        </w:rPr>
        <w:t>。</w:t>
      </w:r>
    </w:p>
    <w:p>
      <w:pPr>
        <w:spacing w:line="440" w:lineRule="exact"/>
        <w:ind w:firstLine="480" w:firstLineChars="200"/>
        <w:jc w:val="left"/>
        <w:rPr>
          <w:rFonts w:hint="eastAsia" w:ascii="宋体" w:hAnsi="宋体"/>
          <w:sz w:val="24"/>
          <w:highlight w:val="none"/>
        </w:rPr>
      </w:pPr>
      <w:r>
        <w:rPr>
          <w:rFonts w:hint="eastAsia" w:ascii="宋体" w:hAnsi="宋体"/>
          <w:sz w:val="24"/>
          <w:highlight w:val="none"/>
        </w:rPr>
        <w:t>商务技术分与报价分合计得分由高到低顺序排列推荐</w:t>
      </w:r>
      <w:r>
        <w:rPr>
          <w:rFonts w:hint="eastAsia" w:ascii="宋体" w:hAnsi="宋体"/>
          <w:sz w:val="24"/>
          <w:highlight w:val="none"/>
          <w:lang w:eastAsia="zh-CN"/>
        </w:rPr>
        <w:t>一</w:t>
      </w:r>
      <w:r>
        <w:rPr>
          <w:rFonts w:hint="eastAsia" w:ascii="宋体" w:hAnsi="宋体"/>
          <w:sz w:val="24"/>
          <w:highlight w:val="none"/>
        </w:rPr>
        <w:t>名中标候选人。如果投标人综合得分相同则按</w:t>
      </w:r>
      <w:r>
        <w:rPr>
          <w:rFonts w:hint="eastAsia" w:ascii="宋体" w:hAnsi="宋体"/>
          <w:sz w:val="24"/>
          <w:highlight w:val="none"/>
          <w:lang w:eastAsia="zh-CN"/>
        </w:rPr>
        <w:t>投标</w:t>
      </w:r>
      <w:r>
        <w:rPr>
          <w:rFonts w:hint="eastAsia" w:ascii="宋体" w:hAnsi="宋体"/>
          <w:sz w:val="24"/>
          <w:highlight w:val="none"/>
        </w:rPr>
        <w:t>报价低者优先；如果综合得分相同且</w:t>
      </w:r>
      <w:r>
        <w:rPr>
          <w:rFonts w:hint="eastAsia" w:ascii="宋体" w:hAnsi="宋体"/>
          <w:sz w:val="24"/>
          <w:highlight w:val="none"/>
          <w:lang w:eastAsia="zh-CN"/>
        </w:rPr>
        <w:t>投标</w:t>
      </w:r>
      <w:r>
        <w:rPr>
          <w:rFonts w:hint="eastAsia" w:ascii="宋体" w:hAnsi="宋体"/>
          <w:sz w:val="24"/>
          <w:highlight w:val="none"/>
        </w:rPr>
        <w:t>报价相同的，则按商务技术得分高者优先；若综合得分、</w:t>
      </w:r>
      <w:r>
        <w:rPr>
          <w:rFonts w:hint="eastAsia" w:ascii="宋体" w:hAnsi="宋体"/>
          <w:sz w:val="24"/>
          <w:highlight w:val="none"/>
          <w:lang w:eastAsia="zh-CN"/>
        </w:rPr>
        <w:t>投标</w:t>
      </w:r>
      <w:r>
        <w:rPr>
          <w:rFonts w:hint="eastAsia" w:ascii="宋体" w:hAnsi="宋体"/>
          <w:sz w:val="24"/>
          <w:highlight w:val="none"/>
        </w:rPr>
        <w:t>报价与商务技术得分均相同的，则抽签决定。</w:t>
      </w:r>
    </w:p>
    <w:p>
      <w:pPr>
        <w:keepNext w:val="0"/>
        <w:keepLines w:val="0"/>
        <w:pageBreakBefore w:val="0"/>
        <w:kinsoku/>
        <w:wordWrap/>
        <w:overflowPunct/>
        <w:topLinePunct w:val="0"/>
        <w:autoSpaceDE w:val="0"/>
        <w:autoSpaceDN w:val="0"/>
        <w:bidi w:val="0"/>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评标委员会根据采购文件和投标文件，结合商务技术评分细则对各投标人的商务技术部分进行评审。</w:t>
      </w:r>
      <w:r>
        <w:rPr>
          <w:rFonts w:hint="eastAsia" w:ascii="宋体" w:hAnsi="宋体"/>
          <w:b/>
          <w:bCs/>
          <w:sz w:val="24"/>
          <w:highlight w:val="none"/>
        </w:rPr>
        <w:t>评标委员会各成员所评分值的算术平均值即为各投标人的商务技术分值</w:t>
      </w:r>
      <w:r>
        <w:rPr>
          <w:rFonts w:hint="eastAsia" w:ascii="宋体" w:hAnsi="宋体"/>
          <w:sz w:val="24"/>
          <w:highlight w:val="none"/>
        </w:rPr>
        <w:t>（计算时四舍五入保留二位小数）。</w:t>
      </w:r>
    </w:p>
    <w:p>
      <w:pPr>
        <w:keepNext w:val="0"/>
        <w:keepLines w:val="0"/>
        <w:pageBreakBefore w:val="0"/>
        <w:kinsoku/>
        <w:wordWrap/>
        <w:overflowPunct/>
        <w:topLinePunct w:val="0"/>
        <w:autoSpaceDE w:val="0"/>
        <w:autoSpaceDN w:val="0"/>
        <w:bidi w:val="0"/>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询标期间，工作人员通过政采云系统向投标人发出在线询标内容，投标人法人代表或法人委托人负责解答及上传相关文件。</w:t>
      </w:r>
    </w:p>
    <w:p>
      <w:pPr>
        <w:pStyle w:val="5"/>
        <w:numPr>
          <w:ilvl w:val="0"/>
          <w:numId w:val="4"/>
        </w:numPr>
        <w:spacing w:line="440" w:lineRule="exact"/>
        <w:ind w:left="0" w:hanging="106"/>
        <w:rPr>
          <w:rFonts w:ascii="宋体" w:hAnsi="宋体" w:eastAsia="宋体"/>
          <w:sz w:val="32"/>
          <w:highlight w:val="none"/>
        </w:rPr>
      </w:pPr>
      <w:bookmarkStart w:id="122" w:name="_Toc522530064"/>
      <w:bookmarkStart w:id="123" w:name="_Toc17578"/>
      <w:r>
        <w:rPr>
          <w:rFonts w:hint="eastAsia" w:ascii="宋体" w:hAnsi="宋体" w:eastAsia="宋体"/>
          <w:sz w:val="32"/>
          <w:highlight w:val="none"/>
        </w:rPr>
        <w:t>评分细则</w:t>
      </w:r>
      <w:bookmarkEnd w:id="122"/>
      <w:bookmarkEnd w:id="123"/>
    </w:p>
    <w:p>
      <w:pPr>
        <w:numPr>
          <w:ilvl w:val="0"/>
          <w:numId w:val="5"/>
        </w:numPr>
        <w:rPr>
          <w:b/>
          <w:bCs/>
          <w:sz w:val="24"/>
          <w:szCs w:val="24"/>
          <w:highlight w:val="none"/>
        </w:rPr>
      </w:pPr>
      <w:r>
        <w:rPr>
          <w:rFonts w:hint="eastAsia"/>
          <w:b/>
          <w:bCs/>
          <w:sz w:val="24"/>
          <w:szCs w:val="24"/>
          <w:highlight w:val="none"/>
        </w:rPr>
        <w:t>商务技术评分</w:t>
      </w:r>
      <w:r>
        <w:rPr>
          <w:rFonts w:hint="eastAsia"/>
          <w:b/>
          <w:bCs/>
          <w:sz w:val="24"/>
          <w:szCs w:val="24"/>
          <w:highlight w:val="none"/>
          <w:lang w:eastAsia="zh-CN"/>
        </w:rPr>
        <w:t>（</w:t>
      </w:r>
      <w:r>
        <w:rPr>
          <w:rFonts w:hint="eastAsia"/>
          <w:b/>
          <w:bCs/>
          <w:sz w:val="24"/>
          <w:szCs w:val="24"/>
          <w:highlight w:val="none"/>
          <w:lang w:val="en-US" w:eastAsia="zh-CN"/>
        </w:rPr>
        <w:t>80分）</w:t>
      </w:r>
    </w:p>
    <w:tbl>
      <w:tblPr>
        <w:tblStyle w:val="88"/>
        <w:tblW w:w="10094" w:type="dxa"/>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049"/>
        <w:gridCol w:w="1230"/>
        <w:gridCol w:w="62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评审因数</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商务</w:t>
            </w:r>
          </w:p>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部分</w:t>
            </w:r>
          </w:p>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管理体系</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具有质量管理体系认证的得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分；具有环境管理体系认证的得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具</w:t>
            </w:r>
            <w:r>
              <w:rPr>
                <w:rFonts w:hint="eastAsia" w:ascii="宋体" w:hAnsi="宋体" w:eastAsia="宋体" w:cs="宋体"/>
                <w:color w:val="auto"/>
                <w:sz w:val="21"/>
                <w:szCs w:val="21"/>
                <w:highlight w:val="none"/>
              </w:rPr>
              <w:t>有职业健康安全管理体系认证的得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注：须提供相关证书原件</w:t>
            </w:r>
            <w:r>
              <w:rPr>
                <w:rFonts w:hint="eastAsia" w:ascii="宋体" w:hAnsi="宋体" w:eastAsia="宋体" w:cs="宋体"/>
                <w:b/>
                <w:bCs/>
                <w:i w:val="0"/>
                <w:iCs w:val="0"/>
                <w:color w:val="000000"/>
                <w:kern w:val="0"/>
                <w:sz w:val="21"/>
                <w:szCs w:val="21"/>
                <w:u w:val="none"/>
                <w:lang w:val="en-US" w:eastAsia="zh-CN" w:bidi="ar"/>
              </w:rPr>
              <w:t>的扫描件至投标文件佐证，否则不得分。</w:t>
            </w:r>
            <w:r>
              <w:rPr>
                <w:rFonts w:hint="eastAsia" w:ascii="宋体" w:hAnsi="宋体" w:eastAsia="宋体" w:cs="宋体"/>
                <w:b/>
                <w:bCs/>
                <w:color w:val="auto"/>
                <w:sz w:val="21"/>
                <w:szCs w:val="21"/>
                <w:highlight w:val="none"/>
              </w:rPr>
              <w:t>以上证书涉及国家认监委批准的，发证机构应已取得国家认监委批准。证书必须在有效期内，且在全国认证认可信息公共服务平台可查询，否则不得分。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r>
              <w:rPr>
                <w:rFonts w:hint="eastAsia" w:ascii="宋体" w:hAnsi="宋体" w:eastAsia="宋体" w:cs="宋体"/>
                <w:b/>
                <w:bCs/>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p>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业绩</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投标人自2019年1月1日以来(以签订合同时间为准)</w:t>
            </w:r>
            <w:r>
              <w:rPr>
                <w:rFonts w:hint="eastAsia" w:ascii="宋体" w:hAnsi="宋体" w:eastAsia="宋体" w:cs="宋体"/>
                <w:color w:val="auto"/>
                <w:sz w:val="21"/>
                <w:szCs w:val="21"/>
                <w:highlight w:val="none"/>
                <w:lang w:eastAsia="zh-CN"/>
              </w:rPr>
              <w:t>承接过</w:t>
            </w:r>
            <w:r>
              <w:rPr>
                <w:rFonts w:hint="eastAsia" w:ascii="宋体" w:hAnsi="宋体" w:cs="宋体"/>
                <w:color w:val="auto"/>
                <w:sz w:val="21"/>
                <w:szCs w:val="21"/>
                <w:highlight w:val="none"/>
                <w:lang w:eastAsia="zh-CN"/>
              </w:rPr>
              <w:t>类似项目服</w:t>
            </w:r>
            <w:r>
              <w:rPr>
                <w:rFonts w:hint="eastAsia" w:ascii="宋体" w:hAnsi="宋体" w:eastAsia="宋体" w:cs="宋体"/>
                <w:color w:val="auto"/>
                <w:sz w:val="21"/>
                <w:szCs w:val="21"/>
                <w:highlight w:val="none"/>
                <w:lang w:eastAsia="zh-CN"/>
              </w:rPr>
              <w:t>务</w:t>
            </w:r>
            <w:r>
              <w:rPr>
                <w:rFonts w:hint="eastAsia" w:ascii="宋体" w:hAnsi="宋体" w:eastAsia="宋体" w:cs="宋体"/>
                <w:color w:val="auto"/>
                <w:sz w:val="21"/>
                <w:szCs w:val="21"/>
                <w:highlight w:val="none"/>
              </w:rPr>
              <w:t>业</w:t>
            </w:r>
            <w:r>
              <w:rPr>
                <w:rFonts w:hint="eastAsia" w:ascii="宋体" w:hAnsi="宋体" w:eastAsia="宋体" w:cs="宋体"/>
                <w:color w:val="auto"/>
                <w:sz w:val="21"/>
                <w:szCs w:val="21"/>
                <w:highlight w:val="none"/>
                <w:lang w:eastAsia="zh-CN"/>
              </w:rPr>
              <w:t>绩的（</w:t>
            </w:r>
            <w:r>
              <w:rPr>
                <w:rFonts w:hint="eastAsia" w:ascii="宋体" w:hAnsi="宋体" w:cs="宋体"/>
                <w:color w:val="auto"/>
                <w:sz w:val="21"/>
                <w:szCs w:val="21"/>
                <w:highlight w:val="none"/>
                <w:lang w:eastAsia="zh-CN"/>
              </w:rPr>
              <w:t>须</w:t>
            </w:r>
            <w:r>
              <w:rPr>
                <w:rFonts w:hint="eastAsia" w:ascii="宋体" w:hAnsi="宋体" w:eastAsia="宋体" w:cs="宋体"/>
                <w:color w:val="auto"/>
                <w:sz w:val="21"/>
                <w:szCs w:val="21"/>
                <w:highlight w:val="none"/>
                <w:lang w:eastAsia="zh-CN"/>
              </w:rPr>
              <w:t>包含</w:t>
            </w:r>
            <w:r>
              <w:rPr>
                <w:rFonts w:hint="eastAsia" w:ascii="宋体" w:hAnsi="宋体" w:cs="宋体"/>
                <w:color w:val="auto"/>
                <w:sz w:val="21"/>
                <w:szCs w:val="21"/>
                <w:highlight w:val="none"/>
                <w:lang w:eastAsia="zh-CN"/>
              </w:rPr>
              <w:t>环卫</w:t>
            </w:r>
            <w:r>
              <w:rPr>
                <w:rFonts w:hint="eastAsia" w:ascii="宋体" w:hAnsi="宋体" w:eastAsia="宋体" w:cs="宋体"/>
                <w:color w:val="auto"/>
                <w:sz w:val="21"/>
                <w:szCs w:val="21"/>
                <w:highlight w:val="none"/>
                <w:lang w:eastAsia="zh-CN"/>
              </w:rPr>
              <w:t>保洁、垃圾清运等服务内容）得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分，本项</w:t>
            </w:r>
            <w:r>
              <w:rPr>
                <w:rFonts w:hint="eastAsia" w:ascii="宋体" w:hAnsi="宋体" w:eastAsia="宋体" w:cs="宋体"/>
                <w:color w:val="auto"/>
                <w:sz w:val="21"/>
                <w:szCs w:val="21"/>
                <w:highlight w:val="none"/>
              </w:rPr>
              <w:t>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注：</w:t>
            </w:r>
            <w:r>
              <w:rPr>
                <w:rFonts w:hint="eastAsia" w:ascii="宋体" w:hAnsi="宋体" w:eastAsia="宋体" w:cs="宋体"/>
                <w:b/>
                <w:bCs/>
                <w:color w:val="auto"/>
                <w:sz w:val="21"/>
                <w:szCs w:val="21"/>
                <w:highlight w:val="none"/>
              </w:rPr>
              <w:t>须提供中标通知书</w:t>
            </w:r>
            <w:r>
              <w:rPr>
                <w:rFonts w:hint="eastAsia" w:ascii="宋体" w:hAnsi="宋体" w:eastAsia="宋体" w:cs="宋体"/>
                <w:b/>
                <w:bCs/>
                <w:color w:val="auto"/>
                <w:sz w:val="21"/>
                <w:szCs w:val="21"/>
                <w:highlight w:val="none"/>
                <w:lang w:eastAsia="zh-CN"/>
              </w:rPr>
              <w:t>和合同原件</w:t>
            </w:r>
            <w:r>
              <w:rPr>
                <w:rFonts w:hint="eastAsia" w:ascii="宋体" w:hAnsi="宋体" w:eastAsia="宋体" w:cs="宋体"/>
                <w:b/>
                <w:bCs/>
                <w:color w:val="auto"/>
                <w:sz w:val="21"/>
                <w:szCs w:val="21"/>
                <w:highlight w:val="none"/>
                <w:lang w:val="en-US" w:eastAsia="zh-CN"/>
              </w:rPr>
              <w:t>的扫描件至投标文件佐证，否则不得分。</w:t>
            </w:r>
            <w:r>
              <w:rPr>
                <w:rFonts w:hint="eastAsia" w:ascii="宋体" w:hAnsi="宋体" w:eastAsia="宋体" w:cs="宋体"/>
                <w:b/>
                <w:bCs/>
                <w:color w:val="auto"/>
                <w:sz w:val="21"/>
                <w:szCs w:val="21"/>
                <w:highlight w:val="none"/>
                <w:lang w:eastAsia="zh-CN"/>
              </w:rPr>
              <w:t>（不包含农村、国道、高速、单位内部保洁服务）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企业荣誉</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投标人自2019年1月1日以来，获得过</w:t>
            </w:r>
            <w:r>
              <w:rPr>
                <w:rFonts w:hint="eastAsia" w:ascii="宋体" w:hAnsi="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CN"/>
              </w:rPr>
              <w:t>市</w:t>
            </w:r>
            <w:r>
              <w:rPr>
                <w:rFonts w:hint="eastAsia" w:ascii="宋体" w:hAnsi="宋体" w:cs="宋体"/>
                <w:color w:val="auto"/>
                <w:sz w:val="21"/>
                <w:szCs w:val="21"/>
                <w:highlight w:val="none"/>
                <w:lang w:val="en-US" w:eastAsia="zh-CN"/>
              </w:rPr>
              <w:t>级及以上</w:t>
            </w:r>
            <w:r>
              <w:rPr>
                <w:rFonts w:hint="eastAsia" w:ascii="宋体" w:hAnsi="宋体" w:eastAsia="宋体" w:cs="宋体"/>
                <w:color w:val="auto"/>
                <w:sz w:val="21"/>
                <w:szCs w:val="21"/>
                <w:highlight w:val="none"/>
                <w:lang w:val="en-US" w:eastAsia="zh-CN"/>
              </w:rPr>
              <w:t>环卫主管部门颁发荣誉的得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注：须提供荣誉证书或表彰文件</w:t>
            </w:r>
            <w:r>
              <w:rPr>
                <w:rFonts w:hint="eastAsia" w:ascii="宋体" w:hAnsi="宋体" w:eastAsia="宋体" w:cs="宋体"/>
                <w:b/>
                <w:bCs/>
                <w:color w:val="auto"/>
                <w:sz w:val="21"/>
                <w:szCs w:val="21"/>
                <w:highlight w:val="none"/>
                <w:lang w:eastAsia="zh-CN"/>
              </w:rPr>
              <w:t>原件</w:t>
            </w:r>
            <w:r>
              <w:rPr>
                <w:rFonts w:hint="eastAsia" w:ascii="宋体" w:hAnsi="宋体" w:eastAsia="宋体" w:cs="宋体"/>
                <w:b/>
                <w:bCs/>
                <w:color w:val="auto"/>
                <w:sz w:val="21"/>
                <w:szCs w:val="21"/>
                <w:highlight w:val="none"/>
                <w:lang w:val="en-US" w:eastAsia="zh-CN"/>
              </w:rPr>
              <w:t>的扫描件至投标文件佐证，否则不得分。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4</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w:t>
            </w:r>
          </w:p>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部分</w:t>
            </w:r>
          </w:p>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（70分）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项目重难点分析及解决措施</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根据投标人提供的针对本项目特点和难点分析及解决措施方案的详实度、内容完整度、针对性、科学合理可操作性等进行综合评审。优秀的8-6分，良好的6-3分，一般的3-1分，较差的不得分。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8</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5</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运作流程及协调机制</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根据管理服务组织机构设置(附组织机构图)、运作流程(附流程图)、激励机制、监督机制、自我约束机制和信息反馈机制。按其流程及机制可行性等方面进行综合评审。优秀的5-4分， 良好的4-2分，一般的2-1分，较差的不得分。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6</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项目进场专项方案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项目进场方案，根据方案的详实准确、完整度高、针对性强、科学合理，可操作性等进行综合评审。优秀的5-4分，良好的4-2分，一般的2-1分，较差的不得分。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7</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项目管理方案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根据投标单位针对本项目实施的各项规章制度进行综合评审，分别为：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工作绩效考核制度的合理性、完整性；(0-2分)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新增人员招录制度的合理性、完整性；(0-2分)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稳定员工队伍制度的合理性、完整性；(0-2分)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工作纪律管理制度的合理性、完整性；(0-2分)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安全管理制度的合理性、完整性；(0-2分)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业务操作流程制度的合理性、完整性。(0-2分)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12</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8</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保洁实施方案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洁实施方案必须包括项目道路清扫保洁、机械化保洁作业、垃圾桶果壳箱清洗消杀更换、垃圾收集和清运等，根据方案的全面性、可操作性，以及项目重点、难点是否分析到位，解决方案是否具有针对性，计划安排是否科学合理进行综合评审。优秀的10-8分，良好的8-4分，一般的4-1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9</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人员、各类车辆设备配置方案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人员配置分布合理、配置方案明确且具有针对性，并附有保证用于本保洁项目人员配置的书面承诺书(未承诺的本项得0分)。评委根据投标人管理人员编排、一线人员分布配置人数，各类</w:t>
            </w:r>
            <w:r>
              <w:rPr>
                <w:rFonts w:hint="eastAsia" w:ascii="宋体" w:hAnsi="宋体" w:eastAsia="宋体" w:cs="宋体"/>
                <w:i w:val="0"/>
                <w:iCs w:val="0"/>
                <w:color w:val="000000"/>
                <w:kern w:val="0"/>
                <w:sz w:val="22"/>
                <w:szCs w:val="22"/>
                <w:u w:val="none"/>
                <w:lang w:val="en-US" w:eastAsia="zh-CN" w:bidi="ar"/>
              </w:rPr>
              <w:t>车辆</w:t>
            </w:r>
            <w:r>
              <w:rPr>
                <w:rFonts w:hint="eastAsia" w:ascii="宋体" w:hAnsi="宋体" w:eastAsia="宋体" w:cs="宋体"/>
                <w:i w:val="0"/>
                <w:iCs w:val="0"/>
                <w:color w:val="000000"/>
                <w:kern w:val="0"/>
                <w:sz w:val="21"/>
                <w:szCs w:val="21"/>
                <w:u w:val="none"/>
                <w:lang w:val="en-US" w:eastAsia="zh-CN" w:bidi="ar"/>
              </w:rPr>
              <w:t>设备配置方案的针对性、操作性，计划安排的科学合理可行性，排班合理等因素进行综合评审。优秀的10-8分， 良好的8-4分，一般的4-1分，较差的不得分。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10</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应对突发事情的响应及处理方案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针对本项目的各类应急事件(作业中交通事故应急处理、恶劣天气应对措施、疫情日常普通管控、疫情爆发的严格管控措施)的应急预案进行综合评审。优秀的5-4分， 良好的4-2分，一般的2-1分，较差的不得分。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11</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智慧环卫平台管理方案</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根据项目实际情况提出智慧环卫平台建设、运营、维护方案，并承诺在项目区域内投资建设智慧平台，拟投入的建设团队、明确智慧环卫平台配置参数及投入使用后可实现的管理功能等是否科学、合理、高效进行综合评审。优秀的10-8分，良好的8-4分，一般的4-1分，较差的不得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注：提供至少一个智慧环卫平台运管实施案例证明材料的扫描件至投标文件佐证。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w:t>
            </w:r>
            <w:r>
              <w:rPr>
                <w:rFonts w:hint="eastAsia" w:ascii="宋体" w:hAnsi="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12</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合理化</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建议</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20" w:firstLineChars="2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针对本项目的合理化建议及改进措施，根据方案的可行性、针对性及合理化程度进行综合评审，优秀的5-4分，良好的4-2分，一般的2-1分，较差的不得分。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5</w:t>
            </w:r>
            <w:r>
              <w:rPr>
                <w:rFonts w:hint="eastAsia" w:ascii="宋体" w:hAnsi="宋体" w:cs="宋体"/>
                <w:b/>
                <w:bCs/>
                <w:i w:val="0"/>
                <w:iCs w:val="0"/>
                <w:color w:val="000000"/>
                <w:kern w:val="0"/>
                <w:sz w:val="22"/>
                <w:szCs w:val="22"/>
                <w:u w:val="none"/>
                <w:lang w:val="en-US" w:eastAsia="zh-CN" w:bidi="ar"/>
              </w:rPr>
              <w:t>分</w:t>
            </w:r>
          </w:p>
        </w:tc>
      </w:tr>
    </w:tbl>
    <w:p>
      <w:pPr>
        <w:spacing w:line="440" w:lineRule="exact"/>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说明：上表所列为投标人的商务条件。请投标人严格按照要求提交相关证明材料，否则有可能影响评审结果。</w:t>
      </w:r>
    </w:p>
    <w:p>
      <w:pPr>
        <w:spacing w:line="440" w:lineRule="exact"/>
        <w:ind w:firstLine="482" w:firstLineChars="200"/>
        <w:jc w:val="left"/>
        <w:rPr>
          <w:rFonts w:hint="default" w:ascii="宋体" w:hAnsi="宋体" w:eastAsia="宋体" w:cs="Times New Roman"/>
          <w:b/>
          <w:bCs/>
          <w:sz w:val="24"/>
          <w:highlight w:val="none"/>
          <w:lang w:val="en-US" w:eastAsia="zh-CN"/>
        </w:rPr>
      </w:pPr>
      <w:r>
        <w:rPr>
          <w:rFonts w:hint="eastAsia" w:ascii="宋体" w:hAnsi="宋体" w:eastAsia="宋体" w:cs="Times New Roman"/>
          <w:b/>
          <w:bCs/>
          <w:sz w:val="24"/>
          <w:highlight w:val="none"/>
        </w:rPr>
        <w:t>（二）价格评分</w:t>
      </w:r>
      <w:r>
        <w:rPr>
          <w:rFonts w:hint="eastAsia" w:ascii="宋体" w:hAnsi="宋体" w:cs="Times New Roman"/>
          <w:b/>
          <w:bCs/>
          <w:sz w:val="24"/>
          <w:highlight w:val="none"/>
          <w:lang w:eastAsia="zh-CN"/>
        </w:rPr>
        <w:t>（</w:t>
      </w:r>
      <w:r>
        <w:rPr>
          <w:rFonts w:hint="eastAsia" w:ascii="宋体" w:hAnsi="宋体" w:cs="Times New Roman"/>
          <w:b/>
          <w:bCs/>
          <w:sz w:val="24"/>
          <w:highlight w:val="none"/>
          <w:lang w:val="en-US" w:eastAsia="zh-CN"/>
        </w:rPr>
        <w:t>20分）</w:t>
      </w:r>
    </w:p>
    <w:p>
      <w:pPr>
        <w:spacing w:line="440" w:lineRule="exact"/>
        <w:ind w:firstLine="482" w:firstLineChars="200"/>
        <w:jc w:val="left"/>
        <w:rPr>
          <w:rFonts w:hint="eastAsia" w:ascii="宋体" w:hAnsi="宋体" w:eastAsia="宋体" w:cs="Times New Roman"/>
          <w:b/>
          <w:bCs/>
          <w:sz w:val="24"/>
          <w:highlight w:val="none"/>
        </w:rPr>
      </w:pPr>
      <w:r>
        <w:rPr>
          <w:rFonts w:hint="eastAsia" w:ascii="宋体" w:hAnsi="宋体" w:eastAsia="宋体" w:cs="Times New Roman"/>
          <w:b/>
          <w:bCs/>
          <w:sz w:val="24"/>
          <w:highlight w:val="none"/>
        </w:rPr>
        <w:t>1、价格分采用低价优先法计算：</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价格分满分分值：</w:t>
      </w:r>
      <w:r>
        <w:rPr>
          <w:rFonts w:hint="eastAsia" w:ascii="宋体" w:hAnsi="宋体" w:cs="Times New Roman"/>
          <w:sz w:val="24"/>
          <w:highlight w:val="none"/>
          <w:lang w:val="en-US" w:eastAsia="zh-CN"/>
        </w:rPr>
        <w:t>20</w:t>
      </w:r>
      <w:r>
        <w:rPr>
          <w:rFonts w:hint="eastAsia" w:ascii="宋体" w:hAnsi="宋体" w:eastAsia="宋体" w:cs="Times New Roman"/>
          <w:sz w:val="24"/>
          <w:highlight w:val="none"/>
        </w:rPr>
        <w:t>分</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所有合格投标人中最低投标报价为评标基准价，各投标人的价格得分=评标基准价÷各投标人的投标报价×价格满分分值。</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2</w:t>
      </w:r>
      <w:r>
        <w:rPr>
          <w:rFonts w:hint="eastAsia" w:ascii="宋体" w:hAnsi="宋体" w:eastAsia="宋体" w:cs="宋体"/>
          <w:b/>
          <w:bCs/>
          <w:color w:val="auto"/>
          <w:kern w:val="2"/>
          <w:sz w:val="24"/>
          <w:szCs w:val="24"/>
        </w:rPr>
        <w:t>、政策功能的评标价格扣除</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（1）“评标价格”是指符合相关政策要求，按一定比例对投标报价进行政策功能的扣除后，仅用作价格分评分的价格（中标价及合同价仍以其投标报价为准）。</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（2）投标人为小微（监狱）企业，其评标价格为投标报价扣除</w:t>
      </w:r>
      <w:r>
        <w:rPr>
          <w:rFonts w:hint="eastAsia" w:ascii="宋体" w:hAnsi="宋体" w:eastAsia="宋体" w:cs="宋体"/>
          <w:b w:val="0"/>
          <w:bCs w:val="0"/>
          <w:color w:val="auto"/>
          <w:kern w:val="2"/>
          <w:sz w:val="24"/>
          <w:szCs w:val="24"/>
          <w:lang w:val="en-US" w:eastAsia="zh-CN"/>
        </w:rPr>
        <w:t>2</w:t>
      </w:r>
      <w:r>
        <w:rPr>
          <w:rFonts w:hint="eastAsia" w:ascii="宋体" w:hAnsi="宋体" w:eastAsia="宋体" w:cs="宋体"/>
          <w:b w:val="0"/>
          <w:bCs w:val="0"/>
          <w:color w:val="auto"/>
          <w:kern w:val="2"/>
          <w:sz w:val="24"/>
          <w:szCs w:val="24"/>
        </w:rPr>
        <w:t>0%，即投标报价*</w:t>
      </w:r>
      <w:r>
        <w:rPr>
          <w:rFonts w:hint="eastAsia" w:ascii="宋体" w:hAnsi="宋体" w:eastAsia="宋体" w:cs="宋体"/>
          <w:b w:val="0"/>
          <w:bCs w:val="0"/>
          <w:color w:val="auto"/>
          <w:kern w:val="2"/>
          <w:sz w:val="24"/>
          <w:szCs w:val="24"/>
          <w:lang w:val="en-US" w:eastAsia="zh-CN"/>
        </w:rPr>
        <w:t>8</w:t>
      </w:r>
      <w:r>
        <w:rPr>
          <w:rFonts w:hint="eastAsia" w:ascii="宋体" w:hAnsi="宋体" w:eastAsia="宋体" w:cs="宋体"/>
          <w:b w:val="0"/>
          <w:bCs w:val="0"/>
          <w:color w:val="auto"/>
          <w:kern w:val="2"/>
          <w:sz w:val="24"/>
          <w:szCs w:val="24"/>
        </w:rPr>
        <w:t>0%。</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（3）残疾人福利性单位参加投标【提供《残疾人福利性单位声明函》】，视为小型、微型企业，享受小微企业政策扶持。此项由评标委员会集体核实后统一打分。</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4）小型和微型企业应提供《中小企业声明函》和国家企业信用信息公示系统——小微企业名录查询记录（提供网站截图复印件）；监狱企业应提供监狱企业证明材料；残疾人福利性单位应提供残疾人福利性单位声明函。不提供以上证明材料的不享受报价优惠。</w:t>
      </w:r>
    </w:p>
    <w:p>
      <w:pPr>
        <w:pStyle w:val="609"/>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440" w:lineRule="exact"/>
        <w:ind w:firstLine="480"/>
        <w:rPr>
          <w:rFonts w:hint="eastAsia" w:ascii="宋体" w:hAnsi="宋体" w:eastAsia="宋体" w:cs="宋体"/>
          <w:b w:val="0"/>
          <w:bCs w:val="0"/>
          <w:color w:val="auto"/>
          <w:kern w:val="2"/>
          <w:sz w:val="24"/>
          <w:szCs w:val="24"/>
        </w:rPr>
      </w:pPr>
      <w:r>
        <w:rPr>
          <w:rFonts w:hint="eastAsia" w:ascii="宋体" w:hAnsi="宋体" w:eastAsia="宋体" w:cs="宋体"/>
          <w:b w:val="0"/>
          <w:bCs w:val="0"/>
          <w:color w:val="auto"/>
          <w:kern w:val="2"/>
          <w:sz w:val="24"/>
          <w:szCs w:val="24"/>
        </w:rPr>
        <w:t>（5）证明材料提供不全或无法证明的视为不符合政策功能的评标价格扣除要求，将不予评标价格的扣除。</w:t>
      </w:r>
    </w:p>
    <w:p>
      <w:pPr>
        <w:spacing w:line="440" w:lineRule="exact"/>
        <w:ind w:firstLine="482" w:firstLineChars="200"/>
        <w:jc w:val="left"/>
        <w:rPr>
          <w:rFonts w:hint="eastAsia" w:ascii="宋体" w:hAnsi="宋体" w:eastAsia="宋体" w:cs="Times New Roman"/>
          <w:b/>
          <w:bCs/>
          <w:sz w:val="24"/>
          <w:highlight w:val="none"/>
        </w:rPr>
      </w:pPr>
      <w:r>
        <w:rPr>
          <w:rFonts w:hint="eastAsia" w:ascii="宋体" w:hAnsi="宋体" w:cs="Times New Roman"/>
          <w:b/>
          <w:bCs/>
          <w:sz w:val="24"/>
          <w:highlight w:val="none"/>
          <w:lang w:val="en-US" w:eastAsia="zh-CN"/>
        </w:rPr>
        <w:t>3、</w:t>
      </w:r>
      <w:r>
        <w:rPr>
          <w:rFonts w:hint="eastAsia" w:ascii="宋体" w:hAnsi="宋体" w:eastAsia="宋体" w:cs="Times New Roman"/>
          <w:b/>
          <w:bCs/>
          <w:sz w:val="24"/>
          <w:highlight w:val="none"/>
        </w:rPr>
        <w:t xml:space="preserve">修改评标结果 </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 xml:space="preserve">评标结果汇总完成后，除下列情形外，任何人不得修改评标结果： </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（1）分值汇总计算错误的；</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 xml:space="preserve">（2）分项评分超出评分标准范围的； </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 xml:space="preserve">（3）评标委员会成员对客观评审因素评分不一致的； </w:t>
      </w:r>
    </w:p>
    <w:p>
      <w:pPr>
        <w:spacing w:line="440" w:lineRule="exact"/>
        <w:ind w:firstLine="480" w:firstLineChars="200"/>
        <w:jc w:val="left"/>
        <w:rPr>
          <w:rFonts w:hint="eastAsia" w:ascii="宋体" w:hAnsi="宋体" w:eastAsia="宋体" w:cs="Times New Roman"/>
          <w:sz w:val="24"/>
          <w:highlight w:val="none"/>
        </w:rPr>
      </w:pPr>
      <w:r>
        <w:rPr>
          <w:rFonts w:hint="eastAsia" w:ascii="宋体" w:hAnsi="宋体" w:eastAsia="宋体" w:cs="Times New Roman"/>
          <w:sz w:val="24"/>
          <w:highlight w:val="none"/>
        </w:rPr>
        <w:t xml:space="preserve">（4）经评标委员会认定评分畸高、畸低的。 </w:t>
      </w:r>
    </w:p>
    <w:sectPr>
      <w:footerReference r:id="rId9" w:type="first"/>
      <w:footerReference r:id="rId7" w:type="default"/>
      <w:footerReference r:id="rId8" w:type="even"/>
      <w:pgSz w:w="11906" w:h="16838"/>
      <w:pgMar w:top="1440" w:right="1440" w:bottom="1440" w:left="1440" w:header="851" w:footer="851" w:gutter="0"/>
      <w:pgBorders>
        <w:top w:val="none" w:sz="0" w:space="0"/>
        <w:left w:val="none" w:sz="0" w:space="0"/>
        <w:bottom w:val="none" w:sz="0" w:space="0"/>
        <w:right w:val="none" w:sz="0" w:space="0"/>
      </w:pgBorders>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HYKai U3HK">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S?o｡ﾀ?">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ヒラギノ角ゴ Pro W3">
    <w:altName w:val="MS Mincho"/>
    <w:panose1 w:val="00000000000000000000"/>
    <w:charset w:val="80"/>
    <w:family w:val="auto"/>
    <w:pitch w:val="default"/>
    <w:sig w:usb0="00000000" w:usb1="00000000" w:usb2="00000012" w:usb3="00000000" w:csb0="0002000D" w:csb1="00000000"/>
  </w:font>
  <w:font w:name="微软雅黑">
    <w:panose1 w:val="020B0503020204020204"/>
    <w:charset w:val="86"/>
    <w:family w:val="auto"/>
    <w:pitch w:val="default"/>
    <w:sig w:usb0="80000287" w:usb1="280F3C52"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before="120" w:after="120"/>
      <w:ind w:firstLine="422"/>
      <w:jc w:val="center"/>
      <w:rPr>
        <w:b/>
        <w:color w:val="984806"/>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06095" cy="292100"/>
              <wp:effectExtent l="19050" t="19050" r="12065" b="16510"/>
              <wp:wrapNone/>
              <wp:docPr id="5" name="文本框 3075"/>
              <wp:cNvGraphicFramePr/>
              <a:graphic xmlns:a="http://schemas.openxmlformats.org/drawingml/2006/main">
                <a:graphicData uri="http://schemas.microsoft.com/office/word/2010/wordprocessingShape">
                  <wps:wsp>
                    <wps:cNvSpPr txBox="1"/>
                    <wps:spPr>
                      <a:xfrm>
                        <a:off x="0" y="0"/>
                        <a:ext cx="506095" cy="292100"/>
                      </a:xfrm>
                      <a:prstGeom prst="rect">
                        <a:avLst/>
                      </a:prstGeom>
                      <a:noFill/>
                      <a:ln w="15875">
                        <a:noFill/>
                      </a:ln>
                    </wps:spPr>
                    <wps:txbx>
                      <w:txbxContent>
                        <w:p>
                          <w:pPr>
                            <w:pStyle w:val="56"/>
                            <w:spacing w:before="120" w:after="120"/>
                            <w:ind w:firstLine="422"/>
                            <w:jc w:val="center"/>
                          </w:pPr>
                          <w:r>
                            <w:rPr>
                              <w:rStyle w:val="93"/>
                              <w:b/>
                              <w:szCs w:val="21"/>
                            </w:rPr>
                            <w:t xml:space="preserve">- </w:t>
                          </w:r>
                          <w:r>
                            <w:rPr>
                              <w:b/>
                              <w:szCs w:val="21"/>
                            </w:rPr>
                            <w:fldChar w:fldCharType="begin"/>
                          </w:r>
                          <w:r>
                            <w:rPr>
                              <w:rStyle w:val="93"/>
                              <w:b/>
                              <w:szCs w:val="21"/>
                            </w:rPr>
                            <w:instrText xml:space="preserve">PAGE  </w:instrText>
                          </w:r>
                          <w:r>
                            <w:rPr>
                              <w:b/>
                              <w:szCs w:val="21"/>
                            </w:rPr>
                            <w:fldChar w:fldCharType="separate"/>
                          </w:r>
                          <w:r>
                            <w:rPr>
                              <w:rStyle w:val="93"/>
                              <w:b/>
                              <w:szCs w:val="21"/>
                            </w:rPr>
                            <w:t>36</w:t>
                          </w:r>
                          <w:r>
                            <w:rPr>
                              <w:b/>
                              <w:szCs w:val="21"/>
                            </w:rPr>
                            <w:fldChar w:fldCharType="end"/>
                          </w:r>
                          <w:r>
                            <w:rPr>
                              <w:rStyle w:val="93"/>
                              <w:b/>
                              <w:szCs w:val="21"/>
                            </w:rPr>
                            <w:t xml:space="preserve"> -</w:t>
                          </w:r>
                        </w:p>
                      </w:txbxContent>
                    </wps:txbx>
                    <wps:bodyPr wrap="none" lIns="0" tIns="0" rIns="0" bIns="0" upright="1">
                      <a:spAutoFit/>
                    </wps:bodyPr>
                  </wps:wsp>
                </a:graphicData>
              </a:graphic>
            </wp:anchor>
          </w:drawing>
        </mc:Choice>
        <mc:Fallback>
          <w:pict>
            <v:shape id="文本框 3075" o:spid="_x0000_s1026" o:spt="202" type="#_x0000_t202" style="position:absolute;left:0pt;margin-top:0pt;height:23pt;width:39.85pt;mso-position-horizontal:center;mso-position-horizontal-relative:margin;mso-wrap-style:none;z-index:251662336;mso-width-relative:page;mso-height-relative:page;" filled="f" stroked="f" coordsize="21600,21600" o:gfxdata="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b2qU1QAAAAMBAAAPAAAAAAAAAAEA&#10;IAAAACIAAABkcnMvZG93bnJldi54bWxQSwECFAAUAAAACACHTuJAV2zq8tkBAACkAwAADgAAAAAA&#10;AAABACAAAAAkAQAAZHJzL2Uyb0RvYy54bWxQSwUGAAAAAAYABgBZAQAAbwUAAAAA&#10;">
              <v:fill on="f" focussize="0,0"/>
              <v:stroke on="f" weight="1.25pt"/>
              <v:imagedata o:title=""/>
              <o:lock v:ext="edit" aspectratio="f"/>
              <v:textbox inset="0mm,0mm,0mm,0mm" style="mso-fit-shape-to-text:t;">
                <w:txbxContent>
                  <w:p>
                    <w:pPr>
                      <w:pStyle w:val="56"/>
                      <w:spacing w:before="120" w:after="120"/>
                      <w:ind w:firstLine="422"/>
                      <w:jc w:val="center"/>
                    </w:pPr>
                    <w:r>
                      <w:rPr>
                        <w:rStyle w:val="93"/>
                        <w:b/>
                        <w:szCs w:val="21"/>
                      </w:rPr>
                      <w:t xml:space="preserve">- </w:t>
                    </w:r>
                    <w:r>
                      <w:rPr>
                        <w:b/>
                        <w:szCs w:val="21"/>
                      </w:rPr>
                      <w:fldChar w:fldCharType="begin"/>
                    </w:r>
                    <w:r>
                      <w:rPr>
                        <w:rStyle w:val="93"/>
                        <w:b/>
                        <w:szCs w:val="21"/>
                      </w:rPr>
                      <w:instrText xml:space="preserve">PAGE  </w:instrText>
                    </w:r>
                    <w:r>
                      <w:rPr>
                        <w:b/>
                        <w:szCs w:val="21"/>
                      </w:rPr>
                      <w:fldChar w:fldCharType="separate"/>
                    </w:r>
                    <w:r>
                      <w:rPr>
                        <w:rStyle w:val="93"/>
                        <w:b/>
                        <w:szCs w:val="21"/>
                      </w:rPr>
                      <w:t>36</w:t>
                    </w:r>
                    <w:r>
                      <w:rPr>
                        <w:b/>
                        <w:szCs w:val="21"/>
                      </w:rPr>
                      <w:fldChar w:fldCharType="end"/>
                    </w:r>
                    <w:r>
                      <w:rPr>
                        <w:rStyle w:val="93"/>
                        <w:b/>
                        <w:szCs w:val="21"/>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1312" behindDoc="0" locked="0" layoutInCell="1" allowOverlap="1">
              <wp:simplePos x="0" y="0"/>
              <wp:positionH relativeFrom="margin">
                <wp:posOffset>2780030</wp:posOffset>
              </wp:positionH>
              <wp:positionV relativeFrom="paragraph">
                <wp:posOffset>-26035</wp:posOffset>
              </wp:positionV>
              <wp:extent cx="327660" cy="157480"/>
              <wp:effectExtent l="19050" t="19050" r="15240" b="13970"/>
              <wp:wrapNone/>
              <wp:docPr id="3" name="文本框 3074"/>
              <wp:cNvGraphicFramePr/>
              <a:graphic xmlns:a="http://schemas.openxmlformats.org/drawingml/2006/main">
                <a:graphicData uri="http://schemas.microsoft.com/office/word/2010/wordprocessingShape">
                  <wps:wsp>
                    <wps:cNvSpPr txBox="1"/>
                    <wps:spPr>
                      <a:xfrm>
                        <a:off x="0" y="0"/>
                        <a:ext cx="327660" cy="157480"/>
                      </a:xfrm>
                      <a:prstGeom prst="rect">
                        <a:avLst/>
                      </a:prstGeom>
                      <a:noFill/>
                      <a:ln w="15875">
                        <a:noFill/>
                      </a:ln>
                    </wps:spPr>
                    <wps:txbx>
                      <w:txbxContent>
                        <w:p>
                          <w:pPr>
                            <w:pStyle w:val="56"/>
                            <w:jc w:val="center"/>
                          </w:pPr>
                          <w:r>
                            <w:rPr>
                              <w:b/>
                              <w:sz w:val="24"/>
                            </w:rPr>
                            <w:fldChar w:fldCharType="begin"/>
                          </w:r>
                          <w:r>
                            <w:rPr>
                              <w:b/>
                            </w:rPr>
                            <w:instrText xml:space="preserve">PAGE</w:instrText>
                          </w:r>
                          <w:r>
                            <w:rPr>
                              <w:b/>
                              <w:sz w:val="24"/>
                            </w:rPr>
                            <w:fldChar w:fldCharType="separate"/>
                          </w:r>
                          <w:r>
                            <w:rPr>
                              <w:b/>
                            </w:rPr>
                            <w:t>1</w:t>
                          </w:r>
                          <w:r>
                            <w:rPr>
                              <w:b/>
                              <w:sz w:val="24"/>
                            </w:rPr>
                            <w:fldChar w:fldCharType="end"/>
                          </w:r>
                        </w:p>
                      </w:txbxContent>
                    </wps:txbx>
                    <wps:bodyPr lIns="0" tIns="0" rIns="0" bIns="0" upright="1"/>
                  </wps:wsp>
                </a:graphicData>
              </a:graphic>
            </wp:anchor>
          </w:drawing>
        </mc:Choice>
        <mc:Fallback>
          <w:pict>
            <v:shape id="文本框 3074" o:spid="_x0000_s1026" o:spt="202" type="#_x0000_t202" style="position:absolute;left:0pt;margin-left:218.9pt;margin-top:-2.05pt;height:12.4pt;width:25.8pt;mso-position-horizontal-relative:margin;z-index:251661312;mso-width-relative:page;mso-height-relative:page;" filled="f" stroked="f" coordsize="21600,21600" o:gfxdata="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kwuNvZAAAACQEAAA8AAAAAAAAAAQAgAAAAIgAAAGRycy9kb3du&#10;cmV2LnhtbFBLAQIUABQAAAAIAIdO4kDrsztCxQEAAH4DAAAOAAAAAAAAAAEAIAAAACgBAABkcnMv&#10;ZTJvRG9jLnhtbFBLBQYAAAAABgAGAFkBAABfBQAAAAA=&#10;">
              <v:fill on="f" focussize="0,0"/>
              <v:stroke on="f" weight="1.25pt"/>
              <v:imagedata o:title=""/>
              <o:lock v:ext="edit" aspectratio="f"/>
              <v:textbox inset="0mm,0mm,0mm,0mm">
                <w:txbxContent>
                  <w:p>
                    <w:pPr>
                      <w:pStyle w:val="56"/>
                      <w:jc w:val="center"/>
                    </w:pPr>
                    <w:r>
                      <w:rPr>
                        <w:b/>
                        <w:sz w:val="24"/>
                      </w:rPr>
                      <w:fldChar w:fldCharType="begin"/>
                    </w:r>
                    <w:r>
                      <w:rPr>
                        <w:b/>
                      </w:rPr>
                      <w:instrText xml:space="preserve">PAGE</w:instrText>
                    </w:r>
                    <w:r>
                      <w:rPr>
                        <w:b/>
                        <w:sz w:val="24"/>
                      </w:rPr>
                      <w:fldChar w:fldCharType="separate"/>
                    </w:r>
                    <w:r>
                      <w:rPr>
                        <w:b/>
                      </w:rPr>
                      <w:t>1</w:t>
                    </w:r>
                    <w:r>
                      <w:rPr>
                        <w:b/>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162560"/>
              <wp:effectExtent l="19050" t="19050" r="12065" b="12700"/>
              <wp:wrapNone/>
              <wp:docPr id="2" name="文本框 3076"/>
              <wp:cNvGraphicFramePr/>
              <a:graphic xmlns:a="http://schemas.openxmlformats.org/drawingml/2006/main">
                <a:graphicData uri="http://schemas.microsoft.com/office/word/2010/wordprocessingShape">
                  <wps:wsp>
                    <wps:cNvSpPr txBox="1"/>
                    <wps:spPr>
                      <a:xfrm>
                        <a:off x="0" y="0"/>
                        <a:ext cx="445135" cy="162560"/>
                      </a:xfrm>
                      <a:prstGeom prst="rect">
                        <a:avLst/>
                      </a:prstGeom>
                      <a:noFill/>
                      <a:ln w="15875">
                        <a:noFill/>
                      </a:ln>
                    </wps:spPr>
                    <wps:txbx>
                      <w:txbxContent>
                        <w:p>
                          <w:pPr>
                            <w:rPr>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48</w:t>
                          </w:r>
                          <w:r>
                            <w:rPr>
                              <w:sz w:val="21"/>
                              <w:szCs w:val="21"/>
                            </w:rPr>
                            <w:fldChar w:fldCharType="end"/>
                          </w:r>
                        </w:p>
                      </w:txbxContent>
                    </wps:txbx>
                    <wps:bodyPr lIns="0" tIns="0" rIns="0" bIns="0" upright="1">
                      <a:spAutoFit/>
                    </wps:bodyPr>
                  </wps:wsp>
                </a:graphicData>
              </a:graphic>
            </wp:anchor>
          </w:drawing>
        </mc:Choice>
        <mc:Fallback>
          <w:pict>
            <v:shape id="文本框 3076" o:spid="_x0000_s1026" o:spt="202" type="#_x0000_t202" style="position:absolute;left:0pt;margin-top:0pt;height:12.8pt;width:35.05pt;mso-position-horizontal:center;mso-position-horizontal-relative:margin;z-index:251659264;mso-width-relative:page;mso-height-relative:page;" filled="f" stroked="f" coordsize="21600,21600" o:gfxdata="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e+VIDUAAAAAwEAAA8AAAAAAAAAAQAgAAAAIgAA&#10;AGRycy9kb3ducmV2LnhtbFBLAQIUABQAAAAIAIdO4kD0mUfY0wEAAJgDAAAOAAAAAAAAAAEAIAAA&#10;ACMBAABkcnMvZTJvRG9jLnhtbFBLBQYAAAAABgAGAFkBAABoBQAAAAA=&#10;">
              <v:fill on="f" focussize="0,0"/>
              <v:stroke on="f" weight="1.25pt"/>
              <v:imagedata o:title=""/>
              <o:lock v:ext="edit" aspectratio="f"/>
              <v:textbox inset="0mm,0mm,0mm,0mm" style="mso-fit-shape-to-text:t;">
                <w:txbxContent>
                  <w:p>
                    <w:pPr>
                      <w:rPr>
                        <w:sz w:val="21"/>
                        <w:szCs w:val="21"/>
                      </w:rPr>
                    </w:pPr>
                    <w:r>
                      <w:rPr>
                        <w:sz w:val="21"/>
                        <w:szCs w:val="21"/>
                      </w:rPr>
                      <w:fldChar w:fldCharType="begin"/>
                    </w:r>
                    <w:r>
                      <w:rPr>
                        <w:sz w:val="21"/>
                        <w:szCs w:val="21"/>
                      </w:rPr>
                      <w:instrText xml:space="preserve">PAGE</w:instrText>
                    </w:r>
                    <w:r>
                      <w:rPr>
                        <w:sz w:val="21"/>
                        <w:szCs w:val="21"/>
                      </w:rPr>
                      <w:fldChar w:fldCharType="separate"/>
                    </w:r>
                    <w:r>
                      <w:rPr>
                        <w:sz w:val="21"/>
                        <w:szCs w:val="21"/>
                      </w:rPr>
                      <w:t>48</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1</w:t>
    </w:r>
    <w:r>
      <w:fldChar w:fldCharType="end"/>
    </w:r>
  </w:p>
  <w:p/>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340" cy="217170"/>
              <wp:effectExtent l="19050" t="19050" r="13970" b="15240"/>
              <wp:wrapNone/>
              <wp:docPr id="4" name="文本框 3077"/>
              <wp:cNvGraphicFramePr/>
              <a:graphic xmlns:a="http://schemas.openxmlformats.org/drawingml/2006/main">
                <a:graphicData uri="http://schemas.microsoft.com/office/word/2010/wordprocessingShape">
                  <wps:wsp>
                    <wps:cNvSpPr txBox="1"/>
                    <wps:spPr>
                      <a:xfrm>
                        <a:off x="0" y="0"/>
                        <a:ext cx="180340" cy="217170"/>
                      </a:xfrm>
                      <a:prstGeom prst="rect">
                        <a:avLst/>
                      </a:prstGeom>
                      <a:noFill/>
                      <a:ln w="15875">
                        <a:noFill/>
                      </a:ln>
                    </wps:spPr>
                    <wps:txbx>
                      <w:txbxContent>
                        <w:p>
                          <w:r>
                            <w:fldChar w:fldCharType="begin"/>
                          </w:r>
                          <w:r>
                            <w:instrText xml:space="preserve">PAGE</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3077" o:spid="_x0000_s1026" o:spt="202" type="#_x0000_t202" style="position:absolute;left:0pt;margin-top:0pt;height:17.1pt;width:14.2pt;mso-position-horizontal:center;mso-position-horizontal-relative:margin;mso-wrap-style:none;z-index:251660288;mso-width-relative:page;mso-height-relative:page;" filled="f" stroked="f" coordsize="21600,21600" o:gfxdata="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Xyv8XUAAAAAwEAAA8AAAAAAAAAAQAg&#10;AAAAIgAAAGRycy9kb3ducmV2LnhtbFBLAQIUABQAAAAIAIdO4kD7jq0C2QEAAKQDAAAOAAAAAAAA&#10;AAEAIAAAACMBAABkcnMvZTJvRG9jLnhtbFBLBQYAAAAABgAGAFkBAABuBQAAAAA=&#10;">
              <v:fill on="f" focussize="0,0"/>
              <v:stroke on="f" weight="1.25pt"/>
              <v:imagedata o:title=""/>
              <o:lock v:ext="edit" aspectratio="f"/>
              <v:textbox inset="0mm,0mm,0mm,0mm" style="mso-fit-shape-to-text:t;">
                <w:txbxContent>
                  <w:p>
                    <w:r>
                      <w:fldChar w:fldCharType="begin"/>
                    </w:r>
                    <w:r>
                      <w:instrText xml:space="preserve">PAGE</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8FC4"/>
    <w:multiLevelType w:val="singleLevel"/>
    <w:tmpl w:val="99C78FC4"/>
    <w:lvl w:ilvl="0" w:tentative="0">
      <w:start w:val="3"/>
      <w:numFmt w:val="chineseCounting"/>
      <w:suff w:val="space"/>
      <w:lvlText w:val="第%1部分"/>
      <w:lvlJc w:val="left"/>
      <w:rPr>
        <w:rFonts w:hint="eastAsia"/>
      </w:rPr>
    </w:lvl>
  </w:abstractNum>
  <w:abstractNum w:abstractNumId="1">
    <w:nsid w:val="9F86915B"/>
    <w:multiLevelType w:val="singleLevel"/>
    <w:tmpl w:val="9F86915B"/>
    <w:lvl w:ilvl="0" w:tentative="0">
      <w:start w:val="2"/>
      <w:numFmt w:val="decimal"/>
      <w:suff w:val="nothing"/>
      <w:lvlText w:val="%1、"/>
      <w:lvlJc w:val="left"/>
    </w:lvl>
  </w:abstractNum>
  <w:abstractNum w:abstractNumId="2">
    <w:nsid w:val="F674539E"/>
    <w:multiLevelType w:val="singleLevel"/>
    <w:tmpl w:val="F674539E"/>
    <w:lvl w:ilvl="0" w:tentative="0">
      <w:start w:val="1"/>
      <w:numFmt w:val="decimal"/>
      <w:suff w:val="nothing"/>
      <w:lvlText w:val="（%1）"/>
      <w:lvlJc w:val="left"/>
    </w:lvl>
  </w:abstractNum>
  <w:abstractNum w:abstractNumId="3">
    <w:nsid w:val="00000010"/>
    <w:multiLevelType w:val="singleLevel"/>
    <w:tmpl w:val="00000010"/>
    <w:lvl w:ilvl="0" w:tentative="0">
      <w:start w:val="2"/>
      <w:numFmt w:val="chineseCounting"/>
      <w:suff w:val="nothing"/>
      <w:lvlText w:val="%1、"/>
      <w:lvlJc w:val="left"/>
    </w:lvl>
  </w:abstractNum>
  <w:abstractNum w:abstractNumId="4">
    <w:nsid w:val="5774CE74"/>
    <w:multiLevelType w:val="singleLevel"/>
    <w:tmpl w:val="5774CE7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ZTY3MzZlYjJiY2ZhMTA2MTg2M2I2NWY2NzY4MGYifQ=="/>
  </w:docVars>
  <w:rsids>
    <w:rsidRoot w:val="00172A27"/>
    <w:rsid w:val="00046B9C"/>
    <w:rsid w:val="00105D0F"/>
    <w:rsid w:val="001110CA"/>
    <w:rsid w:val="0015040C"/>
    <w:rsid w:val="00184430"/>
    <w:rsid w:val="001A0CD4"/>
    <w:rsid w:val="001B2290"/>
    <w:rsid w:val="002272AD"/>
    <w:rsid w:val="003A0BA2"/>
    <w:rsid w:val="003A42CB"/>
    <w:rsid w:val="00430F02"/>
    <w:rsid w:val="00483399"/>
    <w:rsid w:val="0048446F"/>
    <w:rsid w:val="004C5C7F"/>
    <w:rsid w:val="00553F2B"/>
    <w:rsid w:val="00560C55"/>
    <w:rsid w:val="00592201"/>
    <w:rsid w:val="005F42E1"/>
    <w:rsid w:val="00656595"/>
    <w:rsid w:val="007221E1"/>
    <w:rsid w:val="007506F2"/>
    <w:rsid w:val="00750C8A"/>
    <w:rsid w:val="007676F2"/>
    <w:rsid w:val="00785368"/>
    <w:rsid w:val="007A5D82"/>
    <w:rsid w:val="007C3852"/>
    <w:rsid w:val="007D6267"/>
    <w:rsid w:val="00805039"/>
    <w:rsid w:val="00806165"/>
    <w:rsid w:val="00860E97"/>
    <w:rsid w:val="008618A5"/>
    <w:rsid w:val="00874F52"/>
    <w:rsid w:val="008B1278"/>
    <w:rsid w:val="008B19E7"/>
    <w:rsid w:val="008B6D38"/>
    <w:rsid w:val="009175E9"/>
    <w:rsid w:val="00965F66"/>
    <w:rsid w:val="00984C10"/>
    <w:rsid w:val="009F125B"/>
    <w:rsid w:val="00B01166"/>
    <w:rsid w:val="00B1163D"/>
    <w:rsid w:val="00B32473"/>
    <w:rsid w:val="00B34A9D"/>
    <w:rsid w:val="00BC71A5"/>
    <w:rsid w:val="00C23D3C"/>
    <w:rsid w:val="00C613E1"/>
    <w:rsid w:val="00C82A52"/>
    <w:rsid w:val="00C83E71"/>
    <w:rsid w:val="00C94444"/>
    <w:rsid w:val="00CB7716"/>
    <w:rsid w:val="00E20DA8"/>
    <w:rsid w:val="00E339FD"/>
    <w:rsid w:val="00F03D08"/>
    <w:rsid w:val="00FC5D2D"/>
    <w:rsid w:val="010B2802"/>
    <w:rsid w:val="01837A40"/>
    <w:rsid w:val="01A952A5"/>
    <w:rsid w:val="01C072D1"/>
    <w:rsid w:val="01C615A6"/>
    <w:rsid w:val="01E711B5"/>
    <w:rsid w:val="020E0671"/>
    <w:rsid w:val="02577D83"/>
    <w:rsid w:val="02654B85"/>
    <w:rsid w:val="026F2561"/>
    <w:rsid w:val="02813A13"/>
    <w:rsid w:val="029E2CCC"/>
    <w:rsid w:val="02AE511D"/>
    <w:rsid w:val="02EA1ADD"/>
    <w:rsid w:val="02F33DBC"/>
    <w:rsid w:val="037607A9"/>
    <w:rsid w:val="0378149B"/>
    <w:rsid w:val="03B33683"/>
    <w:rsid w:val="03DB2139"/>
    <w:rsid w:val="03ED592B"/>
    <w:rsid w:val="03F073E5"/>
    <w:rsid w:val="03F52021"/>
    <w:rsid w:val="041640DB"/>
    <w:rsid w:val="041F7582"/>
    <w:rsid w:val="04CD0F04"/>
    <w:rsid w:val="05002583"/>
    <w:rsid w:val="05452235"/>
    <w:rsid w:val="056326BB"/>
    <w:rsid w:val="058C3A28"/>
    <w:rsid w:val="05923329"/>
    <w:rsid w:val="05D620BB"/>
    <w:rsid w:val="05DD06BF"/>
    <w:rsid w:val="0606640A"/>
    <w:rsid w:val="060B5498"/>
    <w:rsid w:val="06822BCA"/>
    <w:rsid w:val="06960499"/>
    <w:rsid w:val="07451925"/>
    <w:rsid w:val="07573A4B"/>
    <w:rsid w:val="078A289D"/>
    <w:rsid w:val="07F26E99"/>
    <w:rsid w:val="081517C9"/>
    <w:rsid w:val="08184C06"/>
    <w:rsid w:val="084E399F"/>
    <w:rsid w:val="087264C3"/>
    <w:rsid w:val="08984F42"/>
    <w:rsid w:val="0899065E"/>
    <w:rsid w:val="08A54D99"/>
    <w:rsid w:val="08E47FB5"/>
    <w:rsid w:val="095C6CEE"/>
    <w:rsid w:val="09711B06"/>
    <w:rsid w:val="09BC05D4"/>
    <w:rsid w:val="09FE29B2"/>
    <w:rsid w:val="0A153EEE"/>
    <w:rsid w:val="0A1D7D5B"/>
    <w:rsid w:val="0A2A720D"/>
    <w:rsid w:val="0A7342ED"/>
    <w:rsid w:val="0AB63659"/>
    <w:rsid w:val="0AE679B4"/>
    <w:rsid w:val="0AFA112A"/>
    <w:rsid w:val="0B4E3937"/>
    <w:rsid w:val="0B93596A"/>
    <w:rsid w:val="0BB95E99"/>
    <w:rsid w:val="0BD0782D"/>
    <w:rsid w:val="0C023294"/>
    <w:rsid w:val="0C247E76"/>
    <w:rsid w:val="0C557468"/>
    <w:rsid w:val="0CAE43B6"/>
    <w:rsid w:val="0CB03DE2"/>
    <w:rsid w:val="0D0E17A6"/>
    <w:rsid w:val="0D3B52AC"/>
    <w:rsid w:val="0D6A666D"/>
    <w:rsid w:val="0DA021E1"/>
    <w:rsid w:val="0DCF3E18"/>
    <w:rsid w:val="0DDC200F"/>
    <w:rsid w:val="0DFE7425"/>
    <w:rsid w:val="0E1F64EC"/>
    <w:rsid w:val="0E230E64"/>
    <w:rsid w:val="0E491215"/>
    <w:rsid w:val="0E4B0190"/>
    <w:rsid w:val="0E4E2B84"/>
    <w:rsid w:val="0E9B24BE"/>
    <w:rsid w:val="0EB56998"/>
    <w:rsid w:val="0EC57F43"/>
    <w:rsid w:val="0EDC7776"/>
    <w:rsid w:val="0EE051A1"/>
    <w:rsid w:val="0EE20AF5"/>
    <w:rsid w:val="0F2F2629"/>
    <w:rsid w:val="0F5425F0"/>
    <w:rsid w:val="0F543258"/>
    <w:rsid w:val="0F730ED6"/>
    <w:rsid w:val="0FC06D70"/>
    <w:rsid w:val="101B147A"/>
    <w:rsid w:val="10223FCA"/>
    <w:rsid w:val="104A4EA6"/>
    <w:rsid w:val="1066305F"/>
    <w:rsid w:val="10715AE1"/>
    <w:rsid w:val="109D6373"/>
    <w:rsid w:val="10D87FE7"/>
    <w:rsid w:val="10D968D8"/>
    <w:rsid w:val="110C481C"/>
    <w:rsid w:val="111B21B7"/>
    <w:rsid w:val="113C368A"/>
    <w:rsid w:val="117222C4"/>
    <w:rsid w:val="11BA40BE"/>
    <w:rsid w:val="11F61B66"/>
    <w:rsid w:val="123216F5"/>
    <w:rsid w:val="12680B77"/>
    <w:rsid w:val="12696F23"/>
    <w:rsid w:val="12AA4B5F"/>
    <w:rsid w:val="13285976"/>
    <w:rsid w:val="134A777C"/>
    <w:rsid w:val="136B0FEB"/>
    <w:rsid w:val="13D06AF7"/>
    <w:rsid w:val="143B1038"/>
    <w:rsid w:val="14951D9C"/>
    <w:rsid w:val="149F13F6"/>
    <w:rsid w:val="14FD28A1"/>
    <w:rsid w:val="152B18E9"/>
    <w:rsid w:val="15494A12"/>
    <w:rsid w:val="157F1012"/>
    <w:rsid w:val="158C40F9"/>
    <w:rsid w:val="15E57EC7"/>
    <w:rsid w:val="1619234F"/>
    <w:rsid w:val="161A7793"/>
    <w:rsid w:val="1633429D"/>
    <w:rsid w:val="167C4C19"/>
    <w:rsid w:val="167F5485"/>
    <w:rsid w:val="16B31F43"/>
    <w:rsid w:val="16DC0C5E"/>
    <w:rsid w:val="17973BFE"/>
    <w:rsid w:val="17F61B9F"/>
    <w:rsid w:val="17FB413D"/>
    <w:rsid w:val="18507FB2"/>
    <w:rsid w:val="18521DAF"/>
    <w:rsid w:val="189746FE"/>
    <w:rsid w:val="18CB3510"/>
    <w:rsid w:val="194B6781"/>
    <w:rsid w:val="196914EC"/>
    <w:rsid w:val="198627DE"/>
    <w:rsid w:val="198A7DBF"/>
    <w:rsid w:val="199D21E8"/>
    <w:rsid w:val="19B80DD0"/>
    <w:rsid w:val="1A223074"/>
    <w:rsid w:val="1A295940"/>
    <w:rsid w:val="1A2A15A2"/>
    <w:rsid w:val="1A8A43E1"/>
    <w:rsid w:val="1A8C4243"/>
    <w:rsid w:val="1AE068C5"/>
    <w:rsid w:val="1B30102A"/>
    <w:rsid w:val="1B4F408D"/>
    <w:rsid w:val="1B6C41F2"/>
    <w:rsid w:val="1BF55942"/>
    <w:rsid w:val="1C237DF4"/>
    <w:rsid w:val="1C4B7E6F"/>
    <w:rsid w:val="1C6C46BD"/>
    <w:rsid w:val="1CC27AE3"/>
    <w:rsid w:val="1D0F4FB7"/>
    <w:rsid w:val="1D201A32"/>
    <w:rsid w:val="1D33351A"/>
    <w:rsid w:val="1D3F35B6"/>
    <w:rsid w:val="1DB93552"/>
    <w:rsid w:val="1E027AA5"/>
    <w:rsid w:val="1E151C3A"/>
    <w:rsid w:val="1E20715B"/>
    <w:rsid w:val="1E505F0B"/>
    <w:rsid w:val="1EA96F39"/>
    <w:rsid w:val="1EC16BA6"/>
    <w:rsid w:val="1F0C571A"/>
    <w:rsid w:val="1F3C4E81"/>
    <w:rsid w:val="1F561577"/>
    <w:rsid w:val="1F7223F2"/>
    <w:rsid w:val="1FA106FA"/>
    <w:rsid w:val="200F4D20"/>
    <w:rsid w:val="20187BAF"/>
    <w:rsid w:val="203750E3"/>
    <w:rsid w:val="20464961"/>
    <w:rsid w:val="205365D2"/>
    <w:rsid w:val="20725435"/>
    <w:rsid w:val="207563B3"/>
    <w:rsid w:val="20766BA9"/>
    <w:rsid w:val="20770D67"/>
    <w:rsid w:val="20B91EA5"/>
    <w:rsid w:val="211A121C"/>
    <w:rsid w:val="214B6018"/>
    <w:rsid w:val="215E710C"/>
    <w:rsid w:val="217852AA"/>
    <w:rsid w:val="217E2967"/>
    <w:rsid w:val="21CF3757"/>
    <w:rsid w:val="222A6E35"/>
    <w:rsid w:val="22430C24"/>
    <w:rsid w:val="22542E83"/>
    <w:rsid w:val="226F7C8D"/>
    <w:rsid w:val="22ED6DD3"/>
    <w:rsid w:val="2309444A"/>
    <w:rsid w:val="230B6414"/>
    <w:rsid w:val="236B1D54"/>
    <w:rsid w:val="23A103BA"/>
    <w:rsid w:val="23C34EED"/>
    <w:rsid w:val="243F1760"/>
    <w:rsid w:val="24550402"/>
    <w:rsid w:val="245D51DE"/>
    <w:rsid w:val="24917ED4"/>
    <w:rsid w:val="2498112B"/>
    <w:rsid w:val="24A41B3F"/>
    <w:rsid w:val="24C97C7C"/>
    <w:rsid w:val="24F17E21"/>
    <w:rsid w:val="251F4F79"/>
    <w:rsid w:val="25304CEF"/>
    <w:rsid w:val="255A12F8"/>
    <w:rsid w:val="25D95AFA"/>
    <w:rsid w:val="25E109A7"/>
    <w:rsid w:val="263E677D"/>
    <w:rsid w:val="264E4600"/>
    <w:rsid w:val="267E0CAB"/>
    <w:rsid w:val="268C708C"/>
    <w:rsid w:val="26A83F7A"/>
    <w:rsid w:val="26B00083"/>
    <w:rsid w:val="26F73B37"/>
    <w:rsid w:val="27285F86"/>
    <w:rsid w:val="273F5DE8"/>
    <w:rsid w:val="274D3D27"/>
    <w:rsid w:val="274F6F44"/>
    <w:rsid w:val="27C1060B"/>
    <w:rsid w:val="27D026D9"/>
    <w:rsid w:val="284F78ED"/>
    <w:rsid w:val="285E4905"/>
    <w:rsid w:val="28604DA2"/>
    <w:rsid w:val="28973C19"/>
    <w:rsid w:val="28A7062C"/>
    <w:rsid w:val="28D90E5A"/>
    <w:rsid w:val="28DB5305"/>
    <w:rsid w:val="28EA739C"/>
    <w:rsid w:val="29167089"/>
    <w:rsid w:val="29204352"/>
    <w:rsid w:val="293E3489"/>
    <w:rsid w:val="2961487E"/>
    <w:rsid w:val="29A165CA"/>
    <w:rsid w:val="29A4224D"/>
    <w:rsid w:val="29B353C7"/>
    <w:rsid w:val="29CE72F7"/>
    <w:rsid w:val="29D111B0"/>
    <w:rsid w:val="29D96817"/>
    <w:rsid w:val="29EC6874"/>
    <w:rsid w:val="29F7481B"/>
    <w:rsid w:val="2A402DDF"/>
    <w:rsid w:val="2A5A4B94"/>
    <w:rsid w:val="2A745EA9"/>
    <w:rsid w:val="2A773F3F"/>
    <w:rsid w:val="2AA965D8"/>
    <w:rsid w:val="2AAB5086"/>
    <w:rsid w:val="2ABE1FBE"/>
    <w:rsid w:val="2ADF2953"/>
    <w:rsid w:val="2AFF60DC"/>
    <w:rsid w:val="2B221336"/>
    <w:rsid w:val="2B2D4D56"/>
    <w:rsid w:val="2B844CB7"/>
    <w:rsid w:val="2BA9457F"/>
    <w:rsid w:val="2BE12A5C"/>
    <w:rsid w:val="2BE617CC"/>
    <w:rsid w:val="2C321B26"/>
    <w:rsid w:val="2C3C35AB"/>
    <w:rsid w:val="2C8971EF"/>
    <w:rsid w:val="2C8D7D1E"/>
    <w:rsid w:val="2CC67356"/>
    <w:rsid w:val="2CEA367C"/>
    <w:rsid w:val="2D270E78"/>
    <w:rsid w:val="2D45420C"/>
    <w:rsid w:val="2D6A6FA1"/>
    <w:rsid w:val="2D762592"/>
    <w:rsid w:val="2DD33E7F"/>
    <w:rsid w:val="2E0D1552"/>
    <w:rsid w:val="2E210D4E"/>
    <w:rsid w:val="2E27100A"/>
    <w:rsid w:val="2E573AA5"/>
    <w:rsid w:val="2E704040"/>
    <w:rsid w:val="2E8D6BDF"/>
    <w:rsid w:val="2E97057D"/>
    <w:rsid w:val="2EF97CB1"/>
    <w:rsid w:val="2F1A4829"/>
    <w:rsid w:val="2F1C4EFB"/>
    <w:rsid w:val="2F2D6148"/>
    <w:rsid w:val="2F6E2F66"/>
    <w:rsid w:val="300719F8"/>
    <w:rsid w:val="300828E8"/>
    <w:rsid w:val="300D74F0"/>
    <w:rsid w:val="30254BBA"/>
    <w:rsid w:val="30420971"/>
    <w:rsid w:val="30446884"/>
    <w:rsid w:val="30545622"/>
    <w:rsid w:val="30556DE4"/>
    <w:rsid w:val="305E56A9"/>
    <w:rsid w:val="306F5936"/>
    <w:rsid w:val="308325B9"/>
    <w:rsid w:val="30BF5A92"/>
    <w:rsid w:val="30C76D38"/>
    <w:rsid w:val="30F31C59"/>
    <w:rsid w:val="314119D6"/>
    <w:rsid w:val="315B7A52"/>
    <w:rsid w:val="318906F7"/>
    <w:rsid w:val="318D4B5D"/>
    <w:rsid w:val="31B60A82"/>
    <w:rsid w:val="31E51E1D"/>
    <w:rsid w:val="31F304E5"/>
    <w:rsid w:val="31F51537"/>
    <w:rsid w:val="3215507D"/>
    <w:rsid w:val="32694630"/>
    <w:rsid w:val="330C763F"/>
    <w:rsid w:val="33271B84"/>
    <w:rsid w:val="336F6F2E"/>
    <w:rsid w:val="337E7723"/>
    <w:rsid w:val="338671FC"/>
    <w:rsid w:val="33891706"/>
    <w:rsid w:val="33BA0EA6"/>
    <w:rsid w:val="33DD33F2"/>
    <w:rsid w:val="341651D4"/>
    <w:rsid w:val="34826468"/>
    <w:rsid w:val="348B59A6"/>
    <w:rsid w:val="34AE18E6"/>
    <w:rsid w:val="34BC5828"/>
    <w:rsid w:val="350923E4"/>
    <w:rsid w:val="352418B1"/>
    <w:rsid w:val="352C3FC8"/>
    <w:rsid w:val="355C0C06"/>
    <w:rsid w:val="35706F69"/>
    <w:rsid w:val="35B66980"/>
    <w:rsid w:val="3658153F"/>
    <w:rsid w:val="36926AE2"/>
    <w:rsid w:val="369E781D"/>
    <w:rsid w:val="36C9525E"/>
    <w:rsid w:val="36CE43F1"/>
    <w:rsid w:val="370766BD"/>
    <w:rsid w:val="371A3086"/>
    <w:rsid w:val="37535A4A"/>
    <w:rsid w:val="378C5D93"/>
    <w:rsid w:val="37A76C8B"/>
    <w:rsid w:val="37A90660"/>
    <w:rsid w:val="37A9167F"/>
    <w:rsid w:val="37C12E31"/>
    <w:rsid w:val="37ED1778"/>
    <w:rsid w:val="380A0BF0"/>
    <w:rsid w:val="380E5F23"/>
    <w:rsid w:val="384D5C85"/>
    <w:rsid w:val="386B4226"/>
    <w:rsid w:val="38876FAC"/>
    <w:rsid w:val="389753B5"/>
    <w:rsid w:val="38A147CB"/>
    <w:rsid w:val="38B14A82"/>
    <w:rsid w:val="38EA7A68"/>
    <w:rsid w:val="38F60C98"/>
    <w:rsid w:val="392027F0"/>
    <w:rsid w:val="39203900"/>
    <w:rsid w:val="39CC4EF1"/>
    <w:rsid w:val="3A186A59"/>
    <w:rsid w:val="3A2242C0"/>
    <w:rsid w:val="3A351C05"/>
    <w:rsid w:val="3A6C0CAD"/>
    <w:rsid w:val="3A73756D"/>
    <w:rsid w:val="3AB6163F"/>
    <w:rsid w:val="3AE01ADD"/>
    <w:rsid w:val="3AE92BA1"/>
    <w:rsid w:val="3AEF235C"/>
    <w:rsid w:val="3B0B397F"/>
    <w:rsid w:val="3B0B695B"/>
    <w:rsid w:val="3B4A4CE2"/>
    <w:rsid w:val="3B6B26A0"/>
    <w:rsid w:val="3BAF3BA9"/>
    <w:rsid w:val="3CD56576"/>
    <w:rsid w:val="3CFA1A04"/>
    <w:rsid w:val="3D1238B4"/>
    <w:rsid w:val="3D6973AE"/>
    <w:rsid w:val="3DB37D0F"/>
    <w:rsid w:val="3DBC62DF"/>
    <w:rsid w:val="3E117690"/>
    <w:rsid w:val="3E136BDF"/>
    <w:rsid w:val="3E1D6004"/>
    <w:rsid w:val="3E6261E4"/>
    <w:rsid w:val="3E6F74C9"/>
    <w:rsid w:val="3EDB59CC"/>
    <w:rsid w:val="3EE17CE5"/>
    <w:rsid w:val="3EFE2742"/>
    <w:rsid w:val="3F143319"/>
    <w:rsid w:val="3F6633EF"/>
    <w:rsid w:val="3FD858F4"/>
    <w:rsid w:val="3FED4D64"/>
    <w:rsid w:val="400579DB"/>
    <w:rsid w:val="40092B7C"/>
    <w:rsid w:val="401E6A01"/>
    <w:rsid w:val="408C398B"/>
    <w:rsid w:val="40D4302C"/>
    <w:rsid w:val="413F05BC"/>
    <w:rsid w:val="41AC3470"/>
    <w:rsid w:val="41B73A43"/>
    <w:rsid w:val="42597F55"/>
    <w:rsid w:val="42743713"/>
    <w:rsid w:val="427710D4"/>
    <w:rsid w:val="42EF7DFD"/>
    <w:rsid w:val="42F43C48"/>
    <w:rsid w:val="431A79CE"/>
    <w:rsid w:val="4338060E"/>
    <w:rsid w:val="434B12D1"/>
    <w:rsid w:val="43B92016"/>
    <w:rsid w:val="441B7BDF"/>
    <w:rsid w:val="44210888"/>
    <w:rsid w:val="44451232"/>
    <w:rsid w:val="4474472C"/>
    <w:rsid w:val="447F176B"/>
    <w:rsid w:val="4490281D"/>
    <w:rsid w:val="44D165E9"/>
    <w:rsid w:val="44D47DD2"/>
    <w:rsid w:val="44F74E99"/>
    <w:rsid w:val="454F322C"/>
    <w:rsid w:val="45565F4E"/>
    <w:rsid w:val="45710B5A"/>
    <w:rsid w:val="45A402BB"/>
    <w:rsid w:val="45C854D1"/>
    <w:rsid w:val="45CE1336"/>
    <w:rsid w:val="45E352D9"/>
    <w:rsid w:val="4607532D"/>
    <w:rsid w:val="46274A64"/>
    <w:rsid w:val="46382F2F"/>
    <w:rsid w:val="46484442"/>
    <w:rsid w:val="46511A82"/>
    <w:rsid w:val="46DA4F9F"/>
    <w:rsid w:val="474D0C33"/>
    <w:rsid w:val="4777748A"/>
    <w:rsid w:val="477A70E1"/>
    <w:rsid w:val="478657BA"/>
    <w:rsid w:val="4819449C"/>
    <w:rsid w:val="481E51DE"/>
    <w:rsid w:val="485756B9"/>
    <w:rsid w:val="4878332F"/>
    <w:rsid w:val="48C00B23"/>
    <w:rsid w:val="48DE4D6F"/>
    <w:rsid w:val="49185FA1"/>
    <w:rsid w:val="4931350D"/>
    <w:rsid w:val="49534A2B"/>
    <w:rsid w:val="497C2481"/>
    <w:rsid w:val="49A86B61"/>
    <w:rsid w:val="49B45433"/>
    <w:rsid w:val="49E66897"/>
    <w:rsid w:val="49EE1472"/>
    <w:rsid w:val="49FE4A6C"/>
    <w:rsid w:val="4A04584E"/>
    <w:rsid w:val="4A0D683E"/>
    <w:rsid w:val="4A6D20DB"/>
    <w:rsid w:val="4A6E2C61"/>
    <w:rsid w:val="4AB2317A"/>
    <w:rsid w:val="4AB902B0"/>
    <w:rsid w:val="4ADC2AA9"/>
    <w:rsid w:val="4B5E0570"/>
    <w:rsid w:val="4B8D725E"/>
    <w:rsid w:val="4BB34A2D"/>
    <w:rsid w:val="4C644A2A"/>
    <w:rsid w:val="4D194D65"/>
    <w:rsid w:val="4D1F4085"/>
    <w:rsid w:val="4D2E492A"/>
    <w:rsid w:val="4D447CA9"/>
    <w:rsid w:val="4D746257"/>
    <w:rsid w:val="4DA94BCF"/>
    <w:rsid w:val="4DBC0187"/>
    <w:rsid w:val="4DF94D74"/>
    <w:rsid w:val="4E0F487E"/>
    <w:rsid w:val="4E283305"/>
    <w:rsid w:val="4E2B7285"/>
    <w:rsid w:val="4E3B4D0E"/>
    <w:rsid w:val="4E6406D0"/>
    <w:rsid w:val="4E6650FA"/>
    <w:rsid w:val="4E6B11EA"/>
    <w:rsid w:val="4EAB3171"/>
    <w:rsid w:val="4EDC1FD1"/>
    <w:rsid w:val="4EF05C87"/>
    <w:rsid w:val="4EF151D3"/>
    <w:rsid w:val="4F1926AC"/>
    <w:rsid w:val="4F6B0761"/>
    <w:rsid w:val="4F7F146C"/>
    <w:rsid w:val="4F833B28"/>
    <w:rsid w:val="4FAB38FC"/>
    <w:rsid w:val="4FE8313C"/>
    <w:rsid w:val="4FEE076E"/>
    <w:rsid w:val="50046E67"/>
    <w:rsid w:val="50795EBC"/>
    <w:rsid w:val="509A7AF6"/>
    <w:rsid w:val="50BB75B3"/>
    <w:rsid w:val="50C708CD"/>
    <w:rsid w:val="511710C4"/>
    <w:rsid w:val="514E2C72"/>
    <w:rsid w:val="518444AC"/>
    <w:rsid w:val="51B2463D"/>
    <w:rsid w:val="51E92CE8"/>
    <w:rsid w:val="52007C88"/>
    <w:rsid w:val="52010105"/>
    <w:rsid w:val="520D0121"/>
    <w:rsid w:val="52365BB5"/>
    <w:rsid w:val="528079D5"/>
    <w:rsid w:val="529C56BD"/>
    <w:rsid w:val="52BC6C24"/>
    <w:rsid w:val="52C76300"/>
    <w:rsid w:val="52DC3E47"/>
    <w:rsid w:val="531230A1"/>
    <w:rsid w:val="53174AC4"/>
    <w:rsid w:val="53376187"/>
    <w:rsid w:val="53593E62"/>
    <w:rsid w:val="536F682E"/>
    <w:rsid w:val="53762913"/>
    <w:rsid w:val="53884993"/>
    <w:rsid w:val="53BD2563"/>
    <w:rsid w:val="53CE0E91"/>
    <w:rsid w:val="543320AC"/>
    <w:rsid w:val="551567FC"/>
    <w:rsid w:val="5518642D"/>
    <w:rsid w:val="55697B41"/>
    <w:rsid w:val="55896582"/>
    <w:rsid w:val="55936CD6"/>
    <w:rsid w:val="55987982"/>
    <w:rsid w:val="55AC1DFD"/>
    <w:rsid w:val="55C15A59"/>
    <w:rsid w:val="55EB43BE"/>
    <w:rsid w:val="56080A4A"/>
    <w:rsid w:val="56381BE9"/>
    <w:rsid w:val="565C7F91"/>
    <w:rsid w:val="56837A94"/>
    <w:rsid w:val="56B941C9"/>
    <w:rsid w:val="56DE5BB3"/>
    <w:rsid w:val="56F64708"/>
    <w:rsid w:val="570A2A04"/>
    <w:rsid w:val="570D72B4"/>
    <w:rsid w:val="57697E8C"/>
    <w:rsid w:val="579A5ED4"/>
    <w:rsid w:val="579B16EB"/>
    <w:rsid w:val="57A1050A"/>
    <w:rsid w:val="57A203EE"/>
    <w:rsid w:val="57E72B71"/>
    <w:rsid w:val="57F74705"/>
    <w:rsid w:val="580B6CBB"/>
    <w:rsid w:val="58202107"/>
    <w:rsid w:val="5842527B"/>
    <w:rsid w:val="58720D6F"/>
    <w:rsid w:val="58892166"/>
    <w:rsid w:val="58AA7A08"/>
    <w:rsid w:val="58B33BE7"/>
    <w:rsid w:val="58BB154A"/>
    <w:rsid w:val="58CB5722"/>
    <w:rsid w:val="58EC0589"/>
    <w:rsid w:val="59311D5F"/>
    <w:rsid w:val="598A308A"/>
    <w:rsid w:val="5A0E4298"/>
    <w:rsid w:val="5A1036BA"/>
    <w:rsid w:val="5A171034"/>
    <w:rsid w:val="5A1C1CB8"/>
    <w:rsid w:val="5A54576A"/>
    <w:rsid w:val="5A640889"/>
    <w:rsid w:val="5A885363"/>
    <w:rsid w:val="5AA038A2"/>
    <w:rsid w:val="5AAB09D3"/>
    <w:rsid w:val="5AC15905"/>
    <w:rsid w:val="5ACA3D7E"/>
    <w:rsid w:val="5B101385"/>
    <w:rsid w:val="5B2B7962"/>
    <w:rsid w:val="5B6475EF"/>
    <w:rsid w:val="5B7F38DD"/>
    <w:rsid w:val="5BBB0BE8"/>
    <w:rsid w:val="5BD7060B"/>
    <w:rsid w:val="5BDC19F5"/>
    <w:rsid w:val="5C042EE3"/>
    <w:rsid w:val="5C065AF1"/>
    <w:rsid w:val="5C194A35"/>
    <w:rsid w:val="5C5D18A1"/>
    <w:rsid w:val="5C646F9E"/>
    <w:rsid w:val="5C735EB5"/>
    <w:rsid w:val="5CA14648"/>
    <w:rsid w:val="5CBC558A"/>
    <w:rsid w:val="5CBC7A3E"/>
    <w:rsid w:val="5CC37EFB"/>
    <w:rsid w:val="5CD66D82"/>
    <w:rsid w:val="5CD8418D"/>
    <w:rsid w:val="5D0837C4"/>
    <w:rsid w:val="5D9C78AA"/>
    <w:rsid w:val="5DEF78D2"/>
    <w:rsid w:val="5E0E40A4"/>
    <w:rsid w:val="5E2C6028"/>
    <w:rsid w:val="5E4E0C58"/>
    <w:rsid w:val="5E75780A"/>
    <w:rsid w:val="5E94420B"/>
    <w:rsid w:val="5F714E4F"/>
    <w:rsid w:val="5F847015"/>
    <w:rsid w:val="5F847EC5"/>
    <w:rsid w:val="5F882C8B"/>
    <w:rsid w:val="5F972869"/>
    <w:rsid w:val="5FC72C03"/>
    <w:rsid w:val="5FCA3622"/>
    <w:rsid w:val="5FCB71C1"/>
    <w:rsid w:val="5FDA3F29"/>
    <w:rsid w:val="5FF93FE7"/>
    <w:rsid w:val="5FFA4024"/>
    <w:rsid w:val="60007B03"/>
    <w:rsid w:val="601F4730"/>
    <w:rsid w:val="6037544B"/>
    <w:rsid w:val="604364E6"/>
    <w:rsid w:val="60591866"/>
    <w:rsid w:val="607D1904"/>
    <w:rsid w:val="609F0701"/>
    <w:rsid w:val="60B66CB8"/>
    <w:rsid w:val="60D33E59"/>
    <w:rsid w:val="60E41A82"/>
    <w:rsid w:val="60FC0DB4"/>
    <w:rsid w:val="611C3B9F"/>
    <w:rsid w:val="61223275"/>
    <w:rsid w:val="61392BA7"/>
    <w:rsid w:val="61956214"/>
    <w:rsid w:val="61AE2CA2"/>
    <w:rsid w:val="61D64B6E"/>
    <w:rsid w:val="61EB0C1A"/>
    <w:rsid w:val="62A06194"/>
    <w:rsid w:val="62F14861"/>
    <w:rsid w:val="62F9008A"/>
    <w:rsid w:val="631E1376"/>
    <w:rsid w:val="63420D3F"/>
    <w:rsid w:val="634243A5"/>
    <w:rsid w:val="63815462"/>
    <w:rsid w:val="639453FB"/>
    <w:rsid w:val="63BA48A6"/>
    <w:rsid w:val="63E91B90"/>
    <w:rsid w:val="6408782B"/>
    <w:rsid w:val="64231B19"/>
    <w:rsid w:val="643535FD"/>
    <w:rsid w:val="64606E2D"/>
    <w:rsid w:val="64C156CD"/>
    <w:rsid w:val="64D506A4"/>
    <w:rsid w:val="64E57E23"/>
    <w:rsid w:val="65791BFD"/>
    <w:rsid w:val="65A752B5"/>
    <w:rsid w:val="65AD68DC"/>
    <w:rsid w:val="65FD2036"/>
    <w:rsid w:val="66023AC3"/>
    <w:rsid w:val="665628D4"/>
    <w:rsid w:val="66583530"/>
    <w:rsid w:val="665D7379"/>
    <w:rsid w:val="66B55E98"/>
    <w:rsid w:val="66EB1838"/>
    <w:rsid w:val="67102C43"/>
    <w:rsid w:val="675C040B"/>
    <w:rsid w:val="67692272"/>
    <w:rsid w:val="67901D66"/>
    <w:rsid w:val="67EA2F22"/>
    <w:rsid w:val="67EB4169"/>
    <w:rsid w:val="67F0339C"/>
    <w:rsid w:val="68207E19"/>
    <w:rsid w:val="68261CA4"/>
    <w:rsid w:val="683861AC"/>
    <w:rsid w:val="68773746"/>
    <w:rsid w:val="688755A8"/>
    <w:rsid w:val="68971546"/>
    <w:rsid w:val="68B05B70"/>
    <w:rsid w:val="68B979BE"/>
    <w:rsid w:val="68FA42C7"/>
    <w:rsid w:val="69345F80"/>
    <w:rsid w:val="695D2868"/>
    <w:rsid w:val="69BC6964"/>
    <w:rsid w:val="69C718B7"/>
    <w:rsid w:val="6A022F6E"/>
    <w:rsid w:val="6A48400F"/>
    <w:rsid w:val="6AB3434D"/>
    <w:rsid w:val="6AF4596B"/>
    <w:rsid w:val="6AFA433D"/>
    <w:rsid w:val="6AFF160E"/>
    <w:rsid w:val="6B283E1D"/>
    <w:rsid w:val="6B45635D"/>
    <w:rsid w:val="6B7D77DB"/>
    <w:rsid w:val="6BC24852"/>
    <w:rsid w:val="6BEE37AA"/>
    <w:rsid w:val="6C0B7C80"/>
    <w:rsid w:val="6C3B3ABC"/>
    <w:rsid w:val="6CA67BE1"/>
    <w:rsid w:val="6D391D13"/>
    <w:rsid w:val="6D707478"/>
    <w:rsid w:val="6D77364D"/>
    <w:rsid w:val="6D814A2E"/>
    <w:rsid w:val="6DB0143E"/>
    <w:rsid w:val="6DBA7921"/>
    <w:rsid w:val="6DBB6E8A"/>
    <w:rsid w:val="6E194AB7"/>
    <w:rsid w:val="6E7A47FD"/>
    <w:rsid w:val="6E844C97"/>
    <w:rsid w:val="6ED5305C"/>
    <w:rsid w:val="6ED64A2C"/>
    <w:rsid w:val="6EE24655"/>
    <w:rsid w:val="6EF968F1"/>
    <w:rsid w:val="6F1956E5"/>
    <w:rsid w:val="6F6561D2"/>
    <w:rsid w:val="6F7C3791"/>
    <w:rsid w:val="6F942271"/>
    <w:rsid w:val="6FA166F8"/>
    <w:rsid w:val="6FB37264"/>
    <w:rsid w:val="6FBBF9A9"/>
    <w:rsid w:val="6FBC6748"/>
    <w:rsid w:val="6FCC42A6"/>
    <w:rsid w:val="6FD15564"/>
    <w:rsid w:val="6FED2329"/>
    <w:rsid w:val="6FEF189F"/>
    <w:rsid w:val="7002292B"/>
    <w:rsid w:val="70174123"/>
    <w:rsid w:val="70225CE3"/>
    <w:rsid w:val="704174B9"/>
    <w:rsid w:val="70792BF8"/>
    <w:rsid w:val="707D4190"/>
    <w:rsid w:val="708B3FDD"/>
    <w:rsid w:val="70A81E45"/>
    <w:rsid w:val="70DA32DB"/>
    <w:rsid w:val="70E24099"/>
    <w:rsid w:val="70F51656"/>
    <w:rsid w:val="70FA04FB"/>
    <w:rsid w:val="716345D7"/>
    <w:rsid w:val="716E0ADC"/>
    <w:rsid w:val="71702D53"/>
    <w:rsid w:val="71BD539E"/>
    <w:rsid w:val="71BE4523"/>
    <w:rsid w:val="72181718"/>
    <w:rsid w:val="722516E4"/>
    <w:rsid w:val="72343ADE"/>
    <w:rsid w:val="72B30E2F"/>
    <w:rsid w:val="72C41C4D"/>
    <w:rsid w:val="72EA4B34"/>
    <w:rsid w:val="731668E9"/>
    <w:rsid w:val="733834BD"/>
    <w:rsid w:val="735C36EF"/>
    <w:rsid w:val="736C12B6"/>
    <w:rsid w:val="738425B5"/>
    <w:rsid w:val="742064CB"/>
    <w:rsid w:val="748C6CC9"/>
    <w:rsid w:val="749C115B"/>
    <w:rsid w:val="74D83C2A"/>
    <w:rsid w:val="74DA558B"/>
    <w:rsid w:val="75350B62"/>
    <w:rsid w:val="75374DD3"/>
    <w:rsid w:val="756249A8"/>
    <w:rsid w:val="757705C9"/>
    <w:rsid w:val="75BB24D4"/>
    <w:rsid w:val="75D877AB"/>
    <w:rsid w:val="75E729C1"/>
    <w:rsid w:val="7639085E"/>
    <w:rsid w:val="763E0E8A"/>
    <w:rsid w:val="764A31E0"/>
    <w:rsid w:val="76607052"/>
    <w:rsid w:val="768E6803"/>
    <w:rsid w:val="76DF1CB2"/>
    <w:rsid w:val="76E50578"/>
    <w:rsid w:val="774E1EC3"/>
    <w:rsid w:val="774E6201"/>
    <w:rsid w:val="77511BBB"/>
    <w:rsid w:val="777A4838"/>
    <w:rsid w:val="779C38F8"/>
    <w:rsid w:val="779F007C"/>
    <w:rsid w:val="77A06624"/>
    <w:rsid w:val="77E14E03"/>
    <w:rsid w:val="77F25AB3"/>
    <w:rsid w:val="781A47C6"/>
    <w:rsid w:val="783F60A6"/>
    <w:rsid w:val="792E3343"/>
    <w:rsid w:val="79314D2C"/>
    <w:rsid w:val="794F2785"/>
    <w:rsid w:val="79BE699B"/>
    <w:rsid w:val="79CA0C80"/>
    <w:rsid w:val="79D12B3C"/>
    <w:rsid w:val="79D2240C"/>
    <w:rsid w:val="79FA55BE"/>
    <w:rsid w:val="7A046F87"/>
    <w:rsid w:val="7A2A40EC"/>
    <w:rsid w:val="7AA05D84"/>
    <w:rsid w:val="7AFD5CBE"/>
    <w:rsid w:val="7AFE2D0F"/>
    <w:rsid w:val="7B3C4416"/>
    <w:rsid w:val="7BA0708A"/>
    <w:rsid w:val="7BB55CE6"/>
    <w:rsid w:val="7BB95A03"/>
    <w:rsid w:val="7BC35C16"/>
    <w:rsid w:val="7BDD2E81"/>
    <w:rsid w:val="7BFA5AF3"/>
    <w:rsid w:val="7C271B08"/>
    <w:rsid w:val="7C32146D"/>
    <w:rsid w:val="7CC52137"/>
    <w:rsid w:val="7CD72D8F"/>
    <w:rsid w:val="7CF97313"/>
    <w:rsid w:val="7CFB3EE5"/>
    <w:rsid w:val="7D4718FD"/>
    <w:rsid w:val="7D603741"/>
    <w:rsid w:val="7D926F86"/>
    <w:rsid w:val="7DA912DF"/>
    <w:rsid w:val="7DAD4C26"/>
    <w:rsid w:val="7DAE6C1A"/>
    <w:rsid w:val="7DB00089"/>
    <w:rsid w:val="7DCD290B"/>
    <w:rsid w:val="7DEF755D"/>
    <w:rsid w:val="7E02576D"/>
    <w:rsid w:val="7E314846"/>
    <w:rsid w:val="7E6D3040"/>
    <w:rsid w:val="7EA30A0D"/>
    <w:rsid w:val="7EF30DFC"/>
    <w:rsid w:val="7EFE5C5E"/>
    <w:rsid w:val="7F042258"/>
    <w:rsid w:val="7F181931"/>
    <w:rsid w:val="7F6E1DB4"/>
    <w:rsid w:val="7F760C96"/>
    <w:rsid w:val="7F882FA3"/>
    <w:rsid w:val="7FCA4CAA"/>
    <w:rsid w:val="96C74957"/>
    <w:rsid w:val="FBDF01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104"/>
    <w:qFormat/>
    <w:uiPriority w:val="9"/>
    <w:pPr>
      <w:keepNext/>
      <w:widowControl/>
      <w:spacing w:line="360" w:lineRule="auto"/>
      <w:jc w:val="center"/>
      <w:outlineLvl w:val="0"/>
    </w:pPr>
    <w:rPr>
      <w:rFonts w:ascii="黑体"/>
      <w:b/>
      <w:kern w:val="0"/>
      <w:sz w:val="32"/>
    </w:rPr>
  </w:style>
  <w:style w:type="paragraph" w:styleId="5">
    <w:name w:val="heading 2"/>
    <w:basedOn w:val="1"/>
    <w:next w:val="1"/>
    <w:link w:val="182"/>
    <w:qFormat/>
    <w:uiPriority w:val="0"/>
    <w:pPr>
      <w:keepNext/>
      <w:keepLines/>
      <w:tabs>
        <w:tab w:val="left" w:pos="706"/>
        <w:tab w:val="left" w:pos="1110"/>
      </w:tabs>
      <w:spacing w:line="360" w:lineRule="auto"/>
      <w:ind w:left="106" w:firstLine="454"/>
      <w:outlineLvl w:val="1"/>
    </w:pPr>
    <w:rPr>
      <w:rFonts w:eastAsia="黑体"/>
      <w:b/>
      <w:sz w:val="21"/>
    </w:rPr>
  </w:style>
  <w:style w:type="paragraph" w:styleId="6">
    <w:name w:val="heading 3"/>
    <w:basedOn w:val="1"/>
    <w:next w:val="1"/>
    <w:link w:val="106"/>
    <w:qFormat/>
    <w:uiPriority w:val="0"/>
    <w:pPr>
      <w:keepNext/>
      <w:keepLines/>
      <w:widowControl/>
      <w:tabs>
        <w:tab w:val="left" w:pos="720"/>
      </w:tabs>
      <w:spacing w:before="120" w:after="120" w:line="360" w:lineRule="auto"/>
      <w:ind w:left="720" w:hanging="720"/>
      <w:jc w:val="center"/>
      <w:outlineLvl w:val="2"/>
    </w:pPr>
    <w:rPr>
      <w:b/>
      <w:kern w:val="0"/>
      <w:sz w:val="32"/>
    </w:rPr>
  </w:style>
  <w:style w:type="paragraph" w:styleId="7">
    <w:name w:val="heading 4"/>
    <w:basedOn w:val="6"/>
    <w:next w:val="8"/>
    <w:link w:val="107"/>
    <w:qFormat/>
    <w:uiPriority w:val="0"/>
    <w:pPr>
      <w:spacing w:before="280" w:after="290" w:line="372" w:lineRule="auto"/>
      <w:outlineLvl w:val="3"/>
    </w:pPr>
    <w:rPr>
      <w:rFonts w:ascii="Arial" w:hAnsi="Arial" w:eastAsia="黑体"/>
      <w:kern w:val="2"/>
      <w:sz w:val="28"/>
    </w:rPr>
  </w:style>
  <w:style w:type="paragraph" w:styleId="9">
    <w:name w:val="heading 5"/>
    <w:basedOn w:val="1"/>
    <w:next w:val="8"/>
    <w:link w:val="108"/>
    <w:qFormat/>
    <w:uiPriority w:val="0"/>
    <w:pPr>
      <w:keepNext/>
      <w:keepLines/>
      <w:spacing w:before="280" w:after="290" w:line="372" w:lineRule="auto"/>
      <w:outlineLvl w:val="4"/>
    </w:pPr>
    <w:rPr>
      <w:b/>
    </w:rPr>
  </w:style>
  <w:style w:type="paragraph" w:styleId="10">
    <w:name w:val="heading 6"/>
    <w:basedOn w:val="1"/>
    <w:next w:val="1"/>
    <w:link w:val="109"/>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paragraph" w:styleId="11">
    <w:name w:val="heading 7"/>
    <w:basedOn w:val="1"/>
    <w:next w:val="1"/>
    <w:link w:val="110"/>
    <w:qFormat/>
    <w:uiPriority w:val="0"/>
    <w:pPr>
      <w:keepNext/>
      <w:keepLines/>
      <w:widowControl/>
      <w:tabs>
        <w:tab w:val="left" w:pos="2520"/>
      </w:tabs>
      <w:spacing w:before="240" w:after="64" w:line="317" w:lineRule="auto"/>
      <w:ind w:left="1296" w:hanging="1296"/>
      <w:jc w:val="left"/>
      <w:outlineLvl w:val="6"/>
    </w:pPr>
    <w:rPr>
      <w:b/>
      <w:kern w:val="0"/>
      <w:sz w:val="24"/>
    </w:rPr>
  </w:style>
  <w:style w:type="paragraph" w:styleId="12">
    <w:name w:val="heading 8"/>
    <w:basedOn w:val="1"/>
    <w:next w:val="1"/>
    <w:link w:val="11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3">
    <w:name w:val="heading 9"/>
    <w:basedOn w:val="1"/>
    <w:next w:val="1"/>
    <w:link w:val="112"/>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337"/>
    <w:qFormat/>
    <w:uiPriority w:val="0"/>
    <w:pPr>
      <w:ind w:firstLine="420" w:firstLineChars="100"/>
    </w:pPr>
    <w:rPr>
      <w:rFonts w:ascii="等线" w:hAnsi="等线" w:eastAsia="等线" w:cstheme="minorBidi"/>
      <w:sz w:val="21"/>
      <w:szCs w:val="22"/>
    </w:rPr>
  </w:style>
  <w:style w:type="paragraph" w:styleId="3">
    <w:name w:val="macro"/>
    <w:link w:val="33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2"/>
      <w:lang w:val="en-US" w:eastAsia="zh-CN" w:bidi="ar-SA"/>
    </w:rPr>
  </w:style>
  <w:style w:type="paragraph" w:styleId="8">
    <w:name w:val="Normal Indent"/>
    <w:basedOn w:val="1"/>
    <w:next w:val="1"/>
    <w:link w:val="302"/>
    <w:qFormat/>
    <w:uiPriority w:val="0"/>
    <w:pPr>
      <w:widowControl/>
      <w:ind w:firstLine="420"/>
      <w:jc w:val="left"/>
    </w:pPr>
    <w:rPr>
      <w:rFonts w:asciiTheme="minorHAnsi" w:hAnsiTheme="minorHAnsi" w:cstheme="minorBidi"/>
      <w:sz w:val="24"/>
      <w:szCs w:val="22"/>
    </w:rPr>
  </w:style>
  <w:style w:type="paragraph" w:styleId="14">
    <w:name w:val="List 3"/>
    <w:basedOn w:val="1"/>
    <w:qFormat/>
    <w:uiPriority w:val="0"/>
    <w:pPr>
      <w:ind w:left="100" w:leftChars="400" w:hanging="200" w:hangingChars="200"/>
    </w:pPr>
    <w:rPr>
      <w:sz w:val="21"/>
    </w:rPr>
  </w:style>
  <w:style w:type="paragraph" w:styleId="15">
    <w:name w:val="toc 7"/>
    <w:basedOn w:val="1"/>
    <w:next w:val="1"/>
    <w:qFormat/>
    <w:uiPriority w:val="0"/>
    <w:pPr>
      <w:ind w:left="1680"/>
      <w:jc w:val="left"/>
    </w:pPr>
    <w:rPr>
      <w:sz w:val="18"/>
    </w:rPr>
  </w:style>
  <w:style w:type="paragraph" w:styleId="16">
    <w:name w:val="List Number 2"/>
    <w:basedOn w:val="1"/>
    <w:qFormat/>
    <w:uiPriority w:val="0"/>
    <w:pPr>
      <w:tabs>
        <w:tab w:val="left" w:pos="0"/>
      </w:tabs>
      <w:ind w:left="1146" w:hanging="720"/>
    </w:pPr>
    <w:rPr>
      <w:sz w:val="21"/>
    </w:rPr>
  </w:style>
  <w:style w:type="paragraph" w:styleId="17">
    <w:name w:val="table of authorities"/>
    <w:basedOn w:val="1"/>
    <w:next w:val="1"/>
    <w:qFormat/>
    <w:uiPriority w:val="0"/>
    <w:pPr>
      <w:ind w:left="420" w:leftChars="200"/>
    </w:pPr>
    <w:rPr>
      <w:sz w:val="21"/>
    </w:rPr>
  </w:style>
  <w:style w:type="paragraph" w:styleId="18">
    <w:name w:val="Note Heading"/>
    <w:basedOn w:val="1"/>
    <w:next w:val="1"/>
    <w:link w:val="331"/>
    <w:qFormat/>
    <w:uiPriority w:val="0"/>
    <w:pPr>
      <w:jc w:val="center"/>
    </w:pPr>
    <w:rPr>
      <w:rFonts w:asciiTheme="minorHAnsi" w:hAnsiTheme="minorHAnsi" w:eastAsiaTheme="minorEastAsia" w:cstheme="minorBidi"/>
      <w:sz w:val="21"/>
      <w:szCs w:val="22"/>
    </w:rPr>
  </w:style>
  <w:style w:type="paragraph" w:styleId="19">
    <w:name w:val="List Bullet 4"/>
    <w:basedOn w:val="1"/>
    <w:qFormat/>
    <w:uiPriority w:val="0"/>
    <w:pPr>
      <w:tabs>
        <w:tab w:val="left" w:pos="1620"/>
      </w:tabs>
      <w:ind w:left="1620" w:hanging="360"/>
    </w:pPr>
    <w:rPr>
      <w:sz w:val="21"/>
    </w:rPr>
  </w:style>
  <w:style w:type="paragraph" w:styleId="20">
    <w:name w:val="index 8"/>
    <w:basedOn w:val="1"/>
    <w:next w:val="1"/>
    <w:qFormat/>
    <w:uiPriority w:val="0"/>
    <w:pPr>
      <w:ind w:left="1400" w:leftChars="1400"/>
    </w:pPr>
    <w:rPr>
      <w:sz w:val="21"/>
    </w:rPr>
  </w:style>
  <w:style w:type="paragraph" w:styleId="21">
    <w:name w:val="E-mail Signature"/>
    <w:basedOn w:val="1"/>
    <w:link w:val="325"/>
    <w:qFormat/>
    <w:uiPriority w:val="0"/>
    <w:rPr>
      <w:rFonts w:asciiTheme="minorHAnsi" w:hAnsiTheme="minorHAnsi" w:eastAsiaTheme="minorEastAsia" w:cstheme="minorBidi"/>
      <w:sz w:val="21"/>
      <w:szCs w:val="22"/>
    </w:rPr>
  </w:style>
  <w:style w:type="paragraph" w:styleId="22">
    <w:name w:val="List Number"/>
    <w:basedOn w:val="1"/>
    <w:qFormat/>
    <w:uiPriority w:val="0"/>
    <w:pPr>
      <w:tabs>
        <w:tab w:val="left" w:pos="360"/>
      </w:tabs>
      <w:ind w:left="360" w:hanging="360"/>
    </w:pPr>
    <w:rPr>
      <w:sz w:val="21"/>
    </w:rPr>
  </w:style>
  <w:style w:type="paragraph" w:styleId="23">
    <w:name w:val="caption"/>
    <w:basedOn w:val="1"/>
    <w:next w:val="1"/>
    <w:qFormat/>
    <w:uiPriority w:val="0"/>
    <w:rPr>
      <w:rFonts w:ascii="Arial" w:hAnsi="Arial" w:eastAsia="黑体"/>
      <w:sz w:val="20"/>
    </w:rPr>
  </w:style>
  <w:style w:type="paragraph" w:styleId="24">
    <w:name w:val="index 5"/>
    <w:basedOn w:val="1"/>
    <w:next w:val="1"/>
    <w:qFormat/>
    <w:uiPriority w:val="0"/>
    <w:pPr>
      <w:ind w:left="800" w:leftChars="800"/>
    </w:pPr>
    <w:rPr>
      <w:sz w:val="21"/>
    </w:rPr>
  </w:style>
  <w:style w:type="paragraph" w:styleId="25">
    <w:name w:val="List Bullet"/>
    <w:basedOn w:val="1"/>
    <w:qFormat/>
    <w:uiPriority w:val="0"/>
    <w:pPr>
      <w:tabs>
        <w:tab w:val="left" w:pos="735"/>
      </w:tabs>
      <w:ind w:left="735"/>
    </w:pPr>
    <w:rPr>
      <w:sz w:val="21"/>
    </w:rPr>
  </w:style>
  <w:style w:type="paragraph" w:styleId="26">
    <w:name w:val="envelope address"/>
    <w:basedOn w:val="1"/>
    <w:qFormat/>
    <w:uiPriority w:val="0"/>
    <w:pPr>
      <w:snapToGrid w:val="0"/>
      <w:ind w:left="100" w:leftChars="1400"/>
    </w:pPr>
    <w:rPr>
      <w:rFonts w:ascii="Arial" w:hAnsi="Arial"/>
      <w:sz w:val="24"/>
    </w:rPr>
  </w:style>
  <w:style w:type="paragraph" w:styleId="27">
    <w:name w:val="Document Map"/>
    <w:basedOn w:val="1"/>
    <w:link w:val="333"/>
    <w:qFormat/>
    <w:uiPriority w:val="0"/>
    <w:pPr>
      <w:shd w:val="clear" w:color="auto" w:fill="000080"/>
    </w:pPr>
    <w:rPr>
      <w:rFonts w:asciiTheme="minorHAnsi" w:hAnsiTheme="minorHAnsi" w:eastAsiaTheme="minorEastAsia" w:cstheme="minorBidi"/>
      <w:szCs w:val="22"/>
      <w:shd w:val="clear" w:color="auto" w:fill="000080"/>
    </w:rPr>
  </w:style>
  <w:style w:type="paragraph" w:styleId="28">
    <w:name w:val="toa heading"/>
    <w:basedOn w:val="1"/>
    <w:next w:val="1"/>
    <w:qFormat/>
    <w:uiPriority w:val="0"/>
    <w:pPr>
      <w:spacing w:before="120"/>
    </w:pPr>
    <w:rPr>
      <w:rFonts w:ascii="Arial" w:hAnsi="Arial"/>
      <w:sz w:val="24"/>
    </w:rPr>
  </w:style>
  <w:style w:type="paragraph" w:styleId="29">
    <w:name w:val="annotation text"/>
    <w:basedOn w:val="1"/>
    <w:link w:val="119"/>
    <w:unhideWhenUsed/>
    <w:qFormat/>
    <w:uiPriority w:val="0"/>
    <w:pPr>
      <w:jc w:val="left"/>
    </w:pPr>
  </w:style>
  <w:style w:type="paragraph" w:styleId="30">
    <w:name w:val="index 6"/>
    <w:basedOn w:val="1"/>
    <w:next w:val="1"/>
    <w:qFormat/>
    <w:uiPriority w:val="0"/>
    <w:pPr>
      <w:ind w:left="1000" w:leftChars="1000"/>
    </w:pPr>
    <w:rPr>
      <w:sz w:val="21"/>
    </w:rPr>
  </w:style>
  <w:style w:type="paragraph" w:styleId="31">
    <w:name w:val="Salutation"/>
    <w:basedOn w:val="1"/>
    <w:next w:val="1"/>
    <w:link w:val="341"/>
    <w:qFormat/>
    <w:uiPriority w:val="0"/>
    <w:rPr>
      <w:rFonts w:ascii="宋体" w:hAnsiTheme="minorHAnsi" w:eastAsiaTheme="minorEastAsia" w:cstheme="minorBidi"/>
      <w:szCs w:val="22"/>
    </w:rPr>
  </w:style>
  <w:style w:type="paragraph" w:styleId="32">
    <w:name w:val="Body Text 3"/>
    <w:basedOn w:val="1"/>
    <w:link w:val="345"/>
    <w:qFormat/>
    <w:uiPriority w:val="0"/>
    <w:pPr>
      <w:spacing w:after="120"/>
    </w:pPr>
    <w:rPr>
      <w:rFonts w:asciiTheme="minorHAnsi" w:hAnsiTheme="minorHAnsi" w:eastAsiaTheme="minorEastAsia" w:cstheme="minorBidi"/>
      <w:sz w:val="16"/>
      <w:szCs w:val="22"/>
    </w:rPr>
  </w:style>
  <w:style w:type="paragraph" w:styleId="33">
    <w:name w:val="Closing"/>
    <w:basedOn w:val="1"/>
    <w:link w:val="330"/>
    <w:qFormat/>
    <w:uiPriority w:val="0"/>
    <w:pPr>
      <w:ind w:left="100" w:leftChars="2100"/>
    </w:pPr>
    <w:rPr>
      <w:rFonts w:asciiTheme="minorHAnsi" w:hAnsiTheme="minorHAnsi" w:eastAsiaTheme="minorEastAsia" w:cstheme="minorBidi"/>
      <w:sz w:val="21"/>
      <w:szCs w:val="22"/>
    </w:rPr>
  </w:style>
  <w:style w:type="paragraph" w:styleId="34">
    <w:name w:val="List Bullet 3"/>
    <w:basedOn w:val="1"/>
    <w:qFormat/>
    <w:uiPriority w:val="0"/>
    <w:pPr>
      <w:tabs>
        <w:tab w:val="left" w:pos="1200"/>
      </w:tabs>
      <w:ind w:left="1200" w:hanging="360"/>
    </w:pPr>
    <w:rPr>
      <w:sz w:val="21"/>
    </w:rPr>
  </w:style>
  <w:style w:type="paragraph" w:styleId="35">
    <w:name w:val="Body Text"/>
    <w:basedOn w:val="1"/>
    <w:next w:val="2"/>
    <w:link w:val="115"/>
    <w:unhideWhenUsed/>
    <w:qFormat/>
    <w:uiPriority w:val="0"/>
    <w:pPr>
      <w:spacing w:after="120"/>
    </w:pPr>
  </w:style>
  <w:style w:type="paragraph" w:styleId="36">
    <w:name w:val="Body Text Indent"/>
    <w:basedOn w:val="1"/>
    <w:next w:val="1"/>
    <w:link w:val="113"/>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rPr>
      <w:sz w:val="21"/>
    </w:rPr>
  </w:style>
  <w:style w:type="paragraph" w:styleId="38">
    <w:name w:val="List 2"/>
    <w:basedOn w:val="1"/>
    <w:qFormat/>
    <w:uiPriority w:val="0"/>
    <w:pPr>
      <w:ind w:left="100" w:leftChars="200" w:hanging="200" w:hangingChars="200"/>
    </w:pPr>
    <w:rPr>
      <w:sz w:val="21"/>
    </w:rPr>
  </w:style>
  <w:style w:type="paragraph" w:styleId="39">
    <w:name w:val="List Continue"/>
    <w:basedOn w:val="1"/>
    <w:qFormat/>
    <w:uiPriority w:val="0"/>
    <w:pPr>
      <w:spacing w:after="120"/>
      <w:ind w:left="420" w:leftChars="200"/>
    </w:pPr>
    <w:rPr>
      <w:sz w:val="21"/>
    </w:rPr>
  </w:style>
  <w:style w:type="paragraph" w:styleId="40">
    <w:name w:val="Block Text"/>
    <w:basedOn w:val="1"/>
    <w:qFormat/>
    <w:uiPriority w:val="0"/>
    <w:pPr>
      <w:spacing w:line="240" w:lineRule="exact"/>
      <w:ind w:left="475" w:leftChars="240" w:right="292" w:rightChars="292" w:firstLine="473"/>
    </w:pPr>
    <w:rPr>
      <w:rFonts w:ascii="宋体" w:hAnsi="宋体"/>
      <w:spacing w:val="-6"/>
      <w:sz w:val="21"/>
    </w:rPr>
  </w:style>
  <w:style w:type="paragraph" w:styleId="41">
    <w:name w:val="List Bullet 2"/>
    <w:basedOn w:val="1"/>
    <w:qFormat/>
    <w:uiPriority w:val="0"/>
    <w:pPr>
      <w:tabs>
        <w:tab w:val="left" w:pos="780"/>
      </w:tabs>
      <w:ind w:left="780" w:hanging="360"/>
    </w:pPr>
    <w:rPr>
      <w:sz w:val="21"/>
    </w:rPr>
  </w:style>
  <w:style w:type="paragraph" w:styleId="42">
    <w:name w:val="HTML Address"/>
    <w:basedOn w:val="1"/>
    <w:link w:val="336"/>
    <w:qFormat/>
    <w:uiPriority w:val="0"/>
    <w:rPr>
      <w:rFonts w:asciiTheme="minorHAnsi" w:hAnsiTheme="minorHAnsi" w:eastAsiaTheme="minorEastAsia" w:cstheme="minorBidi"/>
      <w:i/>
      <w:sz w:val="21"/>
      <w:szCs w:val="22"/>
    </w:rPr>
  </w:style>
  <w:style w:type="paragraph" w:styleId="43">
    <w:name w:val="index 4"/>
    <w:basedOn w:val="1"/>
    <w:next w:val="1"/>
    <w:qFormat/>
    <w:uiPriority w:val="0"/>
    <w:pPr>
      <w:ind w:left="600" w:leftChars="600"/>
    </w:pPr>
    <w:rPr>
      <w:sz w:val="21"/>
    </w:rPr>
  </w:style>
  <w:style w:type="paragraph" w:styleId="44">
    <w:name w:val="toc 5"/>
    <w:basedOn w:val="1"/>
    <w:next w:val="1"/>
    <w:qFormat/>
    <w:uiPriority w:val="0"/>
    <w:pPr>
      <w:ind w:left="1120"/>
      <w:jc w:val="left"/>
    </w:pPr>
    <w:rPr>
      <w:sz w:val="18"/>
    </w:rPr>
  </w:style>
  <w:style w:type="paragraph" w:styleId="45">
    <w:name w:val="toc 3"/>
    <w:basedOn w:val="1"/>
    <w:next w:val="1"/>
    <w:qFormat/>
    <w:uiPriority w:val="0"/>
    <w:pPr>
      <w:ind w:left="560"/>
      <w:jc w:val="left"/>
    </w:pPr>
    <w:rPr>
      <w:i/>
      <w:sz w:val="20"/>
    </w:rPr>
  </w:style>
  <w:style w:type="paragraph" w:styleId="46">
    <w:name w:val="Plain Text"/>
    <w:basedOn w:val="1"/>
    <w:next w:val="1"/>
    <w:link w:val="329"/>
    <w:qFormat/>
    <w:uiPriority w:val="0"/>
    <w:rPr>
      <w:rFonts w:ascii="宋体" w:hAnsi="Courier New" w:cstheme="minorBidi"/>
      <w:sz w:val="21"/>
      <w:szCs w:val="22"/>
    </w:rPr>
  </w:style>
  <w:style w:type="paragraph" w:styleId="47">
    <w:name w:val="List Bullet 5"/>
    <w:basedOn w:val="1"/>
    <w:qFormat/>
    <w:uiPriority w:val="0"/>
    <w:pPr>
      <w:tabs>
        <w:tab w:val="left" w:pos="2040"/>
      </w:tabs>
      <w:ind w:left="2040" w:hanging="360"/>
    </w:pPr>
    <w:rPr>
      <w:sz w:val="21"/>
    </w:rPr>
  </w:style>
  <w:style w:type="paragraph" w:styleId="48">
    <w:name w:val="List Number 4"/>
    <w:basedOn w:val="1"/>
    <w:qFormat/>
    <w:uiPriority w:val="0"/>
    <w:pPr>
      <w:tabs>
        <w:tab w:val="left" w:pos="1620"/>
      </w:tabs>
      <w:ind w:left="1620" w:hanging="360"/>
    </w:pPr>
    <w:rPr>
      <w:sz w:val="21"/>
    </w:rPr>
  </w:style>
  <w:style w:type="paragraph" w:styleId="49">
    <w:name w:val="toc 8"/>
    <w:basedOn w:val="1"/>
    <w:next w:val="1"/>
    <w:qFormat/>
    <w:uiPriority w:val="0"/>
    <w:pPr>
      <w:ind w:left="1960"/>
      <w:jc w:val="left"/>
    </w:pPr>
    <w:rPr>
      <w:sz w:val="18"/>
    </w:rPr>
  </w:style>
  <w:style w:type="paragraph" w:styleId="50">
    <w:name w:val="index 3"/>
    <w:basedOn w:val="1"/>
    <w:next w:val="1"/>
    <w:qFormat/>
    <w:uiPriority w:val="0"/>
    <w:pPr>
      <w:ind w:left="400" w:leftChars="400"/>
    </w:pPr>
    <w:rPr>
      <w:sz w:val="21"/>
    </w:rPr>
  </w:style>
  <w:style w:type="paragraph" w:styleId="51">
    <w:name w:val="Date"/>
    <w:basedOn w:val="1"/>
    <w:next w:val="1"/>
    <w:link w:val="328"/>
    <w:qFormat/>
    <w:uiPriority w:val="0"/>
    <w:pPr>
      <w:adjustRightInd w:val="0"/>
      <w:jc w:val="right"/>
      <w:textAlignment w:val="baseline"/>
    </w:pPr>
    <w:rPr>
      <w:rFonts w:eastAsia="仿宋_GB2312" w:asciiTheme="minorHAnsi" w:hAnsiTheme="minorHAnsi" w:cstheme="minorBidi"/>
      <w:b/>
      <w:szCs w:val="22"/>
    </w:rPr>
  </w:style>
  <w:style w:type="paragraph" w:styleId="52">
    <w:name w:val="Body Text Indent 2"/>
    <w:basedOn w:val="1"/>
    <w:link w:val="332"/>
    <w:qFormat/>
    <w:uiPriority w:val="0"/>
    <w:pPr>
      <w:spacing w:line="520" w:lineRule="exact"/>
      <w:ind w:firstLine="848" w:firstLineChars="303"/>
    </w:pPr>
    <w:rPr>
      <w:rFonts w:ascii="黑体" w:eastAsia="黑体" w:hAnsiTheme="minorHAnsi" w:cstheme="minorBidi"/>
      <w:szCs w:val="22"/>
    </w:rPr>
  </w:style>
  <w:style w:type="paragraph" w:styleId="53">
    <w:name w:val="endnote text"/>
    <w:basedOn w:val="1"/>
    <w:link w:val="324"/>
    <w:qFormat/>
    <w:uiPriority w:val="0"/>
    <w:pPr>
      <w:snapToGrid w:val="0"/>
    </w:pPr>
    <w:rPr>
      <w:rFonts w:asciiTheme="minorHAnsi" w:hAnsiTheme="minorHAnsi" w:eastAsiaTheme="minorEastAsia" w:cstheme="minorBidi"/>
      <w:sz w:val="21"/>
      <w:szCs w:val="22"/>
    </w:rPr>
  </w:style>
  <w:style w:type="paragraph" w:styleId="54">
    <w:name w:val="List Continue 5"/>
    <w:basedOn w:val="1"/>
    <w:qFormat/>
    <w:uiPriority w:val="0"/>
    <w:pPr>
      <w:spacing w:after="120"/>
      <w:ind w:left="2100" w:leftChars="1000"/>
    </w:pPr>
    <w:rPr>
      <w:sz w:val="21"/>
    </w:rPr>
  </w:style>
  <w:style w:type="paragraph" w:styleId="55">
    <w:name w:val="Balloon Text"/>
    <w:basedOn w:val="1"/>
    <w:link w:val="340"/>
    <w:qFormat/>
    <w:uiPriority w:val="99"/>
    <w:rPr>
      <w:rFonts w:asciiTheme="minorHAnsi" w:hAnsiTheme="minorHAnsi" w:eastAsiaTheme="minorEastAsia" w:cstheme="minorBidi"/>
      <w:sz w:val="18"/>
      <w:szCs w:val="22"/>
    </w:rPr>
  </w:style>
  <w:style w:type="paragraph" w:styleId="56">
    <w:name w:val="footer"/>
    <w:basedOn w:val="1"/>
    <w:link w:val="103"/>
    <w:unhideWhenUsed/>
    <w:qFormat/>
    <w:uiPriority w:val="0"/>
    <w:pPr>
      <w:tabs>
        <w:tab w:val="center" w:pos="4153"/>
        <w:tab w:val="right" w:pos="8306"/>
      </w:tabs>
      <w:snapToGrid w:val="0"/>
      <w:jc w:val="left"/>
    </w:pPr>
    <w:rPr>
      <w:sz w:val="18"/>
      <w:szCs w:val="18"/>
    </w:rPr>
  </w:style>
  <w:style w:type="paragraph" w:styleId="57">
    <w:name w:val="envelope return"/>
    <w:basedOn w:val="1"/>
    <w:qFormat/>
    <w:uiPriority w:val="0"/>
    <w:pPr>
      <w:snapToGrid w:val="0"/>
    </w:pPr>
    <w:rPr>
      <w:rFonts w:ascii="Arial" w:hAnsi="Arial"/>
      <w:sz w:val="21"/>
    </w:rPr>
  </w:style>
  <w:style w:type="paragraph" w:styleId="58">
    <w:name w:val="header"/>
    <w:basedOn w:val="1"/>
    <w:link w:val="102"/>
    <w:unhideWhenUsed/>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44"/>
    <w:qFormat/>
    <w:uiPriority w:val="0"/>
    <w:pPr>
      <w:ind w:left="100" w:leftChars="2100"/>
    </w:pPr>
    <w:rPr>
      <w:rFonts w:asciiTheme="minorHAnsi" w:hAnsiTheme="minorHAnsi" w:eastAsiaTheme="minorEastAsia" w:cstheme="minorBidi"/>
      <w:sz w:val="21"/>
      <w:szCs w:val="22"/>
    </w:rPr>
  </w:style>
  <w:style w:type="paragraph" w:styleId="60">
    <w:name w:val="toc 1"/>
    <w:basedOn w:val="1"/>
    <w:next w:val="1"/>
    <w:qFormat/>
    <w:uiPriority w:val="39"/>
    <w:pPr>
      <w:tabs>
        <w:tab w:val="right" w:leader="dot" w:pos="8364"/>
      </w:tabs>
      <w:spacing w:before="120" w:after="120" w:line="360" w:lineRule="auto"/>
      <w:jc w:val="left"/>
    </w:pPr>
    <w:rPr>
      <w:b/>
      <w:caps/>
      <w:sz w:val="20"/>
    </w:rPr>
  </w:style>
  <w:style w:type="paragraph" w:styleId="61">
    <w:name w:val="List Continue 4"/>
    <w:basedOn w:val="1"/>
    <w:qFormat/>
    <w:uiPriority w:val="0"/>
    <w:pPr>
      <w:spacing w:after="120"/>
      <w:ind w:left="1680" w:leftChars="800"/>
    </w:pPr>
    <w:rPr>
      <w:sz w:val="21"/>
    </w:rPr>
  </w:style>
  <w:style w:type="paragraph" w:styleId="62">
    <w:name w:val="toc 4"/>
    <w:basedOn w:val="1"/>
    <w:next w:val="1"/>
    <w:qFormat/>
    <w:uiPriority w:val="0"/>
    <w:pPr>
      <w:ind w:left="840"/>
      <w:jc w:val="left"/>
    </w:pPr>
    <w:rPr>
      <w:sz w:val="18"/>
    </w:rPr>
  </w:style>
  <w:style w:type="paragraph" w:styleId="63">
    <w:name w:val="index heading"/>
    <w:basedOn w:val="1"/>
    <w:next w:val="64"/>
    <w:qFormat/>
    <w:uiPriority w:val="0"/>
    <w:rPr>
      <w:rFonts w:ascii="Arial" w:hAnsi="Arial"/>
      <w:b/>
      <w:sz w:val="21"/>
    </w:rPr>
  </w:style>
  <w:style w:type="paragraph" w:styleId="64">
    <w:name w:val="index 1"/>
    <w:basedOn w:val="1"/>
    <w:next w:val="1"/>
    <w:unhideWhenUsed/>
    <w:qFormat/>
    <w:uiPriority w:val="0"/>
  </w:style>
  <w:style w:type="paragraph" w:styleId="65">
    <w:name w:val="Subtitle"/>
    <w:basedOn w:val="1"/>
    <w:next w:val="1"/>
    <w:link w:val="346"/>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66">
    <w:name w:val="List Number 5"/>
    <w:basedOn w:val="1"/>
    <w:qFormat/>
    <w:uiPriority w:val="0"/>
    <w:pPr>
      <w:tabs>
        <w:tab w:val="left" w:pos="2040"/>
      </w:tabs>
      <w:ind w:left="2040" w:hanging="360"/>
    </w:pPr>
    <w:rPr>
      <w:sz w:val="21"/>
    </w:rPr>
  </w:style>
  <w:style w:type="paragraph" w:styleId="67">
    <w:name w:val="List"/>
    <w:basedOn w:val="1"/>
    <w:qFormat/>
    <w:uiPriority w:val="0"/>
    <w:pPr>
      <w:ind w:left="200" w:hanging="200" w:hangingChars="200"/>
    </w:pPr>
    <w:rPr>
      <w:sz w:val="21"/>
    </w:rPr>
  </w:style>
  <w:style w:type="paragraph" w:styleId="68">
    <w:name w:val="footnote text"/>
    <w:basedOn w:val="1"/>
    <w:link w:val="347"/>
    <w:qFormat/>
    <w:uiPriority w:val="0"/>
    <w:pPr>
      <w:snapToGrid w:val="0"/>
      <w:jc w:val="left"/>
    </w:pPr>
    <w:rPr>
      <w:rFonts w:asciiTheme="minorHAnsi" w:hAnsiTheme="minorHAnsi" w:eastAsiaTheme="minorEastAsia" w:cstheme="minorBidi"/>
      <w:sz w:val="18"/>
      <w:szCs w:val="22"/>
    </w:rPr>
  </w:style>
  <w:style w:type="paragraph" w:styleId="69">
    <w:name w:val="toc 6"/>
    <w:basedOn w:val="1"/>
    <w:next w:val="1"/>
    <w:qFormat/>
    <w:uiPriority w:val="0"/>
    <w:pPr>
      <w:ind w:left="1400"/>
      <w:jc w:val="left"/>
    </w:pPr>
    <w:rPr>
      <w:sz w:val="18"/>
    </w:rPr>
  </w:style>
  <w:style w:type="paragraph" w:styleId="70">
    <w:name w:val="List 5"/>
    <w:basedOn w:val="1"/>
    <w:qFormat/>
    <w:uiPriority w:val="0"/>
    <w:pPr>
      <w:ind w:left="100" w:leftChars="800" w:hanging="200" w:hangingChars="200"/>
    </w:pPr>
    <w:rPr>
      <w:sz w:val="21"/>
    </w:rPr>
  </w:style>
  <w:style w:type="paragraph" w:styleId="71">
    <w:name w:val="Body Text Indent 3"/>
    <w:basedOn w:val="1"/>
    <w:link w:val="343"/>
    <w:qFormat/>
    <w:uiPriority w:val="0"/>
    <w:pPr>
      <w:spacing w:line="520" w:lineRule="exact"/>
      <w:ind w:firstLine="547"/>
    </w:pPr>
    <w:rPr>
      <w:rFonts w:asciiTheme="minorHAnsi" w:hAnsiTheme="minorHAnsi" w:eastAsiaTheme="minorEastAsia" w:cstheme="minorBidi"/>
      <w:szCs w:val="22"/>
    </w:rPr>
  </w:style>
  <w:style w:type="paragraph" w:styleId="72">
    <w:name w:val="index 7"/>
    <w:basedOn w:val="1"/>
    <w:next w:val="1"/>
    <w:qFormat/>
    <w:uiPriority w:val="0"/>
    <w:pPr>
      <w:ind w:left="1200" w:leftChars="1200"/>
    </w:pPr>
    <w:rPr>
      <w:sz w:val="21"/>
    </w:rPr>
  </w:style>
  <w:style w:type="paragraph" w:styleId="73">
    <w:name w:val="index 9"/>
    <w:basedOn w:val="1"/>
    <w:next w:val="1"/>
    <w:qFormat/>
    <w:uiPriority w:val="0"/>
    <w:pPr>
      <w:ind w:left="1600" w:leftChars="1600"/>
    </w:pPr>
    <w:rPr>
      <w:sz w:val="21"/>
    </w:rPr>
  </w:style>
  <w:style w:type="paragraph" w:styleId="74">
    <w:name w:val="table of figures"/>
    <w:basedOn w:val="1"/>
    <w:next w:val="1"/>
    <w:qFormat/>
    <w:uiPriority w:val="0"/>
    <w:pPr>
      <w:ind w:left="560" w:hanging="560"/>
      <w:jc w:val="left"/>
    </w:pPr>
    <w:rPr>
      <w:smallCaps/>
      <w:sz w:val="20"/>
    </w:rPr>
  </w:style>
  <w:style w:type="paragraph" w:styleId="75">
    <w:name w:val="toc 2"/>
    <w:basedOn w:val="1"/>
    <w:next w:val="1"/>
    <w:qFormat/>
    <w:uiPriority w:val="39"/>
    <w:pPr>
      <w:tabs>
        <w:tab w:val="right" w:leader="dot" w:pos="8364"/>
      </w:tabs>
      <w:spacing w:line="360" w:lineRule="auto"/>
      <w:ind w:left="280"/>
      <w:jc w:val="left"/>
    </w:pPr>
    <w:rPr>
      <w:rFonts w:ascii="仿宋" w:hAnsi="仿宋" w:eastAsia="仿宋"/>
      <w:b/>
      <w:smallCaps/>
      <w:sz w:val="24"/>
    </w:rPr>
  </w:style>
  <w:style w:type="paragraph" w:styleId="76">
    <w:name w:val="toc 9"/>
    <w:basedOn w:val="1"/>
    <w:next w:val="1"/>
    <w:qFormat/>
    <w:uiPriority w:val="0"/>
    <w:pPr>
      <w:ind w:left="2240"/>
      <w:jc w:val="left"/>
    </w:pPr>
    <w:rPr>
      <w:sz w:val="18"/>
    </w:rPr>
  </w:style>
  <w:style w:type="paragraph" w:styleId="77">
    <w:name w:val="Body Text 2"/>
    <w:basedOn w:val="1"/>
    <w:link w:val="326"/>
    <w:qFormat/>
    <w:uiPriority w:val="0"/>
    <w:pPr>
      <w:spacing w:after="120" w:line="480" w:lineRule="auto"/>
    </w:pPr>
    <w:rPr>
      <w:rFonts w:asciiTheme="minorHAnsi" w:hAnsiTheme="minorHAnsi" w:eastAsiaTheme="minorEastAsia" w:cstheme="minorBidi"/>
      <w:sz w:val="21"/>
      <w:szCs w:val="22"/>
    </w:rPr>
  </w:style>
  <w:style w:type="paragraph" w:styleId="78">
    <w:name w:val="List 4"/>
    <w:basedOn w:val="1"/>
    <w:qFormat/>
    <w:uiPriority w:val="0"/>
    <w:pPr>
      <w:ind w:left="100" w:leftChars="600" w:hanging="200" w:hangingChars="200"/>
    </w:pPr>
    <w:rPr>
      <w:sz w:val="21"/>
    </w:rPr>
  </w:style>
  <w:style w:type="paragraph" w:styleId="79">
    <w:name w:val="List Continue 2"/>
    <w:basedOn w:val="1"/>
    <w:qFormat/>
    <w:uiPriority w:val="0"/>
    <w:pPr>
      <w:spacing w:after="120"/>
      <w:ind w:left="840" w:leftChars="400"/>
    </w:pPr>
    <w:rPr>
      <w:sz w:val="21"/>
    </w:rPr>
  </w:style>
  <w:style w:type="paragraph" w:styleId="80">
    <w:name w:val="Message Header"/>
    <w:basedOn w:val="1"/>
    <w:link w:val="3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z w:val="24"/>
      <w:szCs w:val="22"/>
      <w:shd w:val="pct20" w:color="auto" w:fill="auto"/>
    </w:rPr>
  </w:style>
  <w:style w:type="paragraph" w:styleId="81">
    <w:name w:val="HTML Preformatted"/>
    <w:basedOn w:val="1"/>
    <w:link w:val="3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 w:val="21"/>
      <w:szCs w:val="22"/>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rPr>
      <w:sz w:val="21"/>
    </w:rPr>
  </w:style>
  <w:style w:type="paragraph" w:styleId="84">
    <w:name w:val="index 2"/>
    <w:basedOn w:val="1"/>
    <w:next w:val="1"/>
    <w:qFormat/>
    <w:uiPriority w:val="0"/>
    <w:pPr>
      <w:ind w:left="200" w:leftChars="200"/>
    </w:pPr>
    <w:rPr>
      <w:sz w:val="21"/>
    </w:rPr>
  </w:style>
  <w:style w:type="paragraph" w:styleId="85">
    <w:name w:val="Title"/>
    <w:basedOn w:val="1"/>
    <w:link w:val="339"/>
    <w:qFormat/>
    <w:uiPriority w:val="0"/>
    <w:pPr>
      <w:widowControl/>
      <w:overflowPunct w:val="0"/>
      <w:autoSpaceDE w:val="0"/>
      <w:autoSpaceDN w:val="0"/>
      <w:adjustRightInd w:val="0"/>
      <w:jc w:val="center"/>
      <w:textAlignment w:val="baseline"/>
    </w:pPr>
    <w:rPr>
      <w:rFonts w:asciiTheme="minorHAnsi" w:hAnsiTheme="minorHAnsi" w:eastAsiaTheme="minorEastAsia" w:cstheme="minorBidi"/>
      <w:b/>
      <w:sz w:val="24"/>
      <w:szCs w:val="22"/>
      <w:lang w:val="en-GB"/>
    </w:rPr>
  </w:style>
  <w:style w:type="paragraph" w:styleId="86">
    <w:name w:val="annotation subject"/>
    <w:basedOn w:val="29"/>
    <w:next w:val="29"/>
    <w:link w:val="350"/>
    <w:qFormat/>
    <w:uiPriority w:val="0"/>
    <w:rPr>
      <w:rFonts w:asciiTheme="minorHAnsi" w:hAnsiTheme="minorHAnsi" w:eastAsiaTheme="minorEastAsia" w:cstheme="minorBidi"/>
      <w:b/>
      <w:sz w:val="21"/>
      <w:szCs w:val="22"/>
    </w:rPr>
  </w:style>
  <w:style w:type="paragraph" w:styleId="87">
    <w:name w:val="Body Text First Indent 2"/>
    <w:basedOn w:val="36"/>
    <w:next w:val="2"/>
    <w:link w:val="338"/>
    <w:qFormat/>
    <w:uiPriority w:val="0"/>
    <w:pPr>
      <w:ind w:firstLine="420" w:firstLineChars="200"/>
    </w:pPr>
    <w:rPr>
      <w:rFonts w:ascii="等线" w:hAnsi="等线" w:eastAsia="等线" w:cstheme="minorBidi"/>
      <w:sz w:val="21"/>
      <w:szCs w:val="22"/>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00"/>
    </w:rPr>
  </w:style>
  <w:style w:type="character" w:styleId="96">
    <w:name w:val="Hyperlink"/>
    <w:qFormat/>
    <w:uiPriority w:val="99"/>
    <w:rPr>
      <w:color w:val="0000FF"/>
      <w:u w:val="single"/>
    </w:rPr>
  </w:style>
  <w:style w:type="character" w:styleId="97">
    <w:name w:val="annotation reference"/>
    <w:qFormat/>
    <w:uiPriority w:val="0"/>
    <w:rPr>
      <w:sz w:val="21"/>
    </w:rPr>
  </w:style>
  <w:style w:type="character" w:styleId="98">
    <w:name w:val="footnote reference"/>
    <w:qFormat/>
    <w:uiPriority w:val="0"/>
    <w:rPr>
      <w:vertAlign w:val="superscript"/>
    </w:rPr>
  </w:style>
  <w:style w:type="paragraph" w:customStyle="1" w:styleId="99">
    <w:name w:val="表格文字"/>
    <w:basedOn w:val="1"/>
    <w:next w:val="35"/>
    <w:qFormat/>
    <w:uiPriority w:val="0"/>
    <w:pPr>
      <w:adjustRightInd w:val="0"/>
      <w:spacing w:line="420" w:lineRule="atLeast"/>
      <w:textAlignment w:val="baseline"/>
    </w:pPr>
    <w:rPr>
      <w:kern w:val="0"/>
      <w:sz w:val="21"/>
    </w:rPr>
  </w:style>
  <w:style w:type="paragraph" w:customStyle="1" w:styleId="100">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101">
    <w:name w:val="样式1"/>
    <w:basedOn w:val="4"/>
    <w:link w:val="149"/>
    <w:qFormat/>
    <w:uiPriority w:val="0"/>
    <w:pPr>
      <w:tabs>
        <w:tab w:val="left" w:pos="-839"/>
      </w:tabs>
      <w:ind w:left="1320" w:hanging="1320"/>
    </w:pPr>
    <w:rPr>
      <w:rFonts w:hAnsiTheme="minorHAnsi" w:eastAsiaTheme="minorEastAsia" w:cstheme="minorBidi"/>
      <w:kern w:val="2"/>
      <w:szCs w:val="22"/>
    </w:rPr>
  </w:style>
  <w:style w:type="character" w:customStyle="1" w:styleId="102">
    <w:name w:val="页眉 Char"/>
    <w:basedOn w:val="90"/>
    <w:link w:val="58"/>
    <w:qFormat/>
    <w:uiPriority w:val="99"/>
    <w:rPr>
      <w:sz w:val="18"/>
      <w:szCs w:val="18"/>
    </w:rPr>
  </w:style>
  <w:style w:type="character" w:customStyle="1" w:styleId="103">
    <w:name w:val="页脚 Char"/>
    <w:basedOn w:val="90"/>
    <w:link w:val="56"/>
    <w:qFormat/>
    <w:uiPriority w:val="99"/>
    <w:rPr>
      <w:sz w:val="18"/>
      <w:szCs w:val="18"/>
    </w:rPr>
  </w:style>
  <w:style w:type="character" w:customStyle="1" w:styleId="104">
    <w:name w:val="标题 1 Char"/>
    <w:basedOn w:val="90"/>
    <w:link w:val="4"/>
    <w:qFormat/>
    <w:uiPriority w:val="9"/>
    <w:rPr>
      <w:rFonts w:ascii="黑体" w:hAnsi="Calibri" w:eastAsia="宋体" w:cs="Times New Roman"/>
      <w:b/>
      <w:kern w:val="0"/>
      <w:sz w:val="32"/>
      <w:szCs w:val="20"/>
    </w:rPr>
  </w:style>
  <w:style w:type="character" w:customStyle="1" w:styleId="105">
    <w:name w:val="标题 2 Char"/>
    <w:basedOn w:val="90"/>
    <w:qFormat/>
    <w:uiPriority w:val="0"/>
    <w:rPr>
      <w:rFonts w:asciiTheme="majorHAnsi" w:hAnsiTheme="majorHAnsi" w:eastAsiaTheme="majorEastAsia" w:cstheme="majorBidi"/>
      <w:b/>
      <w:bCs/>
      <w:sz w:val="32"/>
      <w:szCs w:val="32"/>
    </w:rPr>
  </w:style>
  <w:style w:type="character" w:customStyle="1" w:styleId="106">
    <w:name w:val="标题 3 Char"/>
    <w:basedOn w:val="90"/>
    <w:link w:val="6"/>
    <w:qFormat/>
    <w:uiPriority w:val="0"/>
    <w:rPr>
      <w:rFonts w:ascii="Calibri" w:hAnsi="Calibri" w:eastAsia="宋体" w:cs="Times New Roman"/>
      <w:b/>
      <w:kern w:val="0"/>
      <w:sz w:val="32"/>
      <w:szCs w:val="20"/>
    </w:rPr>
  </w:style>
  <w:style w:type="character" w:customStyle="1" w:styleId="107">
    <w:name w:val="标题 4 Char"/>
    <w:basedOn w:val="90"/>
    <w:link w:val="7"/>
    <w:qFormat/>
    <w:uiPriority w:val="0"/>
    <w:rPr>
      <w:rFonts w:ascii="Arial" w:hAnsi="Arial" w:eastAsia="黑体" w:cs="Times New Roman"/>
      <w:b/>
      <w:sz w:val="28"/>
      <w:szCs w:val="20"/>
    </w:rPr>
  </w:style>
  <w:style w:type="character" w:customStyle="1" w:styleId="108">
    <w:name w:val="标题 5 Char"/>
    <w:basedOn w:val="90"/>
    <w:link w:val="9"/>
    <w:qFormat/>
    <w:uiPriority w:val="0"/>
    <w:rPr>
      <w:rFonts w:ascii="Calibri" w:hAnsi="Calibri" w:eastAsia="宋体" w:cs="Times New Roman"/>
      <w:b/>
      <w:sz w:val="28"/>
      <w:szCs w:val="20"/>
    </w:rPr>
  </w:style>
  <w:style w:type="character" w:customStyle="1" w:styleId="109">
    <w:name w:val="标题 6 Char"/>
    <w:basedOn w:val="90"/>
    <w:link w:val="10"/>
    <w:qFormat/>
    <w:uiPriority w:val="0"/>
    <w:rPr>
      <w:rFonts w:ascii="Arial" w:hAnsi="Arial" w:eastAsia="黑体" w:cs="Times New Roman"/>
      <w:b/>
      <w:kern w:val="0"/>
      <w:sz w:val="24"/>
      <w:szCs w:val="20"/>
    </w:rPr>
  </w:style>
  <w:style w:type="character" w:customStyle="1" w:styleId="110">
    <w:name w:val="标题 7 Char"/>
    <w:basedOn w:val="90"/>
    <w:link w:val="11"/>
    <w:qFormat/>
    <w:uiPriority w:val="0"/>
    <w:rPr>
      <w:rFonts w:ascii="Calibri" w:hAnsi="Calibri" w:eastAsia="宋体" w:cs="Times New Roman"/>
      <w:b/>
      <w:kern w:val="0"/>
      <w:sz w:val="24"/>
      <w:szCs w:val="20"/>
    </w:rPr>
  </w:style>
  <w:style w:type="character" w:customStyle="1" w:styleId="111">
    <w:name w:val="标题 8 Char"/>
    <w:basedOn w:val="90"/>
    <w:link w:val="12"/>
    <w:qFormat/>
    <w:uiPriority w:val="0"/>
    <w:rPr>
      <w:rFonts w:ascii="Arial" w:hAnsi="Arial" w:eastAsia="黑体" w:cs="Times New Roman"/>
      <w:kern w:val="0"/>
      <w:sz w:val="24"/>
      <w:szCs w:val="20"/>
    </w:rPr>
  </w:style>
  <w:style w:type="character" w:customStyle="1" w:styleId="112">
    <w:name w:val="标题 9 Char"/>
    <w:basedOn w:val="90"/>
    <w:link w:val="13"/>
    <w:qFormat/>
    <w:uiPriority w:val="0"/>
    <w:rPr>
      <w:rFonts w:ascii="Arial" w:hAnsi="Arial" w:eastAsia="黑体" w:cs="Times New Roman"/>
      <w:kern w:val="0"/>
      <w:szCs w:val="20"/>
    </w:rPr>
  </w:style>
  <w:style w:type="character" w:customStyle="1" w:styleId="113">
    <w:name w:val="正文文本缩进 Char"/>
    <w:basedOn w:val="90"/>
    <w:link w:val="36"/>
    <w:qFormat/>
    <w:uiPriority w:val="0"/>
    <w:rPr>
      <w:rFonts w:ascii="Calibri" w:hAnsi="Calibri" w:eastAsia="宋体" w:cs="Times New Roman"/>
      <w:sz w:val="28"/>
      <w:szCs w:val="20"/>
    </w:rPr>
  </w:style>
  <w:style w:type="character" w:customStyle="1" w:styleId="114">
    <w:name w:val="正文首行缩进 2 Char"/>
    <w:basedOn w:val="113"/>
    <w:qFormat/>
    <w:uiPriority w:val="0"/>
    <w:rPr>
      <w:rFonts w:ascii="Calibri" w:hAnsi="Calibri" w:eastAsia="宋体" w:cs="Times New Roman"/>
      <w:sz w:val="28"/>
      <w:szCs w:val="20"/>
    </w:rPr>
  </w:style>
  <w:style w:type="character" w:customStyle="1" w:styleId="115">
    <w:name w:val="正文文本 Char"/>
    <w:basedOn w:val="90"/>
    <w:link w:val="35"/>
    <w:qFormat/>
    <w:uiPriority w:val="0"/>
    <w:rPr>
      <w:rFonts w:ascii="Calibri" w:hAnsi="Calibri" w:eastAsia="宋体" w:cs="Times New Roman"/>
      <w:sz w:val="28"/>
      <w:szCs w:val="20"/>
    </w:rPr>
  </w:style>
  <w:style w:type="character" w:customStyle="1" w:styleId="116">
    <w:name w:val="正文首行缩进 Char"/>
    <w:basedOn w:val="115"/>
    <w:link w:val="117"/>
    <w:qFormat/>
    <w:uiPriority w:val="0"/>
    <w:rPr>
      <w:rFonts w:ascii="Calibri" w:hAnsi="Calibri" w:eastAsia="宋体" w:cs="Times New Roman"/>
      <w:sz w:val="28"/>
      <w:szCs w:val="20"/>
    </w:rPr>
  </w:style>
  <w:style w:type="paragraph" w:customStyle="1" w:styleId="117">
    <w:name w:val="正文首行缩进1"/>
    <w:basedOn w:val="35"/>
    <w:link w:val="116"/>
    <w:qFormat/>
    <w:uiPriority w:val="0"/>
    <w:pPr>
      <w:spacing w:after="0"/>
      <w:ind w:firstLine="420" w:firstLineChars="100"/>
    </w:pPr>
  </w:style>
  <w:style w:type="character" w:customStyle="1" w:styleId="118">
    <w:name w:val="标题 Char"/>
    <w:basedOn w:val="90"/>
    <w:qFormat/>
    <w:uiPriority w:val="0"/>
    <w:rPr>
      <w:rFonts w:eastAsia="宋体" w:asciiTheme="majorHAnsi" w:hAnsiTheme="majorHAnsi" w:cstheme="majorBidi"/>
      <w:b/>
      <w:bCs/>
      <w:sz w:val="32"/>
      <w:szCs w:val="32"/>
    </w:rPr>
  </w:style>
  <w:style w:type="character" w:customStyle="1" w:styleId="119">
    <w:name w:val="批注文字 Char"/>
    <w:basedOn w:val="90"/>
    <w:link w:val="29"/>
    <w:qFormat/>
    <w:uiPriority w:val="0"/>
    <w:rPr>
      <w:rFonts w:ascii="Calibri" w:hAnsi="Calibri" w:eastAsia="宋体" w:cs="Times New Roman"/>
      <w:sz w:val="28"/>
      <w:szCs w:val="20"/>
    </w:rPr>
  </w:style>
  <w:style w:type="character" w:customStyle="1" w:styleId="120">
    <w:name w:val="批注主题 Char"/>
    <w:basedOn w:val="119"/>
    <w:link w:val="121"/>
    <w:qFormat/>
    <w:uiPriority w:val="0"/>
    <w:rPr>
      <w:rFonts w:ascii="Calibri" w:hAnsi="Calibri" w:eastAsia="宋体" w:cs="Times New Roman"/>
      <w:b/>
      <w:bCs/>
      <w:sz w:val="28"/>
      <w:szCs w:val="20"/>
    </w:rPr>
  </w:style>
  <w:style w:type="paragraph" w:customStyle="1" w:styleId="121">
    <w:name w:val="批注主题1"/>
    <w:basedOn w:val="29"/>
    <w:next w:val="29"/>
    <w:link w:val="120"/>
    <w:qFormat/>
    <w:uiPriority w:val="0"/>
    <w:rPr>
      <w:b/>
      <w:bCs/>
    </w:rPr>
  </w:style>
  <w:style w:type="character" w:customStyle="1" w:styleId="122">
    <w:name w:val="宏文本 Char"/>
    <w:basedOn w:val="90"/>
    <w:qFormat/>
    <w:uiPriority w:val="0"/>
    <w:rPr>
      <w:rFonts w:ascii="Courier New" w:hAnsi="Courier New" w:eastAsia="宋体" w:cs="Courier New"/>
      <w:sz w:val="24"/>
      <w:szCs w:val="24"/>
    </w:rPr>
  </w:style>
  <w:style w:type="character" w:customStyle="1" w:styleId="123">
    <w:name w:val="注释标题 Char"/>
    <w:basedOn w:val="90"/>
    <w:qFormat/>
    <w:uiPriority w:val="0"/>
    <w:rPr>
      <w:rFonts w:ascii="Calibri" w:hAnsi="Calibri" w:eastAsia="宋体" w:cs="Times New Roman"/>
      <w:sz w:val="28"/>
      <w:szCs w:val="20"/>
    </w:rPr>
  </w:style>
  <w:style w:type="character" w:customStyle="1" w:styleId="124">
    <w:name w:val="电子邮件签名 Char"/>
    <w:basedOn w:val="90"/>
    <w:qFormat/>
    <w:uiPriority w:val="0"/>
    <w:rPr>
      <w:rFonts w:ascii="Calibri" w:hAnsi="Calibri" w:eastAsia="宋体" w:cs="Times New Roman"/>
      <w:sz w:val="28"/>
      <w:szCs w:val="20"/>
    </w:rPr>
  </w:style>
  <w:style w:type="character" w:customStyle="1" w:styleId="125">
    <w:name w:val="文档结构图 Char"/>
    <w:basedOn w:val="90"/>
    <w:qFormat/>
    <w:uiPriority w:val="0"/>
    <w:rPr>
      <w:rFonts w:ascii="宋体" w:hAnsi="Calibri" w:eastAsia="宋体" w:cs="Times New Roman"/>
      <w:sz w:val="18"/>
      <w:szCs w:val="18"/>
    </w:rPr>
  </w:style>
  <w:style w:type="character" w:customStyle="1" w:styleId="126">
    <w:name w:val="称呼 Char"/>
    <w:basedOn w:val="90"/>
    <w:qFormat/>
    <w:uiPriority w:val="0"/>
    <w:rPr>
      <w:rFonts w:ascii="Calibri" w:hAnsi="Calibri" w:eastAsia="宋体" w:cs="Times New Roman"/>
      <w:sz w:val="28"/>
      <w:szCs w:val="20"/>
    </w:rPr>
  </w:style>
  <w:style w:type="character" w:customStyle="1" w:styleId="127">
    <w:name w:val="正文文本 3 Char"/>
    <w:basedOn w:val="90"/>
    <w:qFormat/>
    <w:uiPriority w:val="0"/>
    <w:rPr>
      <w:rFonts w:ascii="Calibri" w:hAnsi="Calibri" w:eastAsia="宋体" w:cs="Times New Roman"/>
      <w:sz w:val="16"/>
      <w:szCs w:val="16"/>
    </w:rPr>
  </w:style>
  <w:style w:type="character" w:customStyle="1" w:styleId="128">
    <w:name w:val="结束语 Char"/>
    <w:basedOn w:val="90"/>
    <w:qFormat/>
    <w:uiPriority w:val="0"/>
    <w:rPr>
      <w:rFonts w:ascii="Calibri" w:hAnsi="Calibri" w:eastAsia="宋体" w:cs="Times New Roman"/>
      <w:sz w:val="28"/>
      <w:szCs w:val="20"/>
    </w:rPr>
  </w:style>
  <w:style w:type="character" w:customStyle="1" w:styleId="129">
    <w:name w:val="HTML 地址 Char"/>
    <w:basedOn w:val="90"/>
    <w:qFormat/>
    <w:uiPriority w:val="0"/>
    <w:rPr>
      <w:rFonts w:ascii="Calibri" w:hAnsi="Calibri" w:eastAsia="宋体" w:cs="Times New Roman"/>
      <w:i/>
      <w:iCs/>
      <w:sz w:val="28"/>
      <w:szCs w:val="20"/>
    </w:rPr>
  </w:style>
  <w:style w:type="character" w:customStyle="1" w:styleId="130">
    <w:name w:val="纯文本 Char"/>
    <w:basedOn w:val="90"/>
    <w:qFormat/>
    <w:uiPriority w:val="0"/>
    <w:rPr>
      <w:rFonts w:ascii="宋体" w:hAnsi="Courier New" w:eastAsia="宋体" w:cs="Courier New"/>
      <w:szCs w:val="21"/>
    </w:rPr>
  </w:style>
  <w:style w:type="character" w:customStyle="1" w:styleId="131">
    <w:name w:val="日期 Char"/>
    <w:basedOn w:val="90"/>
    <w:qFormat/>
    <w:uiPriority w:val="0"/>
    <w:rPr>
      <w:rFonts w:ascii="Calibri" w:hAnsi="Calibri" w:eastAsia="宋体" w:cs="Times New Roman"/>
      <w:sz w:val="28"/>
      <w:szCs w:val="20"/>
    </w:rPr>
  </w:style>
  <w:style w:type="character" w:customStyle="1" w:styleId="132">
    <w:name w:val="正文文本缩进 2 Char"/>
    <w:basedOn w:val="90"/>
    <w:link w:val="133"/>
    <w:qFormat/>
    <w:uiPriority w:val="0"/>
    <w:rPr>
      <w:rFonts w:ascii="Calibri" w:hAnsi="Calibri" w:eastAsia="宋体" w:cs="Times New Roman"/>
      <w:sz w:val="28"/>
      <w:szCs w:val="20"/>
    </w:rPr>
  </w:style>
  <w:style w:type="paragraph" w:customStyle="1" w:styleId="133">
    <w:name w:val="正文文本缩进 22"/>
    <w:basedOn w:val="1"/>
    <w:link w:val="132"/>
    <w:qFormat/>
    <w:uiPriority w:val="0"/>
    <w:pPr>
      <w:adjustRightInd w:val="0"/>
      <w:spacing w:line="400" w:lineRule="atLeast"/>
      <w:ind w:firstLine="540"/>
      <w:textAlignment w:val="baseline"/>
    </w:pPr>
  </w:style>
  <w:style w:type="character" w:customStyle="1" w:styleId="134">
    <w:name w:val="尾注文本 Char"/>
    <w:basedOn w:val="90"/>
    <w:qFormat/>
    <w:uiPriority w:val="0"/>
    <w:rPr>
      <w:rFonts w:ascii="Calibri" w:hAnsi="Calibri" w:eastAsia="宋体" w:cs="Times New Roman"/>
      <w:sz w:val="28"/>
      <w:szCs w:val="20"/>
    </w:rPr>
  </w:style>
  <w:style w:type="character" w:customStyle="1" w:styleId="135">
    <w:name w:val="批注框文本 Char"/>
    <w:basedOn w:val="90"/>
    <w:qFormat/>
    <w:uiPriority w:val="99"/>
    <w:rPr>
      <w:rFonts w:ascii="Calibri" w:hAnsi="Calibri" w:eastAsia="宋体" w:cs="Times New Roman"/>
      <w:sz w:val="18"/>
      <w:szCs w:val="18"/>
    </w:rPr>
  </w:style>
  <w:style w:type="character" w:customStyle="1" w:styleId="136">
    <w:name w:val="签名 Char"/>
    <w:basedOn w:val="90"/>
    <w:qFormat/>
    <w:uiPriority w:val="0"/>
    <w:rPr>
      <w:rFonts w:ascii="Calibri" w:hAnsi="Calibri" w:eastAsia="宋体" w:cs="Times New Roman"/>
      <w:sz w:val="28"/>
      <w:szCs w:val="20"/>
    </w:rPr>
  </w:style>
  <w:style w:type="character" w:customStyle="1" w:styleId="137">
    <w:name w:val="副标题 Char"/>
    <w:basedOn w:val="90"/>
    <w:qFormat/>
    <w:uiPriority w:val="0"/>
    <w:rPr>
      <w:rFonts w:eastAsia="宋体" w:asciiTheme="majorHAnsi" w:hAnsiTheme="majorHAnsi" w:cstheme="majorBidi"/>
      <w:b/>
      <w:bCs/>
      <w:kern w:val="28"/>
      <w:sz w:val="32"/>
      <w:szCs w:val="32"/>
    </w:rPr>
  </w:style>
  <w:style w:type="character" w:customStyle="1" w:styleId="138">
    <w:name w:val="脚注文本 Char"/>
    <w:basedOn w:val="90"/>
    <w:qFormat/>
    <w:uiPriority w:val="0"/>
    <w:rPr>
      <w:rFonts w:ascii="Calibri" w:hAnsi="Calibri" w:eastAsia="宋体" w:cs="Times New Roman"/>
      <w:sz w:val="18"/>
      <w:szCs w:val="18"/>
    </w:rPr>
  </w:style>
  <w:style w:type="character" w:customStyle="1" w:styleId="139">
    <w:name w:val="正文文本缩进 3 Char"/>
    <w:basedOn w:val="90"/>
    <w:link w:val="140"/>
    <w:qFormat/>
    <w:uiPriority w:val="0"/>
    <w:rPr>
      <w:rFonts w:ascii="Calibri" w:hAnsi="Calibri" w:eastAsia="宋体" w:cs="Times New Roman"/>
      <w:sz w:val="16"/>
      <w:szCs w:val="16"/>
    </w:rPr>
  </w:style>
  <w:style w:type="paragraph" w:customStyle="1" w:styleId="140">
    <w:name w:val="正文文本缩进 31"/>
    <w:basedOn w:val="1"/>
    <w:link w:val="139"/>
    <w:qFormat/>
    <w:uiPriority w:val="0"/>
    <w:pPr>
      <w:spacing w:line="360" w:lineRule="auto"/>
      <w:ind w:firstLine="490" w:firstLineChars="204"/>
    </w:pPr>
    <w:rPr>
      <w:sz w:val="16"/>
      <w:szCs w:val="16"/>
    </w:rPr>
  </w:style>
  <w:style w:type="character" w:customStyle="1" w:styleId="141">
    <w:name w:val="正文文本 2 Char"/>
    <w:basedOn w:val="90"/>
    <w:link w:val="142"/>
    <w:qFormat/>
    <w:uiPriority w:val="0"/>
    <w:rPr>
      <w:rFonts w:ascii="Calibri" w:hAnsi="Calibri" w:eastAsia="宋体" w:cs="Times New Roman"/>
      <w:sz w:val="28"/>
      <w:szCs w:val="20"/>
    </w:rPr>
  </w:style>
  <w:style w:type="paragraph" w:customStyle="1" w:styleId="142">
    <w:name w:val="正文文本 22"/>
    <w:basedOn w:val="1"/>
    <w:link w:val="141"/>
    <w:qFormat/>
    <w:uiPriority w:val="0"/>
    <w:pPr>
      <w:adjustRightInd w:val="0"/>
      <w:ind w:firstLine="510"/>
      <w:jc w:val="left"/>
      <w:textAlignment w:val="baseline"/>
    </w:pPr>
  </w:style>
  <w:style w:type="character" w:customStyle="1" w:styleId="143">
    <w:name w:val="信息标题 Char"/>
    <w:basedOn w:val="90"/>
    <w:qFormat/>
    <w:uiPriority w:val="0"/>
    <w:rPr>
      <w:rFonts w:asciiTheme="majorHAnsi" w:hAnsiTheme="majorHAnsi" w:eastAsiaTheme="majorEastAsia" w:cstheme="majorBidi"/>
      <w:sz w:val="24"/>
      <w:szCs w:val="24"/>
      <w:shd w:val="pct20" w:color="auto" w:fill="auto"/>
    </w:rPr>
  </w:style>
  <w:style w:type="character" w:customStyle="1" w:styleId="144">
    <w:name w:val="HTML 预设格式 Char"/>
    <w:basedOn w:val="90"/>
    <w:link w:val="145"/>
    <w:qFormat/>
    <w:uiPriority w:val="0"/>
    <w:rPr>
      <w:rFonts w:ascii="Courier New" w:hAnsi="Courier New" w:eastAsia="宋体" w:cs="Courier New"/>
      <w:sz w:val="20"/>
      <w:szCs w:val="20"/>
    </w:rPr>
  </w:style>
  <w:style w:type="paragraph" w:customStyle="1" w:styleId="145">
    <w:name w:val="HTML 预设格式1"/>
    <w:basedOn w:val="1"/>
    <w:link w:val="144"/>
    <w:qFormat/>
    <w:uiPriority w:val="0"/>
    <w:rPr>
      <w:rFonts w:ascii="Courier New" w:hAnsi="Courier New" w:cs="Courier New"/>
      <w:sz w:val="20"/>
    </w:rPr>
  </w:style>
  <w:style w:type="character" w:customStyle="1" w:styleId="146">
    <w:name w:val="bemq"/>
    <w:qFormat/>
    <w:uiPriority w:val="0"/>
  </w:style>
  <w:style w:type="character" w:customStyle="1" w:styleId="147">
    <w:name w:val="标题 Char3"/>
    <w:qFormat/>
    <w:uiPriority w:val="0"/>
    <w:rPr>
      <w:b/>
      <w:sz w:val="24"/>
      <w:lang w:val="en-GB"/>
    </w:rPr>
  </w:style>
  <w:style w:type="character" w:customStyle="1" w:styleId="148">
    <w:name w:val="HTML 打字机1"/>
    <w:qFormat/>
    <w:uiPriority w:val="0"/>
    <w:rPr>
      <w:rFonts w:ascii="Courier New" w:hAnsi="Courier New"/>
      <w:sz w:val="20"/>
    </w:rPr>
  </w:style>
  <w:style w:type="character" w:customStyle="1" w:styleId="149">
    <w:name w:val="样式1 Char Char"/>
    <w:link w:val="101"/>
    <w:qFormat/>
    <w:uiPriority w:val="0"/>
    <w:rPr>
      <w:rFonts w:ascii="黑体"/>
      <w:b/>
      <w:sz w:val="32"/>
    </w:rPr>
  </w:style>
  <w:style w:type="character" w:customStyle="1" w:styleId="150">
    <w:name w:val="日期 Char1"/>
    <w:qFormat/>
    <w:uiPriority w:val="0"/>
    <w:rPr>
      <w:rFonts w:ascii="Times New Roman" w:hAnsi="Times New Roman" w:eastAsia="宋体"/>
    </w:rPr>
  </w:style>
  <w:style w:type="character" w:customStyle="1" w:styleId="151">
    <w:name w:val="标题 9 字符"/>
    <w:qFormat/>
    <w:uiPriority w:val="0"/>
    <w:rPr>
      <w:rFonts w:ascii="等线 Light" w:hAnsi="等线 Light" w:eastAsia="等线 Light"/>
      <w:kern w:val="2"/>
      <w:sz w:val="21"/>
    </w:rPr>
  </w:style>
  <w:style w:type="character" w:customStyle="1" w:styleId="152">
    <w:name w:val="标题 3 Char Char Char"/>
    <w:qFormat/>
    <w:uiPriority w:val="0"/>
    <w:rPr>
      <w:rFonts w:eastAsia="宋体"/>
      <w:b/>
      <w:kern w:val="2"/>
      <w:sz w:val="32"/>
      <w:lang w:val="en-US" w:eastAsia="zh-CN"/>
    </w:rPr>
  </w:style>
  <w:style w:type="character" w:customStyle="1" w:styleId="153">
    <w:name w:val="正文文本缩进 字符"/>
    <w:qFormat/>
    <w:uiPriority w:val="0"/>
    <w:rPr>
      <w:rFonts w:ascii="Times New Roman" w:hAnsi="Times New Roman" w:eastAsia="宋体"/>
      <w:kern w:val="2"/>
      <w:sz w:val="21"/>
    </w:rPr>
  </w:style>
  <w:style w:type="character" w:customStyle="1" w:styleId="154">
    <w:name w:val="style1 style6 style7"/>
    <w:qFormat/>
    <w:uiPriority w:val="0"/>
  </w:style>
  <w:style w:type="character" w:customStyle="1" w:styleId="155">
    <w:name w:val="h2 Char"/>
    <w:qFormat/>
    <w:uiPriority w:val="0"/>
    <w:rPr>
      <w:rFonts w:ascii="Arial" w:hAnsi="Arial" w:eastAsia="黑体"/>
      <w:color w:val="0000FF"/>
      <w:sz w:val="24"/>
      <w:lang w:val="en-US" w:eastAsia="zh-CN"/>
    </w:rPr>
  </w:style>
  <w:style w:type="character" w:customStyle="1" w:styleId="156">
    <w:name w:val="页脚 字符"/>
    <w:qFormat/>
    <w:uiPriority w:val="0"/>
    <w:rPr>
      <w:kern w:val="2"/>
      <w:sz w:val="18"/>
    </w:rPr>
  </w:style>
  <w:style w:type="character" w:customStyle="1" w:styleId="157">
    <w:name w:val="content3"/>
    <w:qFormat/>
    <w:uiPriority w:val="0"/>
    <w:rPr>
      <w:b/>
      <w:sz w:val="18"/>
    </w:rPr>
  </w:style>
  <w:style w:type="character" w:customStyle="1" w:styleId="158">
    <w:name w:val="street-address"/>
    <w:qFormat/>
    <w:uiPriority w:val="0"/>
  </w:style>
  <w:style w:type="character" w:customStyle="1" w:styleId="159">
    <w:name w:val="正文文本缩进 2 Char1"/>
    <w:qFormat/>
    <w:uiPriority w:val="0"/>
    <w:rPr>
      <w:rFonts w:ascii="黑体" w:eastAsia="黑体"/>
      <w:sz w:val="28"/>
    </w:rPr>
  </w:style>
  <w:style w:type="character" w:customStyle="1" w:styleId="160">
    <w:name w:val="标题 7 字符"/>
    <w:qFormat/>
    <w:uiPriority w:val="0"/>
    <w:rPr>
      <w:rFonts w:ascii="Times New Roman" w:hAnsi="Times New Roman" w:eastAsia="宋体"/>
      <w:b/>
      <w:kern w:val="2"/>
      <w:sz w:val="24"/>
    </w:rPr>
  </w:style>
  <w:style w:type="character" w:customStyle="1" w:styleId="161">
    <w:name w:val="正文（首行缩进两字） + Arial Char Char Char Char Char Char Char Char Char Char Char Char Char Char Char Char Char Char Char Char Char Char Char Char Char Char Char"/>
    <w:qFormat/>
    <w:uiPriority w:val="0"/>
    <w:rPr>
      <w:rFonts w:ascii="Arial" w:hAnsi="Arial" w:eastAsia="宋体"/>
      <w:sz w:val="24"/>
      <w:lang w:val="en-US" w:eastAsia="zh-CN"/>
    </w:rPr>
  </w:style>
  <w:style w:type="character" w:customStyle="1" w:styleId="162">
    <w:name w:val="内文 Char Char"/>
    <w:link w:val="163"/>
    <w:qFormat/>
    <w:uiPriority w:val="0"/>
    <w:rPr>
      <w:rFonts w:ascii="Arial" w:hAnsi="Arial" w:eastAsia="Times New Roman"/>
    </w:rPr>
  </w:style>
  <w:style w:type="paragraph" w:customStyle="1" w:styleId="163">
    <w:name w:val="内文"/>
    <w:link w:val="162"/>
    <w:qFormat/>
    <w:uiPriority w:val="0"/>
    <w:pPr>
      <w:adjustRightInd w:val="0"/>
      <w:snapToGrid w:val="0"/>
      <w:spacing w:line="400" w:lineRule="exact"/>
      <w:ind w:firstLine="200" w:firstLineChars="200"/>
      <w:jc w:val="both"/>
    </w:pPr>
    <w:rPr>
      <w:rFonts w:ascii="Arial" w:hAnsi="Arial" w:eastAsia="Times New Roman" w:cstheme="minorBidi"/>
      <w:kern w:val="2"/>
      <w:sz w:val="21"/>
      <w:szCs w:val="22"/>
      <w:lang w:val="en-US" w:eastAsia="zh-CN" w:bidi="ar-SA"/>
    </w:rPr>
  </w:style>
  <w:style w:type="character" w:customStyle="1" w:styleId="164">
    <w:name w:val="font14news1"/>
    <w:qFormat/>
    <w:uiPriority w:val="0"/>
    <w:rPr>
      <w:color w:val="333333"/>
      <w:sz w:val="21"/>
    </w:rPr>
  </w:style>
  <w:style w:type="character" w:customStyle="1" w:styleId="165">
    <w:name w:val="标题 6 Char1"/>
    <w:qFormat/>
    <w:uiPriority w:val="0"/>
    <w:rPr>
      <w:rFonts w:ascii="Arial" w:hAnsi="Arial" w:eastAsia="黑体"/>
      <w:b/>
      <w:sz w:val="24"/>
      <w:lang w:val="en-US" w:eastAsia="zh-CN"/>
    </w:rPr>
  </w:style>
  <w:style w:type="character" w:customStyle="1" w:styleId="166">
    <w:name w:val="HTML 变量1"/>
    <w:qFormat/>
    <w:uiPriority w:val="0"/>
    <w:rPr>
      <w:i/>
    </w:rPr>
  </w:style>
  <w:style w:type="character" w:customStyle="1" w:styleId="167">
    <w:name w:val="标题 2 Char1"/>
    <w:qFormat/>
    <w:uiPriority w:val="0"/>
    <w:rPr>
      <w:rFonts w:ascii="Arial" w:hAnsi="Arial" w:eastAsia="黑体"/>
      <w:b/>
      <w:sz w:val="32"/>
      <w:lang w:val="en-US" w:eastAsia="zh-CN"/>
    </w:rPr>
  </w:style>
  <w:style w:type="character" w:customStyle="1" w:styleId="168">
    <w:name w:val="样式10 Char"/>
    <w:link w:val="169"/>
    <w:qFormat/>
    <w:uiPriority w:val="0"/>
    <w:rPr>
      <w:b/>
      <w:sz w:val="24"/>
    </w:rPr>
  </w:style>
  <w:style w:type="paragraph" w:customStyle="1" w:styleId="169">
    <w:name w:val="样式10"/>
    <w:basedOn w:val="1"/>
    <w:link w:val="168"/>
    <w:qFormat/>
    <w:uiPriority w:val="0"/>
    <w:pPr>
      <w:spacing w:line="360" w:lineRule="auto"/>
    </w:pPr>
    <w:rPr>
      <w:rFonts w:asciiTheme="minorHAnsi" w:hAnsiTheme="minorHAnsi" w:eastAsiaTheme="minorEastAsia" w:cstheme="minorBidi"/>
      <w:b/>
      <w:sz w:val="24"/>
      <w:szCs w:val="22"/>
    </w:rPr>
  </w:style>
  <w:style w:type="character" w:customStyle="1" w:styleId="170">
    <w:name w:val="注释标题 字符"/>
    <w:qFormat/>
    <w:uiPriority w:val="0"/>
    <w:rPr>
      <w:kern w:val="2"/>
      <w:sz w:val="28"/>
    </w:rPr>
  </w:style>
  <w:style w:type="character" w:customStyle="1" w:styleId="171">
    <w:name w:val="标题 1 Char2"/>
    <w:qFormat/>
    <w:uiPriority w:val="0"/>
    <w:rPr>
      <w:rFonts w:ascii="Arial Unicode MS" w:hAnsi="Arial Unicode MS" w:eastAsia="Arial Unicode MS"/>
      <w:b/>
      <w:kern w:val="36"/>
      <w:sz w:val="48"/>
      <w:lang w:val="en-US" w:eastAsia="zh-CN"/>
    </w:rPr>
  </w:style>
  <w:style w:type="character" w:customStyle="1" w:styleId="172">
    <w:name w:val="Comment Text Char"/>
    <w:qFormat/>
    <w:uiPriority w:val="0"/>
    <w:rPr>
      <w:rFonts w:ascii="Times New Roman" w:hAnsi="Times New Roman" w:eastAsia="宋体"/>
      <w:sz w:val="24"/>
    </w:rPr>
  </w:style>
  <w:style w:type="character" w:customStyle="1" w:styleId="173">
    <w:name w:val="纯文本 字符"/>
    <w:qFormat/>
    <w:uiPriority w:val="0"/>
    <w:rPr>
      <w:rFonts w:ascii="宋体" w:hAnsi="Courier New" w:eastAsia="宋体"/>
      <w:kern w:val="2"/>
      <w:sz w:val="21"/>
    </w:rPr>
  </w:style>
  <w:style w:type="character" w:customStyle="1" w:styleId="174">
    <w:name w:val="页脚 Char2"/>
    <w:qFormat/>
    <w:uiPriority w:val="0"/>
    <w:rPr>
      <w:kern w:val="2"/>
      <w:sz w:val="18"/>
    </w:rPr>
  </w:style>
  <w:style w:type="character" w:customStyle="1" w:styleId="175">
    <w:name w:val="个人撰写风格"/>
    <w:qFormat/>
    <w:uiPriority w:val="0"/>
    <w:rPr>
      <w:rFonts w:ascii="Arial" w:hAnsi="Arial" w:eastAsia="宋体"/>
      <w:color w:val="auto"/>
      <w:sz w:val="20"/>
    </w:rPr>
  </w:style>
  <w:style w:type="character" w:customStyle="1" w:styleId="176">
    <w:name w:val="正文文本缩进 Char1"/>
    <w:qFormat/>
    <w:uiPriority w:val="0"/>
    <w:rPr>
      <w:rFonts w:ascii="宋体" w:hAnsi="宋体" w:eastAsia="宋体"/>
      <w:spacing w:val="-6"/>
      <w:kern w:val="2"/>
      <w:sz w:val="21"/>
      <w:lang w:val="en-US" w:eastAsia="zh-CN"/>
    </w:rPr>
  </w:style>
  <w:style w:type="character" w:customStyle="1" w:styleId="177">
    <w:name w:val="Char Char6"/>
    <w:qFormat/>
    <w:uiPriority w:val="0"/>
    <w:rPr>
      <w:rFonts w:ascii="宋体" w:hAnsi="Courier New" w:eastAsia="宋体"/>
      <w:kern w:val="2"/>
      <w:sz w:val="21"/>
      <w:lang w:val="en-US" w:eastAsia="zh-CN"/>
    </w:rPr>
  </w:style>
  <w:style w:type="character" w:customStyle="1" w:styleId="178">
    <w:name w:val="Char Char"/>
    <w:link w:val="179"/>
    <w:qFormat/>
    <w:uiPriority w:val="0"/>
    <w:rPr>
      <w:rFonts w:eastAsia="仿宋_GB2312"/>
      <w:sz w:val="28"/>
    </w:rPr>
  </w:style>
  <w:style w:type="paragraph" w:customStyle="1" w:styleId="179">
    <w:name w:val="Char12"/>
    <w:basedOn w:val="1"/>
    <w:link w:val="178"/>
    <w:qFormat/>
    <w:uiPriority w:val="0"/>
    <w:rPr>
      <w:rFonts w:eastAsia="仿宋_GB2312" w:asciiTheme="minorHAnsi" w:hAnsiTheme="minorHAnsi" w:cstheme="minorBidi"/>
      <w:szCs w:val="22"/>
    </w:rPr>
  </w:style>
  <w:style w:type="character" w:customStyle="1" w:styleId="180">
    <w:name w:val="Plain Text Char"/>
    <w:qFormat/>
    <w:uiPriority w:val="0"/>
    <w:rPr>
      <w:rFonts w:ascii="宋体" w:hAnsi="Courier New" w:eastAsia="宋体"/>
      <w:kern w:val="2"/>
      <w:sz w:val="21"/>
      <w:lang w:val="en-US" w:eastAsia="zh-CN"/>
    </w:rPr>
  </w:style>
  <w:style w:type="character" w:customStyle="1" w:styleId="181">
    <w:name w:val="zbggmain"/>
    <w:qFormat/>
    <w:uiPriority w:val="0"/>
  </w:style>
  <w:style w:type="character" w:customStyle="1" w:styleId="182">
    <w:name w:val="标题 2 Char2"/>
    <w:link w:val="5"/>
    <w:qFormat/>
    <w:uiPriority w:val="0"/>
    <w:rPr>
      <w:rFonts w:ascii="Arial" w:hAnsi="Arial" w:eastAsia="黑体" w:cs="Times New Roman"/>
      <w:b/>
      <w:szCs w:val="20"/>
    </w:rPr>
  </w:style>
  <w:style w:type="character" w:customStyle="1" w:styleId="183">
    <w:name w:val="8953"/>
    <w:qFormat/>
    <w:uiPriority w:val="0"/>
  </w:style>
  <w:style w:type="character" w:customStyle="1" w:styleId="184">
    <w:name w:val="H1 Char"/>
    <w:qFormat/>
    <w:uiPriority w:val="0"/>
    <w:rPr>
      <w:rFonts w:ascii="Arial Unicode MS" w:hAnsi="Arial Unicode MS" w:eastAsia="Arial Unicode MS"/>
      <w:b/>
      <w:kern w:val="36"/>
      <w:sz w:val="48"/>
      <w:lang w:val="en-US" w:eastAsia="zh-CN"/>
    </w:rPr>
  </w:style>
  <w:style w:type="character" w:customStyle="1" w:styleId="185">
    <w:name w:val="样式 标题 3Heading 3 Char1Heading 3 Char Char列表编号33 bullet2ERM... Char"/>
    <w:link w:val="186"/>
    <w:qFormat/>
    <w:uiPriority w:val="0"/>
    <w:rPr>
      <w:b/>
    </w:rPr>
  </w:style>
  <w:style w:type="paragraph" w:customStyle="1" w:styleId="186">
    <w:name w:val="样式 标题 3Heading 3 Char1Heading 3 Char Char列表编号33 bullet2ERM..."/>
    <w:basedOn w:val="6"/>
    <w:link w:val="185"/>
    <w:qFormat/>
    <w:uiPriority w:val="0"/>
    <w:pPr>
      <w:widowControl w:val="0"/>
      <w:tabs>
        <w:tab w:val="clear" w:pos="720"/>
      </w:tabs>
      <w:adjustRightInd w:val="0"/>
      <w:snapToGrid w:val="0"/>
      <w:spacing w:before="0" w:after="0"/>
      <w:ind w:left="0" w:firstLine="0"/>
      <w:jc w:val="both"/>
    </w:pPr>
    <w:rPr>
      <w:rFonts w:asciiTheme="minorHAnsi" w:hAnsiTheme="minorHAnsi" w:eastAsiaTheme="minorEastAsia" w:cstheme="minorBidi"/>
      <w:kern w:val="2"/>
      <w:sz w:val="21"/>
      <w:szCs w:val="22"/>
    </w:rPr>
  </w:style>
  <w:style w:type="character" w:customStyle="1" w:styleId="187">
    <w:name w:val="Char Char12"/>
    <w:qFormat/>
    <w:uiPriority w:val="0"/>
    <w:rPr>
      <w:rFonts w:ascii="Arial" w:hAnsi="Arial" w:eastAsia="黑体"/>
      <w:b/>
      <w:sz w:val="24"/>
    </w:rPr>
  </w:style>
  <w:style w:type="character" w:customStyle="1" w:styleId="188">
    <w:name w:val="页眉 Char1"/>
    <w:qFormat/>
    <w:uiPriority w:val="0"/>
    <w:rPr>
      <w:rFonts w:eastAsia="宋体"/>
      <w:kern w:val="2"/>
      <w:sz w:val="18"/>
      <w:lang w:val="en-US" w:eastAsia="zh-CN"/>
    </w:rPr>
  </w:style>
  <w:style w:type="character" w:customStyle="1" w:styleId="189">
    <w:name w:val="正文文本缩进 2 字符"/>
    <w:qFormat/>
    <w:uiPriority w:val="0"/>
    <w:rPr>
      <w:rFonts w:ascii="Times New Roman" w:hAnsi="Times New Roman" w:eastAsia="宋体"/>
      <w:kern w:val="2"/>
      <w:sz w:val="21"/>
    </w:rPr>
  </w:style>
  <w:style w:type="character" w:customStyle="1" w:styleId="190">
    <w:name w:val="页眉 Char2"/>
    <w:qFormat/>
    <w:uiPriority w:val="0"/>
    <w:rPr>
      <w:kern w:val="2"/>
      <w:sz w:val="18"/>
    </w:rPr>
  </w:style>
  <w:style w:type="character" w:customStyle="1" w:styleId="191">
    <w:name w:val="批注主题 Char1"/>
    <w:qFormat/>
    <w:uiPriority w:val="0"/>
    <w:rPr>
      <w:b/>
    </w:rPr>
  </w:style>
  <w:style w:type="character" w:customStyle="1" w:styleId="192">
    <w:name w:val="qclx"/>
    <w:qFormat/>
    <w:uiPriority w:val="0"/>
  </w:style>
  <w:style w:type="character" w:customStyle="1" w:styleId="193">
    <w:name w:val="even Char Char"/>
    <w:qFormat/>
    <w:uiPriority w:val="0"/>
    <w:rPr>
      <w:rFonts w:ascii="Times New Roman" w:hAnsi="Times New Roman" w:eastAsia="宋体"/>
      <w:sz w:val="18"/>
    </w:rPr>
  </w:style>
  <w:style w:type="character" w:customStyle="1" w:styleId="194">
    <w:name w:val="正文文本缩进 3 Char1"/>
    <w:qFormat/>
    <w:uiPriority w:val="0"/>
    <w:rPr>
      <w:sz w:val="28"/>
    </w:rPr>
  </w:style>
  <w:style w:type="character" w:customStyle="1" w:styleId="195">
    <w:name w:val="信息标题 字符"/>
    <w:qFormat/>
    <w:uiPriority w:val="0"/>
    <w:rPr>
      <w:rFonts w:ascii="等线 Light" w:hAnsi="等线 Light" w:eastAsia="等线 Light"/>
      <w:kern w:val="2"/>
      <w:sz w:val="24"/>
      <w:shd w:val="pct20" w:color="auto" w:fill="auto"/>
    </w:rPr>
  </w:style>
  <w:style w:type="character" w:customStyle="1" w:styleId="196">
    <w:name w:val="标题 5 字符"/>
    <w:qFormat/>
    <w:uiPriority w:val="0"/>
    <w:rPr>
      <w:rFonts w:ascii="Times New Roman" w:hAnsi="Times New Roman" w:eastAsia="宋体"/>
      <w:b/>
      <w:kern w:val="2"/>
      <w:sz w:val="28"/>
    </w:rPr>
  </w:style>
  <w:style w:type="character" w:customStyle="1" w:styleId="197">
    <w:name w:val="HTML 预设格式 Char2"/>
    <w:qFormat/>
    <w:uiPriority w:val="0"/>
    <w:rPr>
      <w:rFonts w:ascii="黑体" w:hAnsi="Courier New" w:eastAsia="黑体"/>
    </w:rPr>
  </w:style>
  <w:style w:type="character" w:customStyle="1" w:styleId="198">
    <w:name w:val="p7"/>
    <w:qFormat/>
    <w:uiPriority w:val="0"/>
  </w:style>
  <w:style w:type="character" w:customStyle="1" w:styleId="199">
    <w:name w:val="签名 字符"/>
    <w:qFormat/>
    <w:uiPriority w:val="0"/>
    <w:rPr>
      <w:kern w:val="2"/>
      <w:sz w:val="28"/>
    </w:rPr>
  </w:style>
  <w:style w:type="character" w:customStyle="1" w:styleId="200">
    <w:name w:val="批注文字 Char1"/>
    <w:qFormat/>
    <w:uiPriority w:val="0"/>
    <w:rPr>
      <w:rFonts w:eastAsia="宋体"/>
      <w:kern w:val="2"/>
      <w:sz w:val="21"/>
      <w:lang w:val="en-US" w:eastAsia="zh-CN"/>
    </w:rPr>
  </w:style>
  <w:style w:type="character" w:customStyle="1" w:styleId="201">
    <w:name w:val="文档结构图 Char1"/>
    <w:qFormat/>
    <w:uiPriority w:val="0"/>
    <w:rPr>
      <w:rFonts w:eastAsia="宋体"/>
      <w:kern w:val="2"/>
      <w:sz w:val="21"/>
      <w:lang w:val="en-US" w:eastAsia="zh-CN"/>
    </w:rPr>
  </w:style>
  <w:style w:type="character" w:customStyle="1" w:styleId="202">
    <w:name w:val="纯文本 Char1"/>
    <w:qFormat/>
    <w:uiPriority w:val="0"/>
    <w:rPr>
      <w:rFonts w:ascii="宋体" w:hAnsi="Courier New" w:eastAsia="宋体"/>
      <w:kern w:val="2"/>
      <w:sz w:val="21"/>
    </w:rPr>
  </w:style>
  <w:style w:type="character" w:customStyle="1" w:styleId="203">
    <w:name w:val="无间隔 Char"/>
    <w:link w:val="204"/>
    <w:qFormat/>
    <w:locked/>
    <w:uiPriority w:val="0"/>
    <w:rPr>
      <w:rFonts w:ascii="宋体" w:hAnsi="宋体"/>
      <w:szCs w:val="24"/>
    </w:rPr>
  </w:style>
  <w:style w:type="paragraph" w:customStyle="1" w:styleId="204">
    <w:name w:val="无间隔1"/>
    <w:basedOn w:val="1"/>
    <w:link w:val="203"/>
    <w:qFormat/>
    <w:uiPriority w:val="0"/>
    <w:rPr>
      <w:rFonts w:ascii="宋体" w:hAnsi="宋体" w:eastAsiaTheme="minorEastAsia" w:cstheme="minorBidi"/>
      <w:sz w:val="21"/>
      <w:szCs w:val="24"/>
    </w:rPr>
  </w:style>
  <w:style w:type="character" w:customStyle="1" w:styleId="205">
    <w:name w:val="HTML 引文1"/>
    <w:qFormat/>
    <w:uiPriority w:val="0"/>
    <w:rPr>
      <w:i/>
    </w:rPr>
  </w:style>
  <w:style w:type="character" w:customStyle="1" w:styleId="206">
    <w:name w:val="Char Char13"/>
    <w:qFormat/>
    <w:uiPriority w:val="0"/>
    <w:rPr>
      <w:rFonts w:ascii="Times New Roman" w:hAnsi="Times New Roman" w:eastAsia="宋体"/>
      <w:b/>
      <w:sz w:val="28"/>
    </w:rPr>
  </w:style>
  <w:style w:type="character" w:customStyle="1" w:styleId="207">
    <w:name w:val="brown1"/>
    <w:qFormat/>
    <w:uiPriority w:val="0"/>
    <w:rPr>
      <w:color w:val="80786A"/>
    </w:rPr>
  </w:style>
  <w:style w:type="character" w:customStyle="1" w:styleId="208">
    <w:name w:val="正文首行缩进 2 字符"/>
    <w:basedOn w:val="209"/>
    <w:qFormat/>
    <w:uiPriority w:val="0"/>
    <w:rPr>
      <w:rFonts w:ascii="黑体" w:eastAsia="黑体"/>
      <w:sz w:val="28"/>
    </w:rPr>
  </w:style>
  <w:style w:type="character" w:customStyle="1" w:styleId="209">
    <w:name w:val="正文文本缩进 Char2"/>
    <w:qFormat/>
    <w:uiPriority w:val="0"/>
    <w:rPr>
      <w:rFonts w:ascii="黑体" w:eastAsia="黑体"/>
      <w:sz w:val="28"/>
    </w:rPr>
  </w:style>
  <w:style w:type="character" w:customStyle="1" w:styleId="210">
    <w:name w:val="正文非缩进 Char"/>
    <w:qFormat/>
    <w:uiPriority w:val="0"/>
    <w:rPr>
      <w:rFonts w:ascii="宋体" w:eastAsia="宋体"/>
      <w:snapToGrid w:val="0"/>
      <w:color w:val="000000"/>
      <w:kern w:val="28"/>
      <w:sz w:val="28"/>
      <w:lang w:val="en-US" w:eastAsia="zh-CN"/>
    </w:rPr>
  </w:style>
  <w:style w:type="character" w:customStyle="1" w:styleId="211">
    <w:name w:val="标题 1 1 Char"/>
    <w:qFormat/>
    <w:uiPriority w:val="0"/>
    <w:rPr>
      <w:rFonts w:ascii="Times New Roman" w:hAnsi="Times New Roman" w:eastAsia="宋体"/>
      <w:b/>
      <w:kern w:val="44"/>
      <w:sz w:val="44"/>
    </w:rPr>
  </w:style>
  <w:style w:type="character" w:customStyle="1" w:styleId="212">
    <w:name w:val="z-窗体底端 Char"/>
    <w:qFormat/>
    <w:uiPriority w:val="0"/>
    <w:rPr>
      <w:rFonts w:ascii="Arial" w:hAnsi="Arial"/>
      <w:vanish/>
      <w:sz w:val="16"/>
    </w:rPr>
  </w:style>
  <w:style w:type="paragraph" w:customStyle="1" w:styleId="213">
    <w:name w:val="z-窗体底端1"/>
    <w:basedOn w:val="1"/>
    <w:next w:val="1"/>
    <w:link w:val="379"/>
    <w:qFormat/>
    <w:uiPriority w:val="0"/>
    <w:pPr>
      <w:pBdr>
        <w:top w:val="single" w:color="auto" w:sz="6" w:space="1"/>
      </w:pBdr>
      <w:jc w:val="center"/>
    </w:pPr>
    <w:rPr>
      <w:rFonts w:ascii="Arial" w:hAnsi="Arial" w:eastAsiaTheme="minorEastAsia" w:cstheme="minorBidi"/>
      <w:vanish/>
      <w:sz w:val="16"/>
      <w:szCs w:val="22"/>
    </w:rPr>
  </w:style>
  <w:style w:type="character" w:customStyle="1" w:styleId="214">
    <w:name w:val="font161"/>
    <w:qFormat/>
    <w:uiPriority w:val="0"/>
    <w:rPr>
      <w:b/>
      <w:sz w:val="32"/>
    </w:rPr>
  </w:style>
  <w:style w:type="character" w:customStyle="1" w:styleId="215">
    <w:name w:val="脚注文本 字符"/>
    <w:qFormat/>
    <w:uiPriority w:val="0"/>
    <w:rPr>
      <w:kern w:val="2"/>
      <w:sz w:val="18"/>
    </w:rPr>
  </w:style>
  <w:style w:type="character" w:customStyle="1" w:styleId="216">
    <w:name w:val="HTML 代码1"/>
    <w:qFormat/>
    <w:uiPriority w:val="0"/>
    <w:rPr>
      <w:rFonts w:ascii="Courier New" w:hAnsi="Courier New"/>
      <w:sz w:val="20"/>
    </w:rPr>
  </w:style>
  <w:style w:type="character" w:customStyle="1" w:styleId="217">
    <w:name w:val="标题 Char2"/>
    <w:qFormat/>
    <w:uiPriority w:val="0"/>
    <w:rPr>
      <w:rFonts w:ascii="Arial" w:hAnsi="Arial" w:eastAsia="宋体"/>
      <w:b/>
      <w:sz w:val="32"/>
      <w:lang w:val="en-US" w:eastAsia="zh-CN"/>
    </w:rPr>
  </w:style>
  <w:style w:type="character" w:customStyle="1" w:styleId="218">
    <w:name w:val="正文文本 Char2"/>
    <w:qFormat/>
    <w:uiPriority w:val="0"/>
    <w:rPr>
      <w:sz w:val="24"/>
    </w:rPr>
  </w:style>
  <w:style w:type="character" w:customStyle="1" w:styleId="219">
    <w:name w:val="lemmatitleh11"/>
    <w:qFormat/>
    <w:uiPriority w:val="0"/>
  </w:style>
  <w:style w:type="character" w:customStyle="1" w:styleId="220">
    <w:name w:val="Char Char16"/>
    <w:qFormat/>
    <w:uiPriority w:val="0"/>
    <w:rPr>
      <w:kern w:val="2"/>
      <w:sz w:val="18"/>
    </w:rPr>
  </w:style>
  <w:style w:type="character" w:customStyle="1" w:styleId="221">
    <w:name w:val="正文首行缩进 Char1"/>
    <w:qFormat/>
    <w:uiPriority w:val="0"/>
    <w:rPr>
      <w:rFonts w:ascii="等线" w:hAnsi="等线" w:eastAsia="等线"/>
    </w:rPr>
  </w:style>
  <w:style w:type="character" w:customStyle="1" w:styleId="222">
    <w:name w:val="Char Char17"/>
    <w:qFormat/>
    <w:uiPriority w:val="0"/>
    <w:rPr>
      <w:kern w:val="2"/>
      <w:sz w:val="18"/>
    </w:rPr>
  </w:style>
  <w:style w:type="character" w:customStyle="1" w:styleId="223">
    <w:name w:val="font31"/>
    <w:qFormat/>
    <w:uiPriority w:val="0"/>
    <w:rPr>
      <w:rFonts w:hint="eastAsia" w:ascii="宋体" w:hAnsi="宋体" w:eastAsia="宋体"/>
      <w:color w:val="0000FF"/>
      <w:sz w:val="21"/>
      <w:u w:val="none"/>
      <w:vertAlign w:val="superscript"/>
    </w:rPr>
  </w:style>
  <w:style w:type="character" w:customStyle="1" w:styleId="224">
    <w:name w:val="标题 4 Char1"/>
    <w:qFormat/>
    <w:uiPriority w:val="0"/>
    <w:rPr>
      <w:rFonts w:ascii="Arial" w:hAnsi="Arial" w:eastAsia="黑体"/>
      <w:b/>
      <w:kern w:val="2"/>
      <w:sz w:val="28"/>
      <w:lang w:val="en-US" w:eastAsia="zh-CN"/>
    </w:rPr>
  </w:style>
  <w:style w:type="character" w:customStyle="1" w:styleId="225">
    <w:name w:val="p141"/>
    <w:qFormat/>
    <w:uiPriority w:val="0"/>
    <w:rPr>
      <w:sz w:val="21"/>
      <w:szCs w:val="21"/>
    </w:rPr>
  </w:style>
  <w:style w:type="character" w:customStyle="1" w:styleId="226">
    <w:name w:val="批注引用1"/>
    <w:qFormat/>
    <w:uiPriority w:val="0"/>
    <w:rPr>
      <w:sz w:val="21"/>
    </w:rPr>
  </w:style>
  <w:style w:type="character" w:customStyle="1" w:styleId="227">
    <w:name w:val="发布"/>
    <w:qFormat/>
    <w:uiPriority w:val="0"/>
    <w:rPr>
      <w:rFonts w:ascii="黑体" w:eastAsia="黑体"/>
      <w:spacing w:val="22"/>
      <w:w w:val="100"/>
      <w:position w:val="3"/>
      <w:sz w:val="28"/>
    </w:rPr>
  </w:style>
  <w:style w:type="character" w:customStyle="1" w:styleId="228">
    <w:name w:val="j23x"/>
    <w:qFormat/>
    <w:uiPriority w:val="0"/>
  </w:style>
  <w:style w:type="character" w:customStyle="1" w:styleId="229">
    <w:name w:val="纯文本 Char2"/>
    <w:qFormat/>
    <w:uiPriority w:val="0"/>
    <w:rPr>
      <w:rFonts w:ascii="宋体" w:hAnsi="Courier New" w:eastAsia="宋体"/>
      <w:kern w:val="2"/>
      <w:sz w:val="21"/>
      <w:lang w:val="en-US" w:eastAsia="zh-CN"/>
    </w:rPr>
  </w:style>
  <w:style w:type="character" w:customStyle="1" w:styleId="230">
    <w:name w:val="567r"/>
    <w:qFormat/>
    <w:uiPriority w:val="0"/>
  </w:style>
  <w:style w:type="character" w:customStyle="1" w:styleId="231">
    <w:name w:val="文档结构图 字符"/>
    <w:qFormat/>
    <w:uiPriority w:val="0"/>
    <w:rPr>
      <w:rFonts w:ascii="Microsoft YaHei UI" w:hAnsi="Times New Roman" w:eastAsia="Microsoft YaHei UI"/>
      <w:kern w:val="2"/>
      <w:sz w:val="18"/>
    </w:rPr>
  </w:style>
  <w:style w:type="character" w:customStyle="1" w:styleId="232">
    <w:name w:val="正文文本 2 字符"/>
    <w:qFormat/>
    <w:uiPriority w:val="0"/>
    <w:rPr>
      <w:kern w:val="2"/>
      <w:sz w:val="28"/>
    </w:rPr>
  </w:style>
  <w:style w:type="character" w:customStyle="1" w:styleId="233">
    <w:name w:val="font01"/>
    <w:basedOn w:val="90"/>
    <w:qFormat/>
    <w:uiPriority w:val="0"/>
    <w:rPr>
      <w:rFonts w:hint="eastAsia" w:ascii="宋体" w:hAnsi="宋体" w:eastAsia="宋体" w:cs="宋体"/>
      <w:color w:val="000000"/>
      <w:sz w:val="22"/>
      <w:szCs w:val="22"/>
      <w:u w:val="none"/>
    </w:rPr>
  </w:style>
  <w:style w:type="character" w:customStyle="1" w:styleId="234">
    <w:name w:val="Title Char"/>
    <w:qFormat/>
    <w:uiPriority w:val="0"/>
    <w:rPr>
      <w:rFonts w:ascii="Arial" w:hAnsi="Arial" w:eastAsia="宋体"/>
      <w:b/>
      <w:kern w:val="2"/>
      <w:sz w:val="32"/>
      <w:lang w:val="en-US" w:eastAsia="zh-CN"/>
    </w:rPr>
  </w:style>
  <w:style w:type="character" w:customStyle="1" w:styleId="235">
    <w:name w:val="宏文本 字符"/>
    <w:qFormat/>
    <w:uiPriority w:val="0"/>
    <w:rPr>
      <w:rFonts w:ascii="Courier New" w:hAnsi="Courier New"/>
      <w:kern w:val="2"/>
      <w:sz w:val="24"/>
    </w:rPr>
  </w:style>
  <w:style w:type="character" w:customStyle="1" w:styleId="236">
    <w:name w:val="Char Char22"/>
    <w:qFormat/>
    <w:uiPriority w:val="0"/>
    <w:rPr>
      <w:rFonts w:ascii="Arial" w:hAnsi="Arial" w:eastAsia="黑体"/>
      <w:b/>
      <w:kern w:val="2"/>
      <w:sz w:val="32"/>
      <w:lang w:val="en-US" w:eastAsia="zh-CN"/>
    </w:rPr>
  </w:style>
  <w:style w:type="character" w:customStyle="1" w:styleId="237">
    <w:name w:val="尾注文本 字符"/>
    <w:qFormat/>
    <w:uiPriority w:val="0"/>
    <w:rPr>
      <w:kern w:val="2"/>
      <w:sz w:val="28"/>
    </w:rPr>
  </w:style>
  <w:style w:type="character" w:customStyle="1" w:styleId="238">
    <w:name w:val="副标题 Char1"/>
    <w:qFormat/>
    <w:uiPriority w:val="0"/>
    <w:rPr>
      <w:rFonts w:ascii="Calibri Light" w:hAnsi="Calibri Light" w:eastAsia="宋体"/>
      <w:b/>
      <w:kern w:val="28"/>
      <w:sz w:val="32"/>
    </w:rPr>
  </w:style>
  <w:style w:type="character" w:customStyle="1" w:styleId="239">
    <w:name w:val="正文文本 Char1"/>
    <w:qFormat/>
    <w:uiPriority w:val="0"/>
    <w:rPr>
      <w:rFonts w:ascii="宋体" w:hAnsi="宋体" w:eastAsia="宋体"/>
      <w:spacing w:val="-6"/>
      <w:kern w:val="2"/>
      <w:sz w:val="21"/>
      <w:lang w:val="en-US" w:eastAsia="zh-CN"/>
    </w:rPr>
  </w:style>
  <w:style w:type="character" w:customStyle="1" w:styleId="240">
    <w:name w:val="HTML 缩写1"/>
    <w:qFormat/>
    <w:uiPriority w:val="0"/>
  </w:style>
  <w:style w:type="character" w:customStyle="1" w:styleId="241">
    <w:name w:val="标题 1 Char1"/>
    <w:qFormat/>
    <w:uiPriority w:val="0"/>
    <w:rPr>
      <w:rFonts w:eastAsia="宋体"/>
      <w:b/>
      <w:kern w:val="44"/>
      <w:sz w:val="44"/>
      <w:lang w:val="en-US" w:eastAsia="zh-CN"/>
    </w:rPr>
  </w:style>
  <w:style w:type="character" w:customStyle="1" w:styleId="242">
    <w:name w:val="15"/>
    <w:qFormat/>
    <w:uiPriority w:val="0"/>
  </w:style>
  <w:style w:type="character" w:customStyle="1" w:styleId="243">
    <w:name w:val="样式 正文文本 Char"/>
    <w:link w:val="244"/>
    <w:qFormat/>
    <w:uiPriority w:val="0"/>
    <w:rPr>
      <w:rFonts w:ascii="Arial" w:hAnsi="Arial"/>
      <w:color w:val="000000"/>
    </w:rPr>
  </w:style>
  <w:style w:type="paragraph" w:customStyle="1" w:styleId="244">
    <w:name w:val="样式 正文文本"/>
    <w:basedOn w:val="1"/>
    <w:link w:val="243"/>
    <w:qFormat/>
    <w:uiPriority w:val="0"/>
    <w:pPr>
      <w:adjustRightInd w:val="0"/>
      <w:snapToGrid w:val="0"/>
      <w:spacing w:line="400" w:lineRule="exact"/>
      <w:ind w:firstLine="200" w:firstLineChars="200"/>
    </w:pPr>
    <w:rPr>
      <w:rFonts w:ascii="Arial" w:hAnsi="Arial" w:eastAsiaTheme="minorEastAsia" w:cstheme="minorBidi"/>
      <w:color w:val="000000"/>
      <w:sz w:val="21"/>
      <w:szCs w:val="22"/>
    </w:rPr>
  </w:style>
  <w:style w:type="character" w:customStyle="1" w:styleId="245">
    <w:name w:val="正文格式 Char"/>
    <w:link w:val="246"/>
    <w:qFormat/>
    <w:uiPriority w:val="0"/>
    <w:rPr>
      <w:rFonts w:ascii="Times New Roman" w:hAnsi="Times New Roman"/>
      <w:sz w:val="24"/>
    </w:rPr>
  </w:style>
  <w:style w:type="paragraph" w:customStyle="1" w:styleId="246">
    <w:name w:val="正文格式"/>
    <w:basedOn w:val="1"/>
    <w:link w:val="245"/>
    <w:qFormat/>
    <w:uiPriority w:val="0"/>
    <w:pPr>
      <w:widowControl/>
      <w:adjustRightInd w:val="0"/>
      <w:spacing w:line="480" w:lineRule="atLeast"/>
      <w:ind w:firstLine="482"/>
      <w:textAlignment w:val="baseline"/>
    </w:pPr>
    <w:rPr>
      <w:rFonts w:ascii="Times New Roman" w:hAnsi="Times New Roman" w:eastAsiaTheme="minorEastAsia" w:cstheme="minorBidi"/>
      <w:sz w:val="24"/>
      <w:szCs w:val="22"/>
    </w:rPr>
  </w:style>
  <w:style w:type="character" w:customStyle="1" w:styleId="247">
    <w:name w:val="bulletintext1"/>
    <w:qFormat/>
    <w:uiPriority w:val="0"/>
    <w:rPr>
      <w:color w:val="000000"/>
      <w:sz w:val="18"/>
    </w:rPr>
  </w:style>
  <w:style w:type="character" w:customStyle="1" w:styleId="248">
    <w:name w:val="fonts11"/>
    <w:qFormat/>
    <w:uiPriority w:val="0"/>
    <w:rPr>
      <w:sz w:val="18"/>
    </w:rPr>
  </w:style>
  <w:style w:type="character" w:customStyle="1" w:styleId="249">
    <w:name w:val="locality"/>
    <w:qFormat/>
    <w:uiPriority w:val="0"/>
  </w:style>
  <w:style w:type="character" w:customStyle="1" w:styleId="250">
    <w:name w:val="标题 3 字符"/>
    <w:qFormat/>
    <w:uiPriority w:val="0"/>
    <w:rPr>
      <w:rFonts w:ascii="Times New Roman" w:hAnsi="Times New Roman" w:eastAsia="宋体"/>
      <w:b/>
      <w:kern w:val="2"/>
      <w:sz w:val="32"/>
    </w:rPr>
  </w:style>
  <w:style w:type="character" w:customStyle="1" w:styleId="251">
    <w:name w:val="标题 8 字符"/>
    <w:qFormat/>
    <w:uiPriority w:val="0"/>
    <w:rPr>
      <w:rFonts w:ascii="等线 Light" w:hAnsi="等线 Light" w:eastAsia="等线 Light"/>
      <w:kern w:val="2"/>
      <w:sz w:val="24"/>
    </w:rPr>
  </w:style>
  <w:style w:type="character" w:customStyle="1" w:styleId="252">
    <w:name w:val="批注主题 字符"/>
    <w:qFormat/>
    <w:uiPriority w:val="0"/>
    <w:rPr>
      <w:b/>
      <w:kern w:val="2"/>
      <w:sz w:val="28"/>
    </w:rPr>
  </w:style>
  <w:style w:type="character" w:customStyle="1" w:styleId="253">
    <w:name w:val="H3 Char"/>
    <w:qFormat/>
    <w:uiPriority w:val="0"/>
    <w:rPr>
      <w:rFonts w:eastAsia="宋体"/>
      <w:b/>
      <w:kern w:val="2"/>
      <w:sz w:val="32"/>
      <w:lang w:val="en-US" w:eastAsia="zh-CN"/>
    </w:rPr>
  </w:style>
  <w:style w:type="character" w:customStyle="1" w:styleId="254">
    <w:name w:val="标题 9 Char1"/>
    <w:qFormat/>
    <w:uiPriority w:val="0"/>
    <w:rPr>
      <w:rFonts w:ascii="Arial" w:hAnsi="Arial" w:eastAsia="黑体"/>
      <w:sz w:val="21"/>
      <w:lang w:val="en-US" w:eastAsia="zh-CN"/>
    </w:rPr>
  </w:style>
  <w:style w:type="character" w:customStyle="1" w:styleId="255">
    <w:name w:val="公文正文 Char"/>
    <w:link w:val="256"/>
    <w:qFormat/>
    <w:uiPriority w:val="0"/>
    <w:rPr>
      <w:rFonts w:ascii="仿宋_GB2312" w:eastAsia="仿宋_GB2312"/>
      <w:sz w:val="24"/>
    </w:rPr>
  </w:style>
  <w:style w:type="paragraph" w:customStyle="1" w:styleId="256">
    <w:name w:val="公文正文"/>
    <w:basedOn w:val="1"/>
    <w:link w:val="255"/>
    <w:qFormat/>
    <w:uiPriority w:val="0"/>
    <w:pPr>
      <w:spacing w:before="156" w:line="360" w:lineRule="auto"/>
      <w:ind w:firstLine="360" w:firstLineChars="200"/>
    </w:pPr>
    <w:rPr>
      <w:rFonts w:ascii="仿宋_GB2312" w:eastAsia="仿宋_GB2312" w:hAnsiTheme="minorHAnsi" w:cstheme="minorBidi"/>
      <w:sz w:val="24"/>
      <w:szCs w:val="22"/>
    </w:rPr>
  </w:style>
  <w:style w:type="character" w:customStyle="1" w:styleId="257">
    <w:name w:val="正文文本缩进 3 字符"/>
    <w:qFormat/>
    <w:uiPriority w:val="0"/>
    <w:rPr>
      <w:rFonts w:ascii="Times New Roman" w:hAnsi="Times New Roman" w:eastAsia="宋体"/>
      <w:kern w:val="2"/>
      <w:sz w:val="16"/>
    </w:rPr>
  </w:style>
  <w:style w:type="character" w:customStyle="1" w:styleId="258">
    <w:name w:val="my Char"/>
    <w:link w:val="259"/>
    <w:qFormat/>
    <w:uiPriority w:val="0"/>
    <w:rPr>
      <w:rFonts w:ascii="宋体" w:hAnsi="宋体"/>
      <w:sz w:val="24"/>
    </w:rPr>
  </w:style>
  <w:style w:type="paragraph" w:customStyle="1" w:styleId="259">
    <w:name w:val="my"/>
    <w:basedOn w:val="1"/>
    <w:link w:val="258"/>
    <w:qFormat/>
    <w:uiPriority w:val="0"/>
    <w:pPr>
      <w:widowControl/>
      <w:tabs>
        <w:tab w:val="left" w:pos="0"/>
        <w:tab w:val="left" w:pos="5823"/>
      </w:tabs>
      <w:adjustRightInd w:val="0"/>
      <w:ind w:firstLine="480" w:firstLineChars="200"/>
    </w:pPr>
    <w:rPr>
      <w:rFonts w:ascii="宋体" w:hAnsi="宋体" w:eastAsiaTheme="minorEastAsia" w:cstheme="minorBidi"/>
      <w:sz w:val="24"/>
      <w:szCs w:val="22"/>
    </w:rPr>
  </w:style>
  <w:style w:type="character" w:customStyle="1" w:styleId="260">
    <w:name w:val="info1"/>
    <w:qFormat/>
    <w:uiPriority w:val="99"/>
    <w:rPr>
      <w:color w:val="000000"/>
      <w:spacing w:val="15"/>
      <w:sz w:val="24"/>
    </w:rPr>
  </w:style>
  <w:style w:type="character" w:customStyle="1" w:styleId="261">
    <w:name w:val="正文文本 2 Char1"/>
    <w:qFormat/>
    <w:uiPriority w:val="0"/>
  </w:style>
  <w:style w:type="character" w:customStyle="1" w:styleId="262">
    <w:name w:val="HTML 预设格式 Char1"/>
    <w:qFormat/>
    <w:uiPriority w:val="0"/>
    <w:rPr>
      <w:rFonts w:ascii="Courier New" w:hAnsi="Courier New" w:eastAsia="宋体"/>
      <w:kern w:val="2"/>
    </w:rPr>
  </w:style>
  <w:style w:type="character" w:customStyle="1" w:styleId="263">
    <w:name w:val="电子邮件签名 字符"/>
    <w:qFormat/>
    <w:uiPriority w:val="0"/>
    <w:rPr>
      <w:kern w:val="2"/>
      <w:sz w:val="28"/>
    </w:rPr>
  </w:style>
  <w:style w:type="character" w:customStyle="1" w:styleId="264">
    <w:name w:val="称呼 字符"/>
    <w:qFormat/>
    <w:uiPriority w:val="0"/>
    <w:rPr>
      <w:kern w:val="2"/>
      <w:sz w:val="28"/>
    </w:rPr>
  </w:style>
  <w:style w:type="character" w:customStyle="1" w:styleId="265">
    <w:name w:val="标题 4 Char Char Char Char Char Char"/>
    <w:qFormat/>
    <w:uiPriority w:val="0"/>
    <w:rPr>
      <w:rFonts w:eastAsia="宋体"/>
      <w:kern w:val="2"/>
      <w:sz w:val="24"/>
      <w:lang w:val="en-US" w:eastAsia="zh-CN"/>
    </w:rPr>
  </w:style>
  <w:style w:type="character" w:customStyle="1" w:styleId="266">
    <w:name w:val="标题 6 字符"/>
    <w:qFormat/>
    <w:uiPriority w:val="0"/>
    <w:rPr>
      <w:rFonts w:ascii="等线 Light" w:hAnsi="等线 Light" w:eastAsia="等线 Light"/>
      <w:b/>
      <w:kern w:val="2"/>
      <w:sz w:val="24"/>
    </w:rPr>
  </w:style>
  <w:style w:type="character" w:customStyle="1" w:styleId="267">
    <w:name w:val="标题 7 Char1"/>
    <w:qFormat/>
    <w:uiPriority w:val="0"/>
    <w:rPr>
      <w:rFonts w:eastAsia="宋体"/>
      <w:b/>
      <w:sz w:val="24"/>
      <w:lang w:val="en-US" w:eastAsia="zh-CN"/>
    </w:rPr>
  </w:style>
  <w:style w:type="character" w:customStyle="1" w:styleId="268">
    <w:name w:val="副标题 字符"/>
    <w:qFormat/>
    <w:uiPriority w:val="0"/>
    <w:rPr>
      <w:rFonts w:ascii="等线 Light" w:hAnsi="等线 Light"/>
      <w:b/>
      <w:kern w:val="28"/>
      <w:sz w:val="32"/>
    </w:rPr>
  </w:style>
  <w:style w:type="character" w:customStyle="1" w:styleId="269">
    <w:name w:val="font21"/>
    <w:qFormat/>
    <w:uiPriority w:val="0"/>
    <w:rPr>
      <w:rFonts w:hint="eastAsia" w:ascii="宋体" w:hAnsi="宋体" w:eastAsia="宋体"/>
      <w:color w:val="FF0000"/>
      <w:sz w:val="21"/>
      <w:u w:val="none"/>
      <w:vertAlign w:val="superscript"/>
    </w:rPr>
  </w:style>
  <w:style w:type="character" w:customStyle="1" w:styleId="270">
    <w:name w:val="font41"/>
    <w:qFormat/>
    <w:uiPriority w:val="0"/>
    <w:rPr>
      <w:rFonts w:hint="eastAsia" w:ascii="宋体" w:hAnsi="宋体" w:eastAsia="宋体" w:cs="宋体"/>
      <w:color w:val="000000"/>
      <w:sz w:val="20"/>
      <w:szCs w:val="20"/>
      <w:u w:val="none"/>
    </w:rPr>
  </w:style>
  <w:style w:type="character" w:customStyle="1" w:styleId="271">
    <w:name w:val="结束语 字符"/>
    <w:qFormat/>
    <w:uiPriority w:val="0"/>
    <w:rPr>
      <w:kern w:val="2"/>
      <w:sz w:val="28"/>
    </w:rPr>
  </w:style>
  <w:style w:type="character" w:customStyle="1" w:styleId="272">
    <w:name w:val="彩色列表 - 着色 1 字符"/>
    <w:link w:val="273"/>
    <w:qFormat/>
    <w:uiPriority w:val="0"/>
  </w:style>
  <w:style w:type="paragraph" w:customStyle="1" w:styleId="273">
    <w:name w:val="彩色列表 - 着色 12"/>
    <w:basedOn w:val="1"/>
    <w:link w:val="272"/>
    <w:qFormat/>
    <w:uiPriority w:val="0"/>
    <w:pPr>
      <w:ind w:firstLine="420" w:firstLineChars="200"/>
    </w:pPr>
    <w:rPr>
      <w:rFonts w:asciiTheme="minorHAnsi" w:hAnsiTheme="minorHAnsi" w:eastAsiaTheme="minorEastAsia" w:cstheme="minorBidi"/>
      <w:sz w:val="21"/>
      <w:szCs w:val="22"/>
    </w:rPr>
  </w:style>
  <w:style w:type="character" w:customStyle="1" w:styleId="274">
    <w:name w:val="正文文本 3 Char1"/>
    <w:qFormat/>
    <w:uiPriority w:val="0"/>
    <w:rPr>
      <w:rFonts w:eastAsia="宋体"/>
      <w:color w:val="FF0000"/>
      <w:kern w:val="2"/>
      <w:sz w:val="24"/>
      <w:lang w:val="en-US" w:eastAsia="zh-CN"/>
    </w:rPr>
  </w:style>
  <w:style w:type="character" w:customStyle="1" w:styleId="275">
    <w:name w:val="纯文本 Char3"/>
    <w:qFormat/>
    <w:uiPriority w:val="0"/>
    <w:rPr>
      <w:rFonts w:ascii="宋体" w:hAnsi="Courier New" w:eastAsia="宋体"/>
    </w:rPr>
  </w:style>
  <w:style w:type="character" w:customStyle="1" w:styleId="276">
    <w:name w:val="个人答复风格"/>
    <w:qFormat/>
    <w:uiPriority w:val="0"/>
    <w:rPr>
      <w:rFonts w:ascii="Arial" w:hAnsi="Arial" w:eastAsia="宋体"/>
      <w:color w:val="auto"/>
      <w:sz w:val="20"/>
    </w:rPr>
  </w:style>
  <w:style w:type="character" w:customStyle="1" w:styleId="277">
    <w:name w:val="标题 3 Char1"/>
    <w:qFormat/>
    <w:uiPriority w:val="0"/>
    <w:rPr>
      <w:rFonts w:eastAsia="宋体"/>
      <w:b/>
      <w:kern w:val="2"/>
      <w:sz w:val="32"/>
      <w:lang w:val="en-US" w:eastAsia="zh-CN"/>
    </w:rPr>
  </w:style>
  <w:style w:type="character" w:customStyle="1" w:styleId="278">
    <w:name w:val="脚注文本 Char1"/>
    <w:qFormat/>
    <w:uiPriority w:val="0"/>
    <w:rPr>
      <w:rFonts w:eastAsia="宋体"/>
      <w:kern w:val="2"/>
      <w:sz w:val="18"/>
      <w:lang w:val="en-US" w:eastAsia="zh-CN"/>
    </w:rPr>
  </w:style>
  <w:style w:type="character" w:customStyle="1" w:styleId="279">
    <w:name w:val="无格式表格 31"/>
    <w:qFormat/>
    <w:uiPriority w:val="0"/>
    <w:rPr>
      <w:i/>
      <w:color w:val="808080"/>
    </w:rPr>
  </w:style>
  <w:style w:type="character" w:customStyle="1" w:styleId="280">
    <w:name w:val="HTML 键盘1"/>
    <w:qFormat/>
    <w:uiPriority w:val="0"/>
    <w:rPr>
      <w:rFonts w:ascii="Courier New" w:hAnsi="Courier New"/>
      <w:sz w:val="20"/>
    </w:rPr>
  </w:style>
  <w:style w:type="character" w:customStyle="1" w:styleId="281">
    <w:name w:val="标题 Char1"/>
    <w:qFormat/>
    <w:uiPriority w:val="0"/>
    <w:rPr>
      <w:rFonts w:ascii="Cambria" w:hAnsi="Cambria" w:eastAsia="宋体"/>
      <w:b/>
      <w:sz w:val="32"/>
    </w:rPr>
  </w:style>
  <w:style w:type="character" w:customStyle="1" w:styleId="282">
    <w:name w:val="样式8 字符"/>
    <w:link w:val="283"/>
    <w:qFormat/>
    <w:uiPriority w:val="0"/>
    <w:rPr>
      <w:rFonts w:ascii="Times New Roman" w:hAnsi="Times New Roman"/>
      <w:sz w:val="24"/>
      <w:szCs w:val="27"/>
    </w:rPr>
  </w:style>
  <w:style w:type="paragraph" w:customStyle="1" w:styleId="283">
    <w:name w:val="样式8"/>
    <w:basedOn w:val="284"/>
    <w:link w:val="282"/>
    <w:qFormat/>
    <w:uiPriority w:val="0"/>
    <w:pPr>
      <w:tabs>
        <w:tab w:val="left" w:pos="1301"/>
        <w:tab w:val="left" w:pos="6043"/>
      </w:tabs>
      <w:ind w:right="0" w:rightChars="0"/>
    </w:pPr>
    <w:rPr>
      <w:rFonts w:eastAsiaTheme="minorEastAsia" w:cstheme="minorBidi"/>
    </w:rPr>
  </w:style>
  <w:style w:type="paragraph" w:customStyle="1" w:styleId="284">
    <w:name w:val="样式6"/>
    <w:basedOn w:val="1"/>
    <w:qFormat/>
    <w:uiPriority w:val="0"/>
    <w:pPr>
      <w:widowControl/>
      <w:tabs>
        <w:tab w:val="left" w:pos="1301"/>
        <w:tab w:val="left" w:pos="6043"/>
      </w:tabs>
      <w:adjustRightInd w:val="0"/>
      <w:snapToGrid w:val="0"/>
      <w:spacing w:line="360" w:lineRule="auto"/>
      <w:ind w:left="709" w:right="100" w:rightChars="100"/>
      <w:textAlignment w:val="baseline"/>
    </w:pPr>
    <w:rPr>
      <w:rFonts w:ascii="Times New Roman" w:hAnsi="Times New Roman"/>
      <w:sz w:val="24"/>
      <w:szCs w:val="27"/>
    </w:rPr>
  </w:style>
  <w:style w:type="character" w:customStyle="1" w:styleId="285">
    <w:name w:val="font11"/>
    <w:basedOn w:val="90"/>
    <w:qFormat/>
    <w:uiPriority w:val="0"/>
    <w:rPr>
      <w:rFonts w:hint="eastAsia" w:ascii="宋体" w:hAnsi="宋体" w:eastAsia="宋体"/>
      <w:color w:val="000000"/>
      <w:sz w:val="21"/>
      <w:u w:val="none"/>
      <w:vertAlign w:val="superscript"/>
    </w:rPr>
  </w:style>
  <w:style w:type="character" w:customStyle="1" w:styleId="286">
    <w:name w:val="页脚 Char1"/>
    <w:qFormat/>
    <w:uiPriority w:val="0"/>
    <w:rPr>
      <w:rFonts w:eastAsia="宋体"/>
      <w:kern w:val="2"/>
      <w:sz w:val="18"/>
      <w:lang w:val="en-US" w:eastAsia="zh-CN"/>
    </w:rPr>
  </w:style>
  <w:style w:type="character" w:customStyle="1" w:styleId="287">
    <w:name w:val="country-name"/>
    <w:qFormat/>
    <w:uiPriority w:val="0"/>
  </w:style>
  <w:style w:type="character" w:customStyle="1" w:styleId="288">
    <w:name w:val="HTML 样本1"/>
    <w:qFormat/>
    <w:uiPriority w:val="0"/>
    <w:rPr>
      <w:rFonts w:ascii="Courier New" w:hAnsi="Courier New"/>
    </w:rPr>
  </w:style>
  <w:style w:type="character" w:customStyle="1" w:styleId="289">
    <w:name w:val="标题 4 字符"/>
    <w:qFormat/>
    <w:uiPriority w:val="0"/>
    <w:rPr>
      <w:rFonts w:ascii="等线 Light" w:hAnsi="等线 Light" w:eastAsia="等线 Light"/>
      <w:b/>
      <w:kern w:val="2"/>
      <w:sz w:val="28"/>
    </w:rPr>
  </w:style>
  <w:style w:type="character" w:customStyle="1" w:styleId="290">
    <w:name w:val="zbggmain style9"/>
    <w:qFormat/>
    <w:uiPriority w:val="0"/>
  </w:style>
  <w:style w:type="character" w:customStyle="1" w:styleId="291">
    <w:name w:val="标题 1 Char Char"/>
    <w:qFormat/>
    <w:uiPriority w:val="0"/>
    <w:rPr>
      <w:rFonts w:ascii="Arial" w:hAnsi="Arial" w:eastAsia="黑体"/>
      <w:kern w:val="44"/>
      <w:sz w:val="24"/>
      <w:lang w:val="en-US" w:eastAsia="zh-CN"/>
    </w:rPr>
  </w:style>
  <w:style w:type="character" w:customStyle="1" w:styleId="292">
    <w:name w:val="批注框文本 Char1"/>
    <w:qFormat/>
    <w:uiPriority w:val="0"/>
    <w:rPr>
      <w:rFonts w:eastAsia="宋体"/>
      <w:kern w:val="2"/>
      <w:sz w:val="18"/>
      <w:lang w:val="en-US" w:eastAsia="zh-CN"/>
    </w:rPr>
  </w:style>
  <w:style w:type="character" w:customStyle="1" w:styleId="293">
    <w:name w:val="HTML 地址 字符"/>
    <w:qFormat/>
    <w:uiPriority w:val="0"/>
    <w:rPr>
      <w:i/>
      <w:kern w:val="2"/>
      <w:sz w:val="28"/>
    </w:rPr>
  </w:style>
  <w:style w:type="character" w:customStyle="1" w:styleId="294">
    <w:name w:val="正文文本 字符"/>
    <w:qFormat/>
    <w:uiPriority w:val="0"/>
    <w:rPr>
      <w:rFonts w:ascii="Times New Roman" w:hAnsi="Times New Roman" w:eastAsia="宋体"/>
      <w:kern w:val="2"/>
      <w:sz w:val="21"/>
    </w:rPr>
  </w:style>
  <w:style w:type="character" w:customStyle="1" w:styleId="295">
    <w:name w:val="页眉 字符"/>
    <w:qFormat/>
    <w:uiPriority w:val="0"/>
    <w:rPr>
      <w:kern w:val="2"/>
      <w:sz w:val="18"/>
    </w:rPr>
  </w:style>
  <w:style w:type="character" w:customStyle="1" w:styleId="296">
    <w:name w:val="标题 5 Char1"/>
    <w:qFormat/>
    <w:uiPriority w:val="0"/>
    <w:rPr>
      <w:rFonts w:eastAsia="宋体"/>
      <w:b/>
      <w:sz w:val="28"/>
      <w:lang w:val="en-US" w:eastAsia="zh-CN"/>
    </w:rPr>
  </w:style>
  <w:style w:type="character" w:customStyle="1" w:styleId="297">
    <w:name w:val="正文文字4 Char Char"/>
    <w:qFormat/>
    <w:uiPriority w:val="0"/>
    <w:rPr>
      <w:rFonts w:ascii="宋体" w:hAnsi="宋体" w:eastAsia="宋体"/>
      <w:spacing w:val="-6"/>
      <w:kern w:val="2"/>
      <w:sz w:val="21"/>
      <w:lang w:val="en-US" w:eastAsia="zh-CN"/>
    </w:rPr>
  </w:style>
  <w:style w:type="character" w:customStyle="1" w:styleId="298">
    <w:name w:val="z-窗体顶端 Char"/>
    <w:link w:val="299"/>
    <w:qFormat/>
    <w:uiPriority w:val="0"/>
    <w:rPr>
      <w:rFonts w:ascii="Arial" w:hAnsi="Arial"/>
      <w:vanish/>
      <w:sz w:val="16"/>
    </w:rPr>
  </w:style>
  <w:style w:type="paragraph" w:customStyle="1" w:styleId="299">
    <w:name w:val="z-窗体顶端1"/>
    <w:basedOn w:val="1"/>
    <w:next w:val="1"/>
    <w:link w:val="298"/>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00">
    <w:name w:val="正文文本 3 字符"/>
    <w:qFormat/>
    <w:uiPriority w:val="0"/>
    <w:rPr>
      <w:kern w:val="2"/>
      <w:sz w:val="16"/>
    </w:rPr>
  </w:style>
  <w:style w:type="character" w:customStyle="1" w:styleId="301">
    <w:name w:val="s81i"/>
    <w:qFormat/>
    <w:uiPriority w:val="0"/>
  </w:style>
  <w:style w:type="character" w:customStyle="1" w:styleId="302">
    <w:name w:val="正文缩进 Char"/>
    <w:link w:val="8"/>
    <w:qFormat/>
    <w:uiPriority w:val="0"/>
    <w:rPr>
      <w:rFonts w:eastAsia="宋体"/>
      <w:sz w:val="24"/>
    </w:rPr>
  </w:style>
  <w:style w:type="character" w:customStyle="1" w:styleId="303">
    <w:name w:val="Char Char23"/>
    <w:qFormat/>
    <w:uiPriority w:val="0"/>
    <w:rPr>
      <w:rFonts w:eastAsia="宋体"/>
      <w:b/>
      <w:kern w:val="44"/>
      <w:sz w:val="44"/>
      <w:lang w:val="en-US" w:eastAsia="zh-CN"/>
    </w:rPr>
  </w:style>
  <w:style w:type="character" w:customStyle="1" w:styleId="304">
    <w:name w:val="apple-converted-space"/>
    <w:qFormat/>
    <w:uiPriority w:val="0"/>
  </w:style>
  <w:style w:type="character" w:customStyle="1" w:styleId="305">
    <w:name w:val="highlight1"/>
    <w:qFormat/>
    <w:uiPriority w:val="0"/>
    <w:rPr>
      <w:color w:val="FF0000"/>
    </w:rPr>
  </w:style>
  <w:style w:type="character" w:customStyle="1" w:styleId="306">
    <w:name w:val="正文2 Char Char"/>
    <w:qFormat/>
    <w:uiPriority w:val="0"/>
    <w:rPr>
      <w:rFonts w:eastAsia="宋体"/>
      <w:kern w:val="2"/>
      <w:sz w:val="24"/>
      <w:lang w:val="en-US" w:eastAsia="zh-CN"/>
    </w:rPr>
  </w:style>
  <w:style w:type="character" w:customStyle="1" w:styleId="307">
    <w:name w:val="标题1"/>
    <w:qFormat/>
    <w:uiPriority w:val="0"/>
    <w:rPr>
      <w:b/>
      <w:sz w:val="28"/>
    </w:rPr>
  </w:style>
  <w:style w:type="character" w:customStyle="1" w:styleId="308">
    <w:name w:val="正文2 Char"/>
    <w:link w:val="309"/>
    <w:qFormat/>
    <w:uiPriority w:val="0"/>
    <w:rPr>
      <w:rFonts w:eastAsia="宋体"/>
      <w:sz w:val="24"/>
    </w:rPr>
  </w:style>
  <w:style w:type="paragraph" w:customStyle="1" w:styleId="309">
    <w:name w:val="正文2"/>
    <w:basedOn w:val="1"/>
    <w:next w:val="60"/>
    <w:link w:val="308"/>
    <w:qFormat/>
    <w:uiPriority w:val="0"/>
    <w:pPr>
      <w:spacing w:before="156" w:line="360" w:lineRule="auto"/>
      <w:ind w:firstLine="510" w:firstLineChars="200"/>
    </w:pPr>
    <w:rPr>
      <w:rFonts w:asciiTheme="minorHAnsi" w:hAnsiTheme="minorHAnsi" w:cstheme="minorBidi"/>
      <w:sz w:val="24"/>
      <w:szCs w:val="22"/>
    </w:rPr>
  </w:style>
  <w:style w:type="character" w:customStyle="1" w:styleId="310">
    <w:name w:val="HTML 定义1"/>
    <w:qFormat/>
    <w:uiPriority w:val="0"/>
    <w:rPr>
      <w:i/>
    </w:rPr>
  </w:style>
  <w:style w:type="character" w:customStyle="1" w:styleId="311">
    <w:name w:val="批注框文本 字符"/>
    <w:qFormat/>
    <w:uiPriority w:val="0"/>
    <w:rPr>
      <w:rFonts w:ascii="Times New Roman" w:hAnsi="Times New Roman" w:eastAsia="宋体"/>
      <w:kern w:val="2"/>
      <w:sz w:val="18"/>
    </w:rPr>
  </w:style>
  <w:style w:type="character" w:customStyle="1" w:styleId="312">
    <w:name w:val="75pk"/>
    <w:qFormat/>
    <w:uiPriority w:val="0"/>
  </w:style>
  <w:style w:type="character" w:customStyle="1" w:styleId="313">
    <w:name w:val="z-窗体底端 字符"/>
    <w:qFormat/>
    <w:uiPriority w:val="0"/>
    <w:rPr>
      <w:rFonts w:ascii="Arial" w:hAnsi="Arial"/>
      <w:vanish/>
      <w:kern w:val="2"/>
      <w:sz w:val="16"/>
    </w:rPr>
  </w:style>
  <w:style w:type="character" w:customStyle="1" w:styleId="314">
    <w:name w:val="页码1"/>
    <w:qFormat/>
    <w:uiPriority w:val="0"/>
  </w:style>
  <w:style w:type="character" w:customStyle="1" w:styleId="315">
    <w:name w:val="Char Char21"/>
    <w:qFormat/>
    <w:uiPriority w:val="0"/>
    <w:rPr>
      <w:rFonts w:eastAsia="楷体_GB2312"/>
      <w:kern w:val="2"/>
      <w:sz w:val="28"/>
      <w:lang w:val="en-US" w:eastAsia="zh-CN"/>
    </w:rPr>
  </w:style>
  <w:style w:type="character" w:customStyle="1" w:styleId="316">
    <w:name w:val="列出段落 字符"/>
    <w:qFormat/>
    <w:uiPriority w:val="0"/>
    <w:rPr>
      <w:kern w:val="2"/>
      <w:sz w:val="21"/>
    </w:rPr>
  </w:style>
  <w:style w:type="character" w:customStyle="1" w:styleId="317">
    <w:name w:val="批注文字 字符"/>
    <w:qFormat/>
    <w:uiPriority w:val="0"/>
    <w:rPr>
      <w:kern w:val="2"/>
      <w:sz w:val="28"/>
    </w:rPr>
  </w:style>
  <w:style w:type="character" w:customStyle="1" w:styleId="318">
    <w:name w:val="日期 Char2"/>
    <w:qFormat/>
    <w:uiPriority w:val="0"/>
    <w:rPr>
      <w:rFonts w:eastAsia="仿宋_GB2312"/>
      <w:b/>
      <w:sz w:val="28"/>
    </w:rPr>
  </w:style>
  <w:style w:type="character" w:customStyle="1" w:styleId="319">
    <w:name w:val="z-窗体顶端 Char1"/>
    <w:qFormat/>
    <w:uiPriority w:val="0"/>
    <w:rPr>
      <w:rFonts w:ascii="Arial" w:hAnsi="Arial"/>
      <w:vanish/>
      <w:sz w:val="16"/>
    </w:rPr>
  </w:style>
  <w:style w:type="paragraph" w:customStyle="1" w:styleId="320">
    <w:name w:val="z-窗体顶端2"/>
    <w:basedOn w:val="1"/>
    <w:next w:val="1"/>
    <w:link w:val="456"/>
    <w:qFormat/>
    <w:uiPriority w:val="0"/>
    <w:pPr>
      <w:pBdr>
        <w:bottom w:val="single" w:color="auto" w:sz="6" w:space="1"/>
      </w:pBdr>
      <w:jc w:val="center"/>
    </w:pPr>
    <w:rPr>
      <w:rFonts w:ascii="Arial" w:hAnsi="Arial" w:eastAsiaTheme="minorEastAsia" w:cstheme="minorBidi"/>
      <w:vanish/>
      <w:sz w:val="16"/>
      <w:szCs w:val="22"/>
    </w:rPr>
  </w:style>
  <w:style w:type="character" w:customStyle="1" w:styleId="321">
    <w:name w:val="标题 1 1 Char1"/>
    <w:qFormat/>
    <w:uiPriority w:val="0"/>
    <w:rPr>
      <w:rFonts w:ascii="Times New Roman" w:hAnsi="Times New Roman" w:eastAsia="宋体"/>
      <w:b/>
      <w:kern w:val="44"/>
      <w:sz w:val="44"/>
    </w:rPr>
  </w:style>
  <w:style w:type="character" w:customStyle="1" w:styleId="322">
    <w:name w:val="标题 8 Char1"/>
    <w:qFormat/>
    <w:uiPriority w:val="0"/>
    <w:rPr>
      <w:rFonts w:ascii="Arial" w:hAnsi="Arial" w:eastAsia="黑体"/>
      <w:sz w:val="24"/>
      <w:lang w:val="en-US" w:eastAsia="zh-CN"/>
    </w:rPr>
  </w:style>
  <w:style w:type="character" w:customStyle="1" w:styleId="323">
    <w:name w:val="font61"/>
    <w:qFormat/>
    <w:uiPriority w:val="0"/>
    <w:rPr>
      <w:rFonts w:hint="eastAsia" w:ascii="宋体" w:hAnsi="宋体" w:eastAsia="宋体" w:cs="宋体"/>
      <w:color w:val="000000"/>
      <w:sz w:val="20"/>
      <w:szCs w:val="20"/>
      <w:u w:val="none"/>
    </w:rPr>
  </w:style>
  <w:style w:type="character" w:customStyle="1" w:styleId="324">
    <w:name w:val="尾注文本 Char1"/>
    <w:basedOn w:val="90"/>
    <w:link w:val="53"/>
    <w:qFormat/>
    <w:uiPriority w:val="0"/>
  </w:style>
  <w:style w:type="character" w:customStyle="1" w:styleId="325">
    <w:name w:val="电子邮件签名 Char1"/>
    <w:basedOn w:val="90"/>
    <w:link w:val="21"/>
    <w:qFormat/>
    <w:uiPriority w:val="0"/>
  </w:style>
  <w:style w:type="character" w:customStyle="1" w:styleId="326">
    <w:name w:val="正文文本 2 Char2"/>
    <w:basedOn w:val="90"/>
    <w:link w:val="77"/>
    <w:qFormat/>
    <w:uiPriority w:val="0"/>
  </w:style>
  <w:style w:type="character" w:customStyle="1" w:styleId="327">
    <w:name w:val="正文文本 Char3"/>
    <w:basedOn w:val="90"/>
    <w:semiHidden/>
    <w:qFormat/>
    <w:uiPriority w:val="99"/>
    <w:rPr>
      <w:rFonts w:ascii="Calibri" w:hAnsi="Calibri" w:eastAsia="宋体" w:cs="Times New Roman"/>
      <w:sz w:val="28"/>
      <w:szCs w:val="20"/>
    </w:rPr>
  </w:style>
  <w:style w:type="character" w:customStyle="1" w:styleId="328">
    <w:name w:val="日期 Char3"/>
    <w:basedOn w:val="90"/>
    <w:link w:val="51"/>
    <w:qFormat/>
    <w:uiPriority w:val="0"/>
    <w:rPr>
      <w:rFonts w:eastAsia="仿宋_GB2312"/>
      <w:b/>
      <w:sz w:val="28"/>
    </w:rPr>
  </w:style>
  <w:style w:type="character" w:customStyle="1" w:styleId="329">
    <w:name w:val="纯文本 Char4"/>
    <w:basedOn w:val="90"/>
    <w:link w:val="46"/>
    <w:qFormat/>
    <w:uiPriority w:val="0"/>
    <w:rPr>
      <w:rFonts w:ascii="宋体" w:hAnsi="Courier New" w:eastAsia="宋体"/>
    </w:rPr>
  </w:style>
  <w:style w:type="character" w:customStyle="1" w:styleId="330">
    <w:name w:val="结束语 Char1"/>
    <w:basedOn w:val="90"/>
    <w:link w:val="33"/>
    <w:qFormat/>
    <w:uiPriority w:val="0"/>
  </w:style>
  <w:style w:type="character" w:customStyle="1" w:styleId="331">
    <w:name w:val="注释标题 Char1"/>
    <w:basedOn w:val="90"/>
    <w:link w:val="18"/>
    <w:qFormat/>
    <w:uiPriority w:val="0"/>
  </w:style>
  <w:style w:type="character" w:customStyle="1" w:styleId="332">
    <w:name w:val="正文文本缩进 2 Char2"/>
    <w:basedOn w:val="90"/>
    <w:link w:val="52"/>
    <w:qFormat/>
    <w:uiPriority w:val="0"/>
    <w:rPr>
      <w:rFonts w:ascii="黑体" w:eastAsia="黑体"/>
      <w:sz w:val="28"/>
    </w:rPr>
  </w:style>
  <w:style w:type="character" w:customStyle="1" w:styleId="333">
    <w:name w:val="文档结构图 Char2"/>
    <w:basedOn w:val="90"/>
    <w:link w:val="27"/>
    <w:qFormat/>
    <w:uiPriority w:val="0"/>
    <w:rPr>
      <w:sz w:val="28"/>
      <w:shd w:val="clear" w:color="auto" w:fill="000080"/>
    </w:rPr>
  </w:style>
  <w:style w:type="character" w:customStyle="1" w:styleId="334">
    <w:name w:val="正文文本缩进 Char3"/>
    <w:basedOn w:val="90"/>
    <w:semiHidden/>
    <w:qFormat/>
    <w:uiPriority w:val="99"/>
    <w:rPr>
      <w:rFonts w:ascii="Calibri" w:hAnsi="Calibri" w:eastAsia="宋体" w:cs="Times New Roman"/>
      <w:sz w:val="28"/>
      <w:szCs w:val="20"/>
    </w:rPr>
  </w:style>
  <w:style w:type="character" w:customStyle="1" w:styleId="335">
    <w:name w:val="宏文本 Char1"/>
    <w:basedOn w:val="90"/>
    <w:link w:val="3"/>
    <w:qFormat/>
    <w:uiPriority w:val="0"/>
    <w:rPr>
      <w:rFonts w:ascii="Courier New" w:hAnsi="Courier New"/>
      <w:sz w:val="24"/>
    </w:rPr>
  </w:style>
  <w:style w:type="character" w:customStyle="1" w:styleId="336">
    <w:name w:val="HTML 地址 Char1"/>
    <w:basedOn w:val="90"/>
    <w:link w:val="42"/>
    <w:qFormat/>
    <w:uiPriority w:val="0"/>
    <w:rPr>
      <w:i/>
    </w:rPr>
  </w:style>
  <w:style w:type="character" w:customStyle="1" w:styleId="337">
    <w:name w:val="正文首行缩进 Char2"/>
    <w:basedOn w:val="327"/>
    <w:link w:val="2"/>
    <w:qFormat/>
    <w:uiPriority w:val="0"/>
    <w:rPr>
      <w:rFonts w:ascii="等线" w:hAnsi="等线" w:eastAsia="等线" w:cs="Times New Roman"/>
      <w:sz w:val="28"/>
      <w:szCs w:val="20"/>
    </w:rPr>
  </w:style>
  <w:style w:type="character" w:customStyle="1" w:styleId="338">
    <w:name w:val="正文首行缩进 2 Char1"/>
    <w:basedOn w:val="334"/>
    <w:link w:val="87"/>
    <w:qFormat/>
    <w:uiPriority w:val="0"/>
    <w:rPr>
      <w:rFonts w:ascii="等线" w:hAnsi="等线" w:eastAsia="等线" w:cs="Times New Roman"/>
      <w:sz w:val="28"/>
      <w:szCs w:val="20"/>
    </w:rPr>
  </w:style>
  <w:style w:type="character" w:customStyle="1" w:styleId="339">
    <w:name w:val="标题 Char4"/>
    <w:basedOn w:val="90"/>
    <w:link w:val="85"/>
    <w:qFormat/>
    <w:uiPriority w:val="0"/>
    <w:rPr>
      <w:b/>
      <w:sz w:val="24"/>
      <w:lang w:val="en-GB"/>
    </w:rPr>
  </w:style>
  <w:style w:type="character" w:customStyle="1" w:styleId="340">
    <w:name w:val="批注框文本 Char2"/>
    <w:basedOn w:val="90"/>
    <w:link w:val="55"/>
    <w:qFormat/>
    <w:uiPriority w:val="99"/>
    <w:rPr>
      <w:sz w:val="18"/>
    </w:rPr>
  </w:style>
  <w:style w:type="character" w:customStyle="1" w:styleId="341">
    <w:name w:val="称呼 Char1"/>
    <w:basedOn w:val="90"/>
    <w:link w:val="31"/>
    <w:qFormat/>
    <w:uiPriority w:val="0"/>
    <w:rPr>
      <w:rFonts w:ascii="宋体"/>
      <w:sz w:val="28"/>
    </w:rPr>
  </w:style>
  <w:style w:type="character" w:customStyle="1" w:styleId="342">
    <w:name w:val="批注文字 Char2"/>
    <w:basedOn w:val="90"/>
    <w:semiHidden/>
    <w:qFormat/>
    <w:uiPriority w:val="99"/>
    <w:rPr>
      <w:rFonts w:ascii="Calibri" w:hAnsi="Calibri" w:eastAsia="宋体" w:cs="Times New Roman"/>
      <w:sz w:val="28"/>
      <w:szCs w:val="20"/>
    </w:rPr>
  </w:style>
  <w:style w:type="character" w:customStyle="1" w:styleId="343">
    <w:name w:val="正文文本缩进 3 Char2"/>
    <w:basedOn w:val="90"/>
    <w:link w:val="71"/>
    <w:qFormat/>
    <w:uiPriority w:val="0"/>
    <w:rPr>
      <w:sz w:val="28"/>
    </w:rPr>
  </w:style>
  <w:style w:type="character" w:customStyle="1" w:styleId="344">
    <w:name w:val="签名 Char1"/>
    <w:basedOn w:val="90"/>
    <w:link w:val="59"/>
    <w:qFormat/>
    <w:uiPriority w:val="0"/>
  </w:style>
  <w:style w:type="character" w:customStyle="1" w:styleId="345">
    <w:name w:val="正文文本 3 Char2"/>
    <w:basedOn w:val="90"/>
    <w:link w:val="32"/>
    <w:qFormat/>
    <w:uiPriority w:val="0"/>
    <w:rPr>
      <w:sz w:val="16"/>
    </w:rPr>
  </w:style>
  <w:style w:type="character" w:customStyle="1" w:styleId="346">
    <w:name w:val="副标题 Char2"/>
    <w:basedOn w:val="90"/>
    <w:link w:val="65"/>
    <w:qFormat/>
    <w:uiPriority w:val="0"/>
    <w:rPr>
      <w:rFonts w:ascii="Cambria" w:hAnsi="Cambria"/>
      <w:b/>
      <w:kern w:val="28"/>
      <w:sz w:val="32"/>
    </w:rPr>
  </w:style>
  <w:style w:type="character" w:customStyle="1" w:styleId="347">
    <w:name w:val="脚注文本 Char2"/>
    <w:basedOn w:val="90"/>
    <w:link w:val="68"/>
    <w:qFormat/>
    <w:uiPriority w:val="0"/>
    <w:rPr>
      <w:sz w:val="18"/>
    </w:rPr>
  </w:style>
  <w:style w:type="character" w:customStyle="1" w:styleId="348">
    <w:name w:val="信息标题 Char1"/>
    <w:basedOn w:val="90"/>
    <w:link w:val="80"/>
    <w:qFormat/>
    <w:uiPriority w:val="0"/>
    <w:rPr>
      <w:rFonts w:ascii="Arial" w:hAnsi="Arial"/>
      <w:sz w:val="24"/>
      <w:shd w:val="pct20" w:color="auto" w:fill="auto"/>
    </w:rPr>
  </w:style>
  <w:style w:type="character" w:customStyle="1" w:styleId="349">
    <w:name w:val="HTML 预设格式 Char3"/>
    <w:basedOn w:val="90"/>
    <w:link w:val="81"/>
    <w:qFormat/>
    <w:uiPriority w:val="0"/>
    <w:rPr>
      <w:rFonts w:ascii="黑体" w:hAnsi="Courier New" w:eastAsia="黑体"/>
    </w:rPr>
  </w:style>
  <w:style w:type="character" w:customStyle="1" w:styleId="350">
    <w:name w:val="批注主题 Char2"/>
    <w:basedOn w:val="342"/>
    <w:link w:val="86"/>
    <w:qFormat/>
    <w:uiPriority w:val="0"/>
    <w:rPr>
      <w:rFonts w:ascii="Calibri" w:hAnsi="Calibri" w:eastAsia="宋体" w:cs="Times New Roman"/>
      <w:b/>
      <w:sz w:val="28"/>
      <w:szCs w:val="20"/>
    </w:rPr>
  </w:style>
  <w:style w:type="paragraph" w:customStyle="1" w:styleId="351">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kern w:val="0"/>
      <w:sz w:val="24"/>
    </w:rPr>
  </w:style>
  <w:style w:type="paragraph" w:customStyle="1" w:styleId="352">
    <w:name w:val="xl39"/>
    <w:basedOn w:val="1"/>
    <w:qFormat/>
    <w:uiPriority w:val="0"/>
    <w:pPr>
      <w:widowControl/>
      <w:pBdr>
        <w:bottom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53">
    <w:name w:val="6'"/>
    <w:basedOn w:val="1"/>
    <w:qFormat/>
    <w:uiPriority w:val="0"/>
    <w:pPr>
      <w:autoSpaceDE w:val="0"/>
      <w:autoSpaceDN w:val="0"/>
      <w:adjustRightInd w:val="0"/>
      <w:snapToGrid w:val="0"/>
      <w:spacing w:line="320" w:lineRule="exact"/>
      <w:textAlignment w:val="baseline"/>
    </w:pPr>
    <w:rPr>
      <w:spacing w:val="20"/>
      <w:kern w:val="28"/>
      <w:sz w:val="21"/>
    </w:rPr>
  </w:style>
  <w:style w:type="paragraph" w:customStyle="1" w:styleId="354">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355">
    <w:name w:val="三级条标题"/>
    <w:basedOn w:val="356"/>
    <w:next w:val="357"/>
    <w:qFormat/>
    <w:uiPriority w:val="0"/>
    <w:pPr>
      <w:tabs>
        <w:tab w:val="left" w:pos="360"/>
        <w:tab w:val="left" w:pos="720"/>
        <w:tab w:val="left" w:pos="3600"/>
      </w:tabs>
      <w:ind w:left="2100" w:hanging="420"/>
      <w:jc w:val="left"/>
      <w:outlineLvl w:val="4"/>
    </w:pPr>
    <w:rPr>
      <w:rFonts w:ascii="Times New Roman"/>
      <w:sz w:val="20"/>
    </w:rPr>
  </w:style>
  <w:style w:type="paragraph" w:customStyle="1" w:styleId="356">
    <w:name w:val="二级条标题"/>
    <w:basedOn w:val="1"/>
    <w:next w:val="357"/>
    <w:qFormat/>
    <w:uiPriority w:val="0"/>
    <w:pPr>
      <w:widowControl/>
      <w:tabs>
        <w:tab w:val="left" w:pos="360"/>
      </w:tabs>
      <w:outlineLvl w:val="3"/>
    </w:pPr>
    <w:rPr>
      <w:rFonts w:ascii="黑体" w:eastAsia="黑体"/>
      <w:kern w:val="0"/>
      <w:sz w:val="21"/>
    </w:rPr>
  </w:style>
  <w:style w:type="paragraph" w:customStyle="1" w:styleId="357">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358">
    <w:name w:val="reader-word-layer"/>
    <w:basedOn w:val="1"/>
    <w:qFormat/>
    <w:uiPriority w:val="0"/>
    <w:pPr>
      <w:widowControl/>
      <w:spacing w:before="100" w:beforeAutospacing="1" w:after="100" w:afterAutospacing="1"/>
      <w:jc w:val="left"/>
    </w:pPr>
    <w:rPr>
      <w:rFonts w:ascii="宋体" w:hAnsi="宋体"/>
      <w:kern w:val="0"/>
      <w:sz w:val="24"/>
    </w:rPr>
  </w:style>
  <w:style w:type="paragraph" w:customStyle="1" w:styleId="359">
    <w:name w:val="样式 居中"/>
    <w:basedOn w:val="1"/>
    <w:qFormat/>
    <w:uiPriority w:val="0"/>
    <w:pPr>
      <w:spacing w:line="360" w:lineRule="auto"/>
      <w:jc w:val="center"/>
    </w:pPr>
    <w:rPr>
      <w:sz w:val="21"/>
    </w:rPr>
  </w:style>
  <w:style w:type="paragraph" w:customStyle="1" w:styleId="360">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1">
    <w:name w:val="正文文本缩进1"/>
    <w:basedOn w:val="1"/>
    <w:qFormat/>
    <w:uiPriority w:val="0"/>
    <w:pPr>
      <w:spacing w:after="120"/>
      <w:ind w:left="420" w:leftChars="200"/>
    </w:pPr>
    <w:rPr>
      <w:sz w:val="21"/>
    </w:rPr>
  </w:style>
  <w:style w:type="paragraph" w:customStyle="1" w:styleId="362">
    <w:name w:val="编号列项（三级）"/>
    <w:qFormat/>
    <w:uiPriority w:val="0"/>
    <w:pPr>
      <w:ind w:left="800" w:leftChars="600" w:hanging="200" w:hangingChars="200"/>
    </w:pPr>
    <w:rPr>
      <w:rFonts w:ascii="宋体" w:hAnsi="Calibri" w:eastAsia="宋体" w:cs="Times New Roman"/>
      <w:lang w:val="en-US" w:eastAsia="zh-CN" w:bidi="ar-SA"/>
    </w:rPr>
  </w:style>
  <w:style w:type="paragraph" w:customStyle="1" w:styleId="363">
    <w:name w:val="正文文本缩进 21"/>
    <w:basedOn w:val="1"/>
    <w:qFormat/>
    <w:uiPriority w:val="0"/>
    <w:pPr>
      <w:adjustRightInd w:val="0"/>
      <w:spacing w:line="400" w:lineRule="atLeast"/>
      <w:ind w:firstLine="540"/>
      <w:textAlignment w:val="baseline"/>
    </w:pPr>
    <w:rPr>
      <w:rFonts w:ascii="宋体"/>
      <w:kern w:val="0"/>
      <w:sz w:val="24"/>
    </w:rPr>
  </w:style>
  <w:style w:type="paragraph" w:customStyle="1" w:styleId="364">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365">
    <w:name w:val="表名A"/>
    <w:basedOn w:val="1"/>
    <w:qFormat/>
    <w:uiPriority w:val="0"/>
    <w:pPr>
      <w:widowControl/>
      <w:tabs>
        <w:tab w:val="left" w:pos="0"/>
      </w:tabs>
      <w:adjustRightInd w:val="0"/>
      <w:snapToGrid w:val="0"/>
      <w:spacing w:beforeLines="80" w:afterLines="20"/>
    </w:pPr>
    <w:rPr>
      <w:b/>
      <w:snapToGrid w:val="0"/>
      <w:kern w:val="0"/>
      <w:sz w:val="21"/>
    </w:rPr>
  </w:style>
  <w:style w:type="paragraph" w:customStyle="1" w:styleId="366">
    <w:name w:val="样式 正文（首行缩进两字） + 首行缩进:  2 字符"/>
    <w:basedOn w:val="8"/>
    <w:qFormat/>
    <w:uiPriority w:val="0"/>
    <w:pPr>
      <w:widowControl w:val="0"/>
      <w:autoSpaceDE w:val="0"/>
      <w:autoSpaceDN w:val="0"/>
      <w:adjustRightInd w:val="0"/>
      <w:spacing w:line="460" w:lineRule="exact"/>
      <w:ind w:firstLine="536"/>
    </w:pPr>
    <w:rPr>
      <w:rFonts w:hint="eastAsia" w:ascii="宋体"/>
      <w:spacing w:val="6"/>
      <w:kern w:val="24"/>
    </w:rPr>
  </w:style>
  <w:style w:type="paragraph" w:customStyle="1" w:styleId="367">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68">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FF0000"/>
      <w:kern w:val="0"/>
      <w:sz w:val="20"/>
    </w:rPr>
  </w:style>
  <w:style w:type="paragraph" w:customStyle="1" w:styleId="370">
    <w:name w:val="文档结构图1"/>
    <w:basedOn w:val="1"/>
    <w:qFormat/>
    <w:uiPriority w:val="0"/>
    <w:pPr>
      <w:shd w:val="clear" w:color="auto" w:fill="000080"/>
    </w:pPr>
    <w:rPr>
      <w:kern w:val="0"/>
      <w:sz w:val="20"/>
      <w:shd w:val="clear" w:color="auto" w:fill="000080"/>
    </w:rPr>
  </w:style>
  <w:style w:type="paragraph" w:customStyle="1" w:styleId="371">
    <w:name w:val="简单回函地址"/>
    <w:basedOn w:val="1"/>
    <w:qFormat/>
    <w:uiPriority w:val="0"/>
    <w:pPr>
      <w:adjustRightInd w:val="0"/>
      <w:spacing w:line="312" w:lineRule="atLeast"/>
      <w:textAlignment w:val="baseline"/>
    </w:pPr>
    <w:rPr>
      <w:kern w:val="0"/>
      <w:sz w:val="21"/>
    </w:rPr>
  </w:style>
  <w:style w:type="paragraph" w:customStyle="1" w:styleId="372">
    <w:name w:val="Char Char Char Char Char Char3 Char Char Char Char Char Char Char"/>
    <w:basedOn w:val="1"/>
    <w:next w:val="1"/>
    <w:qFormat/>
    <w:uiPriority w:val="0"/>
    <w:rPr>
      <w:rFonts w:eastAsia="黑体"/>
    </w:rPr>
  </w:style>
  <w:style w:type="paragraph" w:customStyle="1" w:styleId="373">
    <w:name w:val="彩色列表 - 强调文字颜色 11"/>
    <w:basedOn w:val="1"/>
    <w:qFormat/>
    <w:uiPriority w:val="0"/>
    <w:pPr>
      <w:spacing w:before="100" w:beforeAutospacing="1" w:after="100" w:afterAutospacing="1" w:line="300" w:lineRule="auto"/>
      <w:ind w:firstLine="420" w:firstLineChars="200"/>
    </w:pPr>
    <w:rPr>
      <w:sz w:val="21"/>
    </w:rPr>
  </w:style>
  <w:style w:type="paragraph" w:customStyle="1" w:styleId="374">
    <w:name w:val="0"/>
    <w:basedOn w:val="1"/>
    <w:qFormat/>
    <w:uiPriority w:val="0"/>
    <w:pPr>
      <w:widowControl/>
    </w:pPr>
    <w:rPr>
      <w:kern w:val="0"/>
      <w:sz w:val="21"/>
    </w:rPr>
  </w:style>
  <w:style w:type="paragraph" w:customStyle="1" w:styleId="375">
    <w:name w:val="正文21"/>
    <w:basedOn w:val="1"/>
    <w:qFormat/>
    <w:uiPriority w:val="0"/>
    <w:pPr>
      <w:adjustRightInd w:val="0"/>
      <w:spacing w:line="420" w:lineRule="atLeast"/>
      <w:textAlignment w:val="baseline"/>
    </w:pPr>
    <w:rPr>
      <w:kern w:val="0"/>
      <w:sz w:val="21"/>
    </w:rPr>
  </w:style>
  <w:style w:type="paragraph" w:customStyle="1" w:styleId="376">
    <w:name w:val="标准书脚_偶数页"/>
    <w:qFormat/>
    <w:uiPriority w:val="0"/>
    <w:pPr>
      <w:spacing w:before="120"/>
    </w:pPr>
    <w:rPr>
      <w:rFonts w:ascii="Calibri" w:hAnsi="Calibri" w:eastAsia="宋体" w:cs="Times New Roman"/>
      <w:sz w:val="18"/>
      <w:lang w:val="en-US" w:eastAsia="zh-CN" w:bidi="ar-SA"/>
    </w:rPr>
  </w:style>
  <w:style w:type="paragraph" w:customStyle="1" w:styleId="377">
    <w:name w:val="目次、索引正文"/>
    <w:qFormat/>
    <w:uiPriority w:val="0"/>
    <w:pPr>
      <w:spacing w:line="320" w:lineRule="exact"/>
      <w:jc w:val="both"/>
    </w:pPr>
    <w:rPr>
      <w:rFonts w:ascii="宋体" w:hAnsi="Calibri" w:eastAsia="宋体" w:cs="Times New Roman"/>
      <w:lang w:val="en-US" w:eastAsia="zh-CN" w:bidi="ar-SA"/>
    </w:rPr>
  </w:style>
  <w:style w:type="paragraph" w:customStyle="1" w:styleId="378">
    <w:name w:val="网格表 31"/>
    <w:basedOn w:val="4"/>
    <w:next w:val="1"/>
    <w:qFormat/>
    <w:uiPriority w:val="0"/>
    <w:pPr>
      <w:keepLines/>
      <w:spacing w:before="480" w:line="276" w:lineRule="auto"/>
      <w:jc w:val="left"/>
      <w:outlineLvl w:val="9"/>
    </w:pPr>
    <w:rPr>
      <w:rFonts w:ascii="Cambria" w:hAnsi="Cambria"/>
      <w:color w:val="365F91"/>
      <w:sz w:val="28"/>
    </w:rPr>
  </w:style>
  <w:style w:type="character" w:customStyle="1" w:styleId="379">
    <w:name w:val="z-窗体底端 Char1"/>
    <w:basedOn w:val="90"/>
    <w:link w:val="213"/>
    <w:qFormat/>
    <w:uiPriority w:val="0"/>
    <w:rPr>
      <w:rFonts w:ascii="Arial" w:hAnsi="Arial"/>
      <w:vanish/>
      <w:sz w:val="16"/>
    </w:rPr>
  </w:style>
  <w:style w:type="paragraph" w:customStyle="1" w:styleId="380">
    <w:name w:val="正文表标题"/>
    <w:next w:val="357"/>
    <w:qFormat/>
    <w:uiPriority w:val="0"/>
    <w:pPr>
      <w:jc w:val="center"/>
    </w:pPr>
    <w:rPr>
      <w:rFonts w:ascii="黑体" w:hAnsi="Calibri" w:eastAsia="黑体" w:cs="Times New Roman"/>
      <w:sz w:val="21"/>
      <w:lang w:val="en-US" w:eastAsia="zh-CN" w:bidi="ar-SA"/>
    </w:rPr>
  </w:style>
  <w:style w:type="paragraph" w:customStyle="1" w:styleId="381">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u w:color="000000"/>
    </w:rPr>
  </w:style>
  <w:style w:type="paragraph" w:customStyle="1" w:styleId="38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83">
    <w:name w:val="网格表 32"/>
    <w:basedOn w:val="4"/>
    <w:next w:val="1"/>
    <w:qFormat/>
    <w:uiPriority w:val="0"/>
    <w:pPr>
      <w:keepLines/>
      <w:spacing w:before="480" w:line="276" w:lineRule="auto"/>
      <w:jc w:val="left"/>
      <w:outlineLvl w:val="9"/>
    </w:pPr>
    <w:rPr>
      <w:rFonts w:ascii="等线 Light" w:hAnsi="等线 Light" w:eastAsia="等线 Light"/>
      <w:color w:val="2E74B5"/>
      <w:sz w:val="28"/>
    </w:rPr>
  </w:style>
  <w:style w:type="paragraph" w:customStyle="1" w:styleId="384">
    <w:name w:val="四级条标题"/>
    <w:basedOn w:val="355"/>
    <w:next w:val="357"/>
    <w:qFormat/>
    <w:uiPriority w:val="0"/>
    <w:pPr>
      <w:ind w:left="0" w:firstLine="0"/>
      <w:outlineLvl w:val="5"/>
    </w:pPr>
  </w:style>
  <w:style w:type="paragraph" w:customStyle="1" w:styleId="385">
    <w:name w:val="xl5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18"/>
    </w:rPr>
  </w:style>
  <w:style w:type="paragraph" w:customStyle="1" w:styleId="386">
    <w:name w:val="font8"/>
    <w:basedOn w:val="1"/>
    <w:qFormat/>
    <w:uiPriority w:val="0"/>
    <w:pPr>
      <w:widowControl/>
      <w:spacing w:before="100" w:beforeAutospacing="1" w:after="100" w:afterAutospacing="1"/>
    </w:pPr>
    <w:rPr>
      <w:rFonts w:eastAsia="Arial Unicode MS"/>
      <w:kern w:val="0"/>
      <w:sz w:val="24"/>
    </w:rPr>
  </w:style>
  <w:style w:type="paragraph" w:customStyle="1" w:styleId="387">
    <w:name w:val="xl2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Arial Unicode MS" w:hAnsi="Arial Unicode MS" w:eastAsia="Arial Unicode MS"/>
      <w:kern w:val="0"/>
      <w:sz w:val="24"/>
    </w:rPr>
  </w:style>
  <w:style w:type="paragraph" w:customStyle="1" w:styleId="388">
    <w:name w:val="彩色列表 - 着色 11"/>
    <w:basedOn w:val="1"/>
    <w:qFormat/>
    <w:uiPriority w:val="0"/>
    <w:pPr>
      <w:widowControl/>
      <w:ind w:firstLine="420" w:firstLineChars="200"/>
      <w:jc w:val="left"/>
    </w:pPr>
    <w:rPr>
      <w:rFonts w:ascii="宋体" w:hAnsi="宋体"/>
      <w:kern w:val="0"/>
      <w:sz w:val="24"/>
    </w:rPr>
  </w:style>
  <w:style w:type="paragraph" w:customStyle="1" w:styleId="389">
    <w:name w:val="Char Char20"/>
    <w:basedOn w:val="1"/>
    <w:qFormat/>
    <w:uiPriority w:val="0"/>
    <w:pPr>
      <w:snapToGrid w:val="0"/>
      <w:spacing w:afterLines="30" w:line="360" w:lineRule="auto"/>
      <w:ind w:firstLine="200" w:firstLineChars="200"/>
    </w:pPr>
    <w:rPr>
      <w:sz w:val="21"/>
    </w:rPr>
  </w:style>
  <w:style w:type="paragraph" w:customStyle="1" w:styleId="390">
    <w:name w:val="附录一级条标题"/>
    <w:basedOn w:val="391"/>
    <w:next w:val="357"/>
    <w:qFormat/>
    <w:uiPriority w:val="0"/>
    <w:pPr>
      <w:tabs>
        <w:tab w:val="left" w:pos="720"/>
        <w:tab w:val="left" w:pos="840"/>
        <w:tab w:val="left" w:pos="1440"/>
      </w:tabs>
      <w:autoSpaceDN w:val="0"/>
      <w:ind w:left="0" w:firstLine="0"/>
      <w:outlineLvl w:val="2"/>
    </w:pPr>
  </w:style>
  <w:style w:type="paragraph" w:customStyle="1" w:styleId="391">
    <w:name w:val="附录章标题"/>
    <w:next w:val="357"/>
    <w:qFormat/>
    <w:uiPriority w:val="0"/>
    <w:pPr>
      <w:tabs>
        <w:tab w:val="left" w:pos="720"/>
        <w:tab w:val="left" w:pos="1440"/>
      </w:tabs>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92">
    <w:name w:val="表格3"/>
    <w:basedOn w:val="1"/>
    <w:qFormat/>
    <w:uiPriority w:val="0"/>
    <w:pPr>
      <w:adjustRightInd w:val="0"/>
      <w:spacing w:line="420" w:lineRule="atLeast"/>
      <w:textAlignment w:val="baseline"/>
    </w:pPr>
    <w:rPr>
      <w:rFonts w:eastAsia="楷体"/>
      <w:kern w:val="0"/>
      <w:sz w:val="21"/>
    </w:rPr>
  </w:style>
  <w:style w:type="paragraph" w:customStyle="1" w:styleId="393">
    <w:name w:val="样式 一号 加粗 居中"/>
    <w:basedOn w:val="1"/>
    <w:qFormat/>
    <w:uiPriority w:val="0"/>
    <w:pPr>
      <w:jc w:val="center"/>
    </w:pPr>
    <w:rPr>
      <w:sz w:val="52"/>
    </w:rPr>
  </w:style>
  <w:style w:type="paragraph" w:customStyle="1" w:styleId="394">
    <w:name w:val="xl26"/>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kern w:val="0"/>
      <w:sz w:val="24"/>
    </w:rPr>
  </w:style>
  <w:style w:type="paragraph" w:customStyle="1" w:styleId="395">
    <w:name w:val="字母编号列项（一级）"/>
    <w:qFormat/>
    <w:uiPriority w:val="0"/>
    <w:pPr>
      <w:ind w:left="840" w:leftChars="200" w:hanging="420" w:hangingChars="200"/>
      <w:jc w:val="both"/>
    </w:pPr>
    <w:rPr>
      <w:rFonts w:ascii="宋体" w:hAnsi="Calibri" w:eastAsia="宋体" w:cs="Times New Roman"/>
      <w:lang w:val="en-US" w:eastAsia="zh-CN" w:bidi="ar-SA"/>
    </w:rPr>
  </w:style>
  <w:style w:type="paragraph" w:customStyle="1" w:styleId="396">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97">
    <w:name w:val="表格文字居中"/>
    <w:basedOn w:val="1"/>
    <w:qFormat/>
    <w:uiPriority w:val="0"/>
    <w:pPr>
      <w:adjustRightInd w:val="0"/>
      <w:snapToGrid w:val="0"/>
      <w:textAlignment w:val="center"/>
    </w:pPr>
    <w:rPr>
      <w:rFonts w:ascii="宋体"/>
      <w:snapToGrid w:val="0"/>
      <w:spacing w:val="12"/>
      <w:kern w:val="0"/>
      <w:sz w:val="21"/>
    </w:rPr>
  </w:style>
  <w:style w:type="paragraph" w:customStyle="1" w:styleId="398">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399">
    <w:name w:val="正文缩进2"/>
    <w:basedOn w:val="1"/>
    <w:qFormat/>
    <w:uiPriority w:val="0"/>
    <w:pPr>
      <w:ind w:firstLine="420"/>
    </w:pPr>
    <w:rPr>
      <w:sz w:val="21"/>
    </w:rPr>
  </w:style>
  <w:style w:type="paragraph" w:customStyle="1" w:styleId="400">
    <w:name w:val="表头"/>
    <w:basedOn w:val="401"/>
    <w:qFormat/>
    <w:uiPriority w:val="0"/>
    <w:pPr>
      <w:spacing w:before="120" w:after="60"/>
    </w:pPr>
    <w:rPr>
      <w:rFonts w:ascii="黑体" w:eastAsia="黑体"/>
      <w:b/>
    </w:rPr>
  </w:style>
  <w:style w:type="paragraph" w:customStyle="1" w:styleId="401">
    <w:name w:val="表格方字"/>
    <w:basedOn w:val="1"/>
    <w:qFormat/>
    <w:uiPriority w:val="0"/>
    <w:pPr>
      <w:adjustRightInd w:val="0"/>
      <w:spacing w:line="420" w:lineRule="atLeast"/>
      <w:textAlignment w:val="baseline"/>
    </w:pPr>
    <w:rPr>
      <w:kern w:val="0"/>
      <w:sz w:val="21"/>
    </w:rPr>
  </w:style>
  <w:style w:type="paragraph" w:customStyle="1" w:styleId="402">
    <w:name w:val="正文段"/>
    <w:basedOn w:val="1"/>
    <w:qFormat/>
    <w:uiPriority w:val="0"/>
    <w:pPr>
      <w:widowControl/>
      <w:snapToGrid w:val="0"/>
      <w:spacing w:afterLines="50"/>
      <w:ind w:firstLine="200" w:firstLineChars="200"/>
    </w:pPr>
    <w:rPr>
      <w:kern w:val="0"/>
      <w:sz w:val="24"/>
    </w:rPr>
  </w:style>
  <w:style w:type="paragraph" w:customStyle="1" w:styleId="403">
    <w:name w:val="正文A Char Char Char"/>
    <w:qFormat/>
    <w:uiPriority w:val="0"/>
    <w:pPr>
      <w:tabs>
        <w:tab w:val="left" w:pos="0"/>
      </w:tabs>
      <w:adjustRightInd w:val="0"/>
      <w:spacing w:before="120" w:line="360" w:lineRule="auto"/>
      <w:ind w:firstLine="480"/>
      <w:jc w:val="both"/>
    </w:pPr>
    <w:rPr>
      <w:rFonts w:ascii="Calibri" w:hAnsi="Calibri" w:eastAsia="宋体" w:cs="Times New Roman"/>
      <w:snapToGrid w:val="0"/>
      <w:sz w:val="24"/>
      <w:lang w:val="en-US" w:eastAsia="zh-CN" w:bidi="ar-SA"/>
    </w:rPr>
  </w:style>
  <w:style w:type="paragraph" w:customStyle="1" w:styleId="404">
    <w:name w:val="列项●（二级）"/>
    <w:qFormat/>
    <w:uiPriority w:val="0"/>
    <w:pPr>
      <w:tabs>
        <w:tab w:val="left" w:pos="720"/>
        <w:tab w:val="left" w:pos="760"/>
        <w:tab w:val="left" w:pos="840"/>
      </w:tabs>
      <w:ind w:left="600" w:leftChars="400" w:hanging="200" w:hangingChars="200"/>
      <w:jc w:val="both"/>
    </w:pPr>
    <w:rPr>
      <w:rFonts w:ascii="宋体" w:hAnsi="Calibri" w:eastAsia="宋体" w:cs="Times New Roman"/>
      <w:lang w:val="en-US" w:eastAsia="zh-CN" w:bidi="ar-SA"/>
    </w:rPr>
  </w:style>
  <w:style w:type="paragraph" w:customStyle="1" w:styleId="405">
    <w:name w:val="xl560"/>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06">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407">
    <w:name w:val="xl557"/>
    <w:basedOn w:val="1"/>
    <w:qFormat/>
    <w:uiPriority w:val="0"/>
    <w:pPr>
      <w:widowControl/>
      <w:spacing w:before="100" w:beforeAutospacing="1" w:after="100" w:afterAutospacing="1"/>
      <w:jc w:val="left"/>
    </w:pPr>
    <w:rPr>
      <w:rFonts w:ascii="宋体" w:hAnsi="宋体"/>
      <w:color w:val="FF0000"/>
      <w:kern w:val="0"/>
      <w:sz w:val="20"/>
    </w:rPr>
  </w:style>
  <w:style w:type="paragraph" w:customStyle="1" w:styleId="408">
    <w:name w:val="1"/>
    <w:basedOn w:val="1"/>
    <w:qFormat/>
    <w:uiPriority w:val="0"/>
    <w:pPr>
      <w:adjustRightInd w:val="0"/>
      <w:spacing w:before="360" w:after="240" w:line="420" w:lineRule="atLeast"/>
      <w:ind w:firstLine="454"/>
      <w:textAlignment w:val="baseline"/>
    </w:pPr>
    <w:rPr>
      <w:b/>
      <w:kern w:val="0"/>
      <w:sz w:val="21"/>
    </w:rPr>
  </w:style>
  <w:style w:type="paragraph" w:customStyle="1" w:styleId="409">
    <w:name w:val="附录四级条标题"/>
    <w:basedOn w:val="410"/>
    <w:next w:val="357"/>
    <w:qFormat/>
    <w:uiPriority w:val="0"/>
    <w:pPr>
      <w:tabs>
        <w:tab w:val="left" w:pos="720"/>
        <w:tab w:val="left" w:pos="840"/>
        <w:tab w:val="left" w:pos="1440"/>
      </w:tabs>
      <w:outlineLvl w:val="5"/>
    </w:pPr>
  </w:style>
  <w:style w:type="paragraph" w:customStyle="1" w:styleId="410">
    <w:name w:val="附录三级条标题"/>
    <w:basedOn w:val="411"/>
    <w:next w:val="357"/>
    <w:qFormat/>
    <w:uiPriority w:val="0"/>
    <w:pPr>
      <w:tabs>
        <w:tab w:val="left" w:pos="720"/>
        <w:tab w:val="left" w:pos="840"/>
        <w:tab w:val="left" w:pos="1440"/>
      </w:tabs>
      <w:outlineLvl w:val="4"/>
    </w:pPr>
  </w:style>
  <w:style w:type="paragraph" w:customStyle="1" w:styleId="411">
    <w:name w:val="附录二级条标题"/>
    <w:basedOn w:val="390"/>
    <w:next w:val="357"/>
    <w:qFormat/>
    <w:uiPriority w:val="0"/>
    <w:pPr>
      <w:outlineLvl w:val="3"/>
    </w:pPr>
  </w:style>
  <w:style w:type="paragraph" w:customStyle="1" w:styleId="412">
    <w:name w:val="引文目录标题1"/>
    <w:basedOn w:val="1"/>
    <w:next w:val="1"/>
    <w:qFormat/>
    <w:uiPriority w:val="0"/>
    <w:pPr>
      <w:spacing w:before="120"/>
    </w:pPr>
    <w:rPr>
      <w:rFonts w:ascii="Arial" w:hAnsi="Arial"/>
      <w:sz w:val="24"/>
    </w:rPr>
  </w:style>
  <w:style w:type="paragraph" w:customStyle="1" w:styleId="413">
    <w:name w:val="Char Char Char Char Char Char Char Char Char"/>
    <w:basedOn w:val="1"/>
    <w:qFormat/>
    <w:uiPriority w:val="0"/>
    <w:pPr>
      <w:widowControl/>
      <w:spacing w:after="160" w:line="240" w:lineRule="exact"/>
      <w:jc w:val="left"/>
    </w:pPr>
    <w:rPr>
      <w:sz w:val="21"/>
    </w:rPr>
  </w:style>
  <w:style w:type="paragraph" w:customStyle="1" w:styleId="414">
    <w:name w:val="默认段落字体 Para Char Char Char Char"/>
    <w:basedOn w:val="1"/>
    <w:qFormat/>
    <w:uiPriority w:val="0"/>
    <w:pPr>
      <w:spacing w:line="360" w:lineRule="auto"/>
      <w:ind w:firstLine="200" w:firstLineChars="200"/>
    </w:pPr>
    <w:rPr>
      <w:rFonts w:ascii="宋体" w:hAnsi="宋体"/>
      <w:sz w:val="24"/>
    </w:rPr>
  </w:style>
  <w:style w:type="paragraph" w:customStyle="1" w:styleId="415">
    <w:name w:val="Char Char Char1 Char"/>
    <w:basedOn w:val="1"/>
    <w:next w:val="1"/>
    <w:qFormat/>
    <w:uiPriority w:val="0"/>
    <w:rPr>
      <w:sz w:val="21"/>
    </w:rPr>
  </w:style>
  <w:style w:type="paragraph" w:customStyle="1" w:styleId="416">
    <w:name w:val="列出段落3"/>
    <w:basedOn w:val="1"/>
    <w:qFormat/>
    <w:uiPriority w:val="0"/>
    <w:pPr>
      <w:spacing w:before="100" w:beforeAutospacing="1" w:after="100" w:afterAutospacing="1" w:line="300" w:lineRule="auto"/>
      <w:ind w:firstLine="420" w:firstLineChars="200"/>
    </w:pPr>
    <w:rPr>
      <w:sz w:val="21"/>
    </w:rPr>
  </w:style>
  <w:style w:type="paragraph" w:customStyle="1" w:styleId="4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4"/>
    </w:rPr>
  </w:style>
  <w:style w:type="paragraph" w:customStyle="1" w:styleId="418">
    <w:name w:val="实施日期"/>
    <w:basedOn w:val="419"/>
    <w:qFormat/>
    <w:uiPriority w:val="0"/>
    <w:pPr>
      <w:jc w:val="right"/>
    </w:pPr>
  </w:style>
  <w:style w:type="paragraph" w:customStyle="1" w:styleId="419">
    <w:name w:val="发布日期"/>
    <w:qFormat/>
    <w:uiPriority w:val="0"/>
    <w:rPr>
      <w:rFonts w:ascii="Calibri" w:hAnsi="Calibri" w:eastAsia="黑体" w:cs="Times New Roman"/>
      <w:sz w:val="28"/>
      <w:lang w:val="en-US" w:eastAsia="zh-CN" w:bidi="ar-SA"/>
    </w:rPr>
  </w:style>
  <w:style w:type="paragraph" w:customStyle="1" w:styleId="420">
    <w:name w:val="一般格式"/>
    <w:basedOn w:val="1"/>
    <w:qFormat/>
    <w:uiPriority w:val="0"/>
    <w:pPr>
      <w:spacing w:line="360" w:lineRule="auto"/>
      <w:ind w:firstLine="200" w:firstLineChars="200"/>
    </w:pPr>
    <w:rPr>
      <w:sz w:val="24"/>
    </w:rPr>
  </w:style>
  <w:style w:type="paragraph" w:customStyle="1" w:styleId="421">
    <w:name w:val="附录图标题"/>
    <w:next w:val="357"/>
    <w:qFormat/>
    <w:uiPriority w:val="0"/>
    <w:pPr>
      <w:tabs>
        <w:tab w:val="left" w:pos="360"/>
      </w:tabs>
      <w:jc w:val="center"/>
    </w:pPr>
    <w:rPr>
      <w:rFonts w:ascii="黑体" w:hAnsi="Calibri" w:eastAsia="黑体" w:cs="Times New Roman"/>
      <w:sz w:val="21"/>
      <w:lang w:val="en-US" w:eastAsia="zh-CN" w:bidi="ar-SA"/>
    </w:rPr>
  </w:style>
  <w:style w:type="paragraph" w:customStyle="1" w:styleId="422">
    <w:name w:val="1.4"/>
    <w:basedOn w:val="1"/>
    <w:qFormat/>
    <w:uiPriority w:val="0"/>
    <w:pPr>
      <w:widowControl/>
      <w:spacing w:line="288" w:lineRule="auto"/>
      <w:ind w:left="3" w:firstLine="503"/>
    </w:pPr>
    <w:rPr>
      <w:rFonts w:ascii="宋体" w:hAnsi="宋体"/>
      <w:kern w:val="0"/>
      <w:sz w:val="24"/>
    </w:rPr>
  </w:style>
  <w:style w:type="paragraph" w:customStyle="1" w:styleId="423">
    <w:name w:val="正文3"/>
    <w:qFormat/>
    <w:uiPriority w:val="0"/>
    <w:pPr>
      <w:widowControl w:val="0"/>
      <w:adjustRightInd w:val="0"/>
      <w:spacing w:line="360" w:lineRule="atLeast"/>
      <w:textAlignment w:val="baseline"/>
    </w:pPr>
    <w:rPr>
      <w:rFonts w:ascii="宋体" w:hAnsi="Calibri" w:eastAsia="宋体" w:cs="Times New Roman"/>
      <w:sz w:val="34"/>
      <w:lang w:val="en-US" w:eastAsia="zh-CN" w:bidi="ar-SA"/>
    </w:rPr>
  </w:style>
  <w:style w:type="paragraph" w:customStyle="1" w:styleId="424">
    <w:name w:val="p17"/>
    <w:basedOn w:val="1"/>
    <w:qFormat/>
    <w:uiPriority w:val="0"/>
    <w:pPr>
      <w:widowControl/>
      <w:spacing w:before="100" w:after="100" w:line="432" w:lineRule="auto"/>
      <w:jc w:val="left"/>
    </w:pPr>
    <w:rPr>
      <w:rFonts w:ascii="宋体" w:hAnsi="宋体"/>
      <w:kern w:val="0"/>
      <w:sz w:val="27"/>
    </w:rPr>
  </w:style>
  <w:style w:type="paragraph" w:customStyle="1" w:styleId="425">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426">
    <w:name w:val="xl2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427">
    <w:name w:val="xl5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8">
    <w:name w:val="正文缩进3"/>
    <w:basedOn w:val="1"/>
    <w:qFormat/>
    <w:uiPriority w:val="0"/>
    <w:pPr>
      <w:ind w:firstLine="420"/>
    </w:pPr>
    <w:rPr>
      <w:sz w:val="21"/>
    </w:rPr>
  </w:style>
  <w:style w:type="paragraph" w:customStyle="1" w:styleId="429">
    <w:name w:val="五级条标题"/>
    <w:basedOn w:val="384"/>
    <w:next w:val="357"/>
    <w:qFormat/>
    <w:uiPriority w:val="0"/>
    <w:pPr>
      <w:outlineLvl w:val="6"/>
    </w:pPr>
  </w:style>
  <w:style w:type="paragraph" w:customStyle="1" w:styleId="430">
    <w:name w:val="正文文本 31"/>
    <w:basedOn w:val="1"/>
    <w:qFormat/>
    <w:uiPriority w:val="0"/>
    <w:rPr>
      <w:rFonts w:eastAsia="隶书"/>
      <w:kern w:val="0"/>
      <w:sz w:val="24"/>
    </w:rPr>
  </w:style>
  <w:style w:type="paragraph" w:customStyle="1" w:styleId="431">
    <w:name w:val="杭州页脚"/>
    <w:basedOn w:val="1"/>
    <w:qFormat/>
    <w:uiPriority w:val="0"/>
    <w:pPr>
      <w:tabs>
        <w:tab w:val="left" w:pos="340"/>
      </w:tabs>
      <w:adjustRightInd w:val="0"/>
      <w:snapToGrid w:val="0"/>
      <w:ind w:left="340" w:hanging="340"/>
    </w:pPr>
    <w:rPr>
      <w:rFonts w:eastAsia="HYKai U3HK"/>
      <w:sz w:val="20"/>
    </w:rPr>
  </w:style>
  <w:style w:type="paragraph" w:customStyle="1" w:styleId="432">
    <w:name w:val="xl38"/>
    <w:basedOn w:val="1"/>
    <w:qFormat/>
    <w:uiPriority w:val="0"/>
    <w:pPr>
      <w:widowControl/>
      <w:pBdr>
        <w:top w:val="single" w:color="auto" w:sz="4" w:space="0"/>
        <w:bottom w:val="single" w:color="auto" w:sz="8" w:space="0"/>
        <w:right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433">
    <w:name w:val="p16"/>
    <w:basedOn w:val="1"/>
    <w:qFormat/>
    <w:uiPriority w:val="0"/>
    <w:pPr>
      <w:widowControl/>
      <w:spacing w:before="100" w:beforeAutospacing="1" w:after="100" w:afterAutospacing="1"/>
      <w:jc w:val="left"/>
    </w:pPr>
    <w:rPr>
      <w:rFonts w:ascii="宋体" w:hAnsi="宋体"/>
      <w:kern w:val="0"/>
      <w:sz w:val="24"/>
    </w:rPr>
  </w:style>
  <w:style w:type="paragraph" w:customStyle="1" w:styleId="434">
    <w:name w:val="xl5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rPr>
  </w:style>
  <w:style w:type="paragraph" w:customStyle="1" w:styleId="435">
    <w:name w:val="Char Char Char"/>
    <w:basedOn w:val="1"/>
    <w:qFormat/>
    <w:uiPriority w:val="0"/>
    <w:pPr>
      <w:spacing w:line="360" w:lineRule="auto"/>
      <w:ind w:firstLine="200" w:firstLineChars="200"/>
    </w:pPr>
    <w:rPr>
      <w:rFonts w:ascii="宋体" w:hAnsi="宋体"/>
      <w:sz w:val="24"/>
    </w:rPr>
  </w:style>
  <w:style w:type="paragraph" w:customStyle="1" w:styleId="436">
    <w:name w:val="样式 标题 3 + (中文) 黑体 小四 非加粗 段前: 7.8 磅 段后: 0 磅 行距: 固定值 20 磅"/>
    <w:basedOn w:val="6"/>
    <w:qFormat/>
    <w:uiPriority w:val="0"/>
    <w:pPr>
      <w:widowControl w:val="0"/>
      <w:tabs>
        <w:tab w:val="clear" w:pos="720"/>
      </w:tabs>
      <w:spacing w:before="0" w:after="0" w:line="400" w:lineRule="exact"/>
      <w:ind w:left="0" w:firstLine="0"/>
      <w:jc w:val="both"/>
    </w:pPr>
    <w:rPr>
      <w:rFonts w:eastAsia="黑体"/>
      <w:b w:val="0"/>
      <w:kern w:val="2"/>
      <w:sz w:val="24"/>
    </w:rPr>
  </w:style>
  <w:style w:type="paragraph" w:customStyle="1" w:styleId="437">
    <w:name w:val="纯文本1"/>
    <w:basedOn w:val="1"/>
    <w:qFormat/>
    <w:uiPriority w:val="0"/>
    <w:pPr>
      <w:widowControl/>
      <w:jc w:val="left"/>
    </w:pPr>
    <w:rPr>
      <w:rFonts w:ascii="宋体" w:hAnsi="Courier New"/>
      <w:kern w:val="0"/>
      <w:sz w:val="20"/>
    </w:rPr>
  </w:style>
  <w:style w:type="paragraph" w:customStyle="1" w:styleId="438">
    <w:name w:val="列出段落1"/>
    <w:basedOn w:val="1"/>
    <w:qFormat/>
    <w:uiPriority w:val="0"/>
    <w:pPr>
      <w:ind w:firstLine="420" w:firstLineChars="200"/>
    </w:pPr>
    <w:rPr>
      <w:sz w:val="21"/>
    </w:rPr>
  </w:style>
  <w:style w:type="paragraph" w:customStyle="1" w:styleId="439">
    <w:name w:val="正文文本 21"/>
    <w:basedOn w:val="1"/>
    <w:qFormat/>
    <w:uiPriority w:val="0"/>
    <w:pPr>
      <w:adjustRightInd w:val="0"/>
      <w:spacing w:line="300" w:lineRule="auto"/>
      <w:jc w:val="center"/>
    </w:pPr>
    <w:rPr>
      <w:rFonts w:hint="eastAsia" w:ascii="宋体" w:hAnsi="宋体"/>
      <w:sz w:val="24"/>
    </w:rPr>
  </w:style>
  <w:style w:type="paragraph" w:customStyle="1" w:styleId="440">
    <w:name w:val="表格文字2"/>
    <w:basedOn w:val="1"/>
    <w:qFormat/>
    <w:uiPriority w:val="0"/>
    <w:rPr>
      <w:spacing w:val="-4"/>
      <w:sz w:val="24"/>
    </w:rPr>
  </w:style>
  <w:style w:type="paragraph" w:customStyle="1" w:styleId="441">
    <w:name w:val="图表左对齐"/>
    <w:basedOn w:val="1"/>
    <w:qFormat/>
    <w:uiPriority w:val="0"/>
    <w:pPr>
      <w:spacing w:line="360" w:lineRule="exact"/>
      <w:jc w:val="left"/>
    </w:pPr>
    <w:rPr>
      <w:spacing w:val="-10"/>
      <w:sz w:val="24"/>
    </w:rPr>
  </w:style>
  <w:style w:type="paragraph" w:customStyle="1" w:styleId="442">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443">
    <w:name w:val="样式 标题 2 + Times New Roman 四号 非加粗 段前: 5 磅 段后: 0 磅 行距: 固定值 20..."/>
    <w:basedOn w:val="5"/>
    <w:qFormat/>
    <w:uiPriority w:val="0"/>
    <w:pPr>
      <w:tabs>
        <w:tab w:val="clear" w:pos="706"/>
      </w:tabs>
      <w:spacing w:before="100" w:line="400" w:lineRule="exact"/>
      <w:ind w:left="0" w:firstLine="0"/>
    </w:pPr>
    <w:rPr>
      <w:rFonts w:ascii="Times New Roman" w:hAnsi="Times New Roman"/>
      <w:b w:val="0"/>
      <w:kern w:val="0"/>
      <w:sz w:val="28"/>
    </w:rPr>
  </w:style>
  <w:style w:type="paragraph" w:customStyle="1" w:styleId="444">
    <w:name w:val="Char Char Char Char Char Char Char"/>
    <w:basedOn w:val="1"/>
    <w:qFormat/>
    <w:uiPriority w:val="0"/>
    <w:pPr>
      <w:widowControl/>
      <w:spacing w:after="160" w:line="240" w:lineRule="exact"/>
      <w:jc w:val="left"/>
    </w:pPr>
    <w:rPr>
      <w:rFonts w:ascii="Verdana" w:hAnsi="Verdana" w:eastAsia="仿宋_GB2312"/>
      <w:kern w:val="0"/>
      <w:sz w:val="30"/>
      <w:lang w:eastAsia="en-US"/>
    </w:rPr>
  </w:style>
  <w:style w:type="paragraph" w:customStyle="1" w:styleId="445">
    <w:name w:val="正文1"/>
    <w:basedOn w:val="1"/>
    <w:qFormat/>
    <w:uiPriority w:val="0"/>
    <w:pPr>
      <w:autoSpaceDE w:val="0"/>
      <w:autoSpaceDN w:val="0"/>
      <w:adjustRightInd w:val="0"/>
      <w:spacing w:before="120" w:line="360" w:lineRule="auto"/>
      <w:ind w:left="1366" w:hanging="686"/>
      <w:textAlignment w:val="baseline"/>
    </w:pPr>
    <w:rPr>
      <w:sz w:val="21"/>
    </w:rPr>
  </w:style>
  <w:style w:type="paragraph" w:customStyle="1" w:styleId="446">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47">
    <w:name w:val="纯文本3"/>
    <w:basedOn w:val="1"/>
    <w:qFormat/>
    <w:uiPriority w:val="0"/>
    <w:pPr>
      <w:widowControl/>
      <w:jc w:val="left"/>
    </w:pPr>
    <w:rPr>
      <w:rFonts w:ascii="宋体" w:hAnsi="Courier New"/>
      <w:kern w:val="0"/>
      <w:sz w:val="20"/>
    </w:rPr>
  </w:style>
  <w:style w:type="paragraph" w:customStyle="1" w:styleId="448">
    <w:name w:val="表格6"/>
    <w:basedOn w:val="1"/>
    <w:qFormat/>
    <w:uiPriority w:val="0"/>
    <w:pPr>
      <w:adjustRightInd w:val="0"/>
      <w:spacing w:line="420" w:lineRule="atLeast"/>
      <w:ind w:left="737"/>
      <w:textAlignment w:val="baseline"/>
    </w:pPr>
    <w:rPr>
      <w:rFonts w:ascii="宋体"/>
      <w:kern w:val="0"/>
      <w:sz w:val="21"/>
    </w:rPr>
  </w:style>
  <w:style w:type="paragraph" w:customStyle="1" w:styleId="449">
    <w:name w:val="reader-word-layer reader-word-s1-8"/>
    <w:basedOn w:val="1"/>
    <w:qFormat/>
    <w:uiPriority w:val="0"/>
    <w:pPr>
      <w:widowControl/>
      <w:spacing w:before="100" w:beforeAutospacing="1" w:after="100" w:afterAutospacing="1"/>
      <w:jc w:val="left"/>
    </w:pPr>
    <w:rPr>
      <w:rFonts w:ascii="宋体" w:hAnsi="宋体"/>
      <w:kern w:val="0"/>
      <w:sz w:val="24"/>
    </w:rPr>
  </w:style>
  <w:style w:type="paragraph" w:customStyle="1" w:styleId="450">
    <w:name w:val="默认段落字体 Para Char Char Char Char Char Char Char Char Char Char Char Char Char"/>
    <w:basedOn w:val="1"/>
    <w:qFormat/>
    <w:uiPriority w:val="0"/>
    <w:rPr>
      <w:sz w:val="21"/>
    </w:rPr>
  </w:style>
  <w:style w:type="paragraph" w:customStyle="1" w:styleId="451">
    <w:name w:val="修订1"/>
    <w:qFormat/>
    <w:uiPriority w:val="0"/>
    <w:rPr>
      <w:rFonts w:ascii="宋体" w:hAnsi="Calibri" w:eastAsia="宋体" w:cs="Times New Roman"/>
      <w:kern w:val="2"/>
      <w:sz w:val="28"/>
      <w:lang w:val="en-US" w:eastAsia="zh-CN" w:bidi="ar-SA"/>
    </w:rPr>
  </w:style>
  <w:style w:type="paragraph" w:customStyle="1" w:styleId="452">
    <w:name w:val="xl5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kern w:val="0"/>
      <w:sz w:val="20"/>
    </w:rPr>
  </w:style>
  <w:style w:type="paragraph" w:customStyle="1" w:styleId="453">
    <w:name w:val="列项◆（三级）"/>
    <w:qFormat/>
    <w:uiPriority w:val="0"/>
    <w:pPr>
      <w:tabs>
        <w:tab w:val="left" w:pos="720"/>
        <w:tab w:val="left" w:pos="960"/>
      </w:tabs>
      <w:ind w:left="800" w:leftChars="600" w:hanging="200" w:hangingChars="200"/>
    </w:pPr>
    <w:rPr>
      <w:rFonts w:ascii="宋体" w:hAnsi="Calibri" w:eastAsia="宋体" w:cs="Times New Roman"/>
      <w:lang w:val="en-US" w:eastAsia="zh-CN" w:bidi="ar-SA"/>
    </w:rPr>
  </w:style>
  <w:style w:type="paragraph" w:customStyle="1" w:styleId="454">
    <w:name w:val="目录3"/>
    <w:basedOn w:val="1"/>
    <w:qFormat/>
    <w:uiPriority w:val="0"/>
    <w:pPr>
      <w:adjustRightInd w:val="0"/>
      <w:spacing w:line="420" w:lineRule="atLeast"/>
      <w:ind w:left="454"/>
      <w:textAlignment w:val="baseline"/>
    </w:pPr>
    <w:rPr>
      <w:kern w:val="0"/>
      <w:sz w:val="21"/>
    </w:rPr>
  </w:style>
  <w:style w:type="paragraph" w:customStyle="1" w:styleId="455">
    <w:name w:val="默认段落字体 Para Char Char Char Char Char Char Char Char Char1 Char Char Char Char"/>
    <w:basedOn w:val="1"/>
    <w:qFormat/>
    <w:uiPriority w:val="0"/>
    <w:rPr>
      <w:rFonts w:ascii="Tahoma" w:hAnsi="Tahoma"/>
      <w:sz w:val="24"/>
    </w:rPr>
  </w:style>
  <w:style w:type="character" w:customStyle="1" w:styleId="456">
    <w:name w:val="z-窗体顶端 Char2"/>
    <w:basedOn w:val="90"/>
    <w:link w:val="320"/>
    <w:qFormat/>
    <w:uiPriority w:val="0"/>
    <w:rPr>
      <w:rFonts w:ascii="Arial" w:hAnsi="Arial"/>
      <w:vanish/>
      <w:sz w:val="16"/>
    </w:rPr>
  </w:style>
  <w:style w:type="paragraph" w:customStyle="1" w:styleId="4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458">
    <w:name w:val="样式3"/>
    <w:basedOn w:val="6"/>
    <w:qFormat/>
    <w:uiPriority w:val="0"/>
    <w:pPr>
      <w:widowControl w:val="0"/>
      <w:tabs>
        <w:tab w:val="clear" w:pos="720"/>
      </w:tabs>
      <w:ind w:left="0" w:firstLine="0"/>
      <w:jc w:val="both"/>
    </w:pPr>
    <w:rPr>
      <w:b w:val="0"/>
      <w:kern w:val="2"/>
      <w:sz w:val="24"/>
    </w:rPr>
  </w:style>
  <w:style w:type="paragraph" w:customStyle="1" w:styleId="459">
    <w:name w:val="样式 居中 行距: 固定值 60 磅"/>
    <w:basedOn w:val="1"/>
    <w:qFormat/>
    <w:uiPriority w:val="0"/>
    <w:pPr>
      <w:spacing w:line="360" w:lineRule="auto"/>
      <w:jc w:val="center"/>
    </w:pPr>
    <w:rPr>
      <w:sz w:val="21"/>
    </w:rPr>
  </w:style>
  <w:style w:type="paragraph" w:customStyle="1" w:styleId="460">
    <w:name w:val="其他发布部门"/>
    <w:basedOn w:val="461"/>
    <w:qFormat/>
    <w:uiPriority w:val="0"/>
    <w:pPr>
      <w:spacing w:line="0" w:lineRule="atLeast"/>
    </w:pPr>
    <w:rPr>
      <w:rFonts w:ascii="黑体" w:eastAsia="黑体"/>
      <w:b w:val="0"/>
    </w:rPr>
  </w:style>
  <w:style w:type="paragraph" w:customStyle="1" w:styleId="461">
    <w:name w:val="发布部门"/>
    <w:next w:val="357"/>
    <w:qFormat/>
    <w:uiPriority w:val="0"/>
    <w:pPr>
      <w:jc w:val="center"/>
    </w:pPr>
    <w:rPr>
      <w:rFonts w:ascii="宋体" w:hAnsi="Calibri" w:eastAsia="宋体" w:cs="Times New Roman"/>
      <w:b/>
      <w:spacing w:val="20"/>
      <w:w w:val="135"/>
      <w:sz w:val="36"/>
      <w:lang w:val="en-US" w:eastAsia="zh-CN" w:bidi="ar-SA"/>
    </w:rPr>
  </w:style>
  <w:style w:type="paragraph" w:customStyle="1" w:styleId="462">
    <w:name w:val="示例"/>
    <w:next w:val="357"/>
    <w:qFormat/>
    <w:uiPriority w:val="0"/>
    <w:pPr>
      <w:tabs>
        <w:tab w:val="left" w:pos="720"/>
        <w:tab w:val="left" w:pos="816"/>
      </w:tabs>
      <w:ind w:firstLine="419" w:firstLineChars="233"/>
      <w:jc w:val="both"/>
    </w:pPr>
    <w:rPr>
      <w:rFonts w:ascii="宋体" w:hAnsi="Calibri" w:eastAsia="宋体" w:cs="Times New Roman"/>
      <w:sz w:val="18"/>
      <w:lang w:val="en-US" w:eastAsia="zh-CN" w:bidi="ar-SA"/>
    </w:rPr>
  </w:style>
  <w:style w:type="paragraph" w:customStyle="1" w:styleId="463">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华文楷体" w:hAnsi="华文楷体" w:eastAsia="华文楷体"/>
      <w:kern w:val="0"/>
      <w:sz w:val="24"/>
    </w:rPr>
  </w:style>
  <w:style w:type="paragraph" w:customStyle="1" w:styleId="464">
    <w:name w:val="样式 标题 1 + 黑体 三号 非加粗 居中 段前: 6 磅 段后: 6 磅 行距: 固定值 20 磅"/>
    <w:basedOn w:val="4"/>
    <w:qFormat/>
    <w:uiPriority w:val="0"/>
    <w:pPr>
      <w:keepLines/>
      <w:widowControl w:val="0"/>
      <w:spacing w:before="120" w:after="120" w:line="400" w:lineRule="exact"/>
      <w:jc w:val="both"/>
    </w:pPr>
    <w:rPr>
      <w:rFonts w:hAnsi="黑体" w:eastAsia="黑体"/>
      <w:b w:val="0"/>
      <w:kern w:val="44"/>
    </w:rPr>
  </w:style>
  <w:style w:type="paragraph" w:customStyle="1" w:styleId="465">
    <w:name w:val="标题2"/>
    <w:basedOn w:val="1"/>
    <w:qFormat/>
    <w:uiPriority w:val="0"/>
    <w:rPr>
      <w:rFonts w:ascii="宋体" w:hAnsi="宋体"/>
      <w:b/>
      <w:sz w:val="21"/>
    </w:rPr>
  </w:style>
  <w:style w:type="paragraph" w:customStyle="1" w:styleId="466">
    <w:name w:val="Char"/>
    <w:basedOn w:val="1"/>
    <w:qFormat/>
    <w:uiPriority w:val="0"/>
    <w:rPr>
      <w:rFonts w:ascii="仿宋_GB2312" w:eastAsia="仿宋_GB2312"/>
      <w:b/>
      <w:sz w:val="32"/>
    </w:rPr>
  </w:style>
  <w:style w:type="paragraph" w:customStyle="1" w:styleId="467">
    <w:name w:val="无间隔2"/>
    <w:qFormat/>
    <w:uiPriority w:val="0"/>
    <w:rPr>
      <w:rFonts w:ascii="Calibri" w:hAnsi="Calibri" w:eastAsia="宋体" w:cs="Times New Roman"/>
      <w:sz w:val="22"/>
      <w:lang w:val="en-US" w:eastAsia="en-US" w:bidi="ar-SA"/>
    </w:rPr>
  </w:style>
  <w:style w:type="paragraph" w:customStyle="1" w:styleId="468">
    <w:name w:val="xl5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469">
    <w:name w:val="Char Char Char 字元 字元"/>
    <w:basedOn w:val="1"/>
    <w:qFormat/>
    <w:uiPriority w:val="0"/>
    <w:rPr>
      <w:rFonts w:ascii="Tahoma" w:hAnsi="Tahoma"/>
      <w:sz w:val="24"/>
    </w:rPr>
  </w:style>
  <w:style w:type="paragraph" w:customStyle="1" w:styleId="470">
    <w:name w:val="标准书眉_偶数页"/>
    <w:basedOn w:val="1"/>
    <w:next w:val="1"/>
    <w:qFormat/>
    <w:uiPriority w:val="0"/>
    <w:pPr>
      <w:widowControl/>
      <w:tabs>
        <w:tab w:val="center" w:pos="4154"/>
        <w:tab w:val="right" w:pos="8306"/>
      </w:tabs>
      <w:spacing w:after="120"/>
    </w:pPr>
    <w:rPr>
      <w:kern w:val="0"/>
      <w:sz w:val="21"/>
    </w:rPr>
  </w:style>
  <w:style w:type="paragraph" w:customStyle="1" w:styleId="47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kern w:val="0"/>
      <w:sz w:val="24"/>
    </w:rPr>
  </w:style>
  <w:style w:type="paragraph" w:customStyle="1" w:styleId="472">
    <w:name w:val="样式 正文缩进 + 首行缩进:  2 字符"/>
    <w:basedOn w:val="473"/>
    <w:qFormat/>
    <w:uiPriority w:val="99"/>
    <w:pPr>
      <w:spacing w:line="360" w:lineRule="auto"/>
      <w:ind w:firstLine="200"/>
    </w:pPr>
    <w:rPr>
      <w:rFonts w:ascii="Calibri" w:hAnsi="Calibri"/>
      <w:sz w:val="24"/>
      <w:szCs w:val="24"/>
    </w:rPr>
  </w:style>
  <w:style w:type="paragraph" w:customStyle="1" w:styleId="473">
    <w:name w:val="正文缩进_0"/>
    <w:basedOn w:val="368"/>
    <w:qFormat/>
    <w:uiPriority w:val="0"/>
    <w:pPr>
      <w:ind w:firstLine="420"/>
    </w:pPr>
    <w:rPr>
      <w:rFonts w:ascii="Times New Roman" w:hAnsi="Times New Roman"/>
      <w:kern w:val="0"/>
      <w:szCs w:val="20"/>
    </w:rPr>
  </w:style>
  <w:style w:type="paragraph" w:customStyle="1" w:styleId="474">
    <w:name w:val="列出段落2"/>
    <w:basedOn w:val="1"/>
    <w:qFormat/>
    <w:uiPriority w:val="0"/>
    <w:pPr>
      <w:spacing w:before="100" w:beforeAutospacing="1" w:after="100" w:afterAutospacing="1" w:line="300" w:lineRule="auto"/>
      <w:ind w:firstLine="420" w:firstLineChars="200"/>
    </w:pPr>
    <w:rPr>
      <w:sz w:val="21"/>
    </w:rPr>
  </w:style>
  <w:style w:type="paragraph" w:customStyle="1" w:styleId="475">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476">
    <w:name w:val="font1"/>
    <w:basedOn w:val="1"/>
    <w:qFormat/>
    <w:uiPriority w:val="0"/>
    <w:pPr>
      <w:widowControl/>
      <w:spacing w:before="100" w:beforeAutospacing="1" w:after="100" w:afterAutospacing="1"/>
      <w:jc w:val="left"/>
    </w:pPr>
    <w:rPr>
      <w:rFonts w:ascii="宋体" w:hAnsi="宋体"/>
      <w:color w:val="000000"/>
      <w:kern w:val="0"/>
      <w:sz w:val="20"/>
    </w:rPr>
  </w:style>
  <w:style w:type="paragraph" w:customStyle="1" w:styleId="477">
    <w:name w:val="表格"/>
    <w:basedOn w:val="1"/>
    <w:qFormat/>
    <w:uiPriority w:val="0"/>
    <w:pPr>
      <w:textAlignment w:val="center"/>
    </w:pPr>
    <w:rPr>
      <w:rFonts w:ascii="华文细黑" w:hAnsi="华文细黑"/>
      <w:kern w:val="0"/>
      <w:sz w:val="21"/>
    </w:rPr>
  </w:style>
  <w:style w:type="paragraph" w:customStyle="1" w:styleId="478">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479">
    <w:name w:val="图表脚注"/>
    <w:next w:val="357"/>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480">
    <w:name w:val="末级"/>
    <w:basedOn w:val="1"/>
    <w:qFormat/>
    <w:uiPriority w:val="0"/>
    <w:pPr>
      <w:tabs>
        <w:tab w:val="left" w:pos="851"/>
      </w:tabs>
      <w:spacing w:line="360" w:lineRule="auto"/>
      <w:ind w:firstLine="510"/>
    </w:pPr>
    <w:rPr>
      <w:sz w:val="24"/>
    </w:rPr>
  </w:style>
  <w:style w:type="paragraph" w:customStyle="1" w:styleId="481">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482">
    <w:name w:val="Char Char Char Char Char Char Char Char Char Char Char Char Char Char Char Char Char Char Char Char Char Char Char Char Char"/>
    <w:basedOn w:val="1"/>
    <w:qFormat/>
    <w:uiPriority w:val="0"/>
    <w:rPr>
      <w:rFonts w:ascii="Tahoma" w:hAnsi="Tahoma"/>
      <w:sz w:val="24"/>
    </w:rPr>
  </w:style>
  <w:style w:type="paragraph" w:customStyle="1" w:styleId="483">
    <w:name w:val="bold_10"/>
    <w:basedOn w:val="1"/>
    <w:next w:val="1"/>
    <w:qFormat/>
    <w:uiPriority w:val="0"/>
    <w:pPr>
      <w:widowControl/>
    </w:pPr>
    <w:rPr>
      <w:rFonts w:ascii="Arial" w:hAnsi="Arial"/>
      <w:b/>
      <w:kern w:val="0"/>
      <w:sz w:val="20"/>
      <w:lang w:val="en-AU"/>
    </w:rPr>
  </w:style>
  <w:style w:type="paragraph" w:customStyle="1" w:styleId="48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p18"/>
    <w:basedOn w:val="1"/>
    <w:qFormat/>
    <w:uiPriority w:val="99"/>
    <w:pPr>
      <w:widowControl/>
      <w:spacing w:line="500" w:lineRule="atLeast"/>
      <w:ind w:firstLine="420"/>
    </w:pPr>
    <w:rPr>
      <w:kern w:val="0"/>
      <w:szCs w:val="28"/>
    </w:rPr>
  </w:style>
  <w:style w:type="paragraph" w:customStyle="1" w:styleId="486">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487">
    <w:name w:val="xl5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color w:val="000000"/>
      <w:kern w:val="0"/>
      <w:sz w:val="20"/>
    </w:rPr>
  </w:style>
  <w:style w:type="paragraph" w:customStyle="1" w:styleId="488">
    <w:name w:val="xl32"/>
    <w:basedOn w:val="1"/>
    <w:qFormat/>
    <w:uiPriority w:val="0"/>
    <w:pPr>
      <w:widowControl/>
      <w:spacing w:before="100" w:beforeAutospacing="1" w:after="100" w:afterAutospacing="1"/>
    </w:pPr>
    <w:rPr>
      <w:rFonts w:ascii="Arial Unicode MS" w:hAnsi="Arial Unicode MS" w:eastAsia="Arial Unicode MS"/>
      <w:b/>
      <w:kern w:val="0"/>
      <w:sz w:val="40"/>
    </w:rPr>
  </w:style>
  <w:style w:type="paragraph" w:customStyle="1" w:styleId="489">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490">
    <w:name w:val="Char Char3"/>
    <w:basedOn w:val="27"/>
    <w:qFormat/>
    <w:uiPriority w:val="0"/>
    <w:rPr>
      <w:rFonts w:ascii="Tahoma" w:hAnsi="Tahoma"/>
      <w:sz w:val="24"/>
    </w:rPr>
  </w:style>
  <w:style w:type="paragraph" w:customStyle="1" w:styleId="491">
    <w:name w:val="多级符号2"/>
    <w:basedOn w:val="492"/>
    <w:qFormat/>
    <w:uiPriority w:val="0"/>
    <w:pPr>
      <w:outlineLvl w:val="9"/>
    </w:pPr>
    <w:rPr>
      <w:b w:val="0"/>
      <w:sz w:val="24"/>
    </w:rPr>
  </w:style>
  <w:style w:type="paragraph" w:customStyle="1" w:styleId="492">
    <w:name w:val="多级符号1"/>
    <w:basedOn w:val="1"/>
    <w:next w:val="1"/>
    <w:qFormat/>
    <w:uiPriority w:val="0"/>
    <w:pPr>
      <w:spacing w:line="360" w:lineRule="auto"/>
      <w:jc w:val="left"/>
      <w:outlineLvl w:val="0"/>
    </w:pPr>
    <w:rPr>
      <w:rFonts w:eastAsia="仿宋_GB2312"/>
      <w:b/>
      <w:sz w:val="30"/>
    </w:rPr>
  </w:style>
  <w:style w:type="paragraph" w:customStyle="1" w:styleId="493">
    <w:name w:val="reader-word-layer reader-word-s1-9"/>
    <w:basedOn w:val="1"/>
    <w:qFormat/>
    <w:uiPriority w:val="0"/>
    <w:pPr>
      <w:widowControl/>
      <w:spacing w:before="100" w:beforeAutospacing="1" w:after="100" w:afterAutospacing="1"/>
      <w:jc w:val="left"/>
    </w:pPr>
    <w:rPr>
      <w:rFonts w:ascii="宋体" w:hAnsi="宋体"/>
      <w:kern w:val="0"/>
      <w:sz w:val="24"/>
    </w:rPr>
  </w:style>
  <w:style w:type="paragraph" w:customStyle="1" w:styleId="494">
    <w:name w:val="xl2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pPr>
    <w:rPr>
      <w:rFonts w:ascii="Arial Unicode MS" w:hAnsi="Arial Unicode MS" w:eastAsia="Arial Unicode MS"/>
      <w:b/>
      <w:color w:val="FF0000"/>
      <w:kern w:val="0"/>
      <w:sz w:val="24"/>
    </w:rPr>
  </w:style>
  <w:style w:type="paragraph" w:customStyle="1" w:styleId="49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96">
    <w:name w:val="彩色底纹 - 着色 11"/>
    <w:qFormat/>
    <w:uiPriority w:val="0"/>
    <w:rPr>
      <w:rFonts w:ascii="Calibri" w:hAnsi="Calibri" w:eastAsia="宋体" w:cs="Times New Roman"/>
      <w:kern w:val="2"/>
      <w:sz w:val="21"/>
      <w:lang w:val="en-US" w:eastAsia="zh-CN" w:bidi="ar-SA"/>
    </w:rPr>
  </w:style>
  <w:style w:type="paragraph" w:customStyle="1" w:styleId="497">
    <w:name w:val="xl5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98">
    <w:name w:val="正文文字缩进 2"/>
    <w:basedOn w:val="1"/>
    <w:qFormat/>
    <w:uiPriority w:val="0"/>
    <w:pPr>
      <w:widowControl/>
      <w:spacing w:line="351" w:lineRule="atLeast"/>
      <w:ind w:firstLine="481"/>
      <w:textAlignment w:val="baseline"/>
    </w:pPr>
    <w:rPr>
      <w:rFonts w:ascii="仿宋_GB2312" w:eastAsia="仿宋_GB2312"/>
      <w:color w:val="000000"/>
      <w:kern w:val="0"/>
      <w:sz w:val="24"/>
      <w:u w:color="000000"/>
    </w:rPr>
  </w:style>
  <w:style w:type="paragraph" w:customStyle="1" w:styleId="499">
    <w:name w:val="xl558"/>
    <w:basedOn w:val="1"/>
    <w:qFormat/>
    <w:uiPriority w:val="0"/>
    <w:pPr>
      <w:widowControl/>
      <w:spacing w:before="100" w:beforeAutospacing="1" w:after="100" w:afterAutospacing="1"/>
      <w:jc w:val="left"/>
    </w:pPr>
    <w:rPr>
      <w:rFonts w:ascii="宋体" w:hAnsi="宋体"/>
      <w:kern w:val="0"/>
      <w:sz w:val="20"/>
    </w:rPr>
  </w:style>
  <w:style w:type="paragraph" w:customStyle="1" w:styleId="500">
    <w:name w:val="Table textB"/>
    <w:basedOn w:val="1"/>
    <w:next w:val="1"/>
    <w:qFormat/>
    <w:uiPriority w:val="0"/>
    <w:pPr>
      <w:widowControl/>
      <w:spacing w:before="80" w:after="80"/>
      <w:jc w:val="center"/>
    </w:pPr>
    <w:rPr>
      <w:rFonts w:ascii="Arial" w:hAnsi="Arial"/>
      <w:b/>
      <w:spacing w:val="-5"/>
      <w:kern w:val="0"/>
      <w:sz w:val="18"/>
    </w:rPr>
  </w:style>
  <w:style w:type="paragraph" w:customStyle="1" w:styleId="501">
    <w:name w:val="封面标准代替信息"/>
    <w:basedOn w:val="502"/>
    <w:qFormat/>
    <w:uiPriority w:val="0"/>
    <w:pPr>
      <w:spacing w:before="57"/>
    </w:pPr>
    <w:rPr>
      <w:rFonts w:ascii="宋体"/>
      <w:sz w:val="21"/>
    </w:rPr>
  </w:style>
  <w:style w:type="paragraph" w:customStyle="1" w:styleId="502">
    <w:name w:val="封面标准号2"/>
    <w:basedOn w:val="503"/>
    <w:qFormat/>
    <w:uiPriority w:val="0"/>
    <w:pPr>
      <w:adjustRightInd w:val="0"/>
      <w:spacing w:before="357" w:line="280" w:lineRule="exact"/>
    </w:pPr>
  </w:style>
  <w:style w:type="paragraph" w:customStyle="1" w:styleId="503">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504">
    <w:name w:val="flName"/>
    <w:basedOn w:val="1"/>
    <w:qFormat/>
    <w:uiPriority w:val="0"/>
    <w:pPr>
      <w:adjustRightInd w:val="0"/>
      <w:spacing w:before="320" w:after="160" w:line="360" w:lineRule="atLeast"/>
      <w:jc w:val="center"/>
      <w:textAlignment w:val="baseline"/>
    </w:pPr>
    <w:rPr>
      <w:rFonts w:ascii="Arial" w:eastAsia="黑体"/>
      <w:kern w:val="0"/>
      <w:sz w:val="32"/>
    </w:rPr>
  </w:style>
  <w:style w:type="paragraph" w:customStyle="1" w:styleId="50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06">
    <w:name w:val="目次、标准名称标题"/>
    <w:basedOn w:val="1"/>
    <w:next w:val="357"/>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507">
    <w:name w:val="表中"/>
    <w:basedOn w:val="1"/>
    <w:qFormat/>
    <w:uiPriority w:val="0"/>
    <w:pPr>
      <w:autoSpaceDE w:val="0"/>
      <w:autoSpaceDN w:val="0"/>
      <w:adjustRightInd w:val="0"/>
      <w:spacing w:line="360" w:lineRule="atLeast"/>
    </w:pPr>
    <w:rPr>
      <w:rFonts w:ascii="宋体"/>
      <w:kern w:val="0"/>
      <w:sz w:val="21"/>
    </w:rPr>
  </w:style>
  <w:style w:type="paragraph" w:customStyle="1" w:styleId="508">
    <w:name w:val="1 Char Char Char"/>
    <w:basedOn w:val="1"/>
    <w:next w:val="6"/>
    <w:qFormat/>
    <w:uiPriority w:val="0"/>
    <w:pPr>
      <w:spacing w:line="500" w:lineRule="exact"/>
      <w:ind w:firstLine="200"/>
      <w:jc w:val="center"/>
    </w:pPr>
    <w:rPr>
      <w:rFonts w:ascii="仿宋_GB2312" w:hAnsi="Arial" w:eastAsia="仿宋_GB2312"/>
      <w:sz w:val="32"/>
    </w:rPr>
  </w:style>
  <w:style w:type="paragraph" w:customStyle="1" w:styleId="509">
    <w:name w:val="样式2"/>
    <w:basedOn w:val="74"/>
    <w:qFormat/>
    <w:uiPriority w:val="0"/>
    <w:pPr>
      <w:ind w:left="200" w:leftChars="200" w:hanging="200" w:hangingChars="200"/>
      <w:jc w:val="both"/>
    </w:pPr>
    <w:rPr>
      <w:rFonts w:ascii="Times New Roman" w:hAnsi="Times New Roman"/>
      <w:smallCaps w:val="0"/>
      <w:sz w:val="21"/>
    </w:rPr>
  </w:style>
  <w:style w:type="paragraph" w:customStyle="1" w:styleId="510">
    <w:name w:val="样式 标题 4 + 五号"/>
    <w:basedOn w:val="7"/>
    <w:qFormat/>
    <w:uiPriority w:val="0"/>
    <w:rPr>
      <w:kern w:val="0"/>
      <w:sz w:val="21"/>
    </w:rPr>
  </w:style>
  <w:style w:type="paragraph" w:customStyle="1" w:styleId="51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olor w:val="FF0000"/>
      <w:kern w:val="0"/>
      <w:sz w:val="24"/>
    </w:rPr>
  </w:style>
  <w:style w:type="paragraph" w:customStyle="1" w:styleId="512">
    <w:name w:val="字元 字元 Char Char Char 字元 字元 Char 字元 字元 Char Char 字元 字元1 Char Char Char Char Char Char 字元 字元"/>
    <w:basedOn w:val="1"/>
    <w:qFormat/>
    <w:uiPriority w:val="0"/>
    <w:rPr>
      <w:rFonts w:ascii="Tahoma" w:hAnsi="Tahoma"/>
      <w:sz w:val="24"/>
    </w:rPr>
  </w:style>
  <w:style w:type="paragraph" w:customStyle="1" w:styleId="513">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paragraph" w:customStyle="1" w:styleId="514">
    <w:name w:val="Char11"/>
    <w:basedOn w:val="1"/>
    <w:qFormat/>
    <w:uiPriority w:val="0"/>
    <w:pPr>
      <w:widowControl/>
      <w:spacing w:after="160" w:line="240" w:lineRule="exact"/>
      <w:jc w:val="left"/>
    </w:pPr>
    <w:rPr>
      <w:rFonts w:ascii="Tahoma" w:hAnsi="Tahoma"/>
      <w:kern w:val="0"/>
      <w:sz w:val="24"/>
      <w:lang w:eastAsia="en-US"/>
    </w:rPr>
  </w:style>
  <w:style w:type="paragraph" w:customStyle="1" w:styleId="515">
    <w:name w:val="数字编号列项（二级）"/>
    <w:qFormat/>
    <w:uiPriority w:val="0"/>
    <w:pPr>
      <w:ind w:left="1260" w:leftChars="400" w:hanging="420" w:hangingChars="200"/>
      <w:jc w:val="both"/>
    </w:pPr>
    <w:rPr>
      <w:rFonts w:ascii="宋体" w:hAnsi="Calibri" w:eastAsia="宋体" w:cs="Times New Roman"/>
      <w:lang w:val="en-US" w:eastAsia="zh-CN" w:bidi="ar-SA"/>
    </w:rPr>
  </w:style>
  <w:style w:type="paragraph" w:customStyle="1" w:styleId="516">
    <w:name w:val="Char Char Char1 Char Char Char Char Char Char Char Char Char Char Char Char Char"/>
    <w:basedOn w:val="1"/>
    <w:qFormat/>
    <w:uiPriority w:val="0"/>
    <w:rPr>
      <w:rFonts w:ascii="Tahoma" w:hAnsi="Tahoma"/>
      <w:sz w:val="24"/>
    </w:rPr>
  </w:style>
  <w:style w:type="paragraph" w:customStyle="1" w:styleId="517">
    <w:name w:val="参考文献、索引标题"/>
    <w:basedOn w:val="446"/>
    <w:next w:val="1"/>
    <w:qFormat/>
    <w:uiPriority w:val="0"/>
    <w:pPr>
      <w:spacing w:after="200"/>
    </w:pPr>
    <w:rPr>
      <w:sz w:val="21"/>
    </w:rPr>
  </w:style>
  <w:style w:type="paragraph" w:customStyle="1" w:styleId="518">
    <w:name w:val="xl36"/>
    <w:basedOn w:val="1"/>
    <w:qFormat/>
    <w:uiPriority w:val="0"/>
    <w:pPr>
      <w:widowControl/>
      <w:pBdr>
        <w:top w:val="single" w:color="auto" w:sz="4" w:space="0"/>
        <w:left w:val="single" w:color="auto" w:sz="8"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19">
    <w:name w:val="xl3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20">
    <w:name w:val="纯文本2"/>
    <w:basedOn w:val="1"/>
    <w:qFormat/>
    <w:uiPriority w:val="0"/>
    <w:pPr>
      <w:adjustRightInd w:val="0"/>
      <w:spacing w:line="360" w:lineRule="atLeast"/>
      <w:textAlignment w:val="baseline"/>
    </w:pPr>
    <w:rPr>
      <w:rFonts w:ascii="宋体" w:hAnsi="Courier New"/>
    </w:rPr>
  </w:style>
  <w:style w:type="paragraph" w:customStyle="1" w:styleId="521">
    <w:name w:val="Körper"/>
    <w:basedOn w:val="1"/>
    <w:qFormat/>
    <w:uiPriority w:val="0"/>
    <w:pPr>
      <w:widowControl/>
      <w:spacing w:before="120" w:line="240" w:lineRule="exact"/>
    </w:pPr>
    <w:rPr>
      <w:rFonts w:ascii="Arial" w:hAnsi="Arial"/>
      <w:kern w:val="0"/>
      <w:sz w:val="20"/>
      <w:lang w:val="de-DE" w:eastAsia="de-DE"/>
    </w:rPr>
  </w:style>
  <w:style w:type="paragraph" w:customStyle="1" w:styleId="522">
    <w:name w:val="2"/>
    <w:basedOn w:val="1"/>
    <w:qFormat/>
    <w:uiPriority w:val="0"/>
    <w:rPr>
      <w:rFonts w:ascii="Tahoma" w:hAnsi="Tahoma"/>
      <w:sz w:val="24"/>
    </w:rPr>
  </w:style>
  <w:style w:type="paragraph" w:customStyle="1" w:styleId="523">
    <w:name w:val="正文2 Char Char Char Char Char Char Char Char Char Char Char Char1 Char Char Char Char Char Char Char Char1 Char Char Char Char Char Char"/>
    <w:basedOn w:val="1"/>
    <w:qFormat/>
    <w:uiPriority w:val="0"/>
    <w:pPr>
      <w:widowControl/>
      <w:spacing w:line="400" w:lineRule="exact"/>
    </w:pPr>
    <w:rPr>
      <w:rFonts w:ascii="Verdana" w:hAnsi="Verdana" w:eastAsia="楷体_GB2312"/>
      <w:kern w:val="0"/>
      <w:lang w:eastAsia="en-US"/>
    </w:rPr>
  </w:style>
  <w:style w:type="paragraph" w:customStyle="1" w:styleId="524">
    <w:name w:val="金宏发行正文 Char"/>
    <w:basedOn w:val="1"/>
    <w:qFormat/>
    <w:uiPriority w:val="99"/>
    <w:pPr>
      <w:spacing w:line="500" w:lineRule="atLeast"/>
      <w:ind w:firstLine="560" w:firstLineChars="200"/>
    </w:pPr>
    <w:rPr>
      <w:rFonts w:ascii="Times New Roman" w:hAnsi="Times New Roman" w:eastAsia="仿宋_GB2312"/>
      <w:szCs w:val="28"/>
    </w:rPr>
  </w:style>
  <w:style w:type="paragraph" w:customStyle="1" w:styleId="525">
    <w:name w:val="样式 三号 加粗 居中"/>
    <w:basedOn w:val="1"/>
    <w:qFormat/>
    <w:uiPriority w:val="0"/>
    <w:pPr>
      <w:spacing w:line="360" w:lineRule="auto"/>
      <w:jc w:val="center"/>
    </w:pPr>
    <w:rPr>
      <w:b/>
      <w:sz w:val="32"/>
    </w:rPr>
  </w:style>
  <w:style w:type="paragraph" w:customStyle="1" w:styleId="526">
    <w:name w:val="标准称谓"/>
    <w:next w:val="1"/>
    <w:qFormat/>
    <w:uiPriority w:val="0"/>
    <w:pPr>
      <w:widowControl w:val="0"/>
      <w:kinsoku w:val="0"/>
      <w:overflowPunct w:val="0"/>
      <w:autoSpaceDE w:val="0"/>
      <w:autoSpaceDN w:val="0"/>
      <w:spacing w:line="0" w:lineRule="atLeast"/>
      <w:jc w:val="distribute"/>
    </w:pPr>
    <w:rPr>
      <w:rFonts w:ascii="宋体" w:hAnsi="Calibri" w:eastAsia="宋体" w:cs="Times New Roman"/>
      <w:b/>
      <w:spacing w:val="20"/>
      <w:w w:val="148"/>
      <w:sz w:val="52"/>
      <w:lang w:val="en-US" w:eastAsia="zh-CN" w:bidi="ar-SA"/>
    </w:rPr>
  </w:style>
  <w:style w:type="paragraph" w:customStyle="1" w:styleId="527">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5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29">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楷体" w:hAnsi="华文楷体" w:eastAsia="华文楷体"/>
      <w:kern w:val="0"/>
      <w:sz w:val="24"/>
    </w:rPr>
  </w:style>
  <w:style w:type="paragraph" w:customStyle="1" w:styleId="530">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531">
    <w:name w:val="修订2"/>
    <w:qFormat/>
    <w:uiPriority w:val="0"/>
    <w:rPr>
      <w:rFonts w:ascii="Calibri" w:hAnsi="Calibri" w:eastAsia="宋体" w:cs="Times New Roman"/>
      <w:kern w:val="2"/>
      <w:sz w:val="28"/>
      <w:lang w:val="en-US" w:eastAsia="zh-CN" w:bidi="ar-SA"/>
    </w:rPr>
  </w:style>
  <w:style w:type="paragraph" w:customStyle="1" w:styleId="532">
    <w:name w:val="标题4"/>
    <w:basedOn w:val="1"/>
    <w:qFormat/>
    <w:uiPriority w:val="0"/>
    <w:rPr>
      <w:rFonts w:eastAsia="仿宋_GB2312"/>
      <w:sz w:val="32"/>
    </w:rPr>
  </w:style>
  <w:style w:type="paragraph" w:customStyle="1" w:styleId="533">
    <w:name w:val="3级"/>
    <w:basedOn w:val="1"/>
    <w:qFormat/>
    <w:uiPriority w:val="0"/>
    <w:pPr>
      <w:snapToGrid w:val="0"/>
      <w:spacing w:afterLines="30" w:line="360" w:lineRule="auto"/>
      <w:ind w:firstLine="200" w:firstLineChars="200"/>
    </w:pPr>
    <w:rPr>
      <w:rFonts w:ascii="宋体" w:hAnsi="Tahoma"/>
      <w:b/>
      <w:color w:val="0000FF"/>
    </w:rPr>
  </w:style>
  <w:style w:type="paragraph" w:customStyle="1" w:styleId="534">
    <w:name w:val="章标题"/>
    <w:next w:val="357"/>
    <w:qFormat/>
    <w:uiPriority w:val="0"/>
    <w:pPr>
      <w:tabs>
        <w:tab w:val="left" w:pos="420"/>
        <w:tab w:val="left" w:pos="480"/>
      </w:tabs>
      <w:spacing w:beforeLines="50" w:afterLines="50"/>
      <w:ind w:left="480" w:hanging="480"/>
      <w:jc w:val="both"/>
      <w:outlineLvl w:val="1"/>
    </w:pPr>
    <w:rPr>
      <w:rFonts w:ascii="黑体" w:hAnsi="Calibri" w:eastAsia="黑体" w:cs="Times New Roman"/>
      <w:b/>
      <w:lang w:val="en-US" w:eastAsia="zh-CN" w:bidi="ar-SA"/>
    </w:rPr>
  </w:style>
  <w:style w:type="paragraph" w:customStyle="1" w:styleId="535">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36"/>
    </w:rPr>
  </w:style>
  <w:style w:type="paragraph" w:customStyle="1" w:styleId="536">
    <w:name w:val="图表小四中对齐"/>
    <w:basedOn w:val="1"/>
    <w:qFormat/>
    <w:uiPriority w:val="0"/>
    <w:pPr>
      <w:adjustRightInd w:val="0"/>
      <w:spacing w:line="360" w:lineRule="exact"/>
      <w:jc w:val="center"/>
      <w:textAlignment w:val="baseline"/>
    </w:pPr>
    <w:rPr>
      <w:color w:val="000000"/>
      <w:spacing w:val="-10"/>
      <w:sz w:val="24"/>
    </w:rPr>
  </w:style>
  <w:style w:type="paragraph" w:customStyle="1" w:styleId="537">
    <w:name w:val="标准书眉一"/>
    <w:qFormat/>
    <w:uiPriority w:val="0"/>
    <w:pPr>
      <w:jc w:val="both"/>
    </w:pPr>
    <w:rPr>
      <w:rFonts w:ascii="Calibri" w:hAnsi="Calibri" w:eastAsia="宋体" w:cs="Times New Roman"/>
      <w:lang w:val="en-US" w:eastAsia="zh-CN" w:bidi="ar-SA"/>
    </w:rPr>
  </w:style>
  <w:style w:type="paragraph" w:customStyle="1" w:styleId="538">
    <w:name w:val="Char Char Char Char Char Char3 Char Char Char Char Char Char Char Char Char Char"/>
    <w:basedOn w:val="1"/>
    <w:next w:val="1"/>
    <w:qFormat/>
    <w:uiPriority w:val="0"/>
    <w:rPr>
      <w:rFonts w:eastAsia="黑体"/>
    </w:rPr>
  </w:style>
  <w:style w:type="paragraph" w:customStyle="1" w:styleId="539">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540">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541">
    <w:name w:val="Char Char Char Char1"/>
    <w:basedOn w:val="1"/>
    <w:qFormat/>
    <w:uiPriority w:val="0"/>
    <w:rPr>
      <w:sz w:val="21"/>
    </w:rPr>
  </w:style>
  <w:style w:type="paragraph" w:customStyle="1" w:styleId="542">
    <w:name w:val="表文C"/>
    <w:basedOn w:val="1"/>
    <w:qFormat/>
    <w:uiPriority w:val="0"/>
    <w:pPr>
      <w:widowControl/>
      <w:tabs>
        <w:tab w:val="left" w:pos="0"/>
      </w:tabs>
      <w:adjustRightInd w:val="0"/>
      <w:snapToGrid w:val="0"/>
    </w:pPr>
    <w:rPr>
      <w:snapToGrid w:val="0"/>
      <w:kern w:val="0"/>
      <w:sz w:val="21"/>
    </w:rPr>
  </w:style>
  <w:style w:type="paragraph" w:customStyle="1" w:styleId="543">
    <w:name w:val="_Style 3"/>
    <w:qFormat/>
    <w:uiPriority w:val="0"/>
    <w:rPr>
      <w:rFonts w:ascii="Calibri" w:hAnsi="Calibri" w:eastAsia="宋体" w:cs="Times New Roman"/>
      <w:sz w:val="22"/>
      <w:szCs w:val="22"/>
      <w:lang w:val="en-US" w:eastAsia="zh-CN" w:bidi="ar-SA"/>
    </w:rPr>
  </w:style>
  <w:style w:type="paragraph" w:customStyle="1" w:styleId="544">
    <w:name w:val="font0"/>
    <w:basedOn w:val="1"/>
    <w:qFormat/>
    <w:uiPriority w:val="0"/>
    <w:pPr>
      <w:widowControl/>
      <w:spacing w:before="100" w:beforeAutospacing="1" w:after="100" w:afterAutospacing="1"/>
    </w:pPr>
    <w:rPr>
      <w:rFonts w:hint="eastAsia" w:ascii="宋体" w:hAnsi="宋体"/>
      <w:kern w:val="0"/>
      <w:sz w:val="24"/>
    </w:rPr>
  </w:style>
  <w:style w:type="paragraph" w:customStyle="1" w:styleId="545">
    <w:name w:val="一级条标题"/>
    <w:next w:val="357"/>
    <w:qFormat/>
    <w:uiPriority w:val="0"/>
    <w:pPr>
      <w:outlineLvl w:val="2"/>
    </w:pPr>
    <w:rPr>
      <w:rFonts w:ascii="Calibri" w:hAnsi="Calibri" w:eastAsia="黑体" w:cs="Times New Roman"/>
      <w:sz w:val="21"/>
      <w:lang w:val="en-US" w:eastAsia="zh-CN" w:bidi="ar-SA"/>
    </w:rPr>
  </w:style>
  <w:style w:type="paragraph" w:customStyle="1" w:styleId="546">
    <w:name w:val="注×："/>
    <w:qFormat/>
    <w:uiPriority w:val="0"/>
    <w:pPr>
      <w:widowControl w:val="0"/>
      <w:tabs>
        <w:tab w:val="left" w:pos="630"/>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47">
    <w:name w:val="投标正文"/>
    <w:basedOn w:val="1"/>
    <w:qFormat/>
    <w:uiPriority w:val="0"/>
    <w:pPr>
      <w:spacing w:line="360" w:lineRule="auto"/>
      <w:ind w:left="100" w:firstLine="480" w:firstLineChars="200"/>
    </w:pPr>
    <w:rPr>
      <w:sz w:val="24"/>
      <w:szCs w:val="24"/>
    </w:rPr>
  </w:style>
  <w:style w:type="paragraph" w:customStyle="1" w:styleId="548">
    <w:name w:val="标题 0"/>
    <w:basedOn w:val="4"/>
    <w:qFormat/>
    <w:uiPriority w:val="0"/>
    <w:pPr>
      <w:keepNext w:val="0"/>
      <w:widowControl w:val="0"/>
      <w:autoSpaceDE w:val="0"/>
      <w:autoSpaceDN w:val="0"/>
      <w:adjustRightInd w:val="0"/>
      <w:spacing w:line="240" w:lineRule="auto"/>
      <w:jc w:val="left"/>
    </w:pPr>
    <w:rPr>
      <w:rFonts w:ascii="宋体"/>
      <w:snapToGrid w:val="0"/>
      <w:color w:val="000000"/>
      <w:sz w:val="44"/>
    </w:rPr>
  </w:style>
  <w:style w:type="paragraph" w:customStyle="1" w:styleId="549">
    <w:name w:val="标准标志"/>
    <w:next w:val="1"/>
    <w:qFormat/>
    <w:uiPriority w:val="0"/>
    <w:pPr>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550">
    <w:name w:val="条文脚注"/>
    <w:basedOn w:val="68"/>
    <w:qFormat/>
    <w:uiPriority w:val="0"/>
    <w:pPr>
      <w:ind w:left="780" w:leftChars="200" w:hanging="360" w:hangingChars="200"/>
      <w:jc w:val="both"/>
    </w:pPr>
    <w:rPr>
      <w:rFonts w:ascii="宋体"/>
    </w:rPr>
  </w:style>
  <w:style w:type="paragraph" w:customStyle="1" w:styleId="551">
    <w:name w:val="HTML 地址1"/>
    <w:basedOn w:val="1"/>
    <w:qFormat/>
    <w:uiPriority w:val="0"/>
    <w:rPr>
      <w:i/>
      <w:kern w:val="0"/>
      <w:sz w:val="20"/>
    </w:rPr>
  </w:style>
  <w:style w:type="paragraph" w:customStyle="1" w:styleId="552">
    <w:name w:val="表格5"/>
    <w:basedOn w:val="553"/>
    <w:qFormat/>
    <w:uiPriority w:val="0"/>
    <w:pPr>
      <w:ind w:left="1021" w:hanging="284"/>
    </w:pPr>
    <w:rPr>
      <w:rFonts w:ascii="宋体"/>
    </w:rPr>
  </w:style>
  <w:style w:type="paragraph" w:customStyle="1" w:styleId="553">
    <w:name w:val="表格2"/>
    <w:basedOn w:val="1"/>
    <w:qFormat/>
    <w:uiPriority w:val="0"/>
    <w:pPr>
      <w:adjustRightInd w:val="0"/>
      <w:spacing w:line="420" w:lineRule="atLeast"/>
      <w:ind w:left="284" w:firstLine="454"/>
      <w:textAlignment w:val="baseline"/>
    </w:pPr>
    <w:rPr>
      <w:kern w:val="0"/>
      <w:sz w:val="21"/>
    </w:rPr>
  </w:style>
  <w:style w:type="paragraph" w:customStyle="1" w:styleId="554">
    <w:name w:val="_Style 10"/>
    <w:basedOn w:val="1"/>
    <w:next w:val="1"/>
    <w:qFormat/>
    <w:uiPriority w:val="0"/>
    <w:rPr>
      <w:sz w:val="21"/>
    </w:rPr>
  </w:style>
  <w:style w:type="paragraph" w:customStyle="1" w:styleId="555">
    <w:name w:val="Char1"/>
    <w:basedOn w:val="1"/>
    <w:qFormat/>
    <w:uiPriority w:val="0"/>
    <w:rPr>
      <w:rFonts w:ascii="仿宋_GB2312" w:eastAsia="仿宋_GB2312"/>
      <w:b/>
      <w:sz w:val="32"/>
    </w:rPr>
  </w:style>
  <w:style w:type="paragraph" w:customStyle="1" w:styleId="556">
    <w:name w:val="Char Char Char Char Char Char Char Char Char Char Char Char1 Char"/>
    <w:basedOn w:val="27"/>
    <w:qFormat/>
    <w:uiPriority w:val="0"/>
    <w:rPr>
      <w:rFonts w:ascii="等线" w:hAnsi="等线"/>
      <w:sz w:val="21"/>
    </w:rPr>
  </w:style>
  <w:style w:type="paragraph" w:customStyle="1" w:styleId="557">
    <w:name w:val="Char Char2"/>
    <w:basedOn w:val="1"/>
    <w:qFormat/>
    <w:uiPriority w:val="0"/>
    <w:rPr>
      <w:rFonts w:ascii="Tahoma" w:hAnsi="Tahoma"/>
      <w:sz w:val="24"/>
    </w:rPr>
  </w:style>
  <w:style w:type="paragraph" w:customStyle="1" w:styleId="558">
    <w:name w:val="目录1"/>
    <w:basedOn w:val="1"/>
    <w:qFormat/>
    <w:uiPriority w:val="0"/>
    <w:pPr>
      <w:adjustRightInd w:val="0"/>
      <w:spacing w:line="420" w:lineRule="atLeast"/>
      <w:textAlignment w:val="baseline"/>
    </w:pPr>
    <w:rPr>
      <w:rFonts w:eastAsia="黑体"/>
      <w:b/>
      <w:kern w:val="0"/>
      <w:sz w:val="21"/>
    </w:rPr>
  </w:style>
  <w:style w:type="paragraph" w:customStyle="1" w:styleId="559">
    <w:name w:val="收件单位"/>
    <w:basedOn w:val="1"/>
    <w:qFormat/>
    <w:uiPriority w:val="0"/>
    <w:pPr>
      <w:tabs>
        <w:tab w:val="left" w:pos="1365"/>
      </w:tabs>
      <w:spacing w:beforeLines="100"/>
    </w:pPr>
    <w:rPr>
      <w:rFonts w:eastAsia="华文仿宋"/>
      <w:sz w:val="30"/>
    </w:rPr>
  </w:style>
  <w:style w:type="paragraph" w:customStyle="1" w:styleId="560">
    <w:name w:val="表内居中"/>
    <w:qFormat/>
    <w:uiPriority w:val="0"/>
    <w:pPr>
      <w:jc w:val="center"/>
    </w:pPr>
    <w:rPr>
      <w:rFonts w:ascii="Calibri" w:hAnsi="Calibri" w:eastAsia="宋体" w:cs="Times New Roman"/>
      <w:lang w:val="en-US" w:eastAsia="zh-CN" w:bidi="ar-SA"/>
    </w:rPr>
  </w:style>
  <w:style w:type="paragraph" w:customStyle="1" w:styleId="561">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62">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563">
    <w:name w:val="封面正文"/>
    <w:qFormat/>
    <w:uiPriority w:val="0"/>
    <w:pPr>
      <w:jc w:val="both"/>
    </w:pPr>
    <w:rPr>
      <w:rFonts w:ascii="Calibri" w:hAnsi="Calibri" w:eastAsia="宋体" w:cs="Times New Roman"/>
      <w:lang w:val="en-US" w:eastAsia="zh-CN" w:bidi="ar-SA"/>
    </w:rPr>
  </w:style>
  <w:style w:type="paragraph" w:customStyle="1" w:styleId="564">
    <w:name w:val="表格1"/>
    <w:basedOn w:val="1"/>
    <w:qFormat/>
    <w:uiPriority w:val="0"/>
    <w:pPr>
      <w:adjustRightInd w:val="0"/>
      <w:spacing w:line="420" w:lineRule="atLeast"/>
      <w:ind w:left="284"/>
      <w:textAlignment w:val="baseline"/>
    </w:pPr>
    <w:rPr>
      <w:kern w:val="0"/>
      <w:sz w:val="21"/>
    </w:rPr>
  </w:style>
  <w:style w:type="paragraph" w:customStyle="1" w:styleId="5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66">
    <w:name w:val="xl2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1"/>
    </w:rPr>
  </w:style>
  <w:style w:type="paragraph" w:customStyle="1" w:styleId="567">
    <w:name w:val="xl28"/>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pPr>
    <w:rPr>
      <w:rFonts w:ascii="Arial Unicode MS" w:hAnsi="Arial Unicode MS" w:eastAsia="Arial Unicode MS"/>
      <w:kern w:val="0"/>
      <w:sz w:val="24"/>
    </w:rPr>
  </w:style>
  <w:style w:type="paragraph" w:customStyle="1" w:styleId="568">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olor w:val="000000"/>
      <w:kern w:val="0"/>
      <w:sz w:val="21"/>
    </w:rPr>
  </w:style>
  <w:style w:type="paragraph" w:customStyle="1" w:styleId="569">
    <w:name w:val="附录表标题"/>
    <w:next w:val="357"/>
    <w:qFormat/>
    <w:uiPriority w:val="0"/>
    <w:pPr>
      <w:tabs>
        <w:tab w:val="left" w:pos="360"/>
        <w:tab w:val="left" w:pos="720"/>
      </w:tabs>
      <w:jc w:val="center"/>
      <w:textAlignment w:val="baseline"/>
    </w:pPr>
    <w:rPr>
      <w:rFonts w:ascii="黑体" w:hAnsi="Calibri" w:eastAsia="黑体" w:cs="Times New Roman"/>
      <w:kern w:val="21"/>
      <w:lang w:val="en-US" w:eastAsia="zh-CN" w:bidi="ar-SA"/>
    </w:rPr>
  </w:style>
  <w:style w:type="paragraph" w:customStyle="1" w:styleId="570">
    <w:name w:val="_Style 32"/>
    <w:basedOn w:val="1"/>
    <w:next w:val="438"/>
    <w:qFormat/>
    <w:uiPriority w:val="34"/>
    <w:pPr>
      <w:ind w:firstLine="420" w:firstLineChars="200"/>
    </w:pPr>
  </w:style>
  <w:style w:type="paragraph" w:customStyle="1" w:styleId="571">
    <w:name w:val="日期1"/>
    <w:basedOn w:val="1"/>
    <w:next w:val="1"/>
    <w:qFormat/>
    <w:uiPriority w:val="0"/>
    <w:pPr>
      <w:ind w:left="100" w:leftChars="2500"/>
    </w:pPr>
    <w:rPr>
      <w:kern w:val="0"/>
      <w:sz w:val="20"/>
    </w:rPr>
  </w:style>
  <w:style w:type="paragraph" w:customStyle="1" w:styleId="572">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573">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574">
    <w:name w:val="font6"/>
    <w:basedOn w:val="1"/>
    <w:qFormat/>
    <w:uiPriority w:val="0"/>
    <w:pPr>
      <w:widowControl/>
      <w:spacing w:before="100" w:beforeAutospacing="1" w:after="100" w:afterAutospacing="1"/>
    </w:pPr>
    <w:rPr>
      <w:rFonts w:hint="eastAsia" w:ascii="宋体" w:hAnsi="宋体"/>
      <w:b/>
      <w:kern w:val="0"/>
      <w:sz w:val="36"/>
      <w:u w:val="single"/>
    </w:rPr>
  </w:style>
  <w:style w:type="paragraph" w:customStyle="1" w:styleId="575">
    <w:name w:val="列项——（一级）"/>
    <w:qFormat/>
    <w:uiPriority w:val="0"/>
    <w:pPr>
      <w:widowControl w:val="0"/>
      <w:tabs>
        <w:tab w:val="left" w:pos="720"/>
        <w:tab w:val="left" w:pos="854"/>
      </w:tabs>
      <w:ind w:left="200" w:leftChars="200" w:hanging="200" w:hangingChars="200"/>
      <w:jc w:val="both"/>
    </w:pPr>
    <w:rPr>
      <w:rFonts w:ascii="宋体" w:hAnsi="Calibri" w:eastAsia="宋体" w:cs="Times New Roman"/>
      <w:lang w:val="en-US" w:eastAsia="zh-CN" w:bidi="ar-SA"/>
    </w:rPr>
  </w:style>
  <w:style w:type="paragraph" w:customStyle="1" w:styleId="576">
    <w:name w:val="19"/>
    <w:basedOn w:val="1"/>
    <w:qFormat/>
    <w:uiPriority w:val="0"/>
    <w:pPr>
      <w:widowControl/>
      <w:snapToGrid w:val="0"/>
      <w:spacing w:before="100" w:beforeAutospacing="1" w:after="120" w:line="360" w:lineRule="atLeast"/>
      <w:jc w:val="left"/>
    </w:pPr>
    <w:rPr>
      <w:rFonts w:ascii="宋体" w:hAnsi="宋体"/>
      <w:kern w:val="0"/>
    </w:rPr>
  </w:style>
  <w:style w:type="paragraph" w:customStyle="1" w:styleId="577">
    <w:name w:val="附录五级条标题"/>
    <w:basedOn w:val="409"/>
    <w:next w:val="357"/>
    <w:qFormat/>
    <w:uiPriority w:val="0"/>
    <w:pPr>
      <w:outlineLvl w:val="6"/>
    </w:pPr>
  </w:style>
  <w:style w:type="paragraph" w:customStyle="1" w:styleId="578">
    <w:name w:val="彩色底纹 - 强调文字颜色 11"/>
    <w:qFormat/>
    <w:uiPriority w:val="0"/>
    <w:rPr>
      <w:rFonts w:ascii="Calibri" w:hAnsi="Calibri" w:eastAsia="宋体" w:cs="Times New Roman"/>
      <w:kern w:val="2"/>
      <w:sz w:val="21"/>
      <w:lang w:val="en-US" w:eastAsia="zh-CN" w:bidi="ar-SA"/>
    </w:rPr>
  </w:style>
  <w:style w:type="paragraph" w:customStyle="1" w:styleId="579">
    <w:name w:val="xl559"/>
    <w:basedOn w:val="1"/>
    <w:qFormat/>
    <w:uiPriority w:val="0"/>
    <w:pPr>
      <w:widowControl/>
      <w:spacing w:before="100" w:beforeAutospacing="1" w:after="100" w:afterAutospacing="1"/>
      <w:jc w:val="center"/>
    </w:pPr>
    <w:rPr>
      <w:rFonts w:ascii="宋体" w:hAnsi="宋体"/>
      <w:color w:val="000000"/>
      <w:kern w:val="0"/>
      <w:sz w:val="20"/>
    </w:rPr>
  </w:style>
  <w:style w:type="paragraph" w:customStyle="1" w:styleId="580">
    <w:name w:val="正文内"/>
    <w:basedOn w:val="1"/>
    <w:qFormat/>
    <w:uiPriority w:val="0"/>
    <w:pPr>
      <w:spacing w:line="400" w:lineRule="exact"/>
      <w:ind w:firstLine="200" w:firstLineChars="200"/>
    </w:pPr>
    <w:rPr>
      <w:rFonts w:ascii="宋体" w:hAnsi="宋体"/>
      <w:sz w:val="21"/>
    </w:rPr>
  </w:style>
  <w:style w:type="paragraph" w:customStyle="1" w:styleId="581">
    <w:name w:val="表"/>
    <w:basedOn w:val="1"/>
    <w:qFormat/>
    <w:uiPriority w:val="0"/>
    <w:pPr>
      <w:spacing w:line="360" w:lineRule="auto"/>
      <w:jc w:val="center"/>
    </w:pPr>
    <w:rPr>
      <w:color w:val="000000"/>
      <w:sz w:val="21"/>
    </w:rPr>
  </w:style>
  <w:style w:type="paragraph" w:customStyle="1" w:styleId="582">
    <w:name w:val="附录标识"/>
    <w:basedOn w:val="446"/>
    <w:qFormat/>
    <w:uiPriority w:val="0"/>
    <w:pPr>
      <w:tabs>
        <w:tab w:val="left" w:pos="720"/>
        <w:tab w:val="left" w:pos="6405"/>
      </w:tabs>
      <w:spacing w:after="200"/>
      <w:ind w:left="360" w:hanging="360"/>
    </w:pPr>
    <w:rPr>
      <w:sz w:val="21"/>
    </w:rPr>
  </w:style>
  <w:style w:type="paragraph" w:customStyle="1" w:styleId="583">
    <w:name w:val="正文 A"/>
    <w:qFormat/>
    <w:uiPriority w:val="0"/>
    <w:rPr>
      <w:rFonts w:ascii="Calibri" w:hAnsi="Calibri" w:eastAsia="ヒラギノ角ゴ Pro W3" w:cs="Times New Roman"/>
      <w:color w:val="000000"/>
      <w:sz w:val="24"/>
      <w:lang w:val="en-US" w:eastAsia="zh-CN" w:bidi="ar-SA"/>
    </w:rPr>
  </w:style>
  <w:style w:type="paragraph" w:customStyle="1" w:styleId="584">
    <w:name w:val="标题C"/>
    <w:qFormat/>
    <w:uiPriority w:val="0"/>
    <w:pPr>
      <w:tabs>
        <w:tab w:val="left" w:pos="0"/>
      </w:tabs>
      <w:adjustRightInd w:val="0"/>
      <w:snapToGrid w:val="0"/>
      <w:spacing w:before="300"/>
      <w:outlineLvl w:val="2"/>
    </w:pPr>
    <w:rPr>
      <w:rFonts w:ascii="Calibri" w:hAnsi="Calibri" w:eastAsia="宋体" w:cs="Times New Roman"/>
      <w:b/>
      <w:snapToGrid w:val="0"/>
      <w:sz w:val="28"/>
      <w:lang w:val="en-US" w:eastAsia="zh-CN" w:bidi="ar-SA"/>
    </w:rPr>
  </w:style>
  <w:style w:type="paragraph" w:customStyle="1" w:styleId="5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86">
    <w:name w:val="默认段落字体 Para Char"/>
    <w:basedOn w:val="1"/>
    <w:qFormat/>
    <w:uiPriority w:val="0"/>
    <w:pPr>
      <w:tabs>
        <w:tab w:val="left" w:pos="425"/>
      </w:tabs>
      <w:ind w:left="425" w:hanging="425"/>
    </w:pPr>
    <w:rPr>
      <w:sz w:val="21"/>
    </w:rPr>
  </w:style>
  <w:style w:type="paragraph" w:customStyle="1" w:styleId="587">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588">
    <w:name w:val="_Style 40"/>
    <w:basedOn w:val="1"/>
    <w:qFormat/>
    <w:uiPriority w:val="0"/>
    <w:rPr>
      <w:sz w:val="21"/>
    </w:rPr>
  </w:style>
  <w:style w:type="paragraph" w:customStyle="1" w:styleId="589">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Calibri" w:eastAsia="宋体" w:cs="Times New Roman"/>
      <w:sz w:val="21"/>
      <w:lang w:val="en-US" w:eastAsia="zh-CN" w:bidi="ar-SA"/>
    </w:rPr>
  </w:style>
  <w:style w:type="paragraph" w:customStyle="1" w:styleId="590">
    <w:name w:val="注："/>
    <w:next w:val="357"/>
    <w:qFormat/>
    <w:uiPriority w:val="0"/>
    <w:pPr>
      <w:widowControl w:val="0"/>
      <w:tabs>
        <w:tab w:val="left" w:pos="720"/>
      </w:tabs>
      <w:autoSpaceDE w:val="0"/>
      <w:autoSpaceDN w:val="0"/>
      <w:ind w:left="360" w:hanging="360"/>
      <w:jc w:val="both"/>
    </w:pPr>
    <w:rPr>
      <w:rFonts w:ascii="宋体" w:hAnsi="Calibri" w:eastAsia="宋体" w:cs="Times New Roman"/>
      <w:sz w:val="18"/>
      <w:lang w:val="en-US" w:eastAsia="zh-CN" w:bidi="ar-SA"/>
    </w:rPr>
  </w:style>
  <w:style w:type="paragraph" w:customStyle="1" w:styleId="591">
    <w:name w:val="font7"/>
    <w:basedOn w:val="1"/>
    <w:qFormat/>
    <w:uiPriority w:val="0"/>
    <w:pPr>
      <w:widowControl/>
      <w:spacing w:before="100" w:beforeAutospacing="1" w:after="100" w:afterAutospacing="1"/>
    </w:pPr>
    <w:rPr>
      <w:rFonts w:hint="eastAsia" w:ascii="宋体" w:hAnsi="宋体"/>
      <w:kern w:val="0"/>
      <w:sz w:val="24"/>
    </w:rPr>
  </w:style>
  <w:style w:type="paragraph" w:customStyle="1" w:styleId="592">
    <w:name w:val="彩色列表 - 强调文字颜色 12"/>
    <w:basedOn w:val="1"/>
    <w:qFormat/>
    <w:uiPriority w:val="0"/>
    <w:pPr>
      <w:ind w:firstLine="420" w:firstLineChars="200"/>
    </w:pPr>
    <w:rPr>
      <w:sz w:val="21"/>
    </w:rPr>
  </w:style>
  <w:style w:type="paragraph" w:customStyle="1" w:styleId="593">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方正姚体" w:hAnsi="宋体" w:eastAsia="方正姚体"/>
      <w:kern w:val="0"/>
      <w:sz w:val="20"/>
    </w:rPr>
  </w:style>
  <w:style w:type="paragraph" w:customStyle="1" w:styleId="594">
    <w:name w:val="xl37"/>
    <w:basedOn w:val="1"/>
    <w:qFormat/>
    <w:uiPriority w:val="0"/>
    <w:pPr>
      <w:widowControl/>
      <w:pBdr>
        <w:top w:val="single" w:color="auto" w:sz="4" w:space="0"/>
        <w:bottom w:val="single" w:color="auto" w:sz="8" w:space="0"/>
      </w:pBdr>
      <w:spacing w:before="100" w:beforeAutospacing="1" w:after="100" w:afterAutospacing="1"/>
    </w:pPr>
    <w:rPr>
      <w:rFonts w:ascii="Arial Unicode MS" w:hAnsi="Arial Unicode MS" w:eastAsia="Arial Unicode MS"/>
      <w:b/>
      <w:kern w:val="0"/>
      <w:sz w:val="36"/>
    </w:rPr>
  </w:style>
  <w:style w:type="paragraph" w:customStyle="1" w:styleId="595">
    <w:name w:val="正文样式"/>
    <w:basedOn w:val="1"/>
    <w:qFormat/>
    <w:uiPriority w:val="0"/>
    <w:pPr>
      <w:ind w:firstLine="480" w:firstLineChars="200"/>
    </w:pPr>
    <w:rPr>
      <w:rFonts w:eastAsia="华文仿宋"/>
      <w:szCs w:val="24"/>
    </w:rPr>
  </w:style>
  <w:style w:type="paragraph" w:customStyle="1" w:styleId="596">
    <w:name w:val="标题D"/>
    <w:qFormat/>
    <w:uiPriority w:val="0"/>
    <w:pPr>
      <w:adjustRightInd w:val="0"/>
      <w:snapToGrid w:val="0"/>
      <w:spacing w:before="240" w:line="360" w:lineRule="auto"/>
      <w:outlineLvl w:val="3"/>
    </w:pPr>
    <w:rPr>
      <w:rFonts w:ascii="Calibri" w:hAnsi="Calibri" w:eastAsia="宋体" w:cs="Times New Roman"/>
      <w:b/>
      <w:sz w:val="24"/>
      <w:lang w:val="en-US" w:eastAsia="zh-CN" w:bidi="ar-SA"/>
    </w:rPr>
  </w:style>
  <w:style w:type="paragraph" w:customStyle="1" w:styleId="597">
    <w:name w:val="正文图标题"/>
    <w:next w:val="357"/>
    <w:qFormat/>
    <w:uiPriority w:val="0"/>
    <w:pPr>
      <w:tabs>
        <w:tab w:val="left" w:pos="720"/>
      </w:tabs>
      <w:ind w:left="780" w:hanging="360"/>
      <w:jc w:val="center"/>
    </w:pPr>
    <w:rPr>
      <w:rFonts w:ascii="黑体" w:hAnsi="Calibri" w:eastAsia="黑体" w:cs="Times New Roman"/>
      <w:lang w:val="en-US" w:eastAsia="zh-CN" w:bidi="ar-SA"/>
    </w:rPr>
  </w:style>
  <w:style w:type="paragraph" w:customStyle="1" w:styleId="598">
    <w:name w:val="表格一"/>
    <w:basedOn w:val="1"/>
    <w:qFormat/>
    <w:uiPriority w:val="0"/>
    <w:pPr>
      <w:spacing w:line="240" w:lineRule="exact"/>
      <w:ind w:left="105" w:leftChars="50"/>
    </w:pPr>
    <w:rPr>
      <w:sz w:val="18"/>
    </w:rPr>
  </w:style>
  <w:style w:type="paragraph" w:customStyle="1" w:styleId="599">
    <w:name w:val="[Normal]"/>
    <w:qFormat/>
    <w:uiPriority w:val="0"/>
    <w:rPr>
      <w:rFonts w:ascii="宋体" w:hAnsi="宋体" w:eastAsia="宋体" w:cs="Times New Roman"/>
      <w:sz w:val="24"/>
      <w:szCs w:val="22"/>
      <w:lang w:val="zh-CN" w:eastAsia="zh-CN" w:bidi="ar-SA"/>
    </w:rPr>
  </w:style>
  <w:style w:type="paragraph" w:customStyle="1" w:styleId="600">
    <w:name w:val="无间隔3"/>
    <w:qFormat/>
    <w:uiPriority w:val="0"/>
    <w:pPr>
      <w:adjustRightInd w:val="0"/>
      <w:snapToGrid w:val="0"/>
    </w:pPr>
    <w:rPr>
      <w:rFonts w:ascii="Tahoma" w:hAnsi="Tahoma" w:eastAsia="微软雅黑" w:cs="Tahoma"/>
      <w:sz w:val="22"/>
      <w:szCs w:val="22"/>
      <w:lang w:val="en-US" w:eastAsia="zh-CN" w:bidi="ar-SA"/>
    </w:rPr>
  </w:style>
  <w:style w:type="paragraph" w:customStyle="1" w:styleId="601">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602">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03">
    <w:name w:val="Body text|3"/>
    <w:basedOn w:val="1"/>
    <w:qFormat/>
    <w:uiPriority w:val="0"/>
    <w:rPr>
      <w:rFonts w:ascii="宋体" w:hAnsi="宋体" w:cs="宋体"/>
      <w:sz w:val="17"/>
      <w:szCs w:val="17"/>
      <w:lang w:val="zh-TW" w:eastAsia="zh-TW" w:bidi="zh-TW"/>
    </w:rPr>
  </w:style>
  <w:style w:type="paragraph" w:styleId="604">
    <w:name w:val="List Paragraph"/>
    <w:basedOn w:val="1"/>
    <w:qFormat/>
    <w:uiPriority w:val="0"/>
    <w:pPr>
      <w:ind w:firstLine="420" w:firstLineChars="200"/>
    </w:pPr>
    <w:rPr>
      <w:rFonts w:eastAsia="仿宋_GB2312"/>
      <w:szCs w:val="22"/>
    </w:rPr>
  </w:style>
  <w:style w:type="paragraph" w:styleId="605">
    <w:name w:val="No Spacing"/>
    <w:qFormat/>
    <w:uiPriority w:val="0"/>
    <w:rPr>
      <w:rFonts w:ascii="Calibri" w:hAnsi="Calibri" w:eastAsia="宋体" w:cs="Times New Roman"/>
      <w:sz w:val="22"/>
      <w:szCs w:val="22"/>
      <w:lang w:val="en-US" w:eastAsia="en-US" w:bidi="en-US"/>
    </w:rPr>
  </w:style>
  <w:style w:type="paragraph" w:customStyle="1" w:styleId="606">
    <w:name w:val="纯文本11"/>
    <w:qFormat/>
    <w:uiPriority w:val="99"/>
    <w:pPr>
      <w:widowControl w:val="0"/>
      <w:jc w:val="both"/>
    </w:pPr>
    <w:rPr>
      <w:rFonts w:ascii="宋体" w:hAnsi="宋体" w:eastAsia="宋体" w:cs="宋体"/>
      <w:color w:val="000000"/>
      <w:kern w:val="2"/>
      <w:sz w:val="21"/>
      <w:szCs w:val="21"/>
      <w:lang w:val="en-US" w:eastAsia="zh-CN" w:bidi="ar-SA"/>
    </w:rPr>
  </w:style>
  <w:style w:type="paragraph" w:customStyle="1" w:styleId="607">
    <w:name w:val="HtmlNormal"/>
    <w:basedOn w:val="1"/>
    <w:qFormat/>
    <w:uiPriority w:val="0"/>
    <w:pPr>
      <w:spacing w:before="100" w:beforeAutospacing="1" w:after="100" w:afterAutospacing="1" w:line="240" w:lineRule="auto"/>
      <w:ind w:left="0" w:right="0"/>
      <w:jc w:val="left"/>
    </w:pPr>
    <w:rPr>
      <w:rFonts w:ascii="Calibri" w:hAnsi="Calibri" w:eastAsia="宋体"/>
      <w:kern w:val="0"/>
      <w:sz w:val="24"/>
      <w:szCs w:val="24"/>
      <w:lang w:val="en-US" w:eastAsia="zh-CN"/>
    </w:rPr>
  </w:style>
  <w:style w:type="character" w:customStyle="1" w:styleId="608">
    <w:name w:val="large1"/>
    <w:qFormat/>
    <w:uiPriority w:val="0"/>
    <w:rPr>
      <w:rFonts w:hint="eastAsia" w:ascii="宋体" w:hAnsi="宋体" w:eastAsia="宋体"/>
      <w:sz w:val="21"/>
      <w:szCs w:val="21"/>
    </w:rPr>
  </w:style>
  <w:style w:type="paragraph" w:customStyle="1" w:styleId="609">
    <w:name w:val="默认"/>
    <w:qFormat/>
    <w:uiPriority w:val="0"/>
    <w:rPr>
      <w:rFonts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85</Pages>
  <Words>55789</Words>
  <Characters>57569</Characters>
  <Lines>251</Lines>
  <Paragraphs>70</Paragraphs>
  <TotalTime>1</TotalTime>
  <ScaleCrop>false</ScaleCrop>
  <LinksUpToDate>false</LinksUpToDate>
  <CharactersWithSpaces>59313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2021-10-30T09:56:00Z</dcterms:created>
  <dc:creator>yht</dc:creator>
  <cp:lastModifiedBy>浙江中正工程项目管理有限公司</cp:lastModifiedBy>
  <cp:lastPrinted>2022-12-05T11:05:00Z</cp:lastPrinted>
  <dcterms:modified xsi:type="dcterms:W3CDTF">2022-12-07T02:52:37Z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7B8AD55FCCB14A87B99E41B3DA3CAF8E</vt:lpwstr>
  </property>
</Properties>
</file>