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spacing w:before="24" w:beforeLines="10" w:line="360" w:lineRule="auto"/>
        <w:jc w:val="center"/>
        <w:rPr>
          <w:rFonts w:ascii="宋体" w:hAnsi="宋体" w:cs="宋体"/>
          <w:color w:val="auto"/>
          <w:sz w:val="44"/>
          <w:highlight w:val="none"/>
        </w:rPr>
      </w:pPr>
    </w:p>
    <w:p>
      <w:pPr>
        <w:tabs>
          <w:tab w:val="left" w:pos="0"/>
          <w:tab w:val="left" w:pos="2140"/>
          <w:tab w:val="center" w:pos="4753"/>
        </w:tabs>
        <w:spacing w:before="24" w:beforeLines="10" w:line="360" w:lineRule="auto"/>
        <w:jc w:val="center"/>
        <w:rPr>
          <w:rFonts w:ascii="宋体" w:hAnsi="宋体" w:cs="宋体"/>
          <w:b/>
          <w:color w:val="auto"/>
          <w:sz w:val="52"/>
          <w:highlight w:val="none"/>
        </w:rPr>
      </w:pPr>
      <w:r>
        <w:rPr>
          <w:rFonts w:hint="eastAsia" w:ascii="宋体" w:hAnsi="宋体" w:cs="宋体"/>
          <w:b/>
          <w:color w:val="auto"/>
          <w:sz w:val="52"/>
          <w:highlight w:val="none"/>
        </w:rPr>
        <w:t>浙江大学衢州研究院</w:t>
      </w:r>
    </w:p>
    <w:p>
      <w:pPr>
        <w:tabs>
          <w:tab w:val="left" w:pos="4500"/>
        </w:tabs>
        <w:autoSpaceDE w:val="0"/>
        <w:autoSpaceDN w:val="0"/>
        <w:adjustRightInd w:val="0"/>
        <w:snapToGrid w:val="0"/>
        <w:spacing w:line="360" w:lineRule="auto"/>
        <w:jc w:val="center"/>
        <w:textAlignment w:val="bottom"/>
        <w:rPr>
          <w:rFonts w:ascii="宋体" w:hAnsi="宋体" w:cs="宋体"/>
          <w:color w:val="auto"/>
          <w:highlight w:val="none"/>
        </w:rPr>
      </w:pPr>
      <w:r>
        <w:rPr>
          <w:rFonts w:hint="eastAsia" w:ascii="宋体" w:hAnsi="宋体" w:cs="宋体"/>
          <w:b/>
          <w:color w:val="auto"/>
          <w:sz w:val="52"/>
          <w:highlight w:val="none"/>
        </w:rPr>
        <w:t>公开招标采购文件</w:t>
      </w:r>
    </w:p>
    <w:p>
      <w:pPr>
        <w:spacing w:before="24" w:beforeLines="10" w:line="360" w:lineRule="auto"/>
        <w:ind w:firstLine="361" w:firstLineChars="100"/>
        <w:jc w:val="left"/>
        <w:rPr>
          <w:rFonts w:ascii="宋体" w:hAnsi="宋体" w:cs="宋体"/>
          <w:b/>
          <w:color w:val="auto"/>
          <w:sz w:val="36"/>
          <w:highlight w:val="none"/>
        </w:rPr>
      </w:pPr>
    </w:p>
    <w:p>
      <w:pPr>
        <w:spacing w:before="24" w:beforeLines="10" w:line="360" w:lineRule="auto"/>
        <w:ind w:firstLine="361" w:firstLineChars="100"/>
        <w:jc w:val="left"/>
        <w:rPr>
          <w:rFonts w:ascii="宋体" w:hAnsi="宋体" w:cs="宋体"/>
          <w:b/>
          <w:color w:val="auto"/>
          <w:sz w:val="36"/>
          <w:highlight w:val="none"/>
        </w:rPr>
      </w:pPr>
    </w:p>
    <w:p>
      <w:pPr>
        <w:spacing w:before="24" w:beforeLines="10" w:line="360" w:lineRule="auto"/>
        <w:ind w:firstLine="361" w:firstLineChars="100"/>
        <w:jc w:val="left"/>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项目编号：</w:t>
      </w:r>
      <w:r>
        <w:rPr>
          <w:rFonts w:hint="eastAsia" w:ascii="宋体" w:hAnsi="宋体" w:cs="宋体"/>
          <w:b/>
          <w:color w:val="auto"/>
          <w:sz w:val="36"/>
          <w:highlight w:val="none"/>
          <w:u w:val="single"/>
          <w:lang w:eastAsia="zh-CN"/>
        </w:rPr>
        <w:t>ZZCG2023011</w:t>
      </w:r>
    </w:p>
    <w:p>
      <w:pPr>
        <w:spacing w:before="24" w:beforeLines="10" w:line="360" w:lineRule="auto"/>
        <w:ind w:left="2165" w:leftChars="128" w:hanging="1807" w:hangingChars="500"/>
        <w:jc w:val="left"/>
        <w:rPr>
          <w:rFonts w:ascii="宋体" w:hAnsi="宋体" w:cs="宋体"/>
          <w:b/>
          <w:color w:val="auto"/>
          <w:sz w:val="36"/>
          <w:highlight w:val="none"/>
          <w:u w:val="single"/>
        </w:rPr>
      </w:pPr>
      <w:r>
        <w:rPr>
          <w:rFonts w:hint="eastAsia" w:ascii="宋体" w:hAnsi="宋体" w:cs="宋体"/>
          <w:b/>
          <w:color w:val="auto"/>
          <w:sz w:val="36"/>
          <w:highlight w:val="none"/>
        </w:rPr>
        <w:t>项目名称：</w:t>
      </w:r>
      <w:r>
        <w:rPr>
          <w:rFonts w:hint="eastAsia" w:ascii="宋体" w:hAnsi="宋体" w:cs="宋体"/>
          <w:b/>
          <w:color w:val="auto"/>
          <w:sz w:val="36"/>
          <w:highlight w:val="none"/>
          <w:u w:val="single"/>
        </w:rPr>
        <w:t>浙江大学衢州研究院智慧化建设项目</w:t>
      </w:r>
    </w:p>
    <w:p>
      <w:pPr>
        <w:widowControl/>
        <w:spacing w:line="360" w:lineRule="auto"/>
        <w:ind w:right="-2"/>
        <w:jc w:val="center"/>
        <w:rPr>
          <w:rFonts w:ascii="宋体" w:hAnsi="宋体" w:cs="宋体"/>
          <w:b/>
          <w:color w:val="auto"/>
          <w:highlight w:val="none"/>
        </w:rPr>
      </w:pPr>
      <w:r>
        <w:rPr>
          <w:rFonts w:hint="eastAsia" w:ascii="宋体" w:hAnsi="宋体" w:cs="宋体"/>
          <w:b/>
          <w:color w:val="auto"/>
          <w:sz w:val="36"/>
          <w:highlight w:val="none"/>
        </w:rPr>
        <w:t>（线上电子招投标）</w:t>
      </w:r>
    </w:p>
    <w:p>
      <w:pPr>
        <w:pStyle w:val="625"/>
        <w:ind w:firstLine="560"/>
        <w:rPr>
          <w:color w:val="auto"/>
          <w:highlight w:val="none"/>
        </w:rPr>
      </w:pPr>
    </w:p>
    <w:p>
      <w:pPr>
        <w:autoSpaceDE w:val="0"/>
        <w:autoSpaceDN w:val="0"/>
        <w:adjustRightInd w:val="0"/>
        <w:snapToGrid w:val="0"/>
        <w:spacing w:before="24" w:beforeLines="10" w:line="360" w:lineRule="auto"/>
        <w:jc w:val="center"/>
        <w:textAlignment w:val="bottom"/>
        <w:rPr>
          <w:rFonts w:ascii="宋体" w:hAnsi="宋体" w:cs="宋体"/>
          <w:b/>
          <w:color w:val="auto"/>
          <w:highlight w:val="none"/>
        </w:rPr>
      </w:pPr>
    </w:p>
    <w:p>
      <w:pPr>
        <w:autoSpaceDE w:val="0"/>
        <w:autoSpaceDN w:val="0"/>
        <w:adjustRightInd w:val="0"/>
        <w:snapToGrid w:val="0"/>
        <w:spacing w:before="24" w:beforeLines="10" w:line="360" w:lineRule="auto"/>
        <w:jc w:val="center"/>
        <w:textAlignment w:val="bottom"/>
        <w:rPr>
          <w:rFonts w:ascii="宋体" w:hAnsi="宋体" w:cs="宋体"/>
          <w:b/>
          <w:color w:val="auto"/>
          <w:highlight w:val="none"/>
        </w:rPr>
      </w:pPr>
    </w:p>
    <w:p>
      <w:pPr>
        <w:pStyle w:val="36"/>
        <w:ind w:left="560"/>
        <w:rPr>
          <w:rFonts w:ascii="宋体" w:hAnsi="宋体" w:eastAsia="宋体" w:cs="宋体"/>
          <w:color w:val="auto"/>
          <w:highlight w:val="none"/>
        </w:rPr>
      </w:pPr>
    </w:p>
    <w:p>
      <w:pPr>
        <w:pStyle w:val="37"/>
        <w:ind w:firstLine="210"/>
        <w:rPr>
          <w:rFonts w:ascii="宋体" w:hAnsi="宋体" w:eastAsia="宋体" w:cs="宋体"/>
          <w:color w:val="auto"/>
          <w:highlight w:val="none"/>
        </w:rPr>
      </w:pPr>
    </w:p>
    <w:p>
      <w:pPr>
        <w:pStyle w:val="37"/>
        <w:ind w:firstLine="0" w:firstLineChars="0"/>
        <w:rPr>
          <w:rFonts w:ascii="宋体" w:hAnsi="宋体" w:eastAsia="宋体" w:cs="宋体"/>
          <w:color w:val="auto"/>
          <w:highlight w:val="none"/>
        </w:rPr>
      </w:pPr>
    </w:p>
    <w:p>
      <w:pPr>
        <w:autoSpaceDE w:val="0"/>
        <w:autoSpaceDN w:val="0"/>
        <w:adjustRightInd w:val="0"/>
        <w:snapToGrid w:val="0"/>
        <w:spacing w:before="24" w:beforeLines="10" w:line="360" w:lineRule="auto"/>
        <w:jc w:val="center"/>
        <w:textAlignment w:val="bottom"/>
        <w:rPr>
          <w:rFonts w:ascii="宋体" w:hAnsi="宋体" w:cs="宋体"/>
          <w:b/>
          <w:color w:val="auto"/>
          <w:highlight w:val="none"/>
        </w:rPr>
      </w:pPr>
    </w:p>
    <w:p>
      <w:pPr>
        <w:autoSpaceDE w:val="0"/>
        <w:autoSpaceDN w:val="0"/>
        <w:adjustRightInd w:val="0"/>
        <w:snapToGrid w:val="0"/>
        <w:spacing w:line="360" w:lineRule="auto"/>
        <w:ind w:firstLine="361" w:firstLineChars="100"/>
        <w:textAlignment w:val="bottom"/>
        <w:rPr>
          <w:rFonts w:ascii="宋体" w:hAnsi="宋体" w:cs="宋体"/>
          <w:b/>
          <w:color w:val="auto"/>
          <w:sz w:val="36"/>
          <w:highlight w:val="none"/>
        </w:rPr>
      </w:pPr>
      <w:r>
        <w:rPr>
          <w:rFonts w:hint="eastAsia" w:ascii="宋体" w:hAnsi="宋体" w:cs="宋体"/>
          <w:b/>
          <w:color w:val="auto"/>
          <w:sz w:val="36"/>
          <w:highlight w:val="none"/>
        </w:rPr>
        <w:t>招   标   人：浙江大学衢州研究院</w:t>
      </w:r>
    </w:p>
    <w:p>
      <w:pPr>
        <w:autoSpaceDE w:val="0"/>
        <w:autoSpaceDN w:val="0"/>
        <w:adjustRightInd w:val="0"/>
        <w:snapToGrid w:val="0"/>
        <w:spacing w:line="360" w:lineRule="auto"/>
        <w:ind w:firstLine="361" w:firstLineChars="100"/>
        <w:textAlignment w:val="bottom"/>
        <w:rPr>
          <w:rFonts w:ascii="宋体" w:hAnsi="宋体" w:cs="宋体"/>
          <w:b/>
          <w:color w:val="auto"/>
          <w:sz w:val="36"/>
          <w:highlight w:val="none"/>
        </w:rPr>
      </w:pPr>
      <w:r>
        <w:rPr>
          <w:rFonts w:hint="eastAsia" w:ascii="宋体" w:hAnsi="宋体" w:cs="宋体"/>
          <w:b/>
          <w:color w:val="auto"/>
          <w:sz w:val="36"/>
          <w:highlight w:val="none"/>
        </w:rPr>
        <w:t>招标代理机构：浙江中正工程项目管理有限公司</w:t>
      </w:r>
    </w:p>
    <w:p>
      <w:pPr>
        <w:pStyle w:val="53"/>
        <w:spacing w:before="24" w:beforeLines="10" w:line="360" w:lineRule="auto"/>
        <w:ind w:firstLine="361" w:firstLineChars="100"/>
        <w:jc w:val="both"/>
        <w:rPr>
          <w:rFonts w:ascii="宋体" w:hAnsi="宋体" w:eastAsia="宋体" w:cs="宋体"/>
          <w:color w:val="auto"/>
          <w:highlight w:val="none"/>
        </w:rPr>
      </w:pPr>
      <w:r>
        <w:rPr>
          <w:rFonts w:hint="eastAsia" w:ascii="宋体" w:hAnsi="宋体" w:eastAsia="宋体" w:cs="宋体"/>
          <w:color w:val="auto"/>
          <w:sz w:val="36"/>
          <w:highlight w:val="none"/>
        </w:rPr>
        <w:t>日        期：2023年</w:t>
      </w:r>
      <w:r>
        <w:rPr>
          <w:rFonts w:ascii="宋体" w:hAnsi="宋体" w:eastAsia="宋体" w:cs="宋体"/>
          <w:color w:val="auto"/>
          <w:sz w:val="36"/>
          <w:highlight w:val="none"/>
        </w:rPr>
        <w:t>2</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3"/>
        <w:spacing w:before="24" w:beforeLines="10" w:line="360" w:lineRule="auto"/>
        <w:ind w:firstLine="360" w:firstLineChars="100"/>
        <w:jc w:val="center"/>
        <w:rPr>
          <w:rFonts w:ascii="宋体" w:hAnsi="宋体" w:eastAsia="宋体" w:cs="宋体"/>
          <w:b w:val="0"/>
          <w:color w:val="auto"/>
          <w:sz w:val="36"/>
          <w:highlight w:val="none"/>
        </w:rPr>
      </w:pPr>
      <w:r>
        <w:rPr>
          <w:rFonts w:hint="eastAsia" w:ascii="宋体" w:hAnsi="宋体" w:eastAsia="宋体" w:cs="宋体"/>
          <w:b w:val="0"/>
          <w:color w:val="auto"/>
          <w:sz w:val="36"/>
          <w:highlight w:val="none"/>
        </w:rPr>
        <w:t>目  录</w:t>
      </w:r>
    </w:p>
    <w:p>
      <w:pPr>
        <w:rPr>
          <w:rFonts w:ascii="宋体" w:hAnsi="宋体" w:cs="宋体"/>
          <w:color w:val="auto"/>
          <w:highlight w:val="none"/>
        </w:rPr>
      </w:pPr>
    </w:p>
    <w:p>
      <w:pPr>
        <w:pStyle w:val="62"/>
        <w:rPr>
          <w:rFonts w:hint="eastAsia" w:ascii="宋体" w:hAnsi="宋体" w:eastAsia="宋体" w:cs="宋体"/>
          <w:b w:val="0"/>
          <w:caps w:val="0"/>
          <w:color w:val="auto"/>
          <w:sz w:val="20"/>
          <w:szCs w:val="20"/>
          <w:highlight w:val="none"/>
        </w:rPr>
      </w:pP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TOC \o "1-2" \h \z \u</w:instrText>
      </w:r>
      <w:r>
        <w:rPr>
          <w:rFonts w:hint="eastAsia" w:ascii="宋体" w:hAnsi="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"_Toc126885985" </w:instrText>
      </w:r>
      <w:r>
        <w:rPr>
          <w:rFonts w:hint="eastAsia" w:ascii="宋体" w:hAnsi="宋体" w:eastAsia="宋体" w:cs="宋体"/>
          <w:color w:val="auto"/>
          <w:highlight w:val="none"/>
        </w:rPr>
        <w:fldChar w:fldCharType="separate"/>
      </w:r>
      <w:r>
        <w:rPr>
          <w:rStyle w:val="100"/>
          <w:rFonts w:hint="eastAsia" w:ascii="宋体" w:hAnsi="宋体" w:eastAsia="宋体" w:cs="宋体"/>
          <w:color w:val="auto"/>
          <w:highlight w:val="none"/>
        </w:rPr>
        <w:t>第一部分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_Toc126885985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62"/>
        <w:rPr>
          <w:rFonts w:hint="eastAsia" w:ascii="宋体" w:hAnsi="宋体" w:eastAsia="宋体" w:cs="宋体"/>
          <w:b w:val="0"/>
          <w:caps w:val="0"/>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"_Toc126885986" </w:instrText>
      </w:r>
      <w:r>
        <w:rPr>
          <w:rFonts w:hint="eastAsia" w:ascii="宋体" w:hAnsi="宋体" w:eastAsia="宋体" w:cs="宋体"/>
          <w:color w:val="auto"/>
          <w:highlight w:val="none"/>
        </w:rPr>
        <w:fldChar w:fldCharType="separate"/>
      </w:r>
      <w:r>
        <w:rPr>
          <w:rStyle w:val="100"/>
          <w:rFonts w:hint="eastAsia" w:ascii="宋体" w:hAnsi="宋体" w:eastAsia="宋体" w:cs="宋体"/>
          <w:color w:val="auto"/>
          <w:highlight w:val="none"/>
        </w:rPr>
        <w:t>第二部分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_Toc126885986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"_Toc126885987"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前 附 表</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_Toc126885987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7</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"_Toc126885988"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一、总 则</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_Toc126885988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10</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"_Toc126885989"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二、招标文件</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_Toc126885989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15</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"_Toc126885990"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三、投标文件</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_Toc126885990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16</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"_Toc126885991"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四、投 标</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_Toc126885991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18</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"_Toc126885992"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五、开 标</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_Toc126885992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19</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"_Toc126885993"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六、评 标</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_Toc126885993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20</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"_Toc126885994"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七、定 标</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_Toc126885994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24</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"_Toc126885995"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八、合同签订及其他</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_Toc126885995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24</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62"/>
        <w:rPr>
          <w:rFonts w:hint="eastAsia" w:ascii="宋体" w:hAnsi="宋体" w:eastAsia="宋体" w:cs="宋体"/>
          <w:b w:val="0"/>
          <w:caps w:val="0"/>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"_Toc126885996" </w:instrText>
      </w:r>
      <w:r>
        <w:rPr>
          <w:rFonts w:hint="eastAsia" w:ascii="宋体" w:hAnsi="宋体" w:eastAsia="宋体" w:cs="宋体"/>
          <w:color w:val="auto"/>
          <w:highlight w:val="none"/>
        </w:rPr>
        <w:fldChar w:fldCharType="separate"/>
      </w:r>
      <w:r>
        <w:rPr>
          <w:rStyle w:val="100"/>
          <w:rFonts w:hint="eastAsia" w:ascii="宋体" w:hAnsi="宋体" w:eastAsia="宋体" w:cs="宋体"/>
          <w:color w:val="auto"/>
          <w:highlight w:val="none"/>
        </w:rPr>
        <w:t>第三部分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_Toc126885996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"_Toc126885997"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一、采购内容清单</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_Toc126885997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26</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"_Toc126885998"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二、详细技术参数要求</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_Toc126885998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27</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"_Toc126885999"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1、软件部分技术参数要求</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_Toc126885999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27</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"_Toc126886000"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2、硬件部分技术参数要求</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_Toc126886000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82</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"_Toc126886001"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三、商务条款</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_Toc126886001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105</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62"/>
        <w:rPr>
          <w:rFonts w:hint="eastAsia" w:ascii="宋体" w:hAnsi="宋体" w:eastAsia="宋体" w:cs="宋体"/>
          <w:b w:val="0"/>
          <w:caps w:val="0"/>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"_Toc126886002" </w:instrText>
      </w:r>
      <w:r>
        <w:rPr>
          <w:rFonts w:hint="eastAsia" w:ascii="宋体" w:hAnsi="宋体" w:eastAsia="宋体" w:cs="宋体"/>
          <w:color w:val="auto"/>
          <w:highlight w:val="none"/>
        </w:rPr>
        <w:fldChar w:fldCharType="separate"/>
      </w:r>
      <w:r>
        <w:rPr>
          <w:rStyle w:val="100"/>
          <w:rFonts w:hint="eastAsia" w:ascii="宋体" w:hAnsi="宋体" w:eastAsia="宋体" w:cs="宋体"/>
          <w:color w:val="auto"/>
          <w:highlight w:val="none"/>
        </w:rPr>
        <w:t>第四部分 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_Toc126886002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62"/>
        <w:rPr>
          <w:rFonts w:hint="eastAsia" w:ascii="宋体" w:hAnsi="宋体" w:eastAsia="宋体" w:cs="宋体"/>
          <w:b w:val="0"/>
          <w:caps w:val="0"/>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"_Toc126886003" </w:instrText>
      </w:r>
      <w:r>
        <w:rPr>
          <w:rFonts w:hint="eastAsia" w:ascii="宋体" w:hAnsi="宋体" w:eastAsia="宋体" w:cs="宋体"/>
          <w:color w:val="auto"/>
          <w:highlight w:val="none"/>
        </w:rPr>
        <w:fldChar w:fldCharType="separate"/>
      </w:r>
      <w:r>
        <w:rPr>
          <w:rStyle w:val="100"/>
          <w:rFonts w:hint="eastAsia" w:ascii="宋体" w:hAnsi="宋体" w:eastAsia="宋体" w:cs="宋体"/>
          <w:color w:val="auto"/>
          <w:highlight w:val="none"/>
        </w:rPr>
        <w:t>第五部分 投标文件部分格式文件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_Toc126886003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"_Toc126886004"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lang w:val="zh-CN"/>
        </w:rPr>
        <w:t>格式</w:t>
      </w:r>
      <w:r>
        <w:rPr>
          <w:rStyle w:val="100"/>
          <w:rFonts w:hint="eastAsia" w:ascii="宋体" w:hAnsi="宋体" w:eastAsia="宋体" w:cs="宋体"/>
          <w:color w:val="auto"/>
          <w:sz w:val="20"/>
          <w:highlight w:val="none"/>
        </w:rPr>
        <w:t>一：资格审查资料</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_Toc126886004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109</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"_Toc126886005"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sz w:val="20"/>
          <w:highlight w:val="none"/>
        </w:rPr>
        <w:t>格式二：投标声明函</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_Toc126886005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118</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"_Toc126886006"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kern w:val="0"/>
          <w:sz w:val="20"/>
          <w:highlight w:val="none"/>
          <w:lang w:val="zh-CN"/>
        </w:rPr>
        <w:t>格式三：</w:t>
      </w:r>
      <w:r>
        <w:rPr>
          <w:rStyle w:val="100"/>
          <w:rFonts w:hint="eastAsia" w:ascii="宋体" w:hAnsi="宋体" w:eastAsia="宋体" w:cs="宋体"/>
          <w:color w:val="auto"/>
          <w:sz w:val="20"/>
          <w:highlight w:val="none"/>
        </w:rPr>
        <w:t>法定代表人身份证明或法定代表人身份证明及授权委托书</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_Toc126886006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120</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"_Toc126886007"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kern w:val="0"/>
          <w:sz w:val="20"/>
          <w:highlight w:val="none"/>
          <w:lang w:val="zh-CN"/>
        </w:rPr>
        <w:t>格式四：以往业绩情况表</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_Toc126886007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122</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"_Toc126886008"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kern w:val="0"/>
          <w:sz w:val="20"/>
          <w:highlight w:val="none"/>
          <w:lang w:val="zh-CN"/>
        </w:rPr>
        <w:t>格式五：偏离表</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_Toc126886008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123</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"_Toc126886009"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kern w:val="0"/>
          <w:sz w:val="20"/>
          <w:highlight w:val="none"/>
          <w:lang w:val="zh-CN"/>
        </w:rPr>
        <w:t>格式六：拟投入本项目的服务团队情况表</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_Toc126886009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124</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"_Toc126886010"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kern w:val="0"/>
          <w:sz w:val="20"/>
          <w:highlight w:val="none"/>
          <w:lang w:val="zh-CN"/>
        </w:rPr>
        <w:t>格式七：</w:t>
      </w:r>
      <w:r>
        <w:rPr>
          <w:rStyle w:val="100"/>
          <w:rFonts w:hint="eastAsia" w:ascii="宋体" w:hAnsi="宋体" w:eastAsia="宋体" w:cs="宋体"/>
          <w:color w:val="auto"/>
          <w:sz w:val="20"/>
          <w:highlight w:val="none"/>
        </w:rPr>
        <w:t>开标一览表</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_Toc126886010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125</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"_Toc126886011"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bCs/>
          <w:color w:val="auto"/>
          <w:sz w:val="20"/>
          <w:highlight w:val="none"/>
        </w:rPr>
        <w:t>格式八：报价明细表</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_Toc126886011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126</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48"/>
        <w:rPr>
          <w:rFonts w:hint="eastAsia" w:ascii="宋体" w:hAnsi="宋体" w:eastAsia="宋体" w:cs="宋体"/>
          <w:b w:val="0"/>
          <w:smallCaps w:val="0"/>
          <w:color w:val="auto"/>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\l "_Toc126886012" </w:instrText>
      </w:r>
      <w:r>
        <w:rPr>
          <w:rFonts w:hint="eastAsia" w:ascii="宋体" w:hAnsi="宋体" w:eastAsia="宋体" w:cs="宋体"/>
          <w:color w:val="auto"/>
          <w:sz w:val="20"/>
          <w:highlight w:val="none"/>
        </w:rPr>
        <w:fldChar w:fldCharType="separate"/>
      </w:r>
      <w:r>
        <w:rPr>
          <w:rStyle w:val="100"/>
          <w:rFonts w:hint="eastAsia" w:ascii="宋体" w:hAnsi="宋体" w:eastAsia="宋体" w:cs="宋体"/>
          <w:color w:val="auto"/>
          <w:kern w:val="0"/>
          <w:sz w:val="20"/>
          <w:highlight w:val="none"/>
          <w:lang w:val="zh-CN"/>
        </w:rPr>
        <w:t>投标文件封面</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PAGEREF _Toc126886012 \h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sz w:val="20"/>
          <w:highlight w:val="none"/>
        </w:rPr>
        <w:t>128</w:t>
      </w:r>
      <w:r>
        <w:rPr>
          <w:rFonts w:hint="eastAsia" w:ascii="宋体" w:hAnsi="宋体" w:eastAsia="宋体" w:cs="宋体"/>
          <w:color w:val="auto"/>
          <w:sz w:val="20"/>
          <w:highlight w:val="none"/>
        </w:rPr>
        <w:fldChar w:fldCharType="end"/>
      </w:r>
      <w:r>
        <w:rPr>
          <w:rFonts w:hint="eastAsia" w:ascii="宋体" w:hAnsi="宋体" w:eastAsia="宋体" w:cs="宋体"/>
          <w:color w:val="auto"/>
          <w:sz w:val="20"/>
          <w:highlight w:val="none"/>
        </w:rPr>
        <w:fldChar w:fldCharType="end"/>
      </w:r>
    </w:p>
    <w:p>
      <w:pPr>
        <w:pStyle w:val="62"/>
        <w:rPr>
          <w:rFonts w:asciiTheme="minorHAnsi" w:hAnsiTheme="minorHAnsi" w:eastAsiaTheme="minorEastAsia" w:cstheme="minorBidi"/>
          <w:b w:val="0"/>
          <w:caps w:val="0"/>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"_Toc126886013" </w:instrText>
      </w:r>
      <w:r>
        <w:rPr>
          <w:rFonts w:hint="eastAsia" w:ascii="宋体" w:hAnsi="宋体" w:eastAsia="宋体" w:cs="宋体"/>
          <w:color w:val="auto"/>
          <w:highlight w:val="none"/>
        </w:rPr>
        <w:fldChar w:fldCharType="separate"/>
      </w:r>
      <w:r>
        <w:rPr>
          <w:rStyle w:val="100"/>
          <w:rFonts w:hint="eastAsia" w:ascii="宋体" w:hAnsi="宋体" w:eastAsia="宋体" w:cs="宋体"/>
          <w:color w:val="auto"/>
          <w:highlight w:val="none"/>
        </w:rPr>
        <w:t>第六部分 评分办法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_Toc126886013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7"/>
        <w:pageBreakBefore/>
        <w:adjustRightInd w:val="0"/>
        <w:snapToGrid w:val="0"/>
        <w:spacing w:line="360" w:lineRule="auto"/>
        <w:jc w:val="center"/>
        <w:outlineLvl w:val="0"/>
        <w:rPr>
          <w:rFonts w:hAnsi="宋体" w:cs="宋体"/>
          <w:b/>
          <w:color w:val="auto"/>
          <w:sz w:val="36"/>
          <w:highlight w:val="none"/>
        </w:rPr>
      </w:pPr>
      <w:r>
        <w:rPr>
          <w:rFonts w:hint="eastAsia" w:hAnsi="宋体" w:cs="宋体"/>
          <w:color w:val="auto"/>
          <w:sz w:val="24"/>
          <w:szCs w:val="24"/>
          <w:highlight w:val="none"/>
        </w:rPr>
        <w:fldChar w:fldCharType="end"/>
      </w:r>
      <w:bookmarkStart w:id="0" w:name="_Toc126885985"/>
      <w:r>
        <w:rPr>
          <w:rFonts w:hint="eastAsia" w:hAnsi="宋体" w:cs="宋体"/>
          <w:b/>
          <w:color w:val="auto"/>
          <w:sz w:val="36"/>
          <w:highlight w:val="none"/>
        </w:rPr>
        <w:t>第一部分  招标公告</w:t>
      </w:r>
      <w:bookmarkEnd w:id="0"/>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pStyle w:val="83"/>
              <w:spacing w:before="0" w:beforeAutospacing="0" w:after="0" w:afterAutospacing="0" w:line="400" w:lineRule="exact"/>
              <w:ind w:firstLine="480" w:firstLineChars="200"/>
              <w:rPr>
                <w:rFonts w:cs="宋体"/>
                <w:b/>
                <w:bCs/>
                <w:color w:val="auto"/>
                <w:sz w:val="21"/>
                <w:szCs w:val="21"/>
                <w:highlight w:val="none"/>
              </w:rPr>
            </w:pPr>
            <w:bookmarkStart w:id="1" w:name="_Toc225840107"/>
            <w:r>
              <w:rPr>
                <w:rFonts w:hint="eastAsia" w:cs="宋体"/>
                <w:color w:val="auto"/>
                <w:szCs w:val="24"/>
                <w:highlight w:val="none"/>
              </w:rPr>
              <w:t>项目概况：</w:t>
            </w:r>
            <w:r>
              <w:rPr>
                <w:rFonts w:hint="eastAsia" w:cs="宋体"/>
                <w:color w:val="auto"/>
                <w:szCs w:val="24"/>
                <w:highlight w:val="none"/>
                <w:u w:val="single"/>
              </w:rPr>
              <w:t>浙江大学衢州研究院智慧化建设项目</w:t>
            </w:r>
            <w:r>
              <w:rPr>
                <w:rFonts w:hint="eastAsia" w:cs="宋体"/>
                <w:color w:val="auto"/>
                <w:szCs w:val="24"/>
                <w:highlight w:val="none"/>
              </w:rPr>
              <w:t>的潜在投标人应在政采云平台（http://zfcg.czt.zj.gov.cn）获取（下载）招标文件，并于202</w:t>
            </w:r>
            <w:r>
              <w:rPr>
                <w:rFonts w:hint="eastAsia" w:cs="宋体"/>
                <w:color w:val="auto"/>
                <w:szCs w:val="24"/>
                <w:highlight w:val="none"/>
                <w:lang w:val="en-US" w:eastAsia="zh-CN"/>
              </w:rPr>
              <w:t>3</w:t>
            </w:r>
            <w:r>
              <w:rPr>
                <w:rFonts w:hint="eastAsia" w:cs="宋体"/>
                <w:color w:val="auto"/>
                <w:szCs w:val="24"/>
                <w:highlight w:val="none"/>
              </w:rPr>
              <w:t>年</w:t>
            </w:r>
            <w:r>
              <w:rPr>
                <w:rFonts w:hint="eastAsia" w:cs="宋体"/>
                <w:color w:val="auto"/>
                <w:szCs w:val="24"/>
                <w:highlight w:val="none"/>
                <w:lang w:val="en-US" w:eastAsia="zh-CN"/>
              </w:rPr>
              <w:t>3</w:t>
            </w:r>
            <w:r>
              <w:rPr>
                <w:rFonts w:hint="eastAsia" w:cs="宋体"/>
                <w:color w:val="auto"/>
                <w:szCs w:val="24"/>
                <w:highlight w:val="none"/>
              </w:rPr>
              <w:t>月</w:t>
            </w:r>
            <w:r>
              <w:rPr>
                <w:rFonts w:hint="eastAsia" w:cs="宋体"/>
                <w:color w:val="auto"/>
                <w:szCs w:val="24"/>
                <w:highlight w:val="none"/>
                <w:lang w:val="en-US" w:eastAsia="zh-CN"/>
              </w:rPr>
              <w:t>28</w:t>
            </w:r>
            <w:r>
              <w:rPr>
                <w:rFonts w:hint="eastAsia" w:cs="宋体"/>
                <w:color w:val="auto"/>
                <w:szCs w:val="24"/>
                <w:highlight w:val="none"/>
              </w:rPr>
              <w:t>日 09:00（北京时间）前提交（上传）投标文件。</w:t>
            </w:r>
          </w:p>
        </w:tc>
      </w:tr>
    </w:tbl>
    <w:p>
      <w:pPr>
        <w:numPr>
          <w:ilvl w:val="0"/>
          <w:numId w:val="2"/>
        </w:numPr>
        <w:autoSpaceDE w:val="0"/>
        <w:autoSpaceDN w:val="0"/>
        <w:adjustRightInd w:val="0"/>
        <w:spacing w:line="288" w:lineRule="auto"/>
        <w:ind w:right="-23" w:firstLine="482" w:firstLineChars="200"/>
        <w:rPr>
          <w:rStyle w:val="91"/>
          <w:rFonts w:ascii="宋体" w:hAnsi="宋体" w:cs="宋体"/>
          <w:color w:val="auto"/>
          <w:sz w:val="24"/>
          <w:szCs w:val="24"/>
          <w:highlight w:val="none"/>
        </w:rPr>
      </w:pPr>
      <w:r>
        <w:rPr>
          <w:rStyle w:val="91"/>
          <w:rFonts w:hint="eastAsia" w:ascii="宋体" w:hAnsi="宋体" w:cs="宋体"/>
          <w:color w:val="auto"/>
          <w:sz w:val="24"/>
          <w:szCs w:val="24"/>
          <w:highlight w:val="none"/>
        </w:rPr>
        <w:t>项目基本情况</w:t>
      </w:r>
    </w:p>
    <w:p>
      <w:pPr>
        <w:pStyle w:val="36"/>
        <w:spacing w:after="0" w:line="400" w:lineRule="exact"/>
        <w:ind w:left="0" w:leftChars="0"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lang w:eastAsia="zh-CN"/>
        </w:rPr>
        <w:t>ZZCG2023011</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项目名称：浙江大学衢州研究院智慧化建设项目</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 xml:space="preserve">预算金额（元）：18500500 </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最高限价（元）：18500500</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标项一</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 xml:space="preserve">标项名称: 浙江大学衢州研究院智慧化建设项目 </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 xml:space="preserve">数量: 1  </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预算金额（元）: 18500500</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 xml:space="preserve">简要规格描述或项目基本概况介绍、用途：浙江大学衢州研究院智慧化建设项目范围内的数据中枢、智能安全分析平台、物联集控管理平台等基础平台建设，一码通系统、预约系统等相关的应用系统建设，以及实验室监控、服务器资源等硬件设备等，详见采购文件《第三部分 项目技术及服务要求》。 </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备注：/</w:t>
      </w:r>
    </w:p>
    <w:p>
      <w:pPr>
        <w:autoSpaceDE w:val="0"/>
        <w:autoSpaceDN w:val="0"/>
        <w:adjustRightInd w:val="0"/>
        <w:spacing w:line="288" w:lineRule="auto"/>
        <w:ind w:right="-20" w:firstLine="480" w:firstLineChars="200"/>
        <w:rPr>
          <w:rFonts w:hAnsi="宋体" w:cs="宋体"/>
          <w:b/>
          <w:bCs/>
          <w:color w:val="auto"/>
          <w:sz w:val="24"/>
          <w:szCs w:val="24"/>
          <w:highlight w:val="none"/>
        </w:rPr>
      </w:pPr>
      <w:r>
        <w:rPr>
          <w:rFonts w:hint="eastAsia" w:ascii="宋体" w:hAnsi="宋体" w:cs="宋体"/>
          <w:color w:val="auto"/>
          <w:sz w:val="24"/>
          <w:szCs w:val="22"/>
          <w:highlight w:val="none"/>
        </w:rPr>
        <w:t>合同履约期限：合同签订后</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val="en-US" w:eastAsia="zh-CN"/>
        </w:rPr>
        <w:t>270</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日内完成安装调试</w:t>
      </w:r>
      <w:r>
        <w:rPr>
          <w:rFonts w:hint="eastAsia" w:ascii="宋体" w:hAnsi="宋体" w:cs="宋体"/>
          <w:color w:val="auto"/>
          <w:sz w:val="24"/>
          <w:szCs w:val="24"/>
          <w:highlight w:val="none"/>
        </w:rPr>
        <w:t>。</w:t>
      </w:r>
    </w:p>
    <w:p>
      <w:pPr>
        <w:autoSpaceDE w:val="0"/>
        <w:autoSpaceDN w:val="0"/>
        <w:adjustRightInd w:val="0"/>
        <w:spacing w:line="288" w:lineRule="auto"/>
        <w:ind w:right="-20" w:firstLine="480" w:firstLineChars="200"/>
        <w:rPr>
          <w:rFonts w:ascii="宋体" w:hAnsi="宋体" w:cs="宋体"/>
          <w:color w:val="auto"/>
          <w:sz w:val="24"/>
          <w:highlight w:val="none"/>
        </w:rPr>
      </w:pPr>
      <w:r>
        <w:rPr>
          <w:rFonts w:hint="eastAsia" w:ascii="宋体" w:hAnsi="宋体" w:cs="宋体"/>
          <w:color w:val="auto"/>
          <w:sz w:val="24"/>
          <w:szCs w:val="22"/>
          <w:highlight w:val="none"/>
        </w:rPr>
        <w:t>本项目（否）接受联合体投标。</w:t>
      </w:r>
    </w:p>
    <w:p>
      <w:pPr>
        <w:autoSpaceDE w:val="0"/>
        <w:autoSpaceDN w:val="0"/>
        <w:adjustRightInd w:val="0"/>
        <w:spacing w:line="288" w:lineRule="auto"/>
        <w:ind w:right="-23" w:firstLine="482" w:firstLineChars="200"/>
        <w:rPr>
          <w:rFonts w:ascii="宋体" w:hAnsi="宋体" w:cs="宋体"/>
          <w:color w:val="auto"/>
          <w:highlight w:val="none"/>
        </w:rPr>
      </w:pPr>
      <w:r>
        <w:rPr>
          <w:rStyle w:val="91"/>
          <w:rFonts w:hint="eastAsia" w:ascii="宋体" w:hAnsi="宋体" w:cs="宋体"/>
          <w:color w:val="auto"/>
          <w:sz w:val="24"/>
          <w:szCs w:val="24"/>
          <w:highlight w:val="none"/>
        </w:rPr>
        <w:t>二、申请人的资格要求</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2.落实政府采购政策需满足的资格要求：本项目属于【软件和信息技术服务业】行业，要求供应商为中小企业。中小企业是指满足《政府采购促进中小企业发展管理办法》（财库〔2020〕46 号）第二条规定的企业。监狱企业、残疾人福利性单位视为中小企业。供应商需上传《中小企业声明函》等。</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3.本项目的特定资格要求：</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（1）单位负责人为同一人或者存在直接控股、管理关系的不同投标人，不得参加同一合同项下的政府采购活动；</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（2）根据《关于规范政府采购投标人资格设定及资格审查的通知》 （浙财采监[2013]24 号）第 6 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p>
      <w:pPr>
        <w:autoSpaceDE w:val="0"/>
        <w:autoSpaceDN w:val="0"/>
        <w:adjustRightInd w:val="0"/>
        <w:spacing w:line="288" w:lineRule="auto"/>
        <w:ind w:right="-20" w:firstLine="480" w:firstLineChars="200"/>
        <w:rPr>
          <w:color w:val="auto"/>
          <w:highlight w:val="none"/>
        </w:rPr>
      </w:pPr>
      <w:r>
        <w:rPr>
          <w:rFonts w:hint="eastAsia" w:ascii="宋体" w:hAnsi="宋体"/>
          <w:color w:val="auto"/>
          <w:sz w:val="24"/>
          <w:szCs w:val="22"/>
          <w:highlight w:val="none"/>
        </w:rPr>
        <w:t>（3）根据《政府购买服务管理办法》（中华人民共和国财政部令第102号）规定，公益一类事业单位、使用事业编制且由财政拨款保障的群团组织，不作为政府购买服务的购买主体和承接主体,本项目不接受该类供应商的投标。</w:t>
      </w:r>
    </w:p>
    <w:p>
      <w:pPr>
        <w:autoSpaceDE w:val="0"/>
        <w:autoSpaceDN w:val="0"/>
        <w:adjustRightInd w:val="0"/>
        <w:spacing w:line="288" w:lineRule="auto"/>
        <w:ind w:right="-20" w:firstLine="480" w:firstLineChars="200"/>
        <w:rPr>
          <w:rFonts w:ascii="宋体" w:hAnsi="宋体"/>
          <w:color w:val="auto"/>
          <w:sz w:val="24"/>
          <w:highlight w:val="none"/>
        </w:rPr>
      </w:pPr>
      <w:r>
        <w:rPr>
          <w:rFonts w:hint="eastAsia" w:ascii="宋体" w:hAnsi="宋体"/>
          <w:color w:val="auto"/>
          <w:sz w:val="24"/>
          <w:highlight w:val="none"/>
        </w:rPr>
        <w:t>（4）非联合体投标。</w:t>
      </w:r>
    </w:p>
    <w:p>
      <w:pPr>
        <w:autoSpaceDE w:val="0"/>
        <w:autoSpaceDN w:val="0"/>
        <w:adjustRightInd w:val="0"/>
        <w:spacing w:line="360" w:lineRule="exact"/>
        <w:ind w:right="-23" w:firstLine="482" w:firstLineChars="200"/>
        <w:rPr>
          <w:rStyle w:val="91"/>
          <w:rFonts w:ascii="宋体" w:hAnsi="宋体" w:cs="宋体"/>
          <w:color w:val="auto"/>
          <w:sz w:val="24"/>
          <w:szCs w:val="24"/>
          <w:highlight w:val="none"/>
        </w:rPr>
      </w:pPr>
      <w:r>
        <w:rPr>
          <w:rStyle w:val="91"/>
          <w:rFonts w:hint="eastAsia" w:ascii="宋体" w:hAnsi="宋体" w:cs="宋体"/>
          <w:color w:val="auto"/>
          <w:sz w:val="24"/>
          <w:szCs w:val="24"/>
          <w:highlight w:val="none"/>
        </w:rPr>
        <w:t>三、获取采购文件</w:t>
      </w:r>
    </w:p>
    <w:p>
      <w:pPr>
        <w:autoSpaceDE w:val="0"/>
        <w:autoSpaceDN w:val="0"/>
        <w:adjustRightInd w:val="0"/>
        <w:spacing w:line="360" w:lineRule="exact"/>
        <w:ind w:right="-2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时间：/至202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日，每天上午00:00至12:00，下午12:00至23:59（北京时间，线上获取法定节假日均可，线下获取文件法定节假日除外）</w:t>
      </w:r>
    </w:p>
    <w:p>
      <w:pPr>
        <w:autoSpaceDE w:val="0"/>
        <w:autoSpaceDN w:val="0"/>
        <w:adjustRightInd w:val="0"/>
        <w:spacing w:line="360" w:lineRule="exact"/>
        <w:ind w:right="-2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地点（网址）：政采云平台（http://zfcg.czt.zj.gov.cn） </w:t>
      </w:r>
    </w:p>
    <w:p>
      <w:pPr>
        <w:autoSpaceDE w:val="0"/>
        <w:autoSpaceDN w:val="0"/>
        <w:adjustRightInd w:val="0"/>
        <w:spacing w:line="360" w:lineRule="exact"/>
        <w:ind w:right="-2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 </w:t>
      </w:r>
    </w:p>
    <w:p>
      <w:pPr>
        <w:autoSpaceDE w:val="0"/>
        <w:autoSpaceDN w:val="0"/>
        <w:adjustRightInd w:val="0"/>
        <w:spacing w:line="360" w:lineRule="exact"/>
        <w:ind w:right="-2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售价（元）：0 </w:t>
      </w:r>
    </w:p>
    <w:p>
      <w:pPr>
        <w:autoSpaceDE w:val="0"/>
        <w:autoSpaceDN w:val="0"/>
        <w:adjustRightInd w:val="0"/>
        <w:spacing w:line="360" w:lineRule="exact"/>
        <w:ind w:right="-2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autoSpaceDE w:val="0"/>
        <w:autoSpaceDN w:val="0"/>
        <w:adjustRightInd w:val="0"/>
        <w:spacing w:line="360" w:lineRule="exact"/>
        <w:ind w:right="-23" w:firstLine="480" w:firstLineChars="200"/>
        <w:rPr>
          <w:rFonts w:ascii="宋体" w:hAnsi="宋体" w:cs="宋体"/>
          <w:color w:val="auto"/>
          <w:highlight w:val="none"/>
        </w:rPr>
      </w:pPr>
      <w:r>
        <w:rPr>
          <w:rFonts w:hint="eastAsia" w:ascii="宋体" w:hAnsi="宋体" w:cs="宋体"/>
          <w:color w:val="auto"/>
          <w:sz w:val="24"/>
          <w:szCs w:val="24"/>
          <w:highlight w:val="none"/>
        </w:rPr>
        <w:t>注：请供应商按上述要求获取招标文件，如未在“政采云”系统内完成相关流程，引起的投标无效责任自负。</w:t>
      </w:r>
    </w:p>
    <w:p>
      <w:pPr>
        <w:autoSpaceDE w:val="0"/>
        <w:autoSpaceDN w:val="0"/>
        <w:adjustRightInd w:val="0"/>
        <w:spacing w:line="360" w:lineRule="exact"/>
        <w:ind w:right="-23" w:firstLine="482" w:firstLineChars="200"/>
        <w:rPr>
          <w:rStyle w:val="91"/>
          <w:rFonts w:ascii="宋体" w:hAnsi="宋体" w:cs="宋体"/>
          <w:color w:val="auto"/>
          <w:sz w:val="24"/>
          <w:szCs w:val="24"/>
          <w:highlight w:val="none"/>
        </w:rPr>
      </w:pPr>
      <w:r>
        <w:rPr>
          <w:rStyle w:val="91"/>
          <w:rFonts w:hint="eastAsia" w:ascii="宋体" w:hAnsi="宋体" w:cs="宋体"/>
          <w:color w:val="auto"/>
          <w:sz w:val="24"/>
          <w:szCs w:val="24"/>
          <w:highlight w:val="none"/>
        </w:rPr>
        <w:t>四、提交投标文件截止时间、开标时间和地点</w:t>
      </w:r>
    </w:p>
    <w:p>
      <w:pPr>
        <w:autoSpaceDE w:val="0"/>
        <w:autoSpaceDN w:val="0"/>
        <w:adjustRightInd w:val="0"/>
        <w:spacing w:line="360" w:lineRule="exact"/>
        <w:ind w:right="-2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提交投标文件截止时间：202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日09:00（北京时间）</w:t>
      </w:r>
    </w:p>
    <w:p>
      <w:pPr>
        <w:autoSpaceDE w:val="0"/>
        <w:autoSpaceDN w:val="0"/>
        <w:adjustRightInd w:val="0"/>
        <w:spacing w:line="360" w:lineRule="exact"/>
        <w:ind w:right="-2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autoSpaceDE w:val="0"/>
        <w:autoSpaceDN w:val="0"/>
        <w:adjustRightInd w:val="0"/>
        <w:spacing w:line="360" w:lineRule="exact"/>
        <w:ind w:right="-2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投标地点（网址）：政采云平台（http://zfcg.czt.zj.gov.cn） </w:t>
      </w:r>
    </w:p>
    <w:p>
      <w:pPr>
        <w:autoSpaceDE w:val="0"/>
        <w:autoSpaceDN w:val="0"/>
        <w:adjustRightInd w:val="0"/>
        <w:spacing w:line="360" w:lineRule="exact"/>
        <w:ind w:right="-23"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开标时间：202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 xml:space="preserve">日09:00（北京时间） </w:t>
      </w:r>
    </w:p>
    <w:p>
      <w:pPr>
        <w:autoSpaceDE w:val="0"/>
        <w:autoSpaceDN w:val="0"/>
        <w:adjustRightInd w:val="0"/>
        <w:spacing w:line="360" w:lineRule="exact"/>
        <w:ind w:right="-2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开标地点（网址）：衢州市公共资源交易中心（衢州市柯城区花园东大道199号）A座5楼评标厅，同步在政府采购云平台（https://www.zcygov.cn）上开启投标文件。  </w:t>
      </w:r>
    </w:p>
    <w:p>
      <w:pPr>
        <w:autoSpaceDE w:val="0"/>
        <w:autoSpaceDN w:val="0"/>
        <w:adjustRightInd w:val="0"/>
        <w:spacing w:line="360" w:lineRule="exact"/>
        <w:ind w:right="-23"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五、采购意向公开链接</w:t>
      </w:r>
    </w:p>
    <w:p>
      <w:pPr>
        <w:autoSpaceDE w:val="0"/>
        <w:autoSpaceDN w:val="0"/>
        <w:adjustRightInd w:val="0"/>
        <w:spacing w:line="360" w:lineRule="exact"/>
        <w:ind w:right="-2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https://zfcg.czt.zj.gov.cn/innerUsed_noticeDetails/index.html?noticeId=9050875&amp;utm=web-government-front.49399a16.0.0.3fe5b7b06a0a11edba69bfaded1fc371</w:t>
      </w:r>
    </w:p>
    <w:p>
      <w:pPr>
        <w:autoSpaceDE w:val="0"/>
        <w:autoSpaceDN w:val="0"/>
        <w:adjustRightInd w:val="0"/>
        <w:spacing w:line="288" w:lineRule="auto"/>
        <w:ind w:right="-23" w:firstLine="482" w:firstLineChars="200"/>
        <w:rPr>
          <w:rStyle w:val="91"/>
          <w:rFonts w:ascii="宋体" w:hAnsi="宋体" w:cs="宋体"/>
          <w:color w:val="auto"/>
          <w:sz w:val="24"/>
          <w:szCs w:val="24"/>
          <w:highlight w:val="none"/>
        </w:rPr>
      </w:pPr>
      <w:r>
        <w:rPr>
          <w:rStyle w:val="91"/>
          <w:rFonts w:hint="eastAsia" w:ascii="宋体" w:hAnsi="宋体" w:cs="宋体"/>
          <w:color w:val="auto"/>
          <w:sz w:val="24"/>
          <w:szCs w:val="24"/>
          <w:highlight w:val="none"/>
        </w:rPr>
        <w:t>六、公告期限：</w:t>
      </w:r>
    </w:p>
    <w:p>
      <w:pPr>
        <w:autoSpaceDE w:val="0"/>
        <w:autoSpaceDN w:val="0"/>
        <w:adjustRightInd w:val="0"/>
        <w:spacing w:line="288" w:lineRule="auto"/>
        <w:ind w:right="-2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pPr>
        <w:autoSpaceDE w:val="0"/>
        <w:autoSpaceDN w:val="0"/>
        <w:adjustRightInd w:val="0"/>
        <w:spacing w:line="288" w:lineRule="auto"/>
        <w:ind w:right="-23"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七、其他补充事宜</w:t>
      </w:r>
    </w:p>
    <w:p>
      <w:pPr>
        <w:autoSpaceDE w:val="0"/>
        <w:autoSpaceDN w:val="0"/>
        <w:adjustRightInd w:val="0"/>
        <w:spacing w:line="288" w:lineRule="auto"/>
        <w:ind w:right="-23"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utoSpaceDE w:val="0"/>
        <w:autoSpaceDN w:val="0"/>
        <w:adjustRightInd w:val="0"/>
        <w:spacing w:line="288" w:lineRule="auto"/>
        <w:ind w:right="-23"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2.根据《浙江省财政厅关于进一步促进政府采购公平竞争打造最优营商环境的通 知》（浙财采监（2021）22号）文件关于“健全行政裁决机制”要求，鼓励供应商在线提起询问，路径为：政采云-项目采购-询问质疑投诉-询问列表:鼓励供应商在线提起质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pPr>
        <w:autoSpaceDE w:val="0"/>
        <w:autoSpaceDN w:val="0"/>
        <w:adjustRightInd w:val="0"/>
        <w:spacing w:line="288" w:lineRule="auto"/>
        <w:ind w:right="-23"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3.供应商认为采购文件使自己的权益受到损害的，可以自获取采购文件之日或者 采购公告期限届满之日（公告期限届满后获取采购文件的，以公告期限届满之日为准） 起7个工作日内，对采购文件需求的以书面形式向招标人提出质疑，对其他内容的以书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不满意或者招标人、采购代理机构未在规定的时间内作出答复的，可以在答复期满后十五个工作日内向同级政府采购监督管理部门投诉。质疑函范本、投诉书范本请到浙江政 府采购网下载专区下载。</w:t>
      </w:r>
    </w:p>
    <w:p>
      <w:pPr>
        <w:autoSpaceDE w:val="0"/>
        <w:autoSpaceDN w:val="0"/>
        <w:adjustRightInd w:val="0"/>
        <w:spacing w:line="288" w:lineRule="auto"/>
        <w:ind w:right="-23"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4.其他事项：</w:t>
      </w:r>
    </w:p>
    <w:p>
      <w:pPr>
        <w:autoSpaceDE w:val="0"/>
        <w:autoSpaceDN w:val="0"/>
        <w:adjustRightInd w:val="0"/>
        <w:spacing w:line="288" w:lineRule="auto"/>
        <w:ind w:right="-23"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4.1采购项目需要落实的政府采购政策：</w:t>
      </w:r>
    </w:p>
    <w:p>
      <w:pPr>
        <w:autoSpaceDE w:val="0"/>
        <w:autoSpaceDN w:val="0"/>
        <w:adjustRightInd w:val="0"/>
        <w:spacing w:line="288" w:lineRule="auto"/>
        <w:ind w:right="-23"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本项目对符合《政府采购促进中小企业发展管理办法》规定的中小企业、监狱企业、残疾人福利性单位给予政策扶持，执行节能产品政府强制采购和优先采购政策（采购人优先采购被认定为首台套产品和“制造精品”的自主创新产品。降低创新产品政府采购市场准入门槛，首台（套）产品纳入《省推广应用指导目录》之日起3 年内参加政府采购活动时视同已具备相关销售业绩，业绩分值为满分），执行环境标志产品政府优先采购政策。</w:t>
      </w:r>
    </w:p>
    <w:p>
      <w:pPr>
        <w:autoSpaceDE w:val="0"/>
        <w:autoSpaceDN w:val="0"/>
        <w:adjustRightInd w:val="0"/>
        <w:spacing w:line="288" w:lineRule="auto"/>
        <w:ind w:right="-23" w:firstLine="482" w:firstLineChars="200"/>
        <w:rPr>
          <w:rFonts w:ascii="宋体" w:hAnsi="宋体" w:cs="宋体"/>
          <w:color w:val="auto"/>
          <w:sz w:val="24"/>
          <w:szCs w:val="22"/>
          <w:highlight w:val="none"/>
        </w:rPr>
      </w:pPr>
      <w:r>
        <w:rPr>
          <w:rFonts w:hint="eastAsia" w:ascii="宋体" w:hAnsi="宋体" w:cs="宋体"/>
          <w:b/>
          <w:bCs/>
          <w:color w:val="auto"/>
          <w:sz w:val="24"/>
          <w:szCs w:val="22"/>
          <w:highlight w:val="none"/>
        </w:rPr>
        <w:t>本项目属于预留份额专门面向中小企业采购项目。</w:t>
      </w:r>
      <w:r>
        <w:rPr>
          <w:rFonts w:hint="eastAsia" w:ascii="宋体" w:hAnsi="宋体" w:cs="宋体"/>
          <w:color w:val="auto"/>
          <w:sz w:val="24"/>
          <w:szCs w:val="22"/>
          <w:highlight w:val="none"/>
        </w:rPr>
        <w:br w:type="textWrapping"/>
      </w:r>
      <w:r>
        <w:rPr>
          <w:rFonts w:hint="eastAsia" w:ascii="宋体" w:hAnsi="宋体" w:cs="宋体"/>
          <w:color w:val="auto"/>
          <w:sz w:val="24"/>
          <w:szCs w:val="22"/>
          <w:highlight w:val="none"/>
        </w:rPr>
        <w:t xml:space="preserve">    4.2电子招投标的说明：</w:t>
      </w:r>
    </w:p>
    <w:p>
      <w:pPr>
        <w:autoSpaceDE w:val="0"/>
        <w:autoSpaceDN w:val="0"/>
        <w:adjustRightInd w:val="0"/>
        <w:spacing w:line="288" w:lineRule="auto"/>
        <w:ind w:right="-23"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招标人、招标代理机构将依托政采云平台完成本项目的电子交易活动，平台不接受未按上述方式获取招标文件的供应商进行投标活动；</w:t>
      </w:r>
    </w:p>
    <w:p>
      <w:pPr>
        <w:autoSpaceDE w:val="0"/>
        <w:autoSpaceDN w:val="0"/>
        <w:adjustRightInd w:val="0"/>
        <w:spacing w:line="288" w:lineRule="auto"/>
        <w:ind w:right="-23"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⑥对未按上述方式获取招标文件的供应商对该文件提出的质疑，招标人或招标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autoSpaceDE w:val="0"/>
        <w:autoSpaceDN w:val="0"/>
        <w:adjustRightInd w:val="0"/>
        <w:spacing w:line="288" w:lineRule="auto"/>
        <w:ind w:right="-23"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4.3融资政策，企业质押融资：取得政府采购合同的供应商，均可通过浙江政府采购网（https://zfcg.czt.zj.gov.cn/）首页的“浙江政采贷”模块进入申请贷款或通过政府采购云平台（https://www.zcygov.cn/）首页的“金融服务”模块进入申请贷款。也可通过“浙江政务网”登录到“衢融通”平台，发起政府采购质押融资申请。</w:t>
      </w:r>
    </w:p>
    <w:p>
      <w:pPr>
        <w:autoSpaceDE w:val="0"/>
        <w:autoSpaceDN w:val="0"/>
        <w:adjustRightInd w:val="0"/>
        <w:spacing w:line="288" w:lineRule="auto"/>
        <w:ind w:right="-23" w:firstLine="482" w:firstLineChars="200"/>
        <w:rPr>
          <w:rStyle w:val="91"/>
          <w:rFonts w:ascii="宋体" w:hAnsi="宋体" w:cs="宋体"/>
          <w:color w:val="auto"/>
          <w:sz w:val="24"/>
          <w:szCs w:val="24"/>
          <w:highlight w:val="none"/>
        </w:rPr>
      </w:pPr>
      <w:r>
        <w:rPr>
          <w:rStyle w:val="91"/>
          <w:rFonts w:hint="eastAsia" w:ascii="宋体" w:hAnsi="宋体" w:cs="宋体"/>
          <w:color w:val="auto"/>
          <w:sz w:val="24"/>
          <w:szCs w:val="24"/>
          <w:highlight w:val="none"/>
        </w:rPr>
        <w:t>七、对本次采购提出询问、质疑、投诉，请按以下方式联系</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1.采购人信息</w:t>
      </w:r>
      <w:r>
        <w:rPr>
          <w:rFonts w:ascii="宋体" w:hAnsi="宋体"/>
          <w:color w:val="auto"/>
          <w:sz w:val="24"/>
          <w:szCs w:val="22"/>
          <w:highlight w:val="none"/>
        </w:rPr>
        <w:t xml:space="preserve">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ascii="宋体" w:hAnsi="宋体"/>
          <w:color w:val="auto"/>
          <w:sz w:val="24"/>
          <w:szCs w:val="22"/>
          <w:highlight w:val="none"/>
        </w:rPr>
        <w:t>名称：</w:t>
      </w:r>
      <w:r>
        <w:rPr>
          <w:rFonts w:hint="eastAsia" w:ascii="宋体" w:hAnsi="宋体"/>
          <w:color w:val="auto"/>
          <w:sz w:val="24"/>
          <w:szCs w:val="22"/>
          <w:highlight w:val="none"/>
        </w:rPr>
        <w:t>浙江大学衢州研究院</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ascii="宋体" w:hAnsi="宋体"/>
          <w:color w:val="auto"/>
          <w:sz w:val="24"/>
          <w:szCs w:val="22"/>
          <w:highlight w:val="none"/>
        </w:rPr>
        <w:t>地址：</w:t>
      </w:r>
      <w:r>
        <w:rPr>
          <w:rFonts w:hint="eastAsia" w:ascii="宋体" w:hAnsi="宋体"/>
          <w:color w:val="auto"/>
          <w:sz w:val="24"/>
          <w:szCs w:val="22"/>
          <w:highlight w:val="none"/>
        </w:rPr>
        <w:t>柯城区浙大路99号</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ascii="宋体" w:hAnsi="宋体"/>
          <w:color w:val="auto"/>
          <w:sz w:val="24"/>
          <w:szCs w:val="22"/>
          <w:highlight w:val="none"/>
        </w:rPr>
        <w:t>传真：/</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ascii="宋体" w:hAnsi="宋体"/>
          <w:color w:val="auto"/>
          <w:sz w:val="24"/>
          <w:szCs w:val="22"/>
          <w:highlight w:val="none"/>
        </w:rPr>
        <w:t>项目联系人（询问）：</w:t>
      </w:r>
      <w:r>
        <w:rPr>
          <w:rFonts w:hint="eastAsia" w:ascii="宋体" w:hAnsi="宋体"/>
          <w:color w:val="auto"/>
          <w:sz w:val="24"/>
          <w:szCs w:val="22"/>
          <w:highlight w:val="none"/>
          <w:lang w:val="en-US" w:eastAsia="zh-CN"/>
        </w:rPr>
        <w:t>姜</w:t>
      </w:r>
      <w:r>
        <w:rPr>
          <w:rFonts w:hint="eastAsia" w:ascii="宋体" w:hAnsi="宋体"/>
          <w:color w:val="auto"/>
          <w:sz w:val="24"/>
          <w:szCs w:val="22"/>
          <w:highlight w:val="none"/>
        </w:rPr>
        <w:t>老师</w:t>
      </w:r>
      <w:r>
        <w:rPr>
          <w:rFonts w:ascii="宋体" w:hAnsi="宋体"/>
          <w:color w:val="auto"/>
          <w:sz w:val="24"/>
          <w:szCs w:val="22"/>
          <w:highlight w:val="none"/>
        </w:rPr>
        <w:t>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ascii="宋体" w:hAnsi="宋体"/>
          <w:color w:val="auto"/>
          <w:sz w:val="24"/>
          <w:szCs w:val="22"/>
          <w:highlight w:val="none"/>
        </w:rPr>
        <w:t>项目联系方式（询问）：0570-</w:t>
      </w:r>
      <w:r>
        <w:rPr>
          <w:rFonts w:hint="eastAsia" w:ascii="宋体" w:hAnsi="宋体"/>
          <w:color w:val="auto"/>
          <w:sz w:val="24"/>
          <w:szCs w:val="22"/>
          <w:highlight w:val="none"/>
          <w:lang w:val="en-US" w:eastAsia="zh-CN"/>
        </w:rPr>
        <w:t>8016295</w:t>
      </w:r>
      <w:r>
        <w:rPr>
          <w:rFonts w:ascii="宋体" w:hAnsi="宋体"/>
          <w:color w:val="auto"/>
          <w:sz w:val="24"/>
          <w:szCs w:val="22"/>
          <w:highlight w:val="none"/>
        </w:rPr>
        <w:t>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ascii="宋体" w:hAnsi="宋体"/>
          <w:color w:val="auto"/>
          <w:sz w:val="24"/>
          <w:szCs w:val="22"/>
          <w:highlight w:val="none"/>
        </w:rPr>
        <w:t>质疑联系人：</w:t>
      </w:r>
      <w:r>
        <w:rPr>
          <w:rFonts w:hint="eastAsia" w:ascii="宋体" w:hAnsi="宋体" w:cs="宋体"/>
          <w:color w:val="auto"/>
          <w:sz w:val="24"/>
          <w:szCs w:val="24"/>
          <w:highlight w:val="none"/>
        </w:rPr>
        <w:t>钱老师</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ascii="宋体" w:hAnsi="宋体"/>
          <w:color w:val="auto"/>
          <w:sz w:val="24"/>
          <w:szCs w:val="22"/>
          <w:highlight w:val="none"/>
        </w:rPr>
        <w:t>质疑联系方式：0570-</w:t>
      </w:r>
      <w:r>
        <w:rPr>
          <w:rFonts w:hint="eastAsia" w:ascii="宋体" w:hAnsi="宋体"/>
          <w:color w:val="auto"/>
          <w:sz w:val="24"/>
          <w:szCs w:val="22"/>
          <w:highlight w:val="none"/>
        </w:rPr>
        <w:t>8010682</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 xml:space="preserve">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 xml:space="preserve">2.采购代理机构信息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 xml:space="preserve">名    称：浙江中正工程项目管理有限公司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 xml:space="preserve">地    址：衢州市西区九华北大道509号9楼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 xml:space="preserve">传    真：0570-3850156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 xml:space="preserve">项目联系人（询问）：朱井芬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 xml:space="preserve">项目联系方式（询问）：0570-3850116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 xml:space="preserve">质疑联系人：周丽爱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 xml:space="preserve">质疑联系方式：0570-3850117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 xml:space="preserve">    </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3.同级政府采购监督管理部门</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名 称：衢州市财政局</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地 址：衢州市三江东路28号</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传 真：0570-8757615</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联系人 ：徐先生</w:t>
      </w:r>
    </w:p>
    <w:p>
      <w:pPr>
        <w:autoSpaceDE w:val="0"/>
        <w:autoSpaceDN w:val="0"/>
        <w:adjustRightInd w:val="0"/>
        <w:spacing w:line="288" w:lineRule="auto"/>
        <w:ind w:right="-20" w:firstLine="480" w:firstLineChars="200"/>
        <w:rPr>
          <w:rFonts w:ascii="宋体" w:hAnsi="宋体"/>
          <w:color w:val="auto"/>
          <w:sz w:val="24"/>
          <w:szCs w:val="22"/>
          <w:highlight w:val="none"/>
        </w:rPr>
      </w:pPr>
      <w:r>
        <w:rPr>
          <w:rFonts w:hint="eastAsia" w:ascii="宋体" w:hAnsi="宋体"/>
          <w:color w:val="auto"/>
          <w:sz w:val="24"/>
          <w:szCs w:val="22"/>
          <w:highlight w:val="none"/>
        </w:rPr>
        <w:t>监督投诉电话：0570-8757615</w:t>
      </w:r>
    </w:p>
    <w:p>
      <w:pPr>
        <w:autoSpaceDE w:val="0"/>
        <w:autoSpaceDN w:val="0"/>
        <w:adjustRightInd w:val="0"/>
        <w:spacing w:line="288" w:lineRule="auto"/>
        <w:ind w:right="-20" w:firstLine="480" w:firstLineChars="200"/>
        <w:rPr>
          <w:rFonts w:ascii="宋体" w:hAnsi="宋体"/>
          <w:color w:val="auto"/>
          <w:sz w:val="24"/>
          <w:szCs w:val="22"/>
          <w:highlight w:val="none"/>
        </w:rPr>
      </w:pPr>
    </w:p>
    <w:p>
      <w:pPr>
        <w:pStyle w:val="47"/>
        <w:pageBreakBefore/>
        <w:adjustRightInd w:val="0"/>
        <w:snapToGrid w:val="0"/>
        <w:spacing w:line="360" w:lineRule="auto"/>
        <w:jc w:val="center"/>
        <w:outlineLvl w:val="0"/>
        <w:rPr>
          <w:rFonts w:hAnsi="宋体" w:cs="宋体"/>
          <w:b/>
          <w:color w:val="auto"/>
          <w:sz w:val="36"/>
          <w:highlight w:val="none"/>
        </w:rPr>
      </w:pPr>
      <w:bookmarkStart w:id="2" w:name="_Toc126885986"/>
      <w:r>
        <w:rPr>
          <w:rFonts w:hint="eastAsia" w:hAnsi="宋体" w:cs="宋体"/>
          <w:b/>
          <w:color w:val="auto"/>
          <w:sz w:val="36"/>
          <w:highlight w:val="none"/>
        </w:rPr>
        <w:t>第二部分  投标人须知</w:t>
      </w:r>
      <w:bookmarkEnd w:id="2"/>
    </w:p>
    <w:p>
      <w:pPr>
        <w:pStyle w:val="4"/>
        <w:ind w:left="560" w:firstLine="0"/>
        <w:jc w:val="center"/>
        <w:rPr>
          <w:rFonts w:ascii="宋体" w:hAnsi="宋体" w:eastAsia="宋体" w:cs="宋体"/>
          <w:color w:val="auto"/>
          <w:sz w:val="32"/>
          <w:highlight w:val="none"/>
        </w:rPr>
      </w:pPr>
      <w:bookmarkStart w:id="3" w:name="_Toc522530040"/>
      <w:bookmarkStart w:id="4" w:name="_Toc519670190"/>
      <w:bookmarkStart w:id="5" w:name="_Toc126885987"/>
      <w:bookmarkStart w:id="6" w:name="_Toc16117"/>
      <w:r>
        <w:rPr>
          <w:rFonts w:hint="eastAsia" w:ascii="宋体" w:hAnsi="宋体" w:eastAsia="宋体" w:cs="宋体"/>
          <w:color w:val="auto"/>
          <w:sz w:val="32"/>
          <w:highlight w:val="none"/>
        </w:rPr>
        <w:t>前 附 表</w:t>
      </w:r>
      <w:bookmarkEnd w:id="3"/>
      <w:bookmarkEnd w:id="4"/>
      <w:bookmarkEnd w:id="5"/>
      <w:bookmarkEnd w:id="6"/>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720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spacing w:line="276"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54" w:type="dxa"/>
            <w:vAlign w:val="center"/>
          </w:tcPr>
          <w:p>
            <w:pPr>
              <w:spacing w:line="276"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7208" w:type="dxa"/>
            <w:vAlign w:val="center"/>
          </w:tcPr>
          <w:p>
            <w:pPr>
              <w:spacing w:line="276" w:lineRule="auto"/>
              <w:jc w:val="center"/>
              <w:rPr>
                <w:rFonts w:ascii="宋体" w:hAnsi="宋体" w:cs="宋体"/>
                <w:b/>
                <w:color w:val="auto"/>
                <w:sz w:val="24"/>
                <w:highlight w:val="none"/>
              </w:rPr>
            </w:pPr>
            <w:r>
              <w:rPr>
                <w:rFonts w:hint="eastAsia" w:ascii="宋体" w:hAnsi="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54" w:type="dxa"/>
            <w:vAlign w:val="center"/>
          </w:tcPr>
          <w:p>
            <w:pPr>
              <w:spacing w:line="276" w:lineRule="auto"/>
              <w:jc w:val="center"/>
              <w:rPr>
                <w:rFonts w:ascii="宋体" w:hAnsi="宋体" w:cs="宋体"/>
                <w:color w:val="auto"/>
                <w:sz w:val="24"/>
                <w:highlight w:val="none"/>
              </w:rPr>
            </w:pPr>
            <w:r>
              <w:rPr>
                <w:rFonts w:ascii="宋体" w:hAnsi="宋体"/>
                <w:color w:val="auto"/>
                <w:sz w:val="24"/>
                <w:highlight w:val="none"/>
              </w:rPr>
              <w:t>是否允许分包</w:t>
            </w:r>
          </w:p>
        </w:tc>
        <w:tc>
          <w:tcPr>
            <w:tcW w:w="7208" w:type="dxa"/>
            <w:vAlign w:val="center"/>
          </w:tcPr>
          <w:p>
            <w:pPr>
              <w:spacing w:line="276" w:lineRule="auto"/>
              <w:rPr>
                <w:rFonts w:ascii="宋体" w:hAnsi="宋体" w:cs="宋体"/>
                <w:color w:val="auto"/>
                <w:sz w:val="24"/>
                <w:highlight w:val="none"/>
              </w:rPr>
            </w:pPr>
            <w:r>
              <w:rPr>
                <w:rFonts w:hAnsi="宋体" w:cs="宋体"/>
                <w:color w:val="auto"/>
                <w:kern w:val="0"/>
                <w:sz w:val="24"/>
                <w:szCs w:val="24"/>
                <w:highlight w:val="none"/>
                <w:lang w:val="zh-CN"/>
              </w:rPr>
              <w:t>中标人可以将合同项下非主体、非关键性工作分包给他人完成。接受分包的人应当具备相应的资格条件，并不得再次分包。分包后不能解除中标人履行本项目合同的责任和义务，接受分包的人与中标人共同对招标人连带承担项目合同的责任和义务。如有分包，应在投标文件中明确分包内容，提供分包意向协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54" w:type="dxa"/>
            <w:vAlign w:val="center"/>
          </w:tcPr>
          <w:p>
            <w:pPr>
              <w:spacing w:line="276" w:lineRule="auto"/>
              <w:jc w:val="center"/>
              <w:rPr>
                <w:rFonts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t>踏勘现场</w:t>
            </w:r>
          </w:p>
        </w:tc>
        <w:tc>
          <w:tcPr>
            <w:tcW w:w="7208" w:type="dxa"/>
            <w:vAlign w:val="center"/>
          </w:tcPr>
          <w:p>
            <w:pPr>
              <w:spacing w:line="276" w:lineRule="auto"/>
              <w:rPr>
                <w:rFonts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sym w:font="Wingdings" w:char="F0FE"/>
            </w:r>
            <w:r>
              <w:rPr>
                <w:rFonts w:hint="eastAsia" w:ascii="宋体" w:hAnsi="宋体" w:cs="宋体"/>
                <w:color w:val="auto"/>
                <w:spacing w:val="-2"/>
                <w:kern w:val="0"/>
                <w:position w:val="-3"/>
                <w:sz w:val="24"/>
                <w:highlight w:val="none"/>
              </w:rPr>
              <w:t>不组织  投标人如有需要可自行前往踏勘，联系方式见招标公告。</w:t>
            </w:r>
          </w:p>
          <w:p>
            <w:pPr>
              <w:spacing w:line="276" w:lineRule="auto"/>
              <w:rPr>
                <w:rFonts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54" w:type="dxa"/>
            <w:vAlign w:val="center"/>
          </w:tcPr>
          <w:p>
            <w:pPr>
              <w:spacing w:line="276" w:lineRule="auto"/>
              <w:jc w:val="center"/>
              <w:rPr>
                <w:rFonts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t>投标预备答疑会</w:t>
            </w:r>
          </w:p>
        </w:tc>
        <w:tc>
          <w:tcPr>
            <w:tcW w:w="7208" w:type="dxa"/>
            <w:vAlign w:val="center"/>
          </w:tcPr>
          <w:p>
            <w:pPr>
              <w:spacing w:line="276" w:lineRule="auto"/>
              <w:rPr>
                <w:rFonts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sym w:font="Wingdings" w:char="F0FE"/>
            </w:r>
            <w:r>
              <w:rPr>
                <w:rFonts w:hint="eastAsia" w:ascii="宋体" w:hAnsi="宋体" w:cs="宋体"/>
                <w:color w:val="auto"/>
                <w:spacing w:val="-2"/>
                <w:kern w:val="0"/>
                <w:position w:val="-3"/>
                <w:sz w:val="24"/>
                <w:highlight w:val="none"/>
              </w:rPr>
              <w:t>不召开</w:t>
            </w:r>
          </w:p>
          <w:p>
            <w:pPr>
              <w:spacing w:line="276" w:lineRule="auto"/>
              <w:rPr>
                <w:rFonts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254" w:type="dxa"/>
            <w:vAlign w:val="center"/>
          </w:tcPr>
          <w:p>
            <w:pPr>
              <w:spacing w:line="276" w:lineRule="auto"/>
              <w:jc w:val="center"/>
              <w:rPr>
                <w:rFonts w:ascii="宋体" w:hAnsi="宋体" w:cs="宋体"/>
                <w:color w:val="auto"/>
                <w:sz w:val="24"/>
                <w:highlight w:val="none"/>
              </w:rPr>
            </w:pPr>
            <w:r>
              <w:rPr>
                <w:rFonts w:hint="eastAsia" w:ascii="宋体" w:hAnsi="宋体" w:cs="宋体"/>
                <w:color w:val="auto"/>
                <w:kern w:val="0"/>
                <w:position w:val="-3"/>
                <w:sz w:val="24"/>
                <w:highlight w:val="none"/>
              </w:rPr>
              <w:t>是否</w:t>
            </w:r>
            <w:r>
              <w:rPr>
                <w:rFonts w:hint="eastAsia" w:ascii="宋体" w:hAnsi="宋体" w:cs="宋体"/>
                <w:color w:val="auto"/>
                <w:spacing w:val="-2"/>
                <w:kern w:val="0"/>
                <w:position w:val="-3"/>
                <w:sz w:val="24"/>
                <w:highlight w:val="none"/>
              </w:rPr>
              <w:t>接</w:t>
            </w:r>
            <w:r>
              <w:rPr>
                <w:rFonts w:hint="eastAsia" w:ascii="宋体" w:hAnsi="宋体" w:cs="宋体"/>
                <w:color w:val="auto"/>
                <w:kern w:val="0"/>
                <w:position w:val="-3"/>
                <w:sz w:val="24"/>
                <w:highlight w:val="none"/>
              </w:rPr>
              <w:t>受</w:t>
            </w:r>
            <w:r>
              <w:rPr>
                <w:rFonts w:hint="eastAsia" w:ascii="宋体" w:hAnsi="宋体" w:cs="宋体"/>
                <w:color w:val="auto"/>
                <w:spacing w:val="-2"/>
                <w:kern w:val="0"/>
                <w:position w:val="-3"/>
                <w:sz w:val="24"/>
                <w:highlight w:val="none"/>
              </w:rPr>
              <w:t>联</w:t>
            </w:r>
            <w:r>
              <w:rPr>
                <w:rFonts w:hint="eastAsia" w:ascii="宋体" w:hAnsi="宋体" w:cs="宋体"/>
                <w:color w:val="auto"/>
                <w:kern w:val="0"/>
                <w:position w:val="-3"/>
                <w:sz w:val="24"/>
                <w:highlight w:val="none"/>
              </w:rPr>
              <w:t>合</w:t>
            </w:r>
            <w:r>
              <w:rPr>
                <w:rFonts w:hint="eastAsia" w:ascii="宋体" w:hAnsi="宋体" w:cs="宋体"/>
                <w:color w:val="auto"/>
                <w:spacing w:val="-2"/>
                <w:kern w:val="0"/>
                <w:position w:val="-3"/>
                <w:sz w:val="24"/>
                <w:highlight w:val="none"/>
              </w:rPr>
              <w:t>体</w:t>
            </w:r>
            <w:r>
              <w:rPr>
                <w:rFonts w:hint="eastAsia" w:ascii="宋体" w:hAnsi="宋体" w:cs="宋体"/>
                <w:color w:val="auto"/>
                <w:kern w:val="0"/>
                <w:position w:val="-3"/>
                <w:sz w:val="24"/>
                <w:highlight w:val="none"/>
              </w:rPr>
              <w:t>投标</w:t>
            </w:r>
          </w:p>
        </w:tc>
        <w:tc>
          <w:tcPr>
            <w:tcW w:w="7208" w:type="dxa"/>
            <w:vAlign w:val="center"/>
          </w:tcPr>
          <w:p>
            <w:pPr>
              <w:autoSpaceDE w:val="0"/>
              <w:autoSpaceDN w:val="0"/>
              <w:adjustRightInd w:val="0"/>
              <w:spacing w:line="276" w:lineRule="auto"/>
              <w:ind w:right="-20"/>
              <w:rPr>
                <w:rFonts w:ascii="宋体" w:hAnsi="宋体" w:cs="宋体"/>
                <w:color w:val="auto"/>
                <w:sz w:val="24"/>
                <w:highlight w:val="none"/>
                <w:lang w:val="zh-CN"/>
              </w:rPr>
            </w:pPr>
            <w:r>
              <w:rPr>
                <w:rFonts w:hint="eastAsia" w:ascii="宋体" w:hAnsi="宋体" w:cs="宋体"/>
                <w:color w:val="auto"/>
                <w:sz w:val="24"/>
                <w:highlight w:val="none"/>
              </w:rPr>
              <w:sym w:font="Wingdings" w:char="F0FE"/>
            </w:r>
            <w:r>
              <w:rPr>
                <w:rFonts w:hint="eastAsia" w:ascii="宋体" w:hAnsi="宋体" w:cs="宋体"/>
                <w:color w:val="auto"/>
                <w:sz w:val="24"/>
                <w:highlight w:val="none"/>
                <w:lang w:val="zh-CN"/>
              </w:rPr>
              <w:t>否。</w:t>
            </w:r>
          </w:p>
          <w:p>
            <w:pPr>
              <w:spacing w:line="276" w:lineRule="auto"/>
              <w:rPr>
                <w:rFonts w:ascii="宋体" w:hAnsi="宋体" w:cs="宋体"/>
                <w:color w:val="auto"/>
                <w:sz w:val="24"/>
                <w:highlight w:val="none"/>
              </w:rPr>
            </w:pPr>
            <w:r>
              <w:rPr>
                <w:rFonts w:hint="eastAsia" w:ascii="宋体" w:hAnsi="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254" w:type="dxa"/>
            <w:vAlign w:val="center"/>
          </w:tcPr>
          <w:p>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是否允许进口产品投标</w:t>
            </w:r>
          </w:p>
        </w:tc>
        <w:tc>
          <w:tcPr>
            <w:tcW w:w="7208" w:type="dxa"/>
            <w:vAlign w:val="center"/>
          </w:tcPr>
          <w:p>
            <w:pPr>
              <w:autoSpaceDE w:val="0"/>
              <w:autoSpaceDN w:val="0"/>
              <w:adjustRightInd w:val="0"/>
              <w:spacing w:line="276" w:lineRule="auto"/>
              <w:ind w:right="-20"/>
              <w:rPr>
                <w:rFonts w:ascii="宋体" w:hAnsi="宋体" w:cs="宋体"/>
                <w:color w:val="auto"/>
                <w:sz w:val="24"/>
                <w:highlight w:val="none"/>
                <w:lang w:val="zh-CN"/>
              </w:rPr>
            </w:pPr>
            <w:r>
              <w:rPr>
                <w:rFonts w:hint="eastAsia" w:ascii="宋体" w:hAnsi="宋体" w:cs="宋体"/>
                <w:color w:val="auto"/>
                <w:sz w:val="24"/>
                <w:highlight w:val="none"/>
              </w:rPr>
              <w:sym w:font="Wingdings" w:char="F0FE"/>
            </w:r>
            <w:r>
              <w:rPr>
                <w:rFonts w:hint="eastAsia" w:ascii="宋体" w:hAnsi="宋体" w:cs="宋体"/>
                <w:color w:val="auto"/>
                <w:sz w:val="24"/>
                <w:highlight w:val="none"/>
                <w:lang w:val="zh-CN"/>
              </w:rPr>
              <w:t>不允许。</w:t>
            </w:r>
          </w:p>
          <w:p>
            <w:pPr>
              <w:autoSpaceDE w:val="0"/>
              <w:autoSpaceDN w:val="0"/>
              <w:adjustRightInd w:val="0"/>
              <w:spacing w:line="276" w:lineRule="auto"/>
              <w:ind w:right="-20"/>
              <w:rPr>
                <w:rFonts w:ascii="宋体" w:hAnsi="宋体" w:cs="宋体"/>
                <w:color w:val="auto"/>
                <w:sz w:val="24"/>
                <w:highlight w:val="none"/>
              </w:rPr>
            </w:pPr>
            <w:r>
              <w:rPr>
                <w:rFonts w:hint="eastAsia" w:ascii="宋体" w:hAnsi="宋体" w:cs="宋体"/>
                <w:color w:val="auto"/>
                <w:sz w:val="24"/>
                <w:highlight w:val="none"/>
              </w:rPr>
              <w:t>□允许，详见招标文件第三部分 采购需求。</w:t>
            </w:r>
          </w:p>
          <w:p>
            <w:pPr>
              <w:autoSpaceDE w:val="0"/>
              <w:autoSpaceDN w:val="0"/>
              <w:adjustRightInd w:val="0"/>
              <w:spacing w:line="276" w:lineRule="auto"/>
              <w:ind w:right="-20"/>
              <w:rPr>
                <w:rFonts w:ascii="宋体" w:hAnsi="宋体" w:cs="宋体"/>
                <w:color w:val="auto"/>
                <w:sz w:val="24"/>
                <w:highlight w:val="none"/>
              </w:rPr>
            </w:pPr>
            <w:r>
              <w:rPr>
                <w:rFonts w:hint="eastAsia" w:ascii="宋体" w:hAnsi="宋体" w:cs="宋体"/>
                <w:color w:val="auto"/>
                <w:sz w:val="24"/>
                <w:highlight w:val="none"/>
              </w:rPr>
              <w:t>□部分允许，详见招标文件第三部分 采购需求。</w:t>
            </w:r>
          </w:p>
          <w:p>
            <w:pPr>
              <w:autoSpaceDE w:val="0"/>
              <w:autoSpaceDN w:val="0"/>
              <w:adjustRightInd w:val="0"/>
              <w:spacing w:line="276" w:lineRule="auto"/>
              <w:ind w:right="-20"/>
              <w:rPr>
                <w:rFonts w:ascii="宋体" w:hAnsi="宋体" w:cs="宋体"/>
                <w:color w:val="auto"/>
                <w:sz w:val="24"/>
                <w:highlight w:val="none"/>
              </w:rPr>
            </w:pPr>
            <w:r>
              <w:rPr>
                <w:rFonts w:hint="eastAsia" w:ascii="宋体" w:hAnsi="宋体" w:cs="宋体"/>
                <w:color w:val="auto"/>
                <w:sz w:val="24"/>
                <w:highlight w:val="none"/>
              </w:rPr>
              <w:t>报价及交货方式：□CIP</w:t>
            </w:r>
            <w:r>
              <w:rPr>
                <w:rFonts w:hint="eastAsia" w:ascii="宋体" w:hAnsi="宋体" w:cs="宋体"/>
                <w:color w:val="auto"/>
                <w:sz w:val="24"/>
                <w:highlight w:val="none"/>
                <w:lang w:val="zh-CN"/>
              </w:rPr>
              <w:t>/</w:t>
            </w:r>
            <w:r>
              <w:rPr>
                <w:rFonts w:hint="eastAsia" w:ascii="宋体" w:hAnsi="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254" w:type="dxa"/>
            <w:vAlign w:val="center"/>
          </w:tcPr>
          <w:p>
            <w:pPr>
              <w:spacing w:line="276" w:lineRule="auto"/>
              <w:jc w:val="center"/>
              <w:rPr>
                <w:rFonts w:ascii="宋体" w:hAnsi="宋体" w:cs="宋体"/>
                <w:color w:val="auto"/>
                <w:sz w:val="24"/>
                <w:highlight w:val="none"/>
              </w:rPr>
            </w:pPr>
            <w:r>
              <w:rPr>
                <w:rFonts w:hint="eastAsia" w:ascii="宋体" w:hAnsi="宋体" w:cs="宋体"/>
                <w:color w:val="auto"/>
                <w:kern w:val="0"/>
                <w:position w:val="-5"/>
                <w:sz w:val="24"/>
                <w:highlight w:val="none"/>
              </w:rPr>
              <w:t>投标</w:t>
            </w:r>
            <w:r>
              <w:rPr>
                <w:rFonts w:hint="eastAsia" w:ascii="宋体" w:hAnsi="宋体" w:cs="宋体"/>
                <w:color w:val="auto"/>
                <w:spacing w:val="-2"/>
                <w:kern w:val="0"/>
                <w:position w:val="-5"/>
                <w:sz w:val="24"/>
                <w:highlight w:val="none"/>
              </w:rPr>
              <w:t>文</w:t>
            </w:r>
            <w:r>
              <w:rPr>
                <w:rFonts w:hint="eastAsia" w:ascii="宋体" w:hAnsi="宋体" w:cs="宋体"/>
                <w:color w:val="auto"/>
                <w:kern w:val="0"/>
                <w:position w:val="-5"/>
                <w:sz w:val="24"/>
                <w:highlight w:val="none"/>
              </w:rPr>
              <w:t>件</w:t>
            </w:r>
            <w:r>
              <w:rPr>
                <w:rFonts w:hint="eastAsia" w:ascii="宋体" w:hAnsi="宋体" w:cs="宋体"/>
                <w:color w:val="auto"/>
                <w:spacing w:val="-2"/>
                <w:kern w:val="0"/>
                <w:position w:val="-5"/>
                <w:sz w:val="24"/>
                <w:highlight w:val="none"/>
              </w:rPr>
              <w:t>份</w:t>
            </w:r>
            <w:r>
              <w:rPr>
                <w:rFonts w:hint="eastAsia" w:ascii="宋体" w:hAnsi="宋体" w:cs="宋体"/>
                <w:color w:val="auto"/>
                <w:kern w:val="0"/>
                <w:position w:val="-5"/>
                <w:sz w:val="24"/>
                <w:highlight w:val="none"/>
              </w:rPr>
              <w:t>数</w:t>
            </w:r>
          </w:p>
        </w:tc>
        <w:tc>
          <w:tcPr>
            <w:tcW w:w="7208" w:type="dxa"/>
            <w:vAlign w:val="center"/>
          </w:tcPr>
          <w:p>
            <w:pPr>
              <w:numPr>
                <w:ilvl w:val="0"/>
                <w:numId w:val="3"/>
              </w:numPr>
              <w:spacing w:line="276" w:lineRule="auto"/>
              <w:rPr>
                <w:rFonts w:ascii="宋体" w:hAnsi="宋体" w:cs="宋体"/>
                <w:color w:val="auto"/>
                <w:sz w:val="24"/>
                <w:highlight w:val="none"/>
              </w:rPr>
            </w:pPr>
            <w:r>
              <w:rPr>
                <w:rFonts w:hint="eastAsia" w:ascii="宋体" w:hAnsi="宋体" w:cs="宋体"/>
                <w:color w:val="auto"/>
                <w:sz w:val="24"/>
                <w:highlight w:val="none"/>
              </w:rPr>
              <w:t>“电子加密投标文件”：在线上传递交、一份。</w:t>
            </w:r>
          </w:p>
          <w:p>
            <w:pPr>
              <w:spacing w:line="276" w:lineRule="auto"/>
              <w:rPr>
                <w:rFonts w:ascii="宋体" w:hAnsi="宋体" w:cs="宋体"/>
                <w:color w:val="auto"/>
                <w:sz w:val="24"/>
                <w:highlight w:val="none"/>
              </w:rPr>
            </w:pPr>
            <w:r>
              <w:rPr>
                <w:rFonts w:hint="eastAsia" w:ascii="宋体" w:hAnsi="宋体" w:cs="宋体"/>
                <w:color w:val="auto"/>
                <w:sz w:val="24"/>
                <w:highlight w:val="none"/>
              </w:rPr>
              <w:t>（2）“备份投标文件”</w:t>
            </w:r>
            <w:r>
              <w:rPr>
                <w:rFonts w:hint="eastAsia" w:ascii="宋体" w:hAnsi="宋体" w:cs="宋体"/>
                <w:color w:val="auto"/>
                <w:sz w:val="24"/>
                <w:highlight w:val="none"/>
                <w:lang w:eastAsia="zh-CN"/>
              </w:rPr>
              <w:t>、演示</w:t>
            </w:r>
            <w:r>
              <w:rPr>
                <w:rFonts w:hint="eastAsia" w:ascii="宋体" w:hAnsi="宋体" w:cs="宋体"/>
                <w:color w:val="auto"/>
                <w:sz w:val="24"/>
                <w:highlight w:val="none"/>
                <w:lang w:val="en-US" w:eastAsia="zh-CN"/>
              </w:rPr>
              <w:t>U盘</w:t>
            </w:r>
            <w:r>
              <w:rPr>
                <w:rFonts w:hint="eastAsia" w:ascii="宋体" w:hAnsi="宋体" w:cs="宋体"/>
                <w:color w:val="auto"/>
                <w:sz w:val="24"/>
                <w:highlight w:val="none"/>
              </w:rPr>
              <w:t>：密封包装后（建议顺丰或EMS邮寄形式）投标截止时间前递交一份，邮寄地址：衢州市九华北大道509号2#楼二单元九楼。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254" w:type="dxa"/>
            <w:vAlign w:val="center"/>
          </w:tcPr>
          <w:p>
            <w:pPr>
              <w:autoSpaceDE w:val="0"/>
              <w:autoSpaceDN w:val="0"/>
              <w:adjustRightInd w:val="0"/>
              <w:spacing w:line="276" w:lineRule="auto"/>
              <w:ind w:right="-20"/>
              <w:jc w:val="center"/>
              <w:rPr>
                <w:rFonts w:ascii="宋体" w:hAnsi="宋体" w:cs="宋体"/>
                <w:color w:val="auto"/>
                <w:kern w:val="0"/>
                <w:sz w:val="24"/>
                <w:highlight w:val="none"/>
              </w:rPr>
            </w:pPr>
            <w:r>
              <w:rPr>
                <w:rFonts w:hint="eastAsia" w:ascii="宋体" w:hAnsi="宋体" w:cs="宋体"/>
                <w:color w:val="auto"/>
                <w:kern w:val="0"/>
                <w:position w:val="-5"/>
                <w:sz w:val="24"/>
                <w:szCs w:val="22"/>
                <w:highlight w:val="none"/>
              </w:rPr>
              <w:t>投标文件的组成和编制</w:t>
            </w:r>
          </w:p>
        </w:tc>
        <w:tc>
          <w:tcPr>
            <w:tcW w:w="7208" w:type="dxa"/>
            <w:vAlign w:val="center"/>
          </w:tcPr>
          <w:p>
            <w:pPr>
              <w:autoSpaceDE w:val="0"/>
              <w:autoSpaceDN w:val="0"/>
              <w:adjustRightInd w:val="0"/>
              <w:spacing w:line="276" w:lineRule="auto"/>
              <w:ind w:right="-20"/>
              <w:rPr>
                <w:rFonts w:ascii="宋体" w:hAnsi="宋体" w:cs="宋体"/>
                <w:color w:val="auto"/>
                <w:sz w:val="24"/>
                <w:highlight w:val="none"/>
              </w:rPr>
            </w:pPr>
            <w:r>
              <w:rPr>
                <w:rFonts w:hint="eastAsia" w:ascii="宋体" w:hAnsi="宋体" w:cs="宋体"/>
                <w:color w:val="auto"/>
                <w:sz w:val="24"/>
                <w:highlight w:val="none"/>
              </w:rPr>
              <w:t>本项目</w:t>
            </w:r>
            <w:r>
              <w:rPr>
                <w:rFonts w:ascii="宋体" w:hAnsi="宋体" w:cs="宋体"/>
                <w:color w:val="auto"/>
                <w:sz w:val="24"/>
                <w:highlight w:val="none"/>
              </w:rPr>
              <w:t>完整的《投标文件》</w:t>
            </w:r>
            <w:r>
              <w:rPr>
                <w:rFonts w:hint="eastAsia" w:ascii="宋体" w:hAnsi="宋体" w:cs="宋体"/>
                <w:color w:val="auto"/>
                <w:sz w:val="24"/>
                <w:highlight w:val="none"/>
              </w:rPr>
              <w:t>由“资格文件”、“商务技术文件”和“报价文件”三个部分组成。</w:t>
            </w:r>
          </w:p>
          <w:p>
            <w:pPr>
              <w:autoSpaceDE w:val="0"/>
              <w:autoSpaceDN w:val="0"/>
              <w:adjustRightInd w:val="0"/>
              <w:spacing w:line="276" w:lineRule="auto"/>
              <w:ind w:right="-20"/>
              <w:rPr>
                <w:rFonts w:ascii="宋体" w:hAnsi="宋体" w:cs="宋体"/>
                <w:color w:val="auto"/>
                <w:kern w:val="0"/>
                <w:sz w:val="24"/>
                <w:highlight w:val="none"/>
              </w:rPr>
            </w:pPr>
            <w:r>
              <w:rPr>
                <w:rFonts w:hint="eastAsia" w:ascii="宋体" w:hAnsi="宋体" w:cs="宋体"/>
                <w:color w:val="auto"/>
                <w:sz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254" w:type="dxa"/>
            <w:vAlign w:val="center"/>
          </w:tcPr>
          <w:p>
            <w:pPr>
              <w:autoSpaceDE w:val="0"/>
              <w:autoSpaceDN w:val="0"/>
              <w:adjustRightInd w:val="0"/>
              <w:spacing w:line="276" w:lineRule="auto"/>
              <w:ind w:right="-20"/>
              <w:jc w:val="center"/>
              <w:rPr>
                <w:rFonts w:ascii="宋体" w:hAnsi="宋体" w:cs="宋体"/>
                <w:color w:val="auto"/>
                <w:kern w:val="0"/>
                <w:position w:val="-3"/>
                <w:sz w:val="24"/>
                <w:highlight w:val="none"/>
              </w:rPr>
            </w:pPr>
            <w:r>
              <w:rPr>
                <w:rFonts w:hint="eastAsia" w:ascii="宋体" w:hAnsi="宋体" w:cs="宋体"/>
                <w:color w:val="auto"/>
                <w:kern w:val="0"/>
                <w:position w:val="-5"/>
                <w:sz w:val="24"/>
                <w:szCs w:val="22"/>
                <w:highlight w:val="none"/>
              </w:rPr>
              <w:t>投标文件的签章</w:t>
            </w:r>
          </w:p>
        </w:tc>
        <w:tc>
          <w:tcPr>
            <w:tcW w:w="7208" w:type="dxa"/>
            <w:vAlign w:val="center"/>
          </w:tcPr>
          <w:p>
            <w:pPr>
              <w:autoSpaceDE w:val="0"/>
              <w:autoSpaceDN w:val="0"/>
              <w:adjustRightInd w:val="0"/>
              <w:spacing w:line="276" w:lineRule="auto"/>
              <w:ind w:right="-20"/>
              <w:rPr>
                <w:rFonts w:ascii="宋体" w:hAnsi="宋体" w:cs="宋体"/>
                <w:color w:val="auto"/>
                <w:kern w:val="0"/>
                <w:position w:val="-2"/>
                <w:sz w:val="24"/>
                <w:highlight w:val="none"/>
              </w:rPr>
            </w:pPr>
            <w:r>
              <w:rPr>
                <w:rFonts w:hint="eastAsia" w:ascii="宋体" w:hAnsi="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254" w:type="dxa"/>
            <w:vAlign w:val="center"/>
          </w:tcPr>
          <w:p>
            <w:pPr>
              <w:autoSpaceDE w:val="0"/>
              <w:autoSpaceDN w:val="0"/>
              <w:adjustRightInd w:val="0"/>
              <w:spacing w:line="276" w:lineRule="auto"/>
              <w:ind w:right="-20"/>
              <w:jc w:val="center"/>
              <w:rPr>
                <w:rFonts w:ascii="宋体" w:hAnsi="宋体" w:cs="宋体"/>
                <w:color w:val="auto"/>
                <w:kern w:val="0"/>
                <w:sz w:val="24"/>
                <w:highlight w:val="none"/>
              </w:rPr>
            </w:pPr>
            <w:r>
              <w:rPr>
                <w:rFonts w:hint="eastAsia" w:ascii="宋体" w:hAnsi="宋体" w:cs="宋体"/>
                <w:color w:val="auto"/>
                <w:kern w:val="0"/>
                <w:position w:val="-3"/>
                <w:sz w:val="24"/>
                <w:highlight w:val="none"/>
              </w:rPr>
              <w:t>投标</w:t>
            </w:r>
            <w:r>
              <w:rPr>
                <w:rFonts w:hint="eastAsia" w:ascii="宋体" w:hAnsi="宋体" w:cs="宋体"/>
                <w:color w:val="auto"/>
                <w:spacing w:val="-2"/>
                <w:kern w:val="0"/>
                <w:position w:val="-3"/>
                <w:sz w:val="24"/>
                <w:highlight w:val="none"/>
              </w:rPr>
              <w:t>文</w:t>
            </w:r>
            <w:r>
              <w:rPr>
                <w:rFonts w:hint="eastAsia" w:ascii="宋体" w:hAnsi="宋体" w:cs="宋体"/>
                <w:color w:val="auto"/>
                <w:kern w:val="0"/>
                <w:position w:val="-3"/>
                <w:sz w:val="24"/>
                <w:highlight w:val="none"/>
              </w:rPr>
              <w:t>件</w:t>
            </w:r>
            <w:r>
              <w:rPr>
                <w:rFonts w:hint="eastAsia" w:ascii="宋体" w:hAnsi="宋体" w:cs="宋体"/>
                <w:color w:val="auto"/>
                <w:spacing w:val="-2"/>
                <w:kern w:val="0"/>
                <w:position w:val="-3"/>
                <w:sz w:val="24"/>
                <w:highlight w:val="none"/>
              </w:rPr>
              <w:t>有</w:t>
            </w:r>
            <w:r>
              <w:rPr>
                <w:rFonts w:hint="eastAsia" w:ascii="宋体" w:hAnsi="宋体" w:cs="宋体"/>
                <w:color w:val="auto"/>
                <w:kern w:val="0"/>
                <w:position w:val="-3"/>
                <w:sz w:val="24"/>
                <w:highlight w:val="none"/>
              </w:rPr>
              <w:t>效期</w:t>
            </w:r>
          </w:p>
        </w:tc>
        <w:tc>
          <w:tcPr>
            <w:tcW w:w="7208" w:type="dxa"/>
            <w:vAlign w:val="center"/>
          </w:tcPr>
          <w:p>
            <w:pPr>
              <w:autoSpaceDE w:val="0"/>
              <w:autoSpaceDN w:val="0"/>
              <w:adjustRightInd w:val="0"/>
              <w:spacing w:line="276" w:lineRule="auto"/>
              <w:ind w:right="-20"/>
              <w:rPr>
                <w:rFonts w:ascii="宋体" w:hAnsi="宋体" w:cs="宋体"/>
                <w:color w:val="auto"/>
                <w:kern w:val="0"/>
                <w:sz w:val="24"/>
                <w:highlight w:val="none"/>
              </w:rPr>
            </w:pPr>
            <w:r>
              <w:rPr>
                <w:rFonts w:hint="eastAsia" w:ascii="宋体" w:hAnsi="宋体" w:cs="宋体"/>
                <w:color w:val="auto"/>
                <w:kern w:val="0"/>
                <w:position w:val="-2"/>
                <w:sz w:val="24"/>
                <w:highlight w:val="none"/>
              </w:rPr>
              <w:t>自投</w:t>
            </w:r>
            <w:r>
              <w:rPr>
                <w:rFonts w:hint="eastAsia" w:ascii="宋体" w:hAnsi="宋体" w:cs="宋体"/>
                <w:color w:val="auto"/>
                <w:spacing w:val="-2"/>
                <w:kern w:val="0"/>
                <w:position w:val="-2"/>
                <w:sz w:val="24"/>
                <w:highlight w:val="none"/>
              </w:rPr>
              <w:t>标</w:t>
            </w:r>
            <w:r>
              <w:rPr>
                <w:rFonts w:hint="eastAsia" w:ascii="宋体" w:hAnsi="宋体" w:cs="宋体"/>
                <w:color w:val="auto"/>
                <w:kern w:val="0"/>
                <w:position w:val="-2"/>
                <w:sz w:val="24"/>
                <w:highlight w:val="none"/>
              </w:rPr>
              <w:t>截</w:t>
            </w:r>
            <w:r>
              <w:rPr>
                <w:rFonts w:hint="eastAsia" w:ascii="宋体" w:hAnsi="宋体" w:cs="宋体"/>
                <w:color w:val="auto"/>
                <w:spacing w:val="-2"/>
                <w:kern w:val="0"/>
                <w:position w:val="-2"/>
                <w:sz w:val="24"/>
                <w:highlight w:val="none"/>
              </w:rPr>
              <w:t>止</w:t>
            </w:r>
            <w:r>
              <w:rPr>
                <w:rFonts w:hint="eastAsia" w:ascii="宋体" w:hAnsi="宋体" w:cs="宋体"/>
                <w:color w:val="auto"/>
                <w:kern w:val="0"/>
                <w:position w:val="-2"/>
                <w:sz w:val="24"/>
                <w:highlight w:val="none"/>
              </w:rPr>
              <w:t>时</w:t>
            </w:r>
            <w:r>
              <w:rPr>
                <w:rFonts w:hint="eastAsia" w:ascii="宋体" w:hAnsi="宋体" w:cs="宋体"/>
                <w:color w:val="auto"/>
                <w:spacing w:val="-2"/>
                <w:kern w:val="0"/>
                <w:position w:val="-2"/>
                <w:sz w:val="24"/>
                <w:highlight w:val="none"/>
              </w:rPr>
              <w:t>间</w:t>
            </w:r>
            <w:r>
              <w:rPr>
                <w:rFonts w:hint="eastAsia" w:ascii="宋体" w:hAnsi="宋体" w:cs="宋体"/>
                <w:color w:val="auto"/>
                <w:kern w:val="0"/>
                <w:position w:val="-2"/>
                <w:sz w:val="24"/>
                <w:highlight w:val="none"/>
              </w:rPr>
              <w:t>起不少于</w:t>
            </w:r>
            <w:r>
              <w:rPr>
                <w:rFonts w:hint="eastAsia" w:ascii="宋体" w:hAnsi="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254" w:type="dxa"/>
            <w:vAlign w:val="center"/>
          </w:tcPr>
          <w:p>
            <w:pPr>
              <w:autoSpaceDE w:val="0"/>
              <w:autoSpaceDN w:val="0"/>
              <w:adjustRightInd w:val="0"/>
              <w:spacing w:line="276" w:lineRule="auto"/>
              <w:ind w:right="-20"/>
              <w:jc w:val="center"/>
              <w:rPr>
                <w:rFonts w:ascii="宋体" w:hAnsi="宋体" w:cs="宋体"/>
                <w:color w:val="auto"/>
                <w:kern w:val="0"/>
                <w:sz w:val="24"/>
                <w:highlight w:val="none"/>
              </w:rPr>
            </w:pPr>
            <w:r>
              <w:rPr>
                <w:rFonts w:hint="eastAsia" w:ascii="宋体" w:hAnsi="宋体" w:cs="宋体"/>
                <w:color w:val="auto"/>
                <w:kern w:val="0"/>
                <w:position w:val="-3"/>
                <w:sz w:val="24"/>
                <w:szCs w:val="22"/>
                <w:highlight w:val="none"/>
              </w:rPr>
              <w:t>投标文件的形式</w:t>
            </w:r>
          </w:p>
        </w:tc>
        <w:tc>
          <w:tcPr>
            <w:tcW w:w="7208" w:type="dxa"/>
            <w:vAlign w:val="center"/>
          </w:tcPr>
          <w:p>
            <w:pPr>
              <w:autoSpaceDE w:val="0"/>
              <w:autoSpaceDN w:val="0"/>
              <w:adjustRightInd w:val="0"/>
              <w:spacing w:line="276" w:lineRule="auto"/>
              <w:ind w:right="-20"/>
              <w:rPr>
                <w:rFonts w:ascii="宋体" w:hAnsi="宋体" w:cs="宋体"/>
                <w:color w:val="auto"/>
                <w:sz w:val="24"/>
                <w:highlight w:val="none"/>
              </w:rPr>
            </w:pPr>
            <w:r>
              <w:rPr>
                <w:rFonts w:ascii="Segoe UI Emoji" w:hAnsi="Segoe UI Emoji" w:cs="Segoe UI Emoji"/>
                <w:color w:val="auto"/>
                <w:sz w:val="24"/>
                <w:highlight w:val="none"/>
              </w:rPr>
              <w:t>☑</w:t>
            </w:r>
            <w:r>
              <w:rPr>
                <w:rFonts w:hint="eastAsia" w:ascii="宋体" w:hAnsi="宋体" w:cs="宋体"/>
                <w:color w:val="auto"/>
                <w:sz w:val="24"/>
                <w:highlight w:val="none"/>
              </w:rPr>
              <w:t>电子投标文件（包括“电子加密投标文件”和“备份投标文件”，在投标文件编制完成后同时生成）；</w:t>
            </w:r>
          </w:p>
          <w:p>
            <w:pPr>
              <w:autoSpaceDE w:val="0"/>
              <w:autoSpaceDN w:val="0"/>
              <w:adjustRightInd w:val="0"/>
              <w:spacing w:line="276" w:lineRule="auto"/>
              <w:ind w:right="-20"/>
              <w:rPr>
                <w:rFonts w:ascii="宋体" w:hAnsi="宋体" w:cs="宋体"/>
                <w:color w:val="auto"/>
                <w:sz w:val="24"/>
                <w:highlight w:val="none"/>
              </w:rPr>
            </w:pPr>
            <w:r>
              <w:rPr>
                <w:rFonts w:hint="eastAsia" w:ascii="宋体" w:hAnsi="宋体" w:cs="宋体"/>
                <w:color w:val="auto"/>
                <w:sz w:val="24"/>
                <w:highlight w:val="none"/>
              </w:rPr>
              <w:t>（1）“电子加密投标文件”是指通过“政采云电子交易客户端”完成投标文件编制后生成并加密的数据电文形式的投标文件。</w:t>
            </w:r>
          </w:p>
          <w:p>
            <w:pPr>
              <w:autoSpaceDE w:val="0"/>
              <w:autoSpaceDN w:val="0"/>
              <w:adjustRightInd w:val="0"/>
              <w:spacing w:line="276" w:lineRule="auto"/>
              <w:ind w:right="-20"/>
              <w:rPr>
                <w:rFonts w:ascii="宋体" w:hAnsi="宋体" w:cs="宋体"/>
                <w:color w:val="auto"/>
                <w:sz w:val="24"/>
                <w:highlight w:val="none"/>
              </w:rPr>
            </w:pPr>
            <w:r>
              <w:rPr>
                <w:rFonts w:hint="eastAsia" w:ascii="宋体" w:hAnsi="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254" w:type="dxa"/>
            <w:vAlign w:val="center"/>
          </w:tcPr>
          <w:p>
            <w:pPr>
              <w:autoSpaceDE w:val="0"/>
              <w:autoSpaceDN w:val="0"/>
              <w:adjustRightInd w:val="0"/>
              <w:spacing w:line="276" w:lineRule="auto"/>
              <w:ind w:right="-20"/>
              <w:jc w:val="center"/>
              <w:rPr>
                <w:rFonts w:ascii="宋体" w:hAnsi="宋体" w:cs="宋体"/>
                <w:color w:val="auto"/>
                <w:kern w:val="0"/>
                <w:position w:val="-3"/>
                <w:sz w:val="24"/>
                <w:highlight w:val="none"/>
              </w:rPr>
            </w:pPr>
            <w:r>
              <w:rPr>
                <w:rFonts w:hint="eastAsia" w:ascii="宋体" w:hAnsi="宋体" w:cs="宋体"/>
                <w:color w:val="auto"/>
                <w:kern w:val="0"/>
                <w:position w:val="-3"/>
                <w:sz w:val="24"/>
                <w:highlight w:val="none"/>
              </w:rPr>
              <w:t>投标样品</w:t>
            </w:r>
          </w:p>
        </w:tc>
        <w:tc>
          <w:tcPr>
            <w:tcW w:w="7208" w:type="dxa"/>
            <w:vAlign w:val="center"/>
          </w:tcPr>
          <w:p>
            <w:pPr>
              <w:autoSpaceDE w:val="0"/>
              <w:autoSpaceDN w:val="0"/>
              <w:adjustRightInd w:val="0"/>
              <w:spacing w:line="276" w:lineRule="auto"/>
              <w:ind w:right="-20"/>
              <w:rPr>
                <w:rFonts w:ascii="宋体" w:hAnsi="宋体" w:cs="宋体"/>
                <w:color w:val="auto"/>
                <w:sz w:val="24"/>
                <w:highlight w:val="none"/>
                <w:lang w:val="zh-CN"/>
              </w:rPr>
            </w:pPr>
            <w:r>
              <w:rPr>
                <w:rFonts w:hint="eastAsia" w:ascii="宋体" w:hAnsi="宋体" w:cs="宋体"/>
                <w:snapToGrid w:val="0"/>
                <w:color w:val="auto"/>
                <w:kern w:val="10"/>
                <w:sz w:val="24"/>
                <w:highlight w:val="none"/>
              </w:rPr>
              <w:t>1、本项目是否需要样品：</w:t>
            </w:r>
            <w:r>
              <w:rPr>
                <w:rFonts w:hint="eastAsia" w:ascii="宋体" w:hAnsi="宋体" w:cs="宋体"/>
                <w:color w:val="auto"/>
                <w:sz w:val="24"/>
                <w:highlight w:val="none"/>
              </w:rPr>
              <w:sym w:font="Wingdings" w:char="00FE"/>
            </w:r>
            <w:r>
              <w:rPr>
                <w:rFonts w:hint="eastAsia" w:ascii="宋体" w:hAnsi="宋体" w:cs="宋体"/>
                <w:color w:val="auto"/>
                <w:sz w:val="24"/>
                <w:highlight w:val="none"/>
                <w:lang w:val="zh-CN"/>
              </w:rPr>
              <w:t>否；</w:t>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是，详见第三部分要求。</w:t>
            </w:r>
          </w:p>
          <w:p>
            <w:pPr>
              <w:autoSpaceDE w:val="0"/>
              <w:autoSpaceDN w:val="0"/>
              <w:adjustRightInd w:val="0"/>
              <w:spacing w:line="276" w:lineRule="auto"/>
              <w:ind w:right="-20"/>
              <w:rPr>
                <w:rFonts w:ascii="宋体" w:hAnsi="宋体" w:cs="宋体"/>
                <w:snapToGrid w:val="0"/>
                <w:color w:val="auto"/>
                <w:kern w:val="10"/>
                <w:sz w:val="24"/>
                <w:highlight w:val="none"/>
              </w:rPr>
            </w:pPr>
            <w:r>
              <w:rPr>
                <w:rFonts w:hint="eastAsia" w:ascii="宋体" w:hAnsi="宋体" w:cs="宋体"/>
                <w:snapToGrid w:val="0"/>
                <w:color w:val="auto"/>
                <w:kern w:val="10"/>
                <w:sz w:val="24"/>
                <w:highlight w:val="none"/>
              </w:rPr>
              <w:t>2、样品标识：</w:t>
            </w:r>
            <w:r>
              <w:rPr>
                <w:rFonts w:hint="eastAsia" w:ascii="宋体" w:hAnsi="宋体" w:cs="宋体"/>
                <w:color w:val="auto"/>
                <w:sz w:val="24"/>
                <w:highlight w:val="none"/>
              </w:rPr>
              <w:t>□</w:t>
            </w:r>
            <w:r>
              <w:rPr>
                <w:rFonts w:hint="eastAsia" w:ascii="宋体" w:hAnsi="宋体" w:cs="宋体"/>
                <w:color w:val="auto"/>
                <w:sz w:val="24"/>
                <w:highlight w:val="none"/>
                <w:lang w:val="zh-CN"/>
              </w:rPr>
              <w:t>明标；</w:t>
            </w:r>
            <w:r>
              <w:rPr>
                <w:rFonts w:hint="eastAsia" w:ascii="宋体" w:hAnsi="宋体" w:cs="宋体"/>
                <w:color w:val="auto"/>
                <w:sz w:val="24"/>
                <w:highlight w:val="none"/>
              </w:rPr>
              <w:sym w:font="Wingdings 2" w:char="00A3"/>
            </w:r>
            <w:r>
              <w:rPr>
                <w:rFonts w:hint="eastAsia" w:ascii="宋体" w:hAnsi="宋体" w:cs="宋体"/>
                <w:color w:val="auto"/>
                <w:sz w:val="24"/>
                <w:highlight w:val="none"/>
              </w:rPr>
              <w:t>暗标。</w:t>
            </w:r>
          </w:p>
          <w:p>
            <w:pPr>
              <w:autoSpaceDE w:val="0"/>
              <w:autoSpaceDN w:val="0"/>
              <w:adjustRightInd w:val="0"/>
              <w:spacing w:line="276" w:lineRule="auto"/>
              <w:ind w:right="-20"/>
              <w:rPr>
                <w:rFonts w:ascii="宋体" w:hAnsi="宋体" w:cs="宋体"/>
                <w:snapToGrid w:val="0"/>
                <w:color w:val="auto"/>
                <w:kern w:val="10"/>
                <w:sz w:val="24"/>
                <w:highlight w:val="none"/>
              </w:rPr>
            </w:pPr>
            <w:r>
              <w:rPr>
                <w:rFonts w:hint="eastAsia" w:ascii="宋体" w:hAnsi="宋体" w:cs="宋体"/>
                <w:snapToGrid w:val="0"/>
                <w:color w:val="auto"/>
                <w:kern w:val="10"/>
                <w:sz w:val="24"/>
                <w:highlight w:val="none"/>
              </w:rPr>
              <w:t>3、样品送至地点：___</w:t>
            </w:r>
            <w:r>
              <w:rPr>
                <w:rFonts w:hint="eastAsia" w:ascii="宋体" w:hAnsi="宋体"/>
                <w:snapToGrid w:val="0"/>
                <w:color w:val="auto"/>
                <w:kern w:val="10"/>
                <w:sz w:val="24"/>
                <w:highlight w:val="none"/>
                <w:u w:val="single"/>
              </w:rPr>
              <w:t>开标地址（可邮寄送达）</w:t>
            </w:r>
            <w:r>
              <w:rPr>
                <w:rFonts w:hint="eastAsia" w:ascii="宋体" w:hAnsi="宋体" w:cs="宋体"/>
                <w:snapToGrid w:val="0"/>
                <w:color w:val="auto"/>
                <w:kern w:val="10"/>
                <w:sz w:val="24"/>
                <w:highlight w:val="none"/>
              </w:rPr>
              <w:t>______</w:t>
            </w:r>
          </w:p>
          <w:p>
            <w:pPr>
              <w:autoSpaceDE w:val="0"/>
              <w:autoSpaceDN w:val="0"/>
              <w:adjustRightInd w:val="0"/>
              <w:spacing w:line="276" w:lineRule="auto"/>
              <w:ind w:right="-20"/>
              <w:rPr>
                <w:rFonts w:ascii="宋体" w:hAnsi="宋体" w:cs="宋体"/>
                <w:snapToGrid w:val="0"/>
                <w:color w:val="auto"/>
                <w:kern w:val="10"/>
                <w:sz w:val="24"/>
                <w:highlight w:val="none"/>
              </w:rPr>
            </w:pPr>
            <w:r>
              <w:rPr>
                <w:rFonts w:hint="eastAsia" w:ascii="宋体" w:hAnsi="宋体" w:cs="宋体"/>
                <w:snapToGrid w:val="0"/>
                <w:color w:val="auto"/>
                <w:kern w:val="10"/>
                <w:sz w:val="24"/>
                <w:highlight w:val="none"/>
              </w:rPr>
              <w:t>4、中标人样品处理：</w:t>
            </w:r>
            <w:r>
              <w:rPr>
                <w:rFonts w:hint="eastAsia" w:ascii="宋体" w:hAnsi="宋体" w:cs="宋体"/>
                <w:color w:val="auto"/>
                <w:sz w:val="24"/>
                <w:highlight w:val="none"/>
              </w:rPr>
              <w:t>□退还；</w:t>
            </w:r>
            <w:r>
              <w:rPr>
                <w:rFonts w:hint="eastAsia" w:ascii="宋体" w:hAnsi="宋体" w:cs="宋体"/>
                <w:color w:val="auto"/>
                <w:sz w:val="24"/>
                <w:highlight w:val="none"/>
              </w:rPr>
              <w:sym w:font="Wingdings 2" w:char="00A3"/>
            </w:r>
            <w:r>
              <w:rPr>
                <w:rFonts w:hint="eastAsia" w:ascii="宋体" w:hAnsi="宋体" w:cs="宋体"/>
                <w:color w:val="auto"/>
                <w:sz w:val="24"/>
                <w:highlight w:val="none"/>
              </w:rPr>
              <w:t>封存至验收；□抵扣采购数量。</w:t>
            </w:r>
          </w:p>
          <w:p>
            <w:pPr>
              <w:autoSpaceDE w:val="0"/>
              <w:autoSpaceDN w:val="0"/>
              <w:adjustRightInd w:val="0"/>
              <w:spacing w:line="276" w:lineRule="auto"/>
              <w:ind w:right="-20"/>
              <w:rPr>
                <w:rFonts w:ascii="宋体" w:hAnsi="宋体" w:cs="宋体"/>
                <w:snapToGrid w:val="0"/>
                <w:color w:val="auto"/>
                <w:kern w:val="10"/>
                <w:sz w:val="24"/>
                <w:highlight w:val="none"/>
              </w:rPr>
            </w:pPr>
            <w:r>
              <w:rPr>
                <w:rFonts w:hint="eastAsia" w:ascii="宋体" w:hAnsi="宋体" w:cs="宋体"/>
                <w:snapToGrid w:val="0"/>
                <w:color w:val="auto"/>
                <w:kern w:val="10"/>
                <w:sz w:val="24"/>
                <w:highlight w:val="none"/>
              </w:rPr>
              <w:t>5、样品退还时间：</w:t>
            </w:r>
            <w:r>
              <w:rPr>
                <w:rFonts w:hint="eastAsia" w:ascii="宋体" w:hAnsi="宋体" w:cs="宋体"/>
                <w:snapToGrid w:val="0"/>
                <w:color w:val="auto"/>
                <w:kern w:val="10"/>
                <w:sz w:val="24"/>
                <w:highlight w:val="none"/>
                <w:u w:val="single"/>
              </w:rPr>
              <w:t xml:space="preserve">（另行通知）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254" w:type="dxa"/>
            <w:vAlign w:val="center"/>
          </w:tcPr>
          <w:p>
            <w:pPr>
              <w:pStyle w:val="47"/>
              <w:snapToGrid w:val="0"/>
              <w:spacing w:line="312" w:lineRule="auto"/>
              <w:jc w:val="center"/>
              <w:rPr>
                <w:rFonts w:hAnsi="宋体" w:cs="宋体"/>
                <w:color w:val="auto"/>
                <w:sz w:val="24"/>
                <w:szCs w:val="20"/>
                <w:highlight w:val="none"/>
              </w:rPr>
            </w:pPr>
            <w:r>
              <w:rPr>
                <w:rFonts w:hint="eastAsia" w:hAnsi="宋体" w:cs="宋体"/>
                <w:color w:val="auto"/>
                <w:sz w:val="24"/>
                <w:szCs w:val="20"/>
                <w:highlight w:val="none"/>
              </w:rPr>
              <w:t>履约保证金交纳</w:t>
            </w:r>
          </w:p>
        </w:tc>
        <w:tc>
          <w:tcPr>
            <w:tcW w:w="7208" w:type="dxa"/>
            <w:vAlign w:val="center"/>
          </w:tcPr>
          <w:p>
            <w:pPr>
              <w:spacing w:line="350" w:lineRule="exact"/>
              <w:rPr>
                <w:rFonts w:ascii="宋体" w:hAnsi="宋体"/>
                <w:color w:val="auto"/>
                <w:sz w:val="24"/>
                <w:highlight w:val="none"/>
              </w:rPr>
            </w:pPr>
            <w:r>
              <w:rPr>
                <w:rFonts w:hint="eastAsia" w:ascii="宋体" w:hAnsi="宋体"/>
                <w:color w:val="auto"/>
                <w:sz w:val="24"/>
                <w:highlight w:val="none"/>
              </w:rPr>
              <w:t>履约担保的形式：支票/汇票/电汇/银行保函/保险公司保函；</w:t>
            </w:r>
          </w:p>
          <w:p>
            <w:pPr>
              <w:spacing w:line="350" w:lineRule="exact"/>
              <w:rPr>
                <w:rFonts w:ascii="宋体" w:hAnsi="宋体"/>
                <w:color w:val="auto"/>
                <w:sz w:val="24"/>
                <w:highlight w:val="none"/>
              </w:rPr>
            </w:pPr>
            <w:r>
              <w:rPr>
                <w:rFonts w:hint="eastAsia" w:ascii="宋体" w:hAnsi="宋体"/>
                <w:color w:val="auto"/>
                <w:sz w:val="24"/>
                <w:highlight w:val="none"/>
              </w:rPr>
              <w:t>履约担保金的金额：履约保证金为合同价的1%（不计利息，相关费用由中标人承担）；</w:t>
            </w:r>
          </w:p>
          <w:p>
            <w:pPr>
              <w:spacing w:line="350" w:lineRule="exact"/>
              <w:rPr>
                <w:rFonts w:ascii="宋体" w:hAnsi="宋体"/>
                <w:color w:val="auto"/>
                <w:sz w:val="24"/>
                <w:highlight w:val="none"/>
              </w:rPr>
            </w:pPr>
            <w:r>
              <w:rPr>
                <w:rFonts w:hint="eastAsia" w:ascii="宋体" w:hAnsi="宋体"/>
                <w:color w:val="auto"/>
                <w:sz w:val="24"/>
                <w:highlight w:val="none"/>
              </w:rPr>
              <w:t>履约担保金的缴纳时间：合同签订后7日内。</w:t>
            </w:r>
          </w:p>
          <w:p>
            <w:pPr>
              <w:spacing w:line="350" w:lineRule="exact"/>
              <w:rPr>
                <w:rFonts w:ascii="宋体" w:hAnsi="宋体"/>
                <w:color w:val="auto"/>
                <w:sz w:val="24"/>
                <w:highlight w:val="none"/>
              </w:rPr>
            </w:pPr>
            <w:r>
              <w:rPr>
                <w:rFonts w:hint="eastAsia" w:ascii="宋体" w:hAnsi="宋体"/>
                <w:color w:val="auto"/>
                <w:sz w:val="24"/>
                <w:highlight w:val="none"/>
              </w:rPr>
              <w:t>履约担保退还的时间：履约保证金待合同期满（投标人没有违约情形）后退还履约保证金（无息），如有违约则扣除相应违约金后，余额退还。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254" w:type="dxa"/>
            <w:vAlign w:val="center"/>
          </w:tcPr>
          <w:p>
            <w:pPr>
              <w:spacing w:line="276" w:lineRule="auto"/>
              <w:jc w:val="center"/>
              <w:rPr>
                <w:rFonts w:ascii="宋体" w:hAnsi="宋体" w:cs="宋体"/>
                <w:color w:val="auto"/>
                <w:sz w:val="24"/>
                <w:highlight w:val="none"/>
              </w:rPr>
            </w:pPr>
            <w:r>
              <w:rPr>
                <w:rFonts w:hint="eastAsia" w:ascii="宋体" w:hAnsi="宋体"/>
                <w:color w:val="auto"/>
                <w:sz w:val="24"/>
                <w:highlight w:val="none"/>
              </w:rPr>
              <w:t>招标代理服务费</w:t>
            </w:r>
          </w:p>
        </w:tc>
        <w:tc>
          <w:tcPr>
            <w:tcW w:w="7208" w:type="dxa"/>
            <w:vAlign w:val="center"/>
          </w:tcPr>
          <w:p>
            <w:pPr>
              <w:spacing w:line="350" w:lineRule="exact"/>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bCs/>
                <w:color w:val="auto"/>
                <w:sz w:val="24"/>
                <w:szCs w:val="24"/>
                <w:highlight w:val="none"/>
              </w:rPr>
              <w:t>本项目的</w:t>
            </w:r>
            <w:r>
              <w:rPr>
                <w:rFonts w:hint="eastAsia" w:hAnsi="宋体" w:cs="宋体"/>
                <w:bCs/>
                <w:color w:val="auto"/>
                <w:sz w:val="24"/>
                <w:szCs w:val="24"/>
                <w:highlight w:val="none"/>
              </w:rPr>
              <w:t>招标</w:t>
            </w:r>
            <w:r>
              <w:rPr>
                <w:rFonts w:hint="eastAsia" w:ascii="宋体" w:hAnsi="宋体" w:cs="宋体"/>
                <w:bCs/>
                <w:color w:val="auto"/>
                <w:sz w:val="24"/>
                <w:szCs w:val="24"/>
                <w:highlight w:val="none"/>
              </w:rPr>
              <w:t>代理服务费</w:t>
            </w:r>
            <w:r>
              <w:rPr>
                <w:rFonts w:hint="eastAsia" w:hAnsi="宋体" w:cs="宋体"/>
                <w:bCs/>
                <w:color w:val="auto"/>
                <w:sz w:val="24"/>
                <w:szCs w:val="24"/>
                <w:highlight w:val="none"/>
              </w:rPr>
              <w:t>用</w:t>
            </w:r>
            <w:r>
              <w:rPr>
                <w:rFonts w:hint="eastAsia" w:ascii="宋体" w:hAnsi="宋体" w:cs="宋体"/>
                <w:bCs/>
                <w:color w:val="auto"/>
                <w:sz w:val="24"/>
                <w:szCs w:val="24"/>
                <w:highlight w:val="none"/>
              </w:rPr>
              <w:t>由中标人支付。</w:t>
            </w:r>
            <w:r>
              <w:rPr>
                <w:rFonts w:hint="eastAsia" w:ascii="宋体" w:hAnsi="宋体"/>
                <w:color w:val="auto"/>
                <w:sz w:val="24"/>
                <w:highlight w:val="none"/>
              </w:rPr>
              <w:t>根据中标价，参照原国家计委关于印发《招标代理服务收费管理暂行办法》的通知（计价格[2002]1980号）的收费标准的70%向</w:t>
            </w:r>
            <w:r>
              <w:rPr>
                <w:rFonts w:hint="eastAsia" w:ascii="宋体" w:hAnsi="宋体"/>
                <w:color w:val="auto"/>
                <w:sz w:val="24"/>
                <w:highlight w:val="none"/>
                <w:u w:val="single"/>
              </w:rPr>
              <w:t>中标人</w:t>
            </w:r>
            <w:r>
              <w:rPr>
                <w:rFonts w:hint="eastAsia" w:ascii="宋体" w:hAnsi="宋体"/>
                <w:color w:val="auto"/>
                <w:sz w:val="24"/>
                <w:highlight w:val="none"/>
              </w:rPr>
              <w:t>收取招标代理服务费</w:t>
            </w:r>
            <w:r>
              <w:rPr>
                <w:rFonts w:hint="eastAsia" w:ascii="宋体" w:hAnsi="宋体" w:cs="宋体"/>
                <w:bCs/>
                <w:color w:val="auto"/>
                <w:sz w:val="24"/>
                <w:highlight w:val="none"/>
              </w:rPr>
              <w:t>。</w:t>
            </w:r>
          </w:p>
          <w:p>
            <w:pPr>
              <w:autoSpaceDE w:val="0"/>
              <w:autoSpaceDN w:val="0"/>
              <w:adjustRightInd w:val="0"/>
              <w:spacing w:line="288" w:lineRule="auto"/>
              <w:ind w:right="-20"/>
              <w:rPr>
                <w:rFonts w:ascii="宋体" w:hAnsi="宋体"/>
                <w:color w:val="auto"/>
                <w:sz w:val="24"/>
                <w:szCs w:val="22"/>
                <w:highlight w:val="none"/>
              </w:rPr>
            </w:pPr>
            <w:r>
              <w:rPr>
                <w:rFonts w:hint="eastAsia" w:ascii="宋体" w:hAnsi="宋体"/>
                <w:color w:val="auto"/>
                <w:sz w:val="24"/>
                <w:szCs w:val="22"/>
                <w:highlight w:val="none"/>
              </w:rPr>
              <w:t>1）收款单位（户名）：浙江中正工程项目管理有限公司衢州分公司</w:t>
            </w:r>
          </w:p>
          <w:p>
            <w:pPr>
              <w:autoSpaceDE w:val="0"/>
              <w:autoSpaceDN w:val="0"/>
              <w:adjustRightInd w:val="0"/>
              <w:spacing w:line="288" w:lineRule="auto"/>
              <w:ind w:right="-20"/>
              <w:rPr>
                <w:rFonts w:ascii="宋体" w:hAnsi="宋体"/>
                <w:color w:val="auto"/>
                <w:sz w:val="24"/>
                <w:szCs w:val="22"/>
                <w:highlight w:val="none"/>
              </w:rPr>
            </w:pPr>
            <w:r>
              <w:rPr>
                <w:rFonts w:hint="eastAsia" w:ascii="宋体" w:hAnsi="宋体"/>
                <w:color w:val="auto"/>
                <w:sz w:val="24"/>
                <w:szCs w:val="22"/>
                <w:highlight w:val="none"/>
              </w:rPr>
              <w:t>2）开  户：工行衢州市南区支行</w:t>
            </w:r>
          </w:p>
          <w:p>
            <w:pPr>
              <w:autoSpaceDE w:val="0"/>
              <w:autoSpaceDN w:val="0"/>
              <w:adjustRightInd w:val="0"/>
              <w:spacing w:line="288" w:lineRule="auto"/>
              <w:ind w:right="-20"/>
              <w:rPr>
                <w:rFonts w:ascii="宋体" w:hAnsi="宋体"/>
                <w:color w:val="auto"/>
                <w:sz w:val="24"/>
                <w:highlight w:val="none"/>
              </w:rPr>
            </w:pPr>
            <w:r>
              <w:rPr>
                <w:rFonts w:hint="eastAsia" w:ascii="宋体" w:hAnsi="宋体"/>
                <w:color w:val="auto"/>
                <w:sz w:val="24"/>
                <w:szCs w:val="22"/>
                <w:highlight w:val="none"/>
              </w:rPr>
              <w:t>3）账  号：1209270009200172837</w:t>
            </w:r>
          </w:p>
          <w:p>
            <w:pPr>
              <w:adjustRightInd w:val="0"/>
              <w:snapToGrid w:val="0"/>
              <w:spacing w:line="276" w:lineRule="auto"/>
              <w:rPr>
                <w:rFonts w:ascii="宋体" w:hAnsi="宋体"/>
                <w:color w:val="auto"/>
                <w:sz w:val="24"/>
                <w:highlight w:val="none"/>
              </w:rPr>
            </w:pPr>
            <w:r>
              <w:rPr>
                <w:rFonts w:hint="eastAsia" w:ascii="宋体" w:hAnsi="宋体"/>
                <w:color w:val="auto"/>
                <w:sz w:val="24"/>
                <w:highlight w:val="none"/>
              </w:rPr>
              <w:t>2、以上费用均不在报价中单列，请投标人在报价中予以考虑。</w:t>
            </w:r>
          </w:p>
          <w:p>
            <w:pPr>
              <w:adjustRightInd w:val="0"/>
              <w:snapToGrid w:val="0"/>
              <w:spacing w:line="276" w:lineRule="auto"/>
              <w:rPr>
                <w:rFonts w:ascii="宋体" w:hAnsi="宋体"/>
                <w:color w:val="auto"/>
                <w:sz w:val="24"/>
                <w:highlight w:val="none"/>
              </w:rPr>
            </w:pPr>
            <w:r>
              <w:rPr>
                <w:rFonts w:hint="eastAsia" w:ascii="宋体" w:hAnsi="宋体"/>
                <w:color w:val="auto"/>
                <w:sz w:val="24"/>
                <w:highlight w:val="none"/>
              </w:rPr>
              <w:t>3、结算方式及时间为：在领取中标通知书时由中标人一次性向招标代理机构付清。</w:t>
            </w:r>
          </w:p>
          <w:p>
            <w:pPr>
              <w:pStyle w:val="36"/>
              <w:spacing w:after="0" w:line="360" w:lineRule="exact"/>
              <w:ind w:left="560"/>
              <w:rPr>
                <w:rFonts w:ascii="宋体" w:hAnsi="宋体" w:eastAsia="宋体" w:cs="宋体"/>
                <w:color w:val="auto"/>
                <w:szCs w:val="21"/>
                <w:highlight w:val="none"/>
              </w:rPr>
            </w:pPr>
            <w:r>
              <w:rPr>
                <w:rFonts w:hint="eastAsia" w:ascii="宋体" w:hAnsi="宋体" w:eastAsia="宋体" w:cs="宋体"/>
                <w:color w:val="auto"/>
                <w:szCs w:val="21"/>
                <w:highlight w:val="none"/>
              </w:rPr>
              <w:t>《招标代理服务费管理暂行办法》的通知规定的收费标准</w:t>
            </w:r>
          </w:p>
          <w:tbl>
            <w:tblPr>
              <w:tblStyle w:val="88"/>
              <w:tblW w:w="6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3"/>
              <w:gridCol w:w="1746"/>
              <w:gridCol w:w="1827"/>
              <w:gridCol w:w="1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13" w:type="dxa"/>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中标金额（万元）</w:t>
                  </w:r>
                </w:p>
              </w:tc>
              <w:tc>
                <w:tcPr>
                  <w:tcW w:w="1746" w:type="dxa"/>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货物招标</w:t>
                  </w:r>
                </w:p>
              </w:tc>
              <w:tc>
                <w:tcPr>
                  <w:tcW w:w="1827" w:type="dxa"/>
                  <w:tcBorders>
                    <w:right w:val="single" w:color="auto" w:sz="4" w:space="0"/>
                  </w:tcBorders>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服务招标</w:t>
                  </w:r>
                </w:p>
              </w:tc>
              <w:tc>
                <w:tcPr>
                  <w:tcW w:w="1288" w:type="dxa"/>
                  <w:tcBorders>
                    <w:left w:val="single" w:color="auto" w:sz="4" w:space="0"/>
                  </w:tcBorders>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 w:hRule="atLeast"/>
                <w:jc w:val="center"/>
              </w:trPr>
              <w:tc>
                <w:tcPr>
                  <w:tcW w:w="1913" w:type="dxa"/>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100以下</w:t>
                  </w:r>
                </w:p>
              </w:tc>
              <w:tc>
                <w:tcPr>
                  <w:tcW w:w="1746" w:type="dxa"/>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1827" w:type="dxa"/>
                  <w:tcBorders>
                    <w:right w:val="single" w:color="auto" w:sz="4" w:space="0"/>
                  </w:tcBorders>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1288" w:type="dxa"/>
                  <w:tcBorders>
                    <w:left w:val="single" w:color="auto" w:sz="4" w:space="0"/>
                  </w:tcBorders>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13" w:type="dxa"/>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100-500</w:t>
                  </w:r>
                </w:p>
              </w:tc>
              <w:tc>
                <w:tcPr>
                  <w:tcW w:w="1746" w:type="dxa"/>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827" w:type="dxa"/>
                  <w:tcBorders>
                    <w:right w:val="single" w:color="auto" w:sz="4" w:space="0"/>
                  </w:tcBorders>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0.8%</w:t>
                  </w:r>
                </w:p>
              </w:tc>
              <w:tc>
                <w:tcPr>
                  <w:tcW w:w="1288" w:type="dxa"/>
                  <w:tcBorders>
                    <w:left w:val="single" w:color="auto" w:sz="4" w:space="0"/>
                  </w:tcBorders>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13" w:type="dxa"/>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500-1000</w:t>
                  </w:r>
                </w:p>
              </w:tc>
              <w:tc>
                <w:tcPr>
                  <w:tcW w:w="1746" w:type="dxa"/>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0.8%</w:t>
                  </w:r>
                </w:p>
              </w:tc>
              <w:tc>
                <w:tcPr>
                  <w:tcW w:w="1827" w:type="dxa"/>
                  <w:tcBorders>
                    <w:right w:val="single" w:color="auto" w:sz="4" w:space="0"/>
                  </w:tcBorders>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0.45%</w:t>
                  </w:r>
                </w:p>
              </w:tc>
              <w:tc>
                <w:tcPr>
                  <w:tcW w:w="1288" w:type="dxa"/>
                  <w:tcBorders>
                    <w:left w:val="single" w:color="auto" w:sz="4" w:space="0"/>
                  </w:tcBorders>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13" w:type="dxa"/>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1000-5000</w:t>
                  </w:r>
                </w:p>
              </w:tc>
              <w:tc>
                <w:tcPr>
                  <w:tcW w:w="1746" w:type="dxa"/>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0.5%</w:t>
                  </w:r>
                </w:p>
              </w:tc>
              <w:tc>
                <w:tcPr>
                  <w:tcW w:w="1827" w:type="dxa"/>
                  <w:tcBorders>
                    <w:right w:val="single" w:color="auto" w:sz="4" w:space="0"/>
                  </w:tcBorders>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0.25%</w:t>
                  </w:r>
                </w:p>
              </w:tc>
              <w:tc>
                <w:tcPr>
                  <w:tcW w:w="1288" w:type="dxa"/>
                  <w:tcBorders>
                    <w:left w:val="single" w:color="auto" w:sz="4" w:space="0"/>
                  </w:tcBorders>
                </w:tcPr>
                <w:p>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0.35%</w:t>
                  </w:r>
                </w:p>
              </w:tc>
            </w:tr>
          </w:tbl>
          <w:p>
            <w:pPr>
              <w:adjustRightInd w:val="0"/>
              <w:snapToGrid w:val="0"/>
              <w:spacing w:line="276" w:lineRule="auto"/>
              <w:rPr>
                <w:rFonts w:ascii="宋体" w:hAnsi="宋体" w:cs="宋体"/>
                <w:b/>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254" w:type="dxa"/>
            <w:vMerge w:val="restart"/>
            <w:vAlign w:val="center"/>
          </w:tcPr>
          <w:p>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其他注意事项</w:t>
            </w:r>
          </w:p>
        </w:tc>
        <w:tc>
          <w:tcPr>
            <w:tcW w:w="7208" w:type="dxa"/>
            <w:vAlign w:val="center"/>
          </w:tcPr>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pPr>
              <w:spacing w:line="276" w:lineRule="auto"/>
              <w:jc w:val="center"/>
              <w:rPr>
                <w:rFonts w:ascii="宋体" w:hAnsi="宋体" w:cs="宋体"/>
                <w:color w:val="auto"/>
                <w:sz w:val="24"/>
                <w:highlight w:val="none"/>
              </w:rPr>
            </w:pPr>
          </w:p>
        </w:tc>
        <w:tc>
          <w:tcPr>
            <w:tcW w:w="1254" w:type="dxa"/>
            <w:vMerge w:val="continue"/>
            <w:vAlign w:val="center"/>
          </w:tcPr>
          <w:p>
            <w:pPr>
              <w:spacing w:line="276" w:lineRule="auto"/>
              <w:rPr>
                <w:rFonts w:ascii="宋体" w:hAnsi="宋体" w:cs="宋体"/>
                <w:color w:val="auto"/>
                <w:sz w:val="24"/>
                <w:highlight w:val="none"/>
              </w:rPr>
            </w:pPr>
          </w:p>
        </w:tc>
        <w:tc>
          <w:tcPr>
            <w:tcW w:w="7208" w:type="dxa"/>
            <w:vAlign w:val="center"/>
          </w:tcPr>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pPr>
              <w:spacing w:line="276" w:lineRule="auto"/>
              <w:jc w:val="center"/>
              <w:rPr>
                <w:rFonts w:ascii="宋体" w:hAnsi="宋体" w:cs="宋体"/>
                <w:color w:val="auto"/>
                <w:sz w:val="24"/>
                <w:highlight w:val="none"/>
              </w:rPr>
            </w:pPr>
          </w:p>
        </w:tc>
        <w:tc>
          <w:tcPr>
            <w:tcW w:w="1254" w:type="dxa"/>
            <w:vMerge w:val="continue"/>
            <w:vAlign w:val="center"/>
          </w:tcPr>
          <w:p>
            <w:pPr>
              <w:spacing w:line="276" w:lineRule="auto"/>
              <w:rPr>
                <w:rFonts w:ascii="宋体" w:hAnsi="宋体" w:cs="宋体"/>
                <w:color w:val="auto"/>
                <w:sz w:val="24"/>
                <w:highlight w:val="none"/>
              </w:rPr>
            </w:pPr>
          </w:p>
        </w:tc>
        <w:tc>
          <w:tcPr>
            <w:tcW w:w="7208" w:type="dxa"/>
            <w:vAlign w:val="center"/>
          </w:tcPr>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6" w:lineRule="auto"/>
              <w:jc w:val="center"/>
              <w:rPr>
                <w:rFonts w:ascii="宋体" w:hAnsi="宋体" w:cs="宋体"/>
                <w:color w:val="auto"/>
                <w:sz w:val="24"/>
                <w:highlight w:val="none"/>
              </w:rPr>
            </w:pPr>
          </w:p>
        </w:tc>
        <w:tc>
          <w:tcPr>
            <w:tcW w:w="1254" w:type="dxa"/>
            <w:vMerge w:val="continue"/>
            <w:vAlign w:val="center"/>
          </w:tcPr>
          <w:p>
            <w:pPr>
              <w:spacing w:line="276" w:lineRule="auto"/>
              <w:rPr>
                <w:rFonts w:ascii="宋体" w:hAnsi="宋体" w:cs="宋体"/>
                <w:color w:val="auto"/>
                <w:sz w:val="24"/>
                <w:highlight w:val="none"/>
              </w:rPr>
            </w:pPr>
          </w:p>
        </w:tc>
        <w:tc>
          <w:tcPr>
            <w:tcW w:w="7208" w:type="dxa"/>
            <w:vAlign w:val="center"/>
          </w:tcPr>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780" w:type="dxa"/>
            <w:vMerge w:val="continue"/>
            <w:vAlign w:val="center"/>
          </w:tcPr>
          <w:p>
            <w:pPr>
              <w:spacing w:line="276" w:lineRule="auto"/>
              <w:jc w:val="center"/>
              <w:rPr>
                <w:rFonts w:ascii="宋体" w:hAnsi="宋体" w:cs="宋体"/>
                <w:color w:val="auto"/>
                <w:sz w:val="24"/>
                <w:highlight w:val="none"/>
              </w:rPr>
            </w:pPr>
          </w:p>
        </w:tc>
        <w:tc>
          <w:tcPr>
            <w:tcW w:w="1254" w:type="dxa"/>
            <w:vMerge w:val="continue"/>
            <w:vAlign w:val="center"/>
          </w:tcPr>
          <w:p>
            <w:pPr>
              <w:spacing w:line="276" w:lineRule="auto"/>
              <w:rPr>
                <w:rFonts w:ascii="宋体" w:hAnsi="宋体" w:cs="宋体"/>
                <w:color w:val="auto"/>
                <w:sz w:val="24"/>
                <w:highlight w:val="none"/>
              </w:rPr>
            </w:pPr>
          </w:p>
        </w:tc>
        <w:tc>
          <w:tcPr>
            <w:tcW w:w="7208" w:type="dxa"/>
            <w:vAlign w:val="center"/>
          </w:tcPr>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1）采购人或采购代理机构将对本项目投标人的信用记录进行查询。查询渠道为信用中国网站（www.creditchina.gov.cn）、中国政府采购网（www.ccgp.gov.cn）；</w:t>
            </w:r>
          </w:p>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pPr>
              <w:spacing w:line="276" w:lineRule="auto"/>
              <w:jc w:val="center"/>
              <w:rPr>
                <w:rFonts w:ascii="宋体" w:hAnsi="宋体" w:cs="宋体"/>
                <w:color w:val="auto"/>
                <w:sz w:val="24"/>
                <w:highlight w:val="none"/>
              </w:rPr>
            </w:pPr>
          </w:p>
        </w:tc>
        <w:tc>
          <w:tcPr>
            <w:tcW w:w="1254" w:type="dxa"/>
            <w:vMerge w:val="continue"/>
            <w:vAlign w:val="center"/>
          </w:tcPr>
          <w:p>
            <w:pPr>
              <w:spacing w:line="276" w:lineRule="auto"/>
              <w:rPr>
                <w:rFonts w:ascii="宋体" w:hAnsi="宋体" w:cs="宋体"/>
                <w:color w:val="auto"/>
                <w:sz w:val="24"/>
                <w:highlight w:val="none"/>
              </w:rPr>
            </w:pPr>
          </w:p>
        </w:tc>
        <w:tc>
          <w:tcPr>
            <w:tcW w:w="7208" w:type="dxa"/>
            <w:vAlign w:val="center"/>
          </w:tcPr>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本项目需要落实的政府采购政策：</w:t>
            </w:r>
          </w:p>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（1）《财政部发展改革委 生态环境部 市场监管总局关于调整优化节能产品、环境标志产品政府采购执行机制的通知》（财库〔2019〕9号）；</w:t>
            </w:r>
          </w:p>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（2）《政府采购促进中小企业发展管理办法》（财库[2020]46号），本项目所属行业</w:t>
            </w:r>
            <w:r>
              <w:rPr>
                <w:rFonts w:hint="eastAsia" w:ascii="宋体" w:hAnsi="宋体" w:cs="宋体"/>
                <w:color w:val="auto"/>
                <w:sz w:val="24"/>
                <w:highlight w:val="none"/>
                <w:u w:val="single"/>
              </w:rPr>
              <w:t xml:space="preserve"> 软件和信息技术服务业 </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80" w:type="dxa"/>
            <w:vMerge w:val="continue"/>
            <w:vAlign w:val="center"/>
          </w:tcPr>
          <w:p>
            <w:pPr>
              <w:spacing w:line="276" w:lineRule="auto"/>
              <w:jc w:val="center"/>
              <w:rPr>
                <w:rFonts w:ascii="宋体" w:hAnsi="宋体" w:cs="宋体"/>
                <w:color w:val="auto"/>
                <w:sz w:val="24"/>
                <w:highlight w:val="none"/>
              </w:rPr>
            </w:pPr>
          </w:p>
        </w:tc>
        <w:tc>
          <w:tcPr>
            <w:tcW w:w="1254" w:type="dxa"/>
            <w:vMerge w:val="continue"/>
            <w:vAlign w:val="center"/>
          </w:tcPr>
          <w:p>
            <w:pPr>
              <w:spacing w:line="276" w:lineRule="auto"/>
              <w:rPr>
                <w:rFonts w:ascii="宋体" w:hAnsi="宋体" w:cs="宋体"/>
                <w:color w:val="auto"/>
                <w:sz w:val="24"/>
                <w:highlight w:val="none"/>
              </w:rPr>
            </w:pPr>
          </w:p>
        </w:tc>
        <w:tc>
          <w:tcPr>
            <w:tcW w:w="7208" w:type="dxa"/>
            <w:vAlign w:val="center"/>
          </w:tcPr>
          <w:p>
            <w:pPr>
              <w:adjustRightInd w:val="0"/>
              <w:snapToGrid w:val="0"/>
              <w:spacing w:line="276"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w:t>
            </w:r>
            <w:r>
              <w:rPr>
                <w:rFonts w:hint="eastAsia" w:ascii="宋体" w:hAnsi="宋体" w:cs="宋体"/>
                <w:b/>
                <w:bCs/>
                <w:color w:val="auto"/>
                <w:sz w:val="24"/>
                <w:highlight w:val="none"/>
              </w:rPr>
              <w:t>本次采购</w:t>
            </w:r>
            <w:r>
              <w:rPr>
                <w:rFonts w:hint="eastAsia" w:ascii="宋体" w:hAnsi="宋体"/>
                <w:b/>
                <w:bCs/>
                <w:color w:val="auto"/>
                <w:sz w:val="24"/>
                <w:highlight w:val="none"/>
              </w:rPr>
              <w:t>项目</w:t>
            </w:r>
            <w:r>
              <w:rPr>
                <w:rFonts w:hint="eastAsia" w:ascii="宋体" w:hAnsi="宋体" w:cs="宋体"/>
                <w:b/>
                <w:bCs/>
                <w:color w:val="auto"/>
                <w:sz w:val="24"/>
                <w:highlight w:val="none"/>
              </w:rPr>
              <w:t>为专门面向中小企业</w:t>
            </w:r>
            <w:r>
              <w:rPr>
                <w:rFonts w:hint="eastAsia" w:ascii="宋体" w:hAnsi="宋体" w:cs="宋体"/>
                <w:b/>
                <w:bCs/>
                <w:color w:val="auto"/>
                <w:kern w:val="0"/>
                <w:sz w:val="24"/>
                <w:szCs w:val="24"/>
                <w:highlight w:val="none"/>
              </w:rPr>
              <w:t>。</w:t>
            </w:r>
          </w:p>
          <w:p>
            <w:pPr>
              <w:adjustRightInd w:val="0"/>
              <w:snapToGrid w:val="0"/>
              <w:spacing w:line="276"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2、根据财政部发布的《政府采购促进中小企业发展管理办法》 （财库[2020]46号）的规定执行。投标文件中须提供《中小企业声明函》。</w:t>
            </w:r>
          </w:p>
          <w:p>
            <w:pPr>
              <w:adjustRightInd w:val="0"/>
              <w:snapToGrid w:val="0"/>
              <w:spacing w:line="276"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3、对于专门面向中、小、微型企业或者监狱企业或者残疾人福利性单位的政府采购货物或服务项目或工程项目，符合资格条件的不再执行价格评审优惠的扶持政策。</w:t>
            </w:r>
          </w:p>
          <w:p>
            <w:pPr>
              <w:adjustRightInd w:val="0"/>
              <w:snapToGrid w:val="0"/>
              <w:spacing w:line="276"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0" w:type="dxa"/>
            <w:vMerge w:val="continue"/>
            <w:vAlign w:val="center"/>
          </w:tcPr>
          <w:p>
            <w:pPr>
              <w:spacing w:line="276" w:lineRule="auto"/>
              <w:jc w:val="center"/>
              <w:rPr>
                <w:rFonts w:ascii="宋体" w:hAnsi="宋体" w:cs="宋体"/>
                <w:color w:val="auto"/>
                <w:sz w:val="24"/>
                <w:highlight w:val="none"/>
              </w:rPr>
            </w:pPr>
          </w:p>
        </w:tc>
        <w:tc>
          <w:tcPr>
            <w:tcW w:w="1254" w:type="dxa"/>
            <w:vMerge w:val="continue"/>
            <w:vAlign w:val="center"/>
          </w:tcPr>
          <w:p>
            <w:pPr>
              <w:spacing w:line="276" w:lineRule="auto"/>
              <w:rPr>
                <w:rFonts w:ascii="宋体" w:hAnsi="宋体" w:cs="宋体"/>
                <w:color w:val="auto"/>
                <w:sz w:val="24"/>
                <w:highlight w:val="none"/>
              </w:rPr>
            </w:pPr>
          </w:p>
        </w:tc>
        <w:tc>
          <w:tcPr>
            <w:tcW w:w="7208" w:type="dxa"/>
            <w:vAlign w:val="center"/>
          </w:tcPr>
          <w:p>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节能环保要求：</w:t>
            </w:r>
          </w:p>
          <w:p>
            <w:pPr>
              <w:adjustRightInd w:val="0"/>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djustRightInd w:val="0"/>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采购对属于节能产品政府采购品目清单规定的政府强制采购产品范围内的产品实施强制采购。投标人应当在响应文件中提供国家确定的认证机构出具的、处于有效期之内的节能产品认证证书（复制件）。不能提供上述证书的，响应文件无效。</w:t>
            </w:r>
          </w:p>
          <w:p>
            <w:pPr>
              <w:adjustRightInd w:val="0"/>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采购对属于品目清单范围但不属于政府强制采购产品的，实施优先采购，具体按评审办法。投标人在响应文件中提供国家确定的认证机构出具的、处于有效期之内的节能产品或环境标志产品认证证书（复制件）。</w:t>
            </w:r>
          </w:p>
          <w:p>
            <w:pPr>
              <w:adjustRightInd w:val="0"/>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节能产品政府采购品目清单，以财政部、国家发改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0" w:type="dxa"/>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254" w:type="dxa"/>
            <w:vAlign w:val="center"/>
          </w:tcPr>
          <w:p>
            <w:pPr>
              <w:pStyle w:val="47"/>
              <w:snapToGrid w:val="0"/>
              <w:spacing w:line="380" w:lineRule="exact"/>
              <w:rPr>
                <w:rFonts w:hAnsi="宋体" w:cs="宋体"/>
                <w:color w:val="auto"/>
                <w:sz w:val="24"/>
                <w:highlight w:val="none"/>
              </w:rPr>
            </w:pPr>
            <w:r>
              <w:rPr>
                <w:rFonts w:hint="eastAsia" w:hAnsi="宋体" w:cs="宋体"/>
                <w:b/>
                <w:bCs/>
                <w:color w:val="auto"/>
                <w:sz w:val="24"/>
                <w:szCs w:val="24"/>
                <w:highlight w:val="none"/>
              </w:rPr>
              <w:t>特别提醒</w:t>
            </w:r>
          </w:p>
        </w:tc>
        <w:tc>
          <w:tcPr>
            <w:tcW w:w="7208" w:type="dxa"/>
            <w:vAlign w:val="center"/>
          </w:tcPr>
          <w:p>
            <w:pPr>
              <w:pStyle w:val="47"/>
              <w:snapToGrid w:val="0"/>
              <w:spacing w:line="380" w:lineRule="exact"/>
              <w:jc w:val="left"/>
              <w:rPr>
                <w:rFonts w:hAnsi="宋体" w:cs="宋体"/>
                <w:b/>
                <w:bCs/>
                <w:color w:val="auto"/>
                <w:sz w:val="24"/>
                <w:szCs w:val="24"/>
                <w:highlight w:val="none"/>
              </w:rPr>
            </w:pPr>
            <w:r>
              <w:rPr>
                <w:rFonts w:hint="eastAsia" w:hAnsi="宋体" w:cs="宋体"/>
                <w:b/>
                <w:bCs/>
                <w:color w:val="auto"/>
                <w:sz w:val="24"/>
                <w:szCs w:val="24"/>
                <w:highlight w:val="none"/>
              </w:rPr>
              <w:t>1.所有询标流程，均在线上完成，请各投标人务必不要离开电脑太久，并留意手机短信。（请提前检查“政采云”内，关于“项目采购”的岗位权限是否已勾选上。如有问题，请致电400-8817190）</w:t>
            </w:r>
          </w:p>
          <w:p>
            <w:pPr>
              <w:pStyle w:val="47"/>
              <w:snapToGrid w:val="0"/>
              <w:spacing w:line="380" w:lineRule="exact"/>
              <w:jc w:val="left"/>
              <w:rPr>
                <w:color w:val="auto"/>
                <w:highlight w:val="none"/>
              </w:rPr>
            </w:pPr>
            <w:r>
              <w:rPr>
                <w:rFonts w:hint="eastAsia" w:hAnsi="宋体" w:cs="宋体"/>
                <w:b/>
                <w:bCs/>
                <w:color w:val="auto"/>
                <w:sz w:val="24"/>
                <w:szCs w:val="24"/>
                <w:highlight w:val="none"/>
              </w:rPr>
              <w:t>2.投标人无须到开标现场，只需自备电脑在规定时间前进行在线解密文件即可。</w:t>
            </w:r>
          </w:p>
        </w:tc>
      </w:tr>
      <w:bookmarkEnd w:id="1"/>
    </w:tbl>
    <w:p>
      <w:pPr>
        <w:adjustRightInd w:val="0"/>
        <w:snapToGrid w:val="0"/>
        <w:spacing w:line="360" w:lineRule="auto"/>
        <w:jc w:val="center"/>
        <w:outlineLvl w:val="1"/>
        <w:rPr>
          <w:rFonts w:ascii="宋体" w:hAnsi="宋体" w:cs="宋体"/>
          <w:b/>
          <w:color w:val="auto"/>
          <w:sz w:val="32"/>
          <w:highlight w:val="none"/>
        </w:rPr>
      </w:pPr>
      <w:bookmarkStart w:id="7" w:name="_Toc126885988"/>
      <w:bookmarkStart w:id="8" w:name="_Toc994"/>
      <w:bookmarkStart w:id="9" w:name="_Toc522530041"/>
      <w:bookmarkStart w:id="10" w:name="_Toc233618972"/>
      <w:bookmarkStart w:id="11" w:name="_Toc225840109"/>
      <w:bookmarkStart w:id="12" w:name="_Toc226521904"/>
      <w:bookmarkStart w:id="13" w:name="_Toc226106516"/>
      <w:bookmarkStart w:id="14" w:name="_Toc226106467"/>
      <w:r>
        <w:rPr>
          <w:rFonts w:hint="eastAsia" w:ascii="宋体" w:hAnsi="宋体" w:cs="宋体"/>
          <w:b/>
          <w:color w:val="auto"/>
          <w:sz w:val="32"/>
          <w:highlight w:val="none"/>
        </w:rPr>
        <w:t>一、总 则</w:t>
      </w:r>
      <w:bookmarkEnd w:id="7"/>
      <w:bookmarkEnd w:id="8"/>
      <w:bookmarkEnd w:id="9"/>
      <w:bookmarkEnd w:id="10"/>
    </w:p>
    <w:p>
      <w:pPr>
        <w:pStyle w:val="47"/>
        <w:adjustRightInd w:val="0"/>
        <w:snapToGrid w:val="0"/>
        <w:spacing w:line="264" w:lineRule="auto"/>
        <w:rPr>
          <w:rFonts w:hAnsi="宋体" w:cs="宋体"/>
          <w:b/>
          <w:color w:val="auto"/>
          <w:sz w:val="24"/>
          <w:highlight w:val="none"/>
        </w:rPr>
      </w:pPr>
      <w:bookmarkStart w:id="15" w:name="_Hlt74714665"/>
      <w:bookmarkEnd w:id="15"/>
      <w:bookmarkStart w:id="16" w:name="_Hlt74730295"/>
      <w:bookmarkEnd w:id="16"/>
      <w:bookmarkStart w:id="17" w:name="_Hlt74730208"/>
      <w:bookmarkStart w:id="18" w:name="_Hlt74730112"/>
      <w:r>
        <w:rPr>
          <w:rFonts w:hint="eastAsia" w:hAnsi="宋体" w:cs="宋体"/>
          <w:b/>
          <w:color w:val="auto"/>
          <w:sz w:val="24"/>
          <w:highlight w:val="none"/>
        </w:rPr>
        <w:t>（一）实施依据</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本次招标工作按照《中华人民共和国政府采购法》等政府采购有关法律、法规、规章、文件的规定组织和实施。</w:t>
      </w:r>
    </w:p>
    <w:p>
      <w:pPr>
        <w:pStyle w:val="47"/>
        <w:adjustRightInd w:val="0"/>
        <w:snapToGrid w:val="0"/>
        <w:spacing w:line="264" w:lineRule="auto"/>
        <w:rPr>
          <w:rFonts w:hAnsi="宋体" w:cs="宋体"/>
          <w:b/>
          <w:color w:val="auto"/>
          <w:sz w:val="24"/>
          <w:highlight w:val="none"/>
        </w:rPr>
      </w:pPr>
      <w:bookmarkStart w:id="19" w:name="_Toc91899873"/>
      <w:r>
        <w:rPr>
          <w:rFonts w:hint="eastAsia" w:hAnsi="宋体" w:cs="宋体"/>
          <w:b/>
          <w:color w:val="auto"/>
          <w:sz w:val="24"/>
          <w:highlight w:val="none"/>
        </w:rPr>
        <w:t>（二）采购方式</w:t>
      </w:r>
      <w:bookmarkEnd w:id="19"/>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w:t>
      </w:r>
      <w:bookmarkEnd w:id="17"/>
      <w:bookmarkEnd w:id="18"/>
      <w:bookmarkStart w:id="20" w:name="_Hlt68516771"/>
      <w:bookmarkEnd w:id="20"/>
      <w:bookmarkStart w:id="21" w:name="_Hlt74388212"/>
      <w:bookmarkEnd w:id="21"/>
    </w:p>
    <w:p>
      <w:pPr>
        <w:adjustRightInd w:val="0"/>
        <w:snapToGrid w:val="0"/>
        <w:spacing w:line="264" w:lineRule="auto"/>
        <w:rPr>
          <w:rFonts w:ascii="宋体" w:hAnsi="宋体" w:cs="宋体"/>
          <w:b/>
          <w:color w:val="auto"/>
          <w:kern w:val="0"/>
          <w:sz w:val="24"/>
          <w:highlight w:val="none"/>
          <w:lang w:val="zh-CN"/>
        </w:rPr>
      </w:pPr>
      <w:bookmarkStart w:id="22" w:name="_Toc91899877"/>
      <w:bookmarkStart w:id="23" w:name="_Hlt74730303"/>
      <w:r>
        <w:rPr>
          <w:rFonts w:hint="eastAsia" w:ascii="宋体" w:hAnsi="宋体" w:cs="宋体"/>
          <w:b/>
          <w:color w:val="auto"/>
          <w:sz w:val="24"/>
          <w:highlight w:val="none"/>
        </w:rPr>
        <w:t>（三）</w:t>
      </w:r>
      <w:r>
        <w:rPr>
          <w:rFonts w:hint="eastAsia" w:ascii="宋体" w:hAnsi="宋体" w:cs="宋体"/>
          <w:b/>
          <w:color w:val="auto"/>
          <w:kern w:val="0"/>
          <w:sz w:val="24"/>
          <w:highlight w:val="none"/>
          <w:lang w:val="zh-CN"/>
        </w:rPr>
        <w:t>定义</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招标（采购）人：是指依法进行政府采购的国家机关、事业单位、团体组织，见本项目“招标公告”；</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招标（采购）代理机构：受招标人委托，在委托的范围内办理政府采购事宜并组织招标活动的机构，见本项目“招标公告”；</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投标人（投标人）：是指参加本政府采购项目投标的投标人；</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中标人：是指经评审获得本项目最终合同签订资格的投标人。</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买方（甲方）：是指合同签订的一方，一般与招标人、用户相同；</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卖方（乙方）：是指合同签订的另一方，一般与中标人相同；</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制造商：包括是指拥有投标产品自主知识产权的单位；</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政府采购监管部门：</w:t>
      </w:r>
      <w:r>
        <w:rPr>
          <w:rFonts w:hint="eastAsia" w:ascii="宋体" w:hAnsi="宋体" w:cs="宋体"/>
          <w:color w:val="auto"/>
          <w:sz w:val="24"/>
          <w:szCs w:val="22"/>
          <w:highlight w:val="none"/>
        </w:rPr>
        <w:t>衢州市政府采购管理办公室</w:t>
      </w:r>
      <w:r>
        <w:rPr>
          <w:rFonts w:hint="eastAsia" w:ascii="宋体" w:hAnsi="宋体" w:cs="宋体"/>
          <w:color w:val="auto"/>
          <w:sz w:val="24"/>
          <w:highlight w:val="none"/>
        </w:rPr>
        <w:t>；</w:t>
      </w:r>
    </w:p>
    <w:p>
      <w:pPr>
        <w:adjustRightInd w:val="0"/>
        <w:snapToGrid w:val="0"/>
        <w:spacing w:line="264"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产品（货物）：系指按招标文件规定，须向招标人提供的一切设备及配套备品备件、工具、手册及其他有关技术资料和材料；</w:t>
      </w:r>
    </w:p>
    <w:p>
      <w:pPr>
        <w:adjustRightInd w:val="0"/>
        <w:snapToGrid w:val="0"/>
        <w:spacing w:line="264"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tabs>
          <w:tab w:val="left" w:pos="0"/>
        </w:tabs>
        <w:autoSpaceDE w:val="0"/>
        <w:autoSpaceDN w:val="0"/>
        <w:adjustRightInd w:val="0"/>
        <w:spacing w:line="264"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服务：</w:t>
      </w:r>
      <w:r>
        <w:rPr>
          <w:rFonts w:hint="eastAsia" w:ascii="宋体" w:hAnsi="宋体" w:cs="宋体"/>
          <w:color w:val="auto"/>
          <w:kern w:val="0"/>
          <w:sz w:val="24"/>
          <w:highlight w:val="none"/>
          <w:lang w:val="zh-CN"/>
        </w:rPr>
        <w:t>系指按招标文件规定，须向招标人提供</w:t>
      </w:r>
      <w:r>
        <w:rPr>
          <w:rFonts w:hint="eastAsia" w:ascii="宋体" w:hAnsi="宋体" w:cs="宋体"/>
          <w:color w:val="auto"/>
          <w:sz w:val="24"/>
          <w:highlight w:val="none"/>
          <w:lang w:val="zh-CN"/>
        </w:rPr>
        <w:t xml:space="preserve">的与供货有关的辅助服务，如运输、保险、培训安装、调试、验收、技术支持和交付使用后质保期内应履行的售后服务等义务； </w:t>
      </w:r>
    </w:p>
    <w:p>
      <w:pPr>
        <w:tabs>
          <w:tab w:val="left" w:pos="0"/>
        </w:tabs>
        <w:autoSpaceDE w:val="0"/>
        <w:autoSpaceDN w:val="0"/>
        <w:adjustRightInd w:val="0"/>
        <w:spacing w:line="264"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培训：系指按招标文件规定，向招标人提供操作使用培训、系统管理培训和其他相关培训等。</w:t>
      </w:r>
    </w:p>
    <w:p>
      <w:pPr>
        <w:tabs>
          <w:tab w:val="left" w:pos="0"/>
        </w:tabs>
        <w:autoSpaceDE w:val="0"/>
        <w:autoSpaceDN w:val="0"/>
        <w:adjustRightInd w:val="0"/>
        <w:spacing w:line="264"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书面形式：包括纸质文件、电子邮件、传真、信函、电报等。</w:t>
      </w:r>
    </w:p>
    <w:p>
      <w:pPr>
        <w:adjustRightInd w:val="0"/>
        <w:snapToGrid w:val="0"/>
        <w:spacing w:line="264"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实质性响应:系指投标文件符合招标文件规定的实质性内容、条件和规定。</w:t>
      </w:r>
    </w:p>
    <w:p>
      <w:pPr>
        <w:adjustRightInd w:val="0"/>
        <w:snapToGrid w:val="0"/>
        <w:spacing w:line="264"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tabs>
          <w:tab w:val="left" w:pos="0"/>
        </w:tabs>
        <w:autoSpaceDE w:val="0"/>
        <w:autoSpaceDN w:val="0"/>
        <w:adjustRightInd w:val="0"/>
        <w:spacing w:line="264"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lang w:val="zh-CN"/>
        </w:rPr>
        <w:t>细微偏离：系指投标文件对招标文件的非实质性内容存在不完全响应或不响应。</w:t>
      </w:r>
    </w:p>
    <w:p>
      <w:pPr>
        <w:pStyle w:val="47"/>
        <w:adjustRightInd w:val="0"/>
        <w:snapToGrid w:val="0"/>
        <w:spacing w:line="264" w:lineRule="auto"/>
        <w:rPr>
          <w:rFonts w:hAnsi="宋体" w:cs="宋体"/>
          <w:b/>
          <w:color w:val="auto"/>
          <w:sz w:val="24"/>
          <w:highlight w:val="none"/>
        </w:rPr>
      </w:pPr>
      <w:r>
        <w:rPr>
          <w:rFonts w:hint="eastAsia" w:hAnsi="宋体" w:cs="宋体"/>
          <w:b/>
          <w:color w:val="auto"/>
          <w:sz w:val="24"/>
          <w:highlight w:val="none"/>
        </w:rPr>
        <w:t>（四）投标费用</w:t>
      </w:r>
    </w:p>
    <w:p>
      <w:pPr>
        <w:adjustRightInd w:val="0"/>
        <w:snapToGrid w:val="0"/>
        <w:spacing w:line="264" w:lineRule="auto"/>
        <w:ind w:firstLine="523" w:firstLineChars="218"/>
        <w:rPr>
          <w:rFonts w:ascii="宋体" w:hAnsi="宋体" w:cs="宋体"/>
          <w:color w:val="auto"/>
          <w:kern w:val="0"/>
          <w:position w:val="-5"/>
          <w:sz w:val="24"/>
          <w:highlight w:val="none"/>
        </w:rPr>
      </w:pPr>
      <w:r>
        <w:rPr>
          <w:rFonts w:hint="eastAsia" w:ascii="宋体" w:hAnsi="宋体" w:cs="宋体"/>
          <w:color w:val="auto"/>
          <w:kern w:val="0"/>
          <w:position w:val="-5"/>
          <w:sz w:val="24"/>
          <w:highlight w:val="none"/>
        </w:rPr>
        <w:t>无论招投标过程中的做法和结果如何，投标人自行承担招投标活动中所发生的全部费用。</w:t>
      </w:r>
    </w:p>
    <w:p>
      <w:pPr>
        <w:adjustRightInd w:val="0"/>
        <w:snapToGrid w:val="0"/>
        <w:spacing w:line="264" w:lineRule="auto"/>
        <w:rPr>
          <w:rFonts w:ascii="宋体" w:hAnsi="宋体" w:cs="宋体"/>
          <w:b/>
          <w:color w:val="auto"/>
          <w:sz w:val="24"/>
          <w:highlight w:val="none"/>
        </w:rPr>
      </w:pPr>
      <w:r>
        <w:rPr>
          <w:rFonts w:hint="eastAsia" w:ascii="宋体" w:hAnsi="宋体" w:cs="宋体"/>
          <w:b/>
          <w:color w:val="auto"/>
          <w:sz w:val="24"/>
          <w:highlight w:val="none"/>
        </w:rPr>
        <w:t>（五）语言文字</w:t>
      </w:r>
    </w:p>
    <w:bookmarkEnd w:id="22"/>
    <w:bookmarkEnd w:id="23"/>
    <w:p>
      <w:pPr>
        <w:adjustRightInd w:val="0"/>
        <w:snapToGrid w:val="0"/>
        <w:spacing w:line="264" w:lineRule="auto"/>
        <w:ind w:firstLine="523" w:firstLineChars="218"/>
        <w:rPr>
          <w:rFonts w:ascii="宋体" w:hAnsi="宋体" w:cs="宋体"/>
          <w:color w:val="auto"/>
          <w:sz w:val="24"/>
          <w:highlight w:val="none"/>
        </w:rPr>
      </w:pPr>
      <w:bookmarkStart w:id="24" w:name="_Hlt75236290"/>
      <w:bookmarkEnd w:id="24"/>
      <w:bookmarkStart w:id="25" w:name="_Hlt74729768"/>
      <w:bookmarkEnd w:id="25"/>
      <w:bookmarkStart w:id="26" w:name="_Hlt68057669"/>
      <w:bookmarkEnd w:id="26"/>
      <w:bookmarkStart w:id="27" w:name="_Hlt74707468"/>
      <w:bookmarkEnd w:id="27"/>
      <w:bookmarkStart w:id="28" w:name="_Hlt68072990"/>
      <w:bookmarkEnd w:id="28"/>
      <w:bookmarkStart w:id="29" w:name="_Toc91899879"/>
      <w:r>
        <w:rPr>
          <w:rFonts w:hint="eastAsia" w:ascii="宋体" w:hAnsi="宋体" w:cs="宋体"/>
          <w:color w:val="auto"/>
          <w:sz w:val="24"/>
          <w:highlight w:val="none"/>
        </w:rPr>
        <w:t>1、招标投标有关的语言使用中文。</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adjustRightInd w:val="0"/>
        <w:snapToGrid w:val="0"/>
        <w:spacing w:line="264" w:lineRule="auto"/>
        <w:rPr>
          <w:rFonts w:ascii="宋体" w:hAnsi="宋体" w:cs="宋体"/>
          <w:color w:val="auto"/>
          <w:sz w:val="24"/>
          <w:highlight w:val="none"/>
        </w:rPr>
      </w:pPr>
      <w:r>
        <w:rPr>
          <w:rFonts w:hint="eastAsia" w:ascii="宋体" w:hAnsi="宋体" w:cs="宋体"/>
          <w:b/>
          <w:color w:val="auto"/>
          <w:sz w:val="24"/>
          <w:highlight w:val="none"/>
        </w:rPr>
        <w:t>（六）计量单位</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招标文件有明确规定的，适用招标文件规定的计量单位；招标文件没有规定的，应采用中华人民共和国法定计量单位，否则视同未响应。</w:t>
      </w:r>
    </w:p>
    <w:p>
      <w:pPr>
        <w:adjustRightInd w:val="0"/>
        <w:snapToGrid w:val="0"/>
        <w:spacing w:line="264" w:lineRule="auto"/>
        <w:rPr>
          <w:rFonts w:ascii="宋体" w:hAnsi="宋体" w:cs="宋体"/>
          <w:color w:val="auto"/>
          <w:sz w:val="24"/>
          <w:highlight w:val="none"/>
        </w:rPr>
      </w:pPr>
      <w:r>
        <w:rPr>
          <w:rFonts w:hint="eastAsia" w:ascii="宋体" w:hAnsi="宋体" w:cs="宋体"/>
          <w:b/>
          <w:color w:val="auto"/>
          <w:sz w:val="24"/>
          <w:highlight w:val="none"/>
        </w:rPr>
        <w:t>（七）转包与分包</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如有分包，应在投标文件中明确分包内容，提供分包意向协议。</w:t>
      </w:r>
    </w:p>
    <w:p>
      <w:pPr>
        <w:adjustRightInd w:val="0"/>
        <w:snapToGrid w:val="0"/>
        <w:spacing w:line="264" w:lineRule="auto"/>
        <w:ind w:firstLine="525" w:firstLineChars="218"/>
        <w:rPr>
          <w:rFonts w:ascii="宋体" w:hAnsi="宋体" w:cs="宋体"/>
          <w:color w:val="auto"/>
          <w:sz w:val="24"/>
          <w:highlight w:val="none"/>
        </w:rPr>
      </w:pPr>
      <w:r>
        <w:rPr>
          <w:rFonts w:ascii="宋体" w:hAnsi="宋体" w:cs="宋体"/>
          <w:b/>
          <w:bCs/>
          <w:color w:val="auto"/>
          <w:sz w:val="24"/>
          <w:highlight w:val="none"/>
        </w:rPr>
        <w:t>享受《政府采购促进中小企业发展管理办法》的通知（财库〔2020〕46号）的规定扶持政策获得政府采购合同的，小微企业不得将合同分包给大中型企业，中型企业不得将合同分包给大型企业；如有违反以上情形，采购人有权解除合同，并追究中标人的违约责任。</w:t>
      </w:r>
    </w:p>
    <w:p>
      <w:pPr>
        <w:adjustRightInd w:val="0"/>
        <w:snapToGrid w:val="0"/>
        <w:spacing w:line="264" w:lineRule="auto"/>
        <w:rPr>
          <w:rFonts w:ascii="宋体" w:hAnsi="宋体" w:cs="宋体"/>
          <w:b/>
          <w:color w:val="auto"/>
          <w:sz w:val="24"/>
          <w:highlight w:val="none"/>
        </w:rPr>
      </w:pPr>
      <w:r>
        <w:rPr>
          <w:rFonts w:hint="eastAsia" w:ascii="宋体" w:hAnsi="宋体" w:cs="宋体"/>
          <w:b/>
          <w:color w:val="auto"/>
          <w:sz w:val="24"/>
          <w:highlight w:val="none"/>
        </w:rPr>
        <w:t>（八）踏勘现场</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1、若本须知“前附表”规定统一组织的，投标人应按规定的时间、地点准时出席，否则将不予单独安排；</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2、投标人踏勘现场发生的费用自理。</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3、除招标人的原因外，投标人自行负责在踏勘现场中可能发生的人员伤亡和财产损失。</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4、招标人在踏勘现场中介绍的场地和相关的周边环境情况，投标人在编制投标文件时参考，招标人不对投标人据此作出的判断和决策负责。</w:t>
      </w:r>
    </w:p>
    <w:p>
      <w:pPr>
        <w:adjustRightInd w:val="0"/>
        <w:snapToGrid w:val="0"/>
        <w:spacing w:line="264" w:lineRule="auto"/>
        <w:rPr>
          <w:rFonts w:ascii="宋体" w:hAnsi="宋体" w:cs="宋体"/>
          <w:b/>
          <w:color w:val="auto"/>
          <w:sz w:val="24"/>
          <w:highlight w:val="none"/>
        </w:rPr>
      </w:pPr>
      <w:r>
        <w:rPr>
          <w:rFonts w:hint="eastAsia" w:ascii="宋体" w:hAnsi="宋体" w:cs="宋体"/>
          <w:b/>
          <w:color w:val="auto"/>
          <w:sz w:val="24"/>
          <w:highlight w:val="none"/>
        </w:rPr>
        <w:t>（九）投标预备会（答疑会）</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2、投标人应在答疑会时间的前一天，以书面形式将提出的问题送达招标人，以便招标人在会议期间澄清。</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3、答疑会后，招标人将按规定对投标人所提问题进行书面澄清答复。</w:t>
      </w:r>
    </w:p>
    <w:p>
      <w:pPr>
        <w:adjustRightInd w:val="0"/>
        <w:snapToGrid w:val="0"/>
        <w:spacing w:line="264" w:lineRule="auto"/>
        <w:rPr>
          <w:rFonts w:ascii="宋体" w:hAnsi="宋体" w:cs="宋体"/>
          <w:color w:val="auto"/>
          <w:sz w:val="24"/>
          <w:highlight w:val="none"/>
        </w:rPr>
      </w:pPr>
      <w:r>
        <w:rPr>
          <w:rFonts w:hint="eastAsia" w:ascii="宋体" w:hAnsi="宋体" w:cs="宋体"/>
          <w:b/>
          <w:color w:val="auto"/>
          <w:sz w:val="24"/>
          <w:highlight w:val="none"/>
        </w:rPr>
        <w:t>（十）对投标人的限制</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3、以联合体形式参加政府采购活动的，联合体各方不得再单独参加或者与其他投标人另外组成联合体参加同一合同项下的政府采购活动；</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4、为证明投标人拥有的业绩、荣誉、知识产权、项目案例等而在投标文件中提供的证明材料必须为投标人自身所有。不同法人、其他组织的资料与投标人无关。</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5、投标人之间的利害关系：</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（1）法定代表人或负责人或实际控制人是夫妻关系；</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（2）法定代表人或负责人或实际控制人是直系血亲关系；</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（3）法定代表人或负责人或实际控制人存在三代以内旁系血亲关系；</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（4）法定代表人或负责人或实际控制人存在近姻亲关系；</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（5）法定代表人或负责人或实际控制人存在股份控制或实际控制关系；</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（6）存在共同直接或间接投资设立子公司、联营企业和合营企业情况；</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6、采购人若有核心产品，请根据采购项目实际需求确定核心产品，并在采购文件第三部分“采购需求”中明确标注，若没有则不需要确定及注明。</w:t>
      </w:r>
    </w:p>
    <w:p>
      <w:pPr>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spacing w:line="264" w:lineRule="auto"/>
        <w:ind w:firstLine="600" w:firstLineChars="250"/>
        <w:rPr>
          <w:rFonts w:ascii="宋体" w:hAnsi="宋体" w:cs="宋体"/>
          <w:color w:val="auto"/>
          <w:sz w:val="24"/>
          <w:highlight w:val="none"/>
        </w:rPr>
      </w:pPr>
      <w:r>
        <w:rPr>
          <w:rFonts w:hint="eastAsia" w:ascii="宋体" w:hAnsi="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8、招标公告中明确专门面向中小微企业采购的项目，只能由中小企业或微型企业参加。</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9、投标截止前被“信用中国”网站(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www.creditchina.gov.cn</w:t>
      </w:r>
      <w:r>
        <w:rPr>
          <w:rFonts w:hint="eastAsia" w:ascii="宋体" w:hAnsi="宋体" w:cs="宋体"/>
          <w:color w:val="auto"/>
          <w:highlight w:val="none"/>
        </w:rPr>
        <w:fldChar w:fldCharType="end"/>
      </w:r>
      <w:r>
        <w:rPr>
          <w:rFonts w:hint="eastAsia" w:ascii="宋体" w:hAnsi="宋体" w:cs="宋体"/>
          <w:color w:val="auto"/>
          <w:sz w:val="24"/>
          <w:highlight w:val="none"/>
        </w:rPr>
        <w:t>)列入失信被执行人、重大税收违法案件当事人名单或被“中国政府采购网”(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highlight w:val="none"/>
        </w:rPr>
        <w:t>www.ccgp.gov.cn</w:t>
      </w:r>
      <w:r>
        <w:rPr>
          <w:rFonts w:hint="eastAsia" w:ascii="宋体" w:hAnsi="宋体" w:cs="宋体"/>
          <w:color w:val="auto"/>
          <w:highlight w:val="none"/>
        </w:rPr>
        <w:fldChar w:fldCharType="end"/>
      </w:r>
      <w:r>
        <w:rPr>
          <w:rFonts w:hint="eastAsia" w:ascii="宋体" w:hAnsi="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adjustRightInd w:val="0"/>
        <w:snapToGrid w:val="0"/>
        <w:spacing w:line="264" w:lineRule="auto"/>
        <w:rPr>
          <w:rFonts w:ascii="宋体" w:hAnsi="宋体" w:cs="宋体"/>
          <w:b/>
          <w:color w:val="auto"/>
          <w:sz w:val="24"/>
          <w:highlight w:val="none"/>
        </w:rPr>
      </w:pPr>
      <w:r>
        <w:rPr>
          <w:rFonts w:hint="eastAsia" w:ascii="宋体" w:hAnsi="宋体" w:cs="宋体"/>
          <w:b/>
          <w:color w:val="auto"/>
          <w:sz w:val="24"/>
          <w:highlight w:val="none"/>
        </w:rPr>
        <w:t>（十一）质疑与投诉</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（1）对招标文件提出质疑的，为招标公告期限届满之日（公告期限为公告发布后5个工作日，不含发布当日）；</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（2）对采购过程提出质疑的，为各招标程序环节结束之日；</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（3）对评标结果提出质疑的，为中标结果公告期限届满之日（公告期限为公告发布后1个工作日，不含发布当日）。</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4、质疑、投诉函以电子邮件或传真形式提交的，还须在提交后以邮寄的方式提交质疑书纸质原件，以实际收到原件之日作为收到质疑之日。</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5、未按上述要求提供的质疑（投诉）函，采购组织机构有权不予受理。</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adjustRightInd w:val="0"/>
        <w:snapToGrid w:val="0"/>
        <w:spacing w:line="264" w:lineRule="auto"/>
        <w:rPr>
          <w:rFonts w:ascii="宋体" w:hAnsi="宋体" w:cs="宋体"/>
          <w:color w:val="auto"/>
          <w:sz w:val="24"/>
          <w:highlight w:val="none"/>
        </w:rPr>
      </w:pPr>
      <w:r>
        <w:rPr>
          <w:rFonts w:hint="eastAsia" w:ascii="宋体" w:hAnsi="宋体" w:cs="宋体"/>
          <w:b/>
          <w:color w:val="auto"/>
          <w:sz w:val="24"/>
          <w:highlight w:val="none"/>
        </w:rPr>
        <w:t>（十二）其他注意事项</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见本须知“前附表”，同时还需注意以下事项：</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1、法定代表人授权代表须为投标人</w:t>
      </w:r>
      <w:r>
        <w:rPr>
          <w:rFonts w:hint="eastAsia" w:ascii="宋体" w:hAnsi="宋体" w:cs="宋体"/>
          <w:b/>
          <w:color w:val="auto"/>
          <w:sz w:val="24"/>
          <w:highlight w:val="none"/>
        </w:rPr>
        <w:t>在职职工</w:t>
      </w:r>
      <w:r>
        <w:rPr>
          <w:rFonts w:hint="eastAsia" w:ascii="宋体" w:hAnsi="宋体" w:cs="宋体"/>
          <w:color w:val="auto"/>
          <w:sz w:val="24"/>
          <w:highlight w:val="none"/>
        </w:rPr>
        <w:t>，投标人须在投标文件中提供附有该授权代表为投标人</w:t>
      </w:r>
      <w:r>
        <w:rPr>
          <w:rFonts w:hint="eastAsia" w:ascii="宋体" w:hAnsi="宋体" w:cs="宋体"/>
          <w:b/>
          <w:color w:val="auto"/>
          <w:sz w:val="24"/>
          <w:highlight w:val="none"/>
        </w:rPr>
        <w:t>在职员工相关证明文件（如投标人为该员工缴纳的社保记录或劳务合同等）</w:t>
      </w:r>
      <w:r>
        <w:rPr>
          <w:rFonts w:hint="eastAsia" w:ascii="宋体" w:hAnsi="宋体" w:cs="宋体"/>
          <w:color w:val="auto"/>
          <w:sz w:val="24"/>
          <w:highlight w:val="none"/>
        </w:rPr>
        <w:t>的《法定代表人授权书》。</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3、▲投标人对所投标项内的采购内容必须全部进行投标。</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4、不论招标人、招标代理机构向投标人发送的资料文件，还是投标人提出的问题，均采用书面形式，任何口头提问及答复一律无效。</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adjustRightInd w:val="0"/>
        <w:snapToGrid w:val="0"/>
        <w:spacing w:line="264" w:lineRule="auto"/>
        <w:ind w:firstLine="523" w:firstLineChars="218"/>
        <w:rPr>
          <w:rFonts w:ascii="宋体" w:hAnsi="宋体" w:cs="宋体"/>
          <w:color w:val="auto"/>
          <w:sz w:val="24"/>
          <w:highlight w:val="none"/>
        </w:rPr>
      </w:pPr>
      <w:r>
        <w:rPr>
          <w:rFonts w:hint="eastAsia" w:ascii="宋体" w:hAnsi="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adjustRightInd w:val="0"/>
        <w:snapToGrid w:val="0"/>
        <w:spacing w:line="264" w:lineRule="auto"/>
        <w:rPr>
          <w:rFonts w:ascii="宋体" w:hAnsi="宋体" w:cs="宋体"/>
          <w:b/>
          <w:color w:val="auto"/>
          <w:sz w:val="24"/>
          <w:highlight w:val="none"/>
        </w:rPr>
      </w:pPr>
      <w:r>
        <w:rPr>
          <w:rFonts w:hint="eastAsia" w:ascii="宋体" w:hAnsi="宋体" w:cs="宋体"/>
          <w:b/>
          <w:color w:val="auto"/>
          <w:sz w:val="24"/>
          <w:highlight w:val="none"/>
        </w:rPr>
        <w:t>（十三）保密</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参与招标投标活动的各方应对招标文件和投标文件中的商业和技术等秘密保密，违者应对此造成的后果承担法律责任。</w:t>
      </w:r>
    </w:p>
    <w:bookmarkEnd w:id="29"/>
    <w:p>
      <w:pPr>
        <w:adjustRightInd w:val="0"/>
        <w:snapToGrid w:val="0"/>
        <w:spacing w:line="360" w:lineRule="auto"/>
        <w:jc w:val="center"/>
        <w:outlineLvl w:val="1"/>
        <w:rPr>
          <w:rFonts w:ascii="宋体" w:hAnsi="宋体" w:cs="宋体"/>
          <w:b/>
          <w:color w:val="auto"/>
          <w:sz w:val="32"/>
          <w:highlight w:val="none"/>
        </w:rPr>
      </w:pPr>
      <w:bookmarkStart w:id="30" w:name="_Toc126885989"/>
      <w:bookmarkStart w:id="31" w:name="_Toc9352"/>
      <w:bookmarkStart w:id="32" w:name="_Toc233618973"/>
      <w:bookmarkStart w:id="33" w:name="_Toc522530042"/>
      <w:r>
        <w:rPr>
          <w:rFonts w:hint="eastAsia" w:ascii="宋体" w:hAnsi="宋体" w:cs="宋体"/>
          <w:b/>
          <w:color w:val="auto"/>
          <w:sz w:val="32"/>
          <w:highlight w:val="none"/>
        </w:rPr>
        <w:t>二、招标文件</w:t>
      </w:r>
      <w:bookmarkEnd w:id="30"/>
      <w:bookmarkEnd w:id="31"/>
      <w:bookmarkEnd w:id="32"/>
      <w:bookmarkEnd w:id="33"/>
    </w:p>
    <w:p>
      <w:pPr>
        <w:pStyle w:val="47"/>
        <w:adjustRightInd w:val="0"/>
        <w:snapToGrid w:val="0"/>
        <w:spacing w:line="264" w:lineRule="auto"/>
        <w:rPr>
          <w:rFonts w:hAnsi="宋体" w:cs="宋体"/>
          <w:b/>
          <w:color w:val="auto"/>
          <w:sz w:val="24"/>
          <w:highlight w:val="none"/>
        </w:rPr>
      </w:pPr>
      <w:bookmarkStart w:id="34" w:name="_Toc91899880"/>
      <w:bookmarkStart w:id="35" w:name="_Hlt74730307"/>
      <w:r>
        <w:rPr>
          <w:rFonts w:hint="eastAsia" w:hAnsi="宋体" w:cs="宋体"/>
          <w:b/>
          <w:color w:val="auto"/>
          <w:sz w:val="24"/>
          <w:highlight w:val="none"/>
        </w:rPr>
        <w:t>（一）招标文件的</w:t>
      </w:r>
      <w:bookmarkEnd w:id="34"/>
      <w:r>
        <w:rPr>
          <w:rFonts w:hint="eastAsia" w:hAnsi="宋体" w:cs="宋体"/>
          <w:b/>
          <w:color w:val="auto"/>
          <w:sz w:val="24"/>
          <w:highlight w:val="none"/>
        </w:rPr>
        <w:t>组成</w:t>
      </w:r>
    </w:p>
    <w:bookmarkEnd w:id="35"/>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招标文件包括下列文件及附件</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第一部分  招标公告</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第二部分  投标人须知</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第三部分  采购需求</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第四部分  合同文本</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第五部分  投标文件部分格式文件</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第六部分  评分办法</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补充文件（如果有，包括相关的补充、更正、澄清公告和文件）</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其他附件（如果有，如图纸等）</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2、投标人应认真审阅上述招标文件组成中所有的内容。如果投标人编制的投标文件没有从实质上响应招标文件的要求，其投标文件将被拒绝。</w:t>
      </w:r>
    </w:p>
    <w:p>
      <w:pPr>
        <w:pStyle w:val="47"/>
        <w:adjustRightInd w:val="0"/>
        <w:snapToGrid w:val="0"/>
        <w:spacing w:line="264" w:lineRule="auto"/>
        <w:rPr>
          <w:rFonts w:hAnsi="宋体" w:cs="宋体"/>
          <w:b/>
          <w:color w:val="auto"/>
          <w:sz w:val="24"/>
          <w:highlight w:val="none"/>
        </w:rPr>
      </w:pPr>
      <w:r>
        <w:rPr>
          <w:rFonts w:hint="eastAsia" w:hAnsi="宋体" w:cs="宋体"/>
          <w:b/>
          <w:color w:val="auto"/>
          <w:sz w:val="24"/>
          <w:highlight w:val="none"/>
        </w:rPr>
        <w:t>（二）招标文件的解释</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1、投标人一旦参与本次招标活动，即被视为接受了本招标文件的所有内容，如有任何异议，均应在答疑截止时间前提出。</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3、招标文件的解释权归招标人、招标代理机构所有。</w:t>
      </w:r>
    </w:p>
    <w:p>
      <w:pPr>
        <w:tabs>
          <w:tab w:val="left" w:pos="3780"/>
        </w:tabs>
        <w:spacing w:line="264" w:lineRule="auto"/>
        <w:rPr>
          <w:rFonts w:ascii="宋体" w:hAnsi="宋体" w:cs="宋体"/>
          <w:b/>
          <w:color w:val="auto"/>
          <w:sz w:val="24"/>
          <w:highlight w:val="none"/>
        </w:rPr>
      </w:pPr>
      <w:r>
        <w:rPr>
          <w:rFonts w:hint="eastAsia" w:ascii="宋体" w:hAnsi="宋体" w:cs="宋体"/>
          <w:b/>
          <w:color w:val="auto"/>
          <w:sz w:val="24"/>
          <w:highlight w:val="none"/>
        </w:rPr>
        <w:t>（三）招标文件的澄清</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2、投标人要求澄清的资料应写明投标人全称、地址、邮编、传真、联系人、联系电话、电子邮箱、询疑日期并加盖投标人公章。</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 投标人在招标文件规定的询疑截止时间前内未对招标文件提出疑问的，招标代理机构将视其对招标文件无异议。</w:t>
      </w:r>
    </w:p>
    <w:p>
      <w:pPr>
        <w:pStyle w:val="47"/>
        <w:adjustRightInd w:val="0"/>
        <w:snapToGrid w:val="0"/>
        <w:spacing w:line="264" w:lineRule="auto"/>
        <w:rPr>
          <w:rFonts w:hAnsi="宋体" w:cs="宋体"/>
          <w:b/>
          <w:color w:val="auto"/>
          <w:sz w:val="24"/>
          <w:highlight w:val="none"/>
        </w:rPr>
      </w:pPr>
      <w:r>
        <w:rPr>
          <w:rFonts w:hint="eastAsia" w:hAnsi="宋体" w:cs="宋体"/>
          <w:b/>
          <w:color w:val="auto"/>
          <w:sz w:val="24"/>
          <w:highlight w:val="none"/>
        </w:rPr>
        <w:t>（四）招标文件的修改</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1、由于各种原因招标人可能在投标截止时间前以澄清、答复、修改、补充文件的形式修改完善招标文件。</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adjustRightInd w:val="0"/>
        <w:snapToGrid w:val="0"/>
        <w:spacing w:line="360" w:lineRule="auto"/>
        <w:jc w:val="center"/>
        <w:outlineLvl w:val="1"/>
        <w:rPr>
          <w:rFonts w:ascii="宋体" w:hAnsi="宋体" w:cs="宋体"/>
          <w:b/>
          <w:color w:val="auto"/>
          <w:sz w:val="32"/>
          <w:highlight w:val="none"/>
        </w:rPr>
      </w:pPr>
      <w:bookmarkStart w:id="36" w:name="_Toc20674"/>
      <w:bookmarkStart w:id="37" w:name="_Toc522530043"/>
      <w:bookmarkStart w:id="38" w:name="_Toc91899884"/>
      <w:bookmarkStart w:id="39" w:name="_Toc233618974"/>
      <w:bookmarkStart w:id="40" w:name="_Toc126885990"/>
      <w:r>
        <w:rPr>
          <w:rFonts w:hint="eastAsia" w:ascii="宋体" w:hAnsi="宋体" w:cs="宋体"/>
          <w:b/>
          <w:color w:val="auto"/>
          <w:sz w:val="32"/>
          <w:highlight w:val="none"/>
        </w:rPr>
        <w:t>三、投标文件</w:t>
      </w:r>
      <w:bookmarkEnd w:id="36"/>
      <w:bookmarkEnd w:id="37"/>
      <w:bookmarkEnd w:id="38"/>
      <w:bookmarkEnd w:id="39"/>
      <w:bookmarkEnd w:id="40"/>
    </w:p>
    <w:p>
      <w:pPr>
        <w:adjustRightInd w:val="0"/>
        <w:snapToGrid w:val="0"/>
        <w:spacing w:line="264" w:lineRule="auto"/>
        <w:rPr>
          <w:rFonts w:ascii="宋体" w:hAnsi="宋体" w:cs="宋体"/>
          <w:b/>
          <w:bCs/>
          <w:color w:val="auto"/>
          <w:sz w:val="24"/>
          <w:szCs w:val="22"/>
          <w:highlight w:val="none"/>
          <w:lang w:val="zh-CN"/>
        </w:rPr>
      </w:pPr>
      <w:r>
        <w:rPr>
          <w:rFonts w:hint="eastAsia" w:ascii="宋体" w:hAnsi="宋体" w:cs="宋体"/>
          <w:b/>
          <w:bCs/>
          <w:color w:val="auto"/>
          <w:sz w:val="24"/>
          <w:szCs w:val="22"/>
          <w:highlight w:val="none"/>
        </w:rPr>
        <w:t>（一）投标文件的编制</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4、《投标文件》内容不完整、编排混乱导致《投标文件》被误读、漏读或者查找不到相关内容的，是投标人的责任。</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5、《投标文件》因字迹潦草或表达不清所引起的后果由投标人负责。</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7、投标文件必须按招标文件提供的格式签字或盖章。授权代表签字的，投标文件应附法定代表人签署的授权委托书。</w:t>
      </w:r>
    </w:p>
    <w:p>
      <w:pPr>
        <w:adjustRightInd w:val="0"/>
        <w:snapToGrid w:val="0"/>
        <w:spacing w:line="264" w:lineRule="auto"/>
        <w:rPr>
          <w:rFonts w:ascii="宋体" w:hAnsi="宋体" w:cs="宋体"/>
          <w:b/>
          <w:bCs/>
          <w:color w:val="auto"/>
          <w:sz w:val="24"/>
          <w:szCs w:val="22"/>
          <w:highlight w:val="none"/>
        </w:rPr>
      </w:pPr>
      <w:r>
        <w:rPr>
          <w:rFonts w:hint="eastAsia" w:ascii="宋体" w:hAnsi="宋体" w:cs="宋体"/>
          <w:b/>
          <w:bCs/>
          <w:color w:val="auto"/>
          <w:sz w:val="24"/>
          <w:szCs w:val="22"/>
          <w:highlight w:val="none"/>
        </w:rPr>
        <w:t>（二）投标文件的签章</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1、《投标文件》的签章：见《前附表》；</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2、《投标文件》应由投标人法定代表人或其授权代表签字（或盖章），并加盖投标人公章。</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3、电子签章操作指南详见采购公告附件《供应商项目采购-电子招投标操作指南》。</w:t>
      </w:r>
    </w:p>
    <w:p>
      <w:pPr>
        <w:adjustRightInd w:val="0"/>
        <w:snapToGrid w:val="0"/>
        <w:spacing w:line="264" w:lineRule="auto"/>
        <w:rPr>
          <w:rFonts w:ascii="宋体" w:hAnsi="宋体" w:cs="宋体"/>
          <w:b/>
          <w:bCs/>
          <w:color w:val="auto"/>
          <w:sz w:val="24"/>
          <w:szCs w:val="22"/>
          <w:highlight w:val="none"/>
        </w:rPr>
      </w:pPr>
      <w:r>
        <w:rPr>
          <w:rFonts w:hint="eastAsia" w:ascii="宋体" w:hAnsi="宋体" w:cs="宋体"/>
          <w:b/>
          <w:bCs/>
          <w:color w:val="auto"/>
          <w:sz w:val="24"/>
          <w:szCs w:val="22"/>
          <w:highlight w:val="none"/>
        </w:rPr>
        <w:t>（三）</w:t>
      </w:r>
      <w:r>
        <w:rPr>
          <w:rFonts w:hint="eastAsia" w:hAnsi="宋体"/>
          <w:b/>
          <w:color w:val="auto"/>
          <w:sz w:val="24"/>
          <w:highlight w:val="none"/>
        </w:rPr>
        <w:t>）投标文件</w:t>
      </w:r>
      <w:r>
        <w:rPr>
          <w:rFonts w:hint="eastAsia" w:ascii="宋体" w:hAnsi="宋体" w:cs="宋体"/>
          <w:b/>
          <w:bCs/>
          <w:color w:val="auto"/>
          <w:sz w:val="24"/>
          <w:szCs w:val="22"/>
          <w:highlight w:val="none"/>
        </w:rPr>
        <w:t>的组成</w:t>
      </w:r>
    </w:p>
    <w:p>
      <w:pPr>
        <w:pStyle w:val="47"/>
        <w:adjustRightInd w:val="0"/>
        <w:snapToGrid w:val="0"/>
        <w:spacing w:line="264" w:lineRule="auto"/>
        <w:ind w:firstLine="482" w:firstLineChars="200"/>
        <w:rPr>
          <w:rFonts w:hAnsi="宋体" w:cs="宋体"/>
          <w:b/>
          <w:color w:val="auto"/>
          <w:sz w:val="24"/>
          <w:highlight w:val="none"/>
        </w:rPr>
      </w:pPr>
      <w:r>
        <w:rPr>
          <w:rFonts w:hint="eastAsia" w:hAnsi="宋体" w:cs="宋体"/>
          <w:b/>
          <w:color w:val="auto"/>
          <w:sz w:val="24"/>
          <w:highlight w:val="none"/>
        </w:rPr>
        <w:t>1、资格文件</w:t>
      </w:r>
    </w:p>
    <w:p>
      <w:pPr>
        <w:widowControl/>
        <w:tabs>
          <w:tab w:val="left" w:pos="3780"/>
        </w:tabs>
        <w:spacing w:line="264"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（1）资格审查材料（按第五部分格式一要求提供）；</w:t>
      </w:r>
    </w:p>
    <w:p>
      <w:pPr>
        <w:pStyle w:val="47"/>
        <w:adjustRightInd w:val="0"/>
        <w:snapToGrid w:val="0"/>
        <w:spacing w:line="264" w:lineRule="auto"/>
        <w:ind w:firstLine="482" w:firstLineChars="200"/>
        <w:rPr>
          <w:rFonts w:hAnsi="宋体" w:cs="宋体"/>
          <w:b/>
          <w:color w:val="auto"/>
          <w:sz w:val="24"/>
          <w:highlight w:val="none"/>
        </w:rPr>
      </w:pPr>
      <w:r>
        <w:rPr>
          <w:rFonts w:hint="eastAsia" w:hAnsi="宋体" w:cs="宋体"/>
          <w:b/>
          <w:color w:val="auto"/>
          <w:sz w:val="24"/>
          <w:highlight w:val="none"/>
        </w:rPr>
        <w:t>2、商务技术文件</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（1）投标声明函（格式见第五部分格式二）；</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（3）商务评分中所需的材料（如有，详见评标办法，节能、环保产品证明材料等）；</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（4）以往业绩情况（如有，具体要求见评标办法，并按第五部分格式四要求编排）；</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（5）偏离表（“偏离”是指对“第三部分  项目技术及服务要求”中条款的偏离。格式见第五部分格式五）；</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（6）拟投入本项目的服务团队情况表（格式见第五部分格式六）；</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（7）技术评分中所需的材料（详见评标办法）；</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（8）其他商务技术文件或说明（如有）。</w:t>
      </w:r>
    </w:p>
    <w:p>
      <w:pPr>
        <w:pStyle w:val="47"/>
        <w:adjustRightInd w:val="0"/>
        <w:snapToGrid w:val="0"/>
        <w:spacing w:line="264" w:lineRule="auto"/>
        <w:ind w:firstLine="482" w:firstLineChars="200"/>
        <w:rPr>
          <w:rFonts w:hAnsi="宋体" w:cs="宋体"/>
          <w:b/>
          <w:color w:val="auto"/>
          <w:sz w:val="24"/>
          <w:highlight w:val="none"/>
        </w:rPr>
      </w:pPr>
      <w:r>
        <w:rPr>
          <w:rFonts w:hint="eastAsia" w:hAnsi="宋体" w:cs="宋体"/>
          <w:b/>
          <w:color w:val="auto"/>
          <w:sz w:val="24"/>
          <w:highlight w:val="none"/>
        </w:rPr>
        <w:t>3、报价文件</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（1）开标一览表（格式见第五部分格式七）；</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（2）报价明细表（格式见第五部分格式八）。</w:t>
      </w:r>
    </w:p>
    <w:p>
      <w:pPr>
        <w:tabs>
          <w:tab w:val="left" w:pos="3780"/>
        </w:tabs>
        <w:spacing w:line="264" w:lineRule="auto"/>
        <w:ind w:firstLine="480" w:firstLineChars="200"/>
        <w:rPr>
          <w:rFonts w:ascii="宋体" w:hAnsi="宋体" w:cs="宋体"/>
          <w:color w:val="auto"/>
          <w:sz w:val="24"/>
          <w:highlight w:val="none"/>
          <w:u w:val="single"/>
        </w:rPr>
      </w:pPr>
      <w:r>
        <w:rPr>
          <w:rFonts w:hint="eastAsia" w:ascii="宋体" w:hAnsi="宋体" w:cs="宋体"/>
          <w:color w:val="auto"/>
          <w:sz w:val="24"/>
          <w:szCs w:val="22"/>
          <w:highlight w:val="none"/>
          <w:u w:val="single"/>
          <w:lang w:val="zh-CN"/>
        </w:rPr>
        <w:t>投标文件中所需的各种证书、证件、证明资料</w:t>
      </w:r>
      <w:r>
        <w:rPr>
          <w:rFonts w:hint="eastAsia" w:ascii="宋体" w:hAnsi="宋体" w:cs="宋体"/>
          <w:color w:val="auto"/>
          <w:sz w:val="24"/>
          <w:szCs w:val="22"/>
          <w:highlight w:val="none"/>
          <w:u w:val="single"/>
        </w:rPr>
        <w:t>等</w:t>
      </w:r>
      <w:r>
        <w:rPr>
          <w:rFonts w:hint="eastAsia" w:ascii="宋体" w:hAnsi="宋体" w:cs="宋体"/>
          <w:color w:val="auto"/>
          <w:sz w:val="24"/>
          <w:szCs w:val="22"/>
          <w:highlight w:val="none"/>
          <w:u w:val="single"/>
          <w:lang w:val="zh-CN"/>
        </w:rPr>
        <w:t>如是复印件，须在复印件上加盖有效公章。</w:t>
      </w:r>
    </w:p>
    <w:p>
      <w:pPr>
        <w:pStyle w:val="246"/>
        <w:adjustRightInd w:val="0"/>
        <w:snapToGrid w:val="0"/>
        <w:spacing w:before="0" w:line="264" w:lineRule="auto"/>
        <w:ind w:firstLine="0" w:firstLineChars="0"/>
        <w:rPr>
          <w:rFonts w:ascii="宋体" w:hAnsi="宋体" w:cs="宋体"/>
          <w:b/>
          <w:color w:val="auto"/>
          <w:highlight w:val="none"/>
        </w:rPr>
      </w:pPr>
      <w:r>
        <w:rPr>
          <w:rFonts w:hint="eastAsia" w:ascii="宋体" w:hAnsi="宋体" w:cs="宋体"/>
          <w:b/>
          <w:color w:val="auto"/>
          <w:highlight w:val="none"/>
        </w:rPr>
        <w:t>（三）投标报价</w:t>
      </w:r>
    </w:p>
    <w:p>
      <w:pPr>
        <w:adjustRightInd w:val="0"/>
        <w:snapToGrid w:val="0"/>
        <w:spacing w:line="264" w:lineRule="auto"/>
        <w:ind w:firstLine="480" w:firstLineChars="200"/>
        <w:rPr>
          <w:rFonts w:ascii="宋体" w:hAnsi="宋体"/>
          <w:color w:val="auto"/>
          <w:sz w:val="24"/>
          <w:highlight w:val="none"/>
        </w:rPr>
      </w:pPr>
      <w:r>
        <w:rPr>
          <w:rFonts w:hint="eastAsia" w:ascii="宋体" w:hAnsi="宋体"/>
          <w:color w:val="auto"/>
          <w:sz w:val="24"/>
          <w:highlight w:val="none"/>
        </w:rPr>
        <w:t>1、报价组成</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投标人应根据《开标一览表》填写相关内容。《开标一览表》是报价的唯一载体。投标报价是履行合同的最终价格，包含货款、标准附件、备品备件、专用工具、安装附件、质保、包装、运输、装卸、保险、税金、货到检查以及安装、调试、培训、保修等一切税金和费用等招标文件及合同明示或者暗示的所有责任、义务和风险。</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若本须知“前附表”规定允许进口产品投标的，投标报价还应包括：</w:t>
      </w:r>
    </w:p>
    <w:p>
      <w:pPr>
        <w:adjustRightInd w:val="0"/>
        <w:snapToGrid w:val="0"/>
        <w:spacing w:line="264"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投标截止时间前已经进口的货物</w:t>
      </w:r>
      <w:r>
        <w:rPr>
          <w:rFonts w:hint="eastAsia" w:ascii="宋体" w:hAnsi="宋体"/>
          <w:color w:val="auto"/>
          <w:sz w:val="24"/>
          <w:highlight w:val="none"/>
        </w:rPr>
        <w:t>：货物在从关境外进口时已交纳或应交纳的全部关税、增值税和其它税；</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需从中华人民共和国境外提供的货物：货物在从关境外进口时已交纳或应交纳的全部关税、增值税和其它税（本须知“前附表”规定可办理免税的除外）以及委托具有进出口代理权的机构办理进口事宜所需的所有费用。</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本须知“前附表”即使明确可免关税，如因国家（海关）政策等原因导致无法免关税的，关税由招标人承担；如因投标人原因导致无法办理的，合同价不予调整，关税由投标人承担，报价范围按前款（1）条执行。</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产品及服务须达到招标文件规定的质量标准及使用要求。</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2、其它费用处理</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3、投标货币</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投标文件中价格全部采用人民币报价。</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若本须知“前附表”规定允许进口产品投标的，投标人应将外币金额折算为人民币金额，并由投标人承担汇率变动风险。</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报价应是唯一的，不接受有选择的报价。</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4、投标人对在合同执行中，除上述费用及招标文件规定的由中标人负责的工作范围以外需要招标人协调或提供便利的工作应当在投标文件中说明。</w:t>
      </w:r>
      <w:bookmarkStart w:id="41" w:name="_Hlt75236011"/>
      <w:bookmarkEnd w:id="41"/>
    </w:p>
    <w:p>
      <w:pPr>
        <w:adjustRightInd w:val="0"/>
        <w:snapToGrid w:val="0"/>
        <w:spacing w:line="264" w:lineRule="auto"/>
        <w:ind w:firstLine="480" w:firstLineChars="200"/>
        <w:rPr>
          <w:rFonts w:ascii="宋体" w:hAnsi="宋体" w:cs="宋体"/>
          <w:b/>
          <w:color w:val="auto"/>
          <w:sz w:val="24"/>
          <w:highlight w:val="none"/>
        </w:rPr>
      </w:pPr>
      <w:r>
        <w:rPr>
          <w:rFonts w:hint="eastAsia" w:ascii="宋体" w:hAnsi="宋体"/>
          <w:color w:val="auto"/>
          <w:sz w:val="24"/>
          <w:highlight w:val="none"/>
        </w:rPr>
        <w:t>5、</w:t>
      </w:r>
      <w:r>
        <w:rPr>
          <w:rFonts w:hint="eastAsia" w:ascii="宋体" w:hAnsi="宋体"/>
          <w:color w:val="auto"/>
          <w:sz w:val="24"/>
          <w:highlight w:val="none"/>
          <w:u w:val="single"/>
        </w:rPr>
        <w:t>报价是中标的一个重要因素，但最低报价不是中标的唯一依据。</w:t>
      </w:r>
    </w:p>
    <w:p>
      <w:pPr>
        <w:pStyle w:val="246"/>
        <w:adjustRightInd w:val="0"/>
        <w:snapToGrid w:val="0"/>
        <w:spacing w:before="0" w:line="264" w:lineRule="auto"/>
        <w:ind w:firstLine="0" w:firstLineChars="0"/>
        <w:rPr>
          <w:rFonts w:ascii="宋体" w:hAnsi="宋体" w:cs="宋体"/>
          <w:b/>
          <w:color w:val="auto"/>
          <w:highlight w:val="none"/>
        </w:rPr>
      </w:pPr>
      <w:bookmarkStart w:id="42" w:name="_Toc91899887"/>
      <w:r>
        <w:rPr>
          <w:rFonts w:hint="eastAsia" w:ascii="宋体" w:hAnsi="宋体" w:cs="宋体"/>
          <w:b/>
          <w:color w:val="auto"/>
          <w:highlight w:val="none"/>
        </w:rPr>
        <w:t>（四）投标有效期</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1、投标文件合格投递后，自投标截止日期起，至前附表规定的日期内有效。合同签订后，投标文件作为合同附件，投标文件有效期同合同有效期。</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tabs>
          <w:tab w:val="left" w:pos="3780"/>
        </w:tabs>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3、投标人可拒绝接受延期要求。同意延长有效期的投标人不能修改投标文件。</w:t>
      </w:r>
    </w:p>
    <w:p>
      <w:pPr>
        <w:tabs>
          <w:tab w:val="left" w:pos="3780"/>
        </w:tabs>
        <w:spacing w:line="264" w:lineRule="auto"/>
        <w:ind w:firstLine="482" w:firstLineChars="200"/>
        <w:rPr>
          <w:rFonts w:ascii="宋体" w:hAnsi="宋体" w:cs="宋体"/>
          <w:b/>
          <w:color w:val="auto"/>
          <w:sz w:val="24"/>
          <w:szCs w:val="22"/>
          <w:highlight w:val="none"/>
        </w:rPr>
      </w:pPr>
      <w:r>
        <w:rPr>
          <w:rFonts w:hint="eastAsia" w:ascii="宋体" w:hAnsi="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42"/>
    <w:p>
      <w:pPr>
        <w:adjustRightInd w:val="0"/>
        <w:snapToGrid w:val="0"/>
        <w:spacing w:line="264" w:lineRule="auto"/>
        <w:jc w:val="center"/>
        <w:outlineLvl w:val="1"/>
        <w:rPr>
          <w:rFonts w:ascii="宋体" w:hAnsi="宋体" w:cs="宋体"/>
          <w:b/>
          <w:color w:val="auto"/>
          <w:sz w:val="32"/>
          <w:highlight w:val="none"/>
        </w:rPr>
      </w:pPr>
      <w:bookmarkStart w:id="43" w:name="_Toc126885991"/>
      <w:bookmarkStart w:id="44" w:name="_Toc522530044"/>
      <w:bookmarkStart w:id="45" w:name="_Toc19525"/>
      <w:bookmarkStart w:id="46" w:name="_Toc91899892"/>
      <w:r>
        <w:rPr>
          <w:rFonts w:hint="eastAsia" w:ascii="宋体" w:hAnsi="宋体" w:cs="宋体"/>
          <w:b/>
          <w:color w:val="auto"/>
          <w:sz w:val="32"/>
          <w:highlight w:val="none"/>
        </w:rPr>
        <w:t>四、投 标</w:t>
      </w:r>
      <w:bookmarkEnd w:id="43"/>
      <w:bookmarkEnd w:id="44"/>
      <w:bookmarkEnd w:id="45"/>
    </w:p>
    <w:p>
      <w:pPr>
        <w:pStyle w:val="246"/>
        <w:adjustRightInd w:val="0"/>
        <w:snapToGrid w:val="0"/>
        <w:spacing w:before="0" w:line="264" w:lineRule="auto"/>
        <w:ind w:firstLine="0" w:firstLineChars="0"/>
        <w:rPr>
          <w:rFonts w:ascii="宋体" w:hAnsi="宋体" w:cs="宋体"/>
          <w:bCs/>
          <w:color w:val="auto"/>
          <w:highlight w:val="none"/>
        </w:rPr>
      </w:pPr>
      <w:r>
        <w:rPr>
          <w:rFonts w:hint="eastAsia" w:ascii="宋体" w:hAnsi="宋体" w:cs="宋体"/>
          <w:bCs/>
          <w:color w:val="auto"/>
          <w:highlight w:val="none"/>
        </w:rPr>
        <w:t>（一）投标文件的上传和递交</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1、“电子加密投标文件”的上传、递交：</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a.投标人应在投标截止时间前将“电子加密投标文件”成功上传递交至“政府采购云平台”，否则投标无效。</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b.“电子加密投标文件”成功上传递交后，投标人可自行打印投标文件接收回执。</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2、“备份投标文件”的密封包装、递交：</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a.投标人在“政府采购云平台”完成“电子加密投标文件”的上传递交后，还可以（建议顺丰或EMS邮寄形式）在投标截止时间前递交以介质（U盘）存储的 “备份投标文件”（一份）；</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d.电子备份投标文件，由投标人决定是否递交，并自行承担不递交电子备份投标文件的风险。</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pPr>
        <w:pStyle w:val="246"/>
        <w:adjustRightInd w:val="0"/>
        <w:snapToGrid w:val="0"/>
        <w:spacing w:before="0" w:line="264" w:lineRule="auto"/>
        <w:ind w:firstLine="0" w:firstLineChars="0"/>
        <w:rPr>
          <w:rFonts w:ascii="宋体" w:hAnsi="宋体" w:cs="宋体"/>
          <w:bCs/>
          <w:color w:val="auto"/>
          <w:highlight w:val="none"/>
        </w:rPr>
      </w:pPr>
      <w:r>
        <w:rPr>
          <w:rFonts w:hint="eastAsia" w:ascii="宋体" w:hAnsi="宋体" w:cs="宋体"/>
          <w:bCs/>
          <w:color w:val="auto"/>
          <w:highlight w:val="none"/>
        </w:rPr>
        <w:t>（二）“电子加密投标文件”解密和异常情况处理</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（3）投标截止时间前，投标人仅递交了“备份投标文件”而未将电子加密投标文件上传至“政府采购云平台”的，投标无效。</w:t>
      </w:r>
    </w:p>
    <w:p>
      <w:pPr>
        <w:pStyle w:val="246"/>
        <w:adjustRightInd w:val="0"/>
        <w:snapToGrid w:val="0"/>
        <w:spacing w:before="0" w:line="264" w:lineRule="auto"/>
        <w:ind w:firstLine="0" w:firstLineChars="0"/>
        <w:rPr>
          <w:rFonts w:ascii="宋体" w:hAnsi="宋体" w:cs="宋体"/>
          <w:bCs/>
          <w:color w:val="auto"/>
          <w:highlight w:val="none"/>
        </w:rPr>
      </w:pPr>
      <w:r>
        <w:rPr>
          <w:rFonts w:hint="eastAsia" w:ascii="宋体" w:hAnsi="宋体" w:cs="宋体"/>
          <w:bCs/>
          <w:color w:val="auto"/>
          <w:highlight w:val="none"/>
        </w:rPr>
        <w:t>（三）投标文件的修改与撤回</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2、投标截止时间后，投标人不得撤回、修改《投标文件》。</w:t>
      </w:r>
    </w:p>
    <w:bookmarkEnd w:id="46"/>
    <w:p>
      <w:pPr>
        <w:adjustRightInd w:val="0"/>
        <w:snapToGrid w:val="0"/>
        <w:spacing w:line="360" w:lineRule="auto"/>
        <w:jc w:val="center"/>
        <w:outlineLvl w:val="1"/>
        <w:rPr>
          <w:rFonts w:ascii="宋体" w:hAnsi="宋体" w:cs="宋体"/>
          <w:b/>
          <w:color w:val="auto"/>
          <w:sz w:val="32"/>
          <w:highlight w:val="none"/>
        </w:rPr>
      </w:pPr>
      <w:bookmarkStart w:id="47" w:name="_Toc522530045"/>
      <w:bookmarkStart w:id="48" w:name="_Toc91899897"/>
      <w:bookmarkStart w:id="49" w:name="_Toc233618976"/>
      <w:bookmarkStart w:id="50" w:name="_Toc6430"/>
      <w:bookmarkStart w:id="51" w:name="_Toc126885992"/>
      <w:r>
        <w:rPr>
          <w:rFonts w:hint="eastAsia" w:ascii="宋体" w:hAnsi="宋体" w:cs="宋体"/>
          <w:b/>
          <w:color w:val="auto"/>
          <w:sz w:val="32"/>
          <w:highlight w:val="none"/>
        </w:rPr>
        <w:t>五、开 标</w:t>
      </w:r>
      <w:bookmarkEnd w:id="47"/>
      <w:bookmarkEnd w:id="48"/>
      <w:bookmarkEnd w:id="49"/>
      <w:bookmarkEnd w:id="50"/>
      <w:bookmarkEnd w:id="51"/>
    </w:p>
    <w:p>
      <w:pPr>
        <w:adjustRightInd w:val="0"/>
        <w:snapToGrid w:val="0"/>
        <w:spacing w:line="264" w:lineRule="auto"/>
        <w:rPr>
          <w:rFonts w:ascii="宋体" w:hAnsi="宋体" w:cs="宋体"/>
          <w:b/>
          <w:bCs/>
          <w:color w:val="auto"/>
          <w:sz w:val="24"/>
          <w:szCs w:val="22"/>
          <w:highlight w:val="none"/>
        </w:rPr>
      </w:pPr>
      <w:r>
        <w:rPr>
          <w:rFonts w:hint="eastAsia" w:ascii="宋体" w:hAnsi="宋体" w:cs="宋体"/>
          <w:b/>
          <w:bCs/>
          <w:color w:val="auto"/>
          <w:sz w:val="24"/>
          <w:szCs w:val="22"/>
          <w:highlight w:val="none"/>
        </w:rPr>
        <w:t>（一）开标形式</w:t>
      </w:r>
    </w:p>
    <w:p>
      <w:pPr>
        <w:adjustRightInd w:val="0"/>
        <w:snapToGrid w:val="0"/>
        <w:spacing w:line="264" w:lineRule="auto"/>
        <w:ind w:firstLine="482" w:firstLineChars="200"/>
        <w:rPr>
          <w:rFonts w:ascii="宋体" w:hAnsi="宋体" w:cs="宋体"/>
          <w:color w:val="auto"/>
          <w:sz w:val="24"/>
          <w:szCs w:val="22"/>
          <w:highlight w:val="none"/>
        </w:rPr>
      </w:pPr>
      <w:r>
        <w:rPr>
          <w:rFonts w:hint="eastAsia" w:ascii="宋体" w:hAnsi="宋体" w:cs="宋体"/>
          <w:b/>
          <w:bCs/>
          <w:color w:val="auto"/>
          <w:sz w:val="24"/>
          <w:szCs w:val="22"/>
          <w:highlight w:val="none"/>
        </w:rPr>
        <w:t>1、采购组织机构将按照招标文件规定的时间通过“政府采购云平台”组织开标、开启投标文件，所有投标人均应当准时在线参加。</w:t>
      </w:r>
    </w:p>
    <w:p>
      <w:pPr>
        <w:adjustRightInd w:val="0"/>
        <w:snapToGrid w:val="0"/>
        <w:spacing w:line="264" w:lineRule="auto"/>
        <w:rPr>
          <w:rFonts w:ascii="宋体" w:hAnsi="宋体" w:cs="宋体"/>
          <w:b/>
          <w:bCs/>
          <w:color w:val="auto"/>
          <w:sz w:val="24"/>
          <w:szCs w:val="22"/>
          <w:highlight w:val="none"/>
        </w:rPr>
      </w:pPr>
      <w:r>
        <w:rPr>
          <w:rFonts w:hint="eastAsia" w:ascii="宋体" w:hAnsi="宋体" w:cs="宋体"/>
          <w:b/>
          <w:bCs/>
          <w:color w:val="auto"/>
          <w:sz w:val="24"/>
          <w:szCs w:val="22"/>
          <w:highlight w:val="none"/>
        </w:rPr>
        <w:t>（二）开标准备</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1、开标的准备工作由采购组织机构负责落实；</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djustRightInd w:val="0"/>
        <w:snapToGrid w:val="0"/>
        <w:spacing w:line="264" w:lineRule="auto"/>
        <w:rPr>
          <w:rFonts w:ascii="宋体" w:hAnsi="宋体" w:cs="宋体"/>
          <w:b/>
          <w:bCs/>
          <w:color w:val="auto"/>
          <w:sz w:val="24"/>
          <w:szCs w:val="22"/>
          <w:highlight w:val="none"/>
        </w:rPr>
      </w:pPr>
      <w:r>
        <w:rPr>
          <w:rFonts w:hint="eastAsia" w:ascii="宋体" w:hAnsi="宋体" w:cs="宋体"/>
          <w:b/>
          <w:bCs/>
          <w:color w:val="auto"/>
          <w:sz w:val="24"/>
          <w:szCs w:val="22"/>
          <w:highlight w:val="none"/>
        </w:rPr>
        <w:t>（三）开标流程（两阶段）</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1、开标第一阶段</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djustRightInd w:val="0"/>
        <w:snapToGrid w:val="0"/>
        <w:spacing w:line="264" w:lineRule="auto"/>
        <w:ind w:firstLine="482" w:firstLineChars="200"/>
        <w:rPr>
          <w:rFonts w:ascii="宋体" w:hAnsi="宋体" w:cs="宋体"/>
          <w:color w:val="auto"/>
          <w:sz w:val="24"/>
          <w:szCs w:val="22"/>
          <w:highlight w:val="none"/>
        </w:rPr>
      </w:pPr>
      <w:r>
        <w:rPr>
          <w:rFonts w:hint="eastAsia" w:ascii="宋体" w:hAnsi="宋体" w:cs="宋体"/>
          <w:b/>
          <w:bCs/>
          <w:color w:val="auto"/>
          <w:sz w:val="24"/>
          <w:szCs w:val="22"/>
          <w:highlight w:val="none"/>
        </w:rPr>
        <w:t>（2）投标文件解密结束，通过邮件形式发送各投标人组织签署《政府采购活动现场确认声明书》；</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（3）开启投标文件，进入资格审查；</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（4）开启资格审查通过的投标人的商务技术文件进入符合性审查、商务技术评审；</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（5）第一阶段开标结束。</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2、开标大会第二阶段</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开启符合性审查、商务技术评审有效投标人的《报价文件》，公布开标一览表有关内容，同时当场制作开标记录表，投标人在线签字确认（不予确认的应说明理由，否则视为无异议）。唱标结束后，由评标委员会对报价的合理性、准确性等进行审查核实。</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（3）评审结束后，投标人可在</w:t>
      </w:r>
      <w:r>
        <w:rPr>
          <w:rFonts w:hint="eastAsia" w:ascii="宋体" w:hAnsi="宋体" w:cs="宋体"/>
          <w:b/>
          <w:bCs/>
          <w:color w:val="auto"/>
          <w:sz w:val="24"/>
          <w:szCs w:val="22"/>
          <w:highlight w:val="none"/>
        </w:rPr>
        <w:t>“政府采购云平台”</w:t>
      </w:r>
      <w:r>
        <w:rPr>
          <w:rFonts w:hint="eastAsia" w:ascii="宋体" w:hAnsi="宋体" w:cs="宋体"/>
          <w:color w:val="auto"/>
          <w:sz w:val="24"/>
          <w:szCs w:val="22"/>
          <w:highlight w:val="none"/>
        </w:rPr>
        <w:t>查看开标结果及中标候选人名单，及采购人最终确定中标人名单的时间和公告方式等。</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特别说明：如遇“政府采购云平台”电子化开标或评审程序调整的，按调整后程序执行。</w:t>
      </w:r>
    </w:p>
    <w:p>
      <w:pPr>
        <w:adjustRightInd w:val="0"/>
        <w:snapToGrid w:val="0"/>
        <w:spacing w:line="264" w:lineRule="auto"/>
        <w:rPr>
          <w:rFonts w:ascii="宋体" w:hAnsi="宋体" w:cs="宋体"/>
          <w:b/>
          <w:bCs/>
          <w:color w:val="auto"/>
          <w:sz w:val="24"/>
          <w:szCs w:val="22"/>
          <w:highlight w:val="none"/>
        </w:rPr>
      </w:pPr>
      <w:bookmarkStart w:id="52" w:name="_Toc24550037"/>
      <w:bookmarkStart w:id="53" w:name="_Toc33194393"/>
      <w:r>
        <w:rPr>
          <w:rFonts w:hint="eastAsia" w:ascii="宋体" w:hAnsi="宋体" w:cs="宋体"/>
          <w:b/>
          <w:bCs/>
          <w:color w:val="auto"/>
          <w:sz w:val="24"/>
          <w:szCs w:val="22"/>
          <w:highlight w:val="none"/>
        </w:rPr>
        <w:t>（四）投标人资格审查</w:t>
      </w:r>
      <w:bookmarkEnd w:id="52"/>
      <w:bookmarkEnd w:id="53"/>
    </w:p>
    <w:p>
      <w:pPr>
        <w:adjustRightInd w:val="0"/>
        <w:snapToGrid w:val="0"/>
        <w:spacing w:line="264" w:lineRule="auto"/>
        <w:ind w:firstLine="482" w:firstLineChars="200"/>
        <w:rPr>
          <w:rFonts w:ascii="宋体" w:hAnsi="宋体" w:cs="宋体"/>
          <w:color w:val="auto"/>
          <w:sz w:val="24"/>
          <w:szCs w:val="22"/>
          <w:highlight w:val="none"/>
        </w:rPr>
      </w:pPr>
      <w:r>
        <w:rPr>
          <w:rFonts w:hint="eastAsia" w:ascii="宋体" w:hAnsi="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adjustRightInd w:val="0"/>
        <w:snapToGrid w:val="0"/>
        <w:spacing w:line="264"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2、投标人提交的资格证明材料无法证明其符合招标文件规定的“投标人资格要求”的，采购人或采购代理机构将对其作资格审查不通过处理（无效 投标），并不再将其投标提交评标委员会进行后续评审。</w:t>
      </w:r>
    </w:p>
    <w:p>
      <w:pPr>
        <w:adjustRightInd w:val="0"/>
        <w:snapToGrid w:val="0"/>
        <w:spacing w:line="264" w:lineRule="auto"/>
        <w:ind w:firstLine="482" w:firstLineChars="200"/>
        <w:rPr>
          <w:rFonts w:ascii="宋体" w:hAnsi="宋体" w:cs="宋体"/>
          <w:b/>
          <w:color w:val="auto"/>
          <w:kern w:val="0"/>
          <w:sz w:val="24"/>
          <w:highlight w:val="none"/>
        </w:rPr>
      </w:pPr>
      <w:r>
        <w:rPr>
          <w:rFonts w:hint="eastAsia" w:ascii="宋体" w:hAnsi="宋体" w:cs="宋体"/>
          <w:b/>
          <w:bCs/>
          <w:color w:val="auto"/>
          <w:sz w:val="24"/>
          <w:szCs w:val="22"/>
          <w:highlight w:val="none"/>
        </w:rPr>
        <w:t>3、单位负责人为同一人或者存在直接控股、管理关系的不同投标人参加同一合同项下的政府采购活动的，相关投标人均作资格无效处理。</w:t>
      </w:r>
    </w:p>
    <w:p>
      <w:pPr>
        <w:adjustRightInd w:val="0"/>
        <w:snapToGrid w:val="0"/>
        <w:spacing w:line="360" w:lineRule="auto"/>
        <w:jc w:val="center"/>
        <w:outlineLvl w:val="1"/>
        <w:rPr>
          <w:rFonts w:ascii="宋体" w:hAnsi="宋体" w:cs="宋体"/>
          <w:b/>
          <w:color w:val="auto"/>
          <w:sz w:val="32"/>
          <w:highlight w:val="none"/>
        </w:rPr>
      </w:pPr>
      <w:bookmarkStart w:id="54" w:name="_Hlt75236101"/>
      <w:bookmarkEnd w:id="54"/>
      <w:bookmarkStart w:id="55" w:name="_Toc522530046"/>
      <w:bookmarkStart w:id="56" w:name="_Toc29851"/>
      <w:bookmarkStart w:id="57" w:name="_Toc233618977"/>
      <w:bookmarkStart w:id="58" w:name="_Toc126885993"/>
      <w:bookmarkStart w:id="59" w:name="_Toc91899902"/>
      <w:r>
        <w:rPr>
          <w:rFonts w:hint="eastAsia" w:ascii="宋体" w:hAnsi="宋体" w:cs="宋体"/>
          <w:b/>
          <w:color w:val="auto"/>
          <w:sz w:val="32"/>
          <w:highlight w:val="none"/>
        </w:rPr>
        <w:t>六、评 标</w:t>
      </w:r>
      <w:bookmarkEnd w:id="55"/>
      <w:bookmarkEnd w:id="56"/>
      <w:bookmarkEnd w:id="57"/>
      <w:bookmarkEnd w:id="58"/>
      <w:bookmarkEnd w:id="59"/>
    </w:p>
    <w:p>
      <w:pPr>
        <w:pStyle w:val="47"/>
        <w:adjustRightInd w:val="0"/>
        <w:snapToGrid w:val="0"/>
        <w:spacing w:line="264" w:lineRule="auto"/>
        <w:rPr>
          <w:rFonts w:hAnsi="宋体" w:cs="宋体"/>
          <w:b/>
          <w:color w:val="auto"/>
          <w:sz w:val="24"/>
          <w:highlight w:val="none"/>
        </w:rPr>
      </w:pPr>
      <w:bookmarkStart w:id="60" w:name="_Toc91899903"/>
      <w:r>
        <w:rPr>
          <w:rFonts w:hint="eastAsia" w:hAnsi="宋体" w:cs="宋体"/>
          <w:b/>
          <w:color w:val="auto"/>
          <w:sz w:val="24"/>
          <w:highlight w:val="none"/>
        </w:rPr>
        <w:t>（一）评标组织</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本项目评标委员会由7人(含)以上单数的人员组成，负责对投标文件进行审查、质询、评审和比较等。评标委员会由采购咨询专家和招标人代表组成，其中采购咨询专家人数不少于成员总数的三分之二。</w:t>
      </w:r>
      <w:r>
        <w:rPr>
          <w:rFonts w:hint="eastAsia" w:ascii="宋体" w:hAnsi="宋体" w:cs="宋体"/>
          <w:color w:val="auto"/>
          <w:kern w:val="0"/>
          <w:sz w:val="24"/>
          <w:highlight w:val="none"/>
        </w:rPr>
        <w:t>评标委员会成员名单在评审结果（采购结果）公告前保密。</w:t>
      </w:r>
    </w:p>
    <w:p>
      <w:pPr>
        <w:adjustRightInd w:val="0"/>
        <w:snapToGrid w:val="0"/>
        <w:spacing w:line="264" w:lineRule="auto"/>
        <w:rPr>
          <w:rFonts w:ascii="宋体" w:hAnsi="宋体" w:cs="宋体"/>
          <w:b/>
          <w:color w:val="auto"/>
          <w:sz w:val="24"/>
          <w:highlight w:val="none"/>
        </w:rPr>
      </w:pPr>
      <w:r>
        <w:rPr>
          <w:rFonts w:hint="eastAsia" w:ascii="宋体" w:hAnsi="宋体" w:cs="宋体"/>
          <w:b/>
          <w:color w:val="auto"/>
          <w:sz w:val="24"/>
          <w:highlight w:val="none"/>
        </w:rPr>
        <w:t>（二）评标原则</w:t>
      </w:r>
    </w:p>
    <w:p>
      <w:pPr>
        <w:pStyle w:val="47"/>
        <w:adjustRightInd w:val="0"/>
        <w:snapToGrid w:val="0"/>
        <w:spacing w:line="264" w:lineRule="auto"/>
        <w:ind w:firstLine="480" w:firstLineChars="200"/>
        <w:rPr>
          <w:rFonts w:hAnsi="宋体" w:cs="宋体"/>
          <w:color w:val="auto"/>
          <w:sz w:val="24"/>
          <w:highlight w:val="none"/>
        </w:rPr>
      </w:pPr>
      <w:r>
        <w:rPr>
          <w:rFonts w:hint="eastAsia" w:hAnsi="宋体" w:cs="宋体"/>
          <w:color w:val="auto"/>
          <w:sz w:val="24"/>
          <w:highlight w:val="none"/>
        </w:rPr>
        <w:t>1、竞争优选；</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2、公平、公正、科学合理</w:t>
      </w:r>
      <w:r>
        <w:rPr>
          <w:rFonts w:hint="eastAsia" w:ascii="宋体" w:hAnsi="宋体" w:cs="宋体"/>
          <w:color w:val="auto"/>
          <w:sz w:val="24"/>
          <w:szCs w:val="22"/>
          <w:highlight w:val="none"/>
          <w:lang w:val="zh-CN"/>
        </w:rPr>
        <w:t>；</w:t>
      </w:r>
    </w:p>
    <w:p>
      <w:pPr>
        <w:adjustRightInd w:val="0"/>
        <w:snapToGrid w:val="0"/>
        <w:spacing w:line="264"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3、</w:t>
      </w:r>
      <w:r>
        <w:rPr>
          <w:rFonts w:hint="eastAsia" w:ascii="宋体" w:hAnsi="宋体" w:cs="宋体"/>
          <w:color w:val="auto"/>
          <w:sz w:val="24"/>
          <w:szCs w:val="22"/>
          <w:highlight w:val="none"/>
        </w:rPr>
        <w:t>价格合理，方案、产品先进可行；</w:t>
      </w:r>
    </w:p>
    <w:p>
      <w:pPr>
        <w:adjustRightInd w:val="0"/>
        <w:snapToGrid w:val="0"/>
        <w:spacing w:line="264"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4、反对不正当竞争。</w:t>
      </w:r>
    </w:p>
    <w:p>
      <w:pPr>
        <w:adjustRightInd w:val="0"/>
        <w:snapToGrid w:val="0"/>
        <w:spacing w:line="264" w:lineRule="auto"/>
        <w:rPr>
          <w:rFonts w:ascii="宋体" w:hAnsi="宋体" w:cs="宋体"/>
          <w:b/>
          <w:color w:val="auto"/>
          <w:sz w:val="24"/>
          <w:highlight w:val="none"/>
        </w:rPr>
      </w:pPr>
      <w:r>
        <w:rPr>
          <w:rFonts w:hint="eastAsia" w:ascii="宋体" w:hAnsi="宋体" w:cs="宋体"/>
          <w:b/>
          <w:color w:val="auto"/>
          <w:sz w:val="24"/>
          <w:highlight w:val="none"/>
        </w:rPr>
        <w:t>（三）评标纪律</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评标委员会成员要严格遵守评标纪律、保密、回避等相关规定，依法独立履行评标职责，客观、公正、审慎参与评标工作；</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1、严格遵守评标时间，因突发情况确实不能按时参加评标的，应事先告知招标组织机构；</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2、服从招标组织机构的现场管理，主动出示身份证明，进入评标区域后应主动寄存移动通讯工具，按要求佩戴工作牌；</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3、与投标人或评标委员会其他成员存在利害关系的，要主动回避，自觉签订《政府采购评审人员廉洁自律承诺书》；</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5、自觉遵守职业道德，尊重招标人代表和投标人代表，配合招标组织机构回答投标人代表提出的有关异议；</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6、不得将评标过程、结果和投标人的商业秘密透露给任何单位和个人。未公告评标结果前不准泄露评标结果，不准将评标资料带出会场；</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adjustRightInd w:val="0"/>
        <w:snapToGrid w:val="0"/>
        <w:spacing w:line="264"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adjustRightInd w:val="0"/>
        <w:snapToGrid w:val="0"/>
        <w:spacing w:line="264" w:lineRule="auto"/>
        <w:rPr>
          <w:rFonts w:ascii="宋体" w:hAnsi="宋体" w:cs="宋体"/>
          <w:b/>
          <w:color w:val="auto"/>
          <w:sz w:val="24"/>
          <w:highlight w:val="none"/>
        </w:rPr>
      </w:pPr>
      <w:r>
        <w:rPr>
          <w:rFonts w:hint="eastAsia" w:ascii="宋体" w:hAnsi="宋体" w:cs="宋体"/>
          <w:b/>
          <w:color w:val="auto"/>
          <w:sz w:val="24"/>
          <w:highlight w:val="none"/>
        </w:rPr>
        <w:t>（四） 评标程序</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1、在评标专家中推选评标委员会组长，优先推选资深专家为组长；</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u w:val="single"/>
        </w:rPr>
        <w:t>资格审查</w:t>
      </w:r>
      <w:r>
        <w:rPr>
          <w:rFonts w:hint="eastAsia" w:ascii="宋体" w:hAnsi="宋体" w:cs="宋体"/>
          <w:color w:val="auto"/>
          <w:sz w:val="24"/>
          <w:highlight w:val="none"/>
        </w:rPr>
        <w:t>，经其书面授权的招标人代表或经其书面授权的招标代理机构代表采购代理机构按照招标文件要求对投标人逐一进行资格审查；</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
          <w:color w:val="auto"/>
          <w:sz w:val="24"/>
          <w:highlight w:val="none"/>
          <w:u w:val="single"/>
        </w:rPr>
        <w:t>商务技术文件的符合性审查</w:t>
      </w:r>
      <w:r>
        <w:rPr>
          <w:rFonts w:hint="eastAsia" w:ascii="宋体" w:hAnsi="宋体" w:cs="宋体"/>
          <w:color w:val="auto"/>
          <w:sz w:val="24"/>
          <w:highlight w:val="none"/>
        </w:rPr>
        <w:t>，评标人员对通过资格审查的各投标文件商务、技术部分的有效性、完整性和响应程度等进行审查，确定是否对招标文件作出实质性响应；</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color w:val="auto"/>
          <w:sz w:val="24"/>
          <w:highlight w:val="none"/>
          <w:u w:val="single"/>
        </w:rPr>
        <w:t>商务技术评分</w:t>
      </w:r>
      <w:r>
        <w:rPr>
          <w:rFonts w:hint="eastAsia" w:ascii="宋体" w:hAnsi="宋体" w:cs="宋体"/>
          <w:color w:val="auto"/>
          <w:sz w:val="24"/>
          <w:highlight w:val="none"/>
        </w:rPr>
        <w:t>，评标人员按招标文件规定的评标方法和评标标准，依法独立对投标文件商务、技术部分进行评估、比较，并给予评价或打分，不受任何单位和个人的干预；</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cs="宋体"/>
          <w:color w:val="auto"/>
          <w:kern w:val="0"/>
          <w:sz w:val="24"/>
          <w:highlight w:val="none"/>
        </w:rPr>
        <w:t>（或通过“政府采购云平台”在线答复）</w:t>
      </w:r>
      <w:r>
        <w:rPr>
          <w:rFonts w:hint="eastAsia" w:ascii="宋体" w:hAnsi="宋体" w:cs="宋体"/>
          <w:color w:val="auto"/>
          <w:sz w:val="24"/>
          <w:highlight w:val="none"/>
        </w:rPr>
        <w:t>形式作出澄清或说明，</w:t>
      </w:r>
      <w:r>
        <w:rPr>
          <w:rFonts w:hint="eastAsia" w:ascii="宋体" w:hAnsi="宋体" w:cs="宋体"/>
          <w:color w:val="auto"/>
          <w:kern w:val="0"/>
          <w:sz w:val="24"/>
          <w:highlight w:val="none"/>
        </w:rPr>
        <w:t>投标人的澄清、说明或者补正不得超出投标文件的范围或者改变投标文件的实质性内容</w:t>
      </w:r>
      <w:r>
        <w:rPr>
          <w:rFonts w:hint="eastAsia" w:ascii="宋体" w:hAnsi="宋体" w:cs="宋体"/>
          <w:color w:val="auto"/>
          <w:sz w:val="24"/>
          <w:highlight w:val="none"/>
        </w:rPr>
        <w:t>；</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u w:val="single"/>
        </w:rPr>
        <w:t>报价文件的符合性审查</w:t>
      </w:r>
      <w:r>
        <w:rPr>
          <w:rFonts w:hint="eastAsia" w:ascii="宋体" w:hAnsi="宋体" w:cs="宋体"/>
          <w:color w:val="auto"/>
          <w:sz w:val="24"/>
          <w:highlight w:val="none"/>
        </w:rPr>
        <w:t>，对开启的投标文件报价部分的进行有效性、完整性和响应程度等进行审查，确定是否对招标文件作出实质性响应；</w:t>
      </w:r>
    </w:p>
    <w:p>
      <w:pPr>
        <w:adjustRightInd w:val="0"/>
        <w:snapToGrid w:val="0"/>
        <w:spacing w:line="264" w:lineRule="auto"/>
        <w:rPr>
          <w:rFonts w:ascii="宋体" w:hAnsi="宋体" w:cs="宋体"/>
          <w:b/>
          <w:color w:val="auto"/>
          <w:sz w:val="24"/>
          <w:highlight w:val="none"/>
          <w:lang w:val="zh-CN"/>
        </w:rPr>
      </w:pPr>
      <w:r>
        <w:rPr>
          <w:rFonts w:hint="eastAsia" w:ascii="宋体" w:hAnsi="宋体" w:cs="宋体"/>
          <w:b/>
          <w:color w:val="auto"/>
          <w:sz w:val="24"/>
          <w:highlight w:val="none"/>
        </w:rPr>
        <w:t>（五）</w:t>
      </w:r>
      <w:r>
        <w:rPr>
          <w:rFonts w:hint="eastAsia" w:ascii="宋体" w:hAnsi="宋体" w:cs="宋体"/>
          <w:b/>
          <w:color w:val="auto"/>
          <w:sz w:val="24"/>
          <w:highlight w:val="none"/>
          <w:lang w:val="zh-CN"/>
        </w:rPr>
        <w:t>投标文件的鉴定</w:t>
      </w:r>
    </w:p>
    <w:p>
      <w:pPr>
        <w:adjustRightInd w:val="0"/>
        <w:snapToGrid w:val="0"/>
        <w:spacing w:line="264"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7"/>
        <w:adjustRightInd w:val="0"/>
        <w:snapToGrid w:val="0"/>
        <w:spacing w:line="264" w:lineRule="auto"/>
        <w:ind w:firstLine="482" w:firstLineChars="200"/>
        <w:jc w:val="left"/>
        <w:rPr>
          <w:rFonts w:hAnsi="宋体" w:cs="宋体"/>
          <w:color w:val="auto"/>
          <w:sz w:val="24"/>
          <w:highlight w:val="none"/>
        </w:rPr>
      </w:pPr>
      <w:r>
        <w:rPr>
          <w:rFonts w:hint="eastAsia" w:hAnsi="宋体" w:cs="宋体"/>
          <w:b/>
          <w:color w:val="auto"/>
          <w:sz w:val="24"/>
          <w:highlight w:val="none"/>
        </w:rPr>
        <w:t>2、无效标情形</w:t>
      </w:r>
    </w:p>
    <w:p>
      <w:pPr>
        <w:adjustRightInd w:val="0"/>
        <w:snapToGrid w:val="0"/>
        <w:spacing w:line="264" w:lineRule="auto"/>
        <w:rPr>
          <w:rFonts w:ascii="宋体" w:hAnsi="宋体" w:cs="宋体"/>
          <w:color w:val="auto"/>
          <w:sz w:val="24"/>
          <w:szCs w:val="22"/>
          <w:highlight w:val="none"/>
        </w:rPr>
      </w:pPr>
      <w:bookmarkStart w:id="61" w:name="_Hlk33211013"/>
      <w:r>
        <w:rPr>
          <w:rFonts w:hint="eastAsia" w:ascii="宋体" w:hAnsi="宋体" w:cs="宋体"/>
          <w:color w:val="auto"/>
          <w:sz w:val="24"/>
          <w:szCs w:val="22"/>
          <w:highlight w:val="none"/>
        </w:rPr>
        <w:t>（一）商务、技术文件符合性审查中，存在下列情形之一的，经评标委员会按少数服从多数原则认定后作无效标处理：</w:t>
      </w:r>
    </w:p>
    <w:p>
      <w:pPr>
        <w:adjustRightInd w:val="0"/>
        <w:snapToGrid w:val="0"/>
        <w:spacing w:line="264" w:lineRule="auto"/>
        <w:ind w:firstLine="480" w:firstLineChars="200"/>
        <w:rPr>
          <w:rFonts w:ascii="宋体" w:hAnsi="宋体" w:cs="宋体"/>
          <w:color w:val="auto"/>
          <w:sz w:val="24"/>
          <w:szCs w:val="22"/>
          <w:highlight w:val="none"/>
        </w:rPr>
      </w:pPr>
      <w:bookmarkStart w:id="62" w:name="_Toc33194396"/>
      <w:r>
        <w:rPr>
          <w:rFonts w:hint="eastAsia" w:ascii="宋体" w:hAnsi="宋体" w:cs="宋体"/>
          <w:color w:val="auto"/>
          <w:sz w:val="24"/>
          <w:szCs w:val="22"/>
          <w:highlight w:val="none"/>
        </w:rPr>
        <w:t>（1）投标文件未有效授权，法定代表人授权委托书等填写不完整或有涂改的；</w:t>
      </w:r>
      <w:bookmarkEnd w:id="62"/>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（3）投标文件存在一个或一个以上备选（替代）投标方案的；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（4）仅提交“备份投标文件”的；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（5）文件组成内容不齐全，本招标文件规定必须提供而未提供的（属于资格审查范围的除外）；</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（6）投标文件标注的响应或偏离情况与事实不符，或提供了虚假材料的；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（7）不响应或擅自改变本招标文件要求或投标文件有采购人不能接受的附加条件的；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（8）参加同一合同项下政府采购活动的不同投标人之间存在利害关系并且存在影响政府采购公平竞争行为的；</w:t>
      </w:r>
    </w:p>
    <w:p>
      <w:pPr>
        <w:adjustRightInd w:val="0"/>
        <w:snapToGrid w:val="0"/>
        <w:spacing w:line="264" w:lineRule="auto"/>
        <w:ind w:firstLine="480" w:firstLineChars="200"/>
        <w:rPr>
          <w:rFonts w:ascii="宋体" w:hAnsi="宋体" w:cs="宋体"/>
          <w:color w:val="auto"/>
          <w:sz w:val="24"/>
          <w:szCs w:val="22"/>
          <w:highlight w:val="none"/>
        </w:rPr>
      </w:pPr>
      <w:bookmarkStart w:id="63" w:name="_Toc33194397"/>
      <w:r>
        <w:rPr>
          <w:rFonts w:hint="eastAsia" w:ascii="宋体" w:hAnsi="宋体" w:cs="宋体"/>
          <w:color w:val="auto"/>
          <w:sz w:val="24"/>
          <w:szCs w:val="22"/>
          <w:highlight w:val="none"/>
        </w:rPr>
        <w:t>（9）招标人拟采购的产品如属于品目清单范围内的强制采购品目的，投标人未</w:t>
      </w:r>
      <w:bookmarkEnd w:id="63"/>
      <w:bookmarkStart w:id="64" w:name="_Toc33194398"/>
      <w:r>
        <w:rPr>
          <w:rFonts w:hint="eastAsia" w:ascii="宋体" w:hAnsi="宋体" w:cs="宋体"/>
          <w:color w:val="auto"/>
          <w:sz w:val="24"/>
          <w:szCs w:val="22"/>
          <w:highlight w:val="none"/>
        </w:rPr>
        <w:t>能在响应文件中提供国家确定的认证机构出具的、处于有效期之内的该产品节能产品、环境标志产品认证证书；</w:t>
      </w:r>
      <w:bookmarkEnd w:id="64"/>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（10）违反国家或政府部门相关法律、法规、文件规定的。</w:t>
      </w:r>
      <w:bookmarkEnd w:id="61"/>
    </w:p>
    <w:p>
      <w:pPr>
        <w:adjustRightInd w:val="0"/>
        <w:snapToGrid w:val="0"/>
        <w:spacing w:line="264" w:lineRule="auto"/>
        <w:rPr>
          <w:rFonts w:ascii="宋体" w:hAnsi="宋体" w:cs="宋体"/>
          <w:color w:val="auto"/>
          <w:sz w:val="24"/>
          <w:szCs w:val="22"/>
          <w:highlight w:val="none"/>
        </w:rPr>
      </w:pPr>
      <w:r>
        <w:rPr>
          <w:rFonts w:hint="eastAsia" w:ascii="宋体" w:hAnsi="宋体" w:cs="宋体"/>
          <w:color w:val="auto"/>
          <w:sz w:val="24"/>
          <w:szCs w:val="22"/>
          <w:highlight w:val="none"/>
        </w:rPr>
        <w:t>（二）报价文件符合性审查中，存在下列情形之一的，经评标委员会认定后作无效标处理：</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（2）投标文件存在一个或一个以上备选（替代）投标方案的；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（3）未按照招标文件标明的币种报价的，或者投标报价涵盖的内容不符合招标文件要求的；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（4）《开标一览表》总价与《投标报价明细表》总价不一致且拒不接受修正的；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（5）投标报价具有选择性，唱标价格与《投标文件》承诺的优惠（折扣）后价格不一致的；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（6）投标报价超过采购预算（或最高限价）的；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（7）仅提交“备份投标文件”的；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（8）投标文件组成内容不齐全，本招标文件规定必须提供而未提供的（属于资格审查范围的除外）；</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（9）投标文件标注的响应或偏离情况与事实不符，或提供了虚假材料的；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（10）不响应或擅自改变本招标文件要求或投标文件有采购人不能接受的附加条件的；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（12）违反国家或政府部门相关法律、法规、文件规定的。</w:t>
      </w:r>
    </w:p>
    <w:p>
      <w:pPr>
        <w:adjustRightInd w:val="0"/>
        <w:snapToGrid w:val="0"/>
        <w:rPr>
          <w:rFonts w:ascii="宋体" w:hAnsi="宋体" w:cs="宋体"/>
          <w:color w:val="auto"/>
          <w:sz w:val="24"/>
          <w:highlight w:val="none"/>
        </w:rPr>
      </w:pPr>
      <w:r>
        <w:rPr>
          <w:rFonts w:hint="eastAsia" w:ascii="宋体" w:hAnsi="宋体" w:cs="宋体"/>
          <w:b/>
          <w:color w:val="auto"/>
          <w:sz w:val="24"/>
          <w:highlight w:val="none"/>
        </w:rPr>
        <w:t>3、投标报价的错误修正</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（1）投标文件中开标一览表(报价表)内容与投标文件中明细表内容不一致的，以开标一览表为准；</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（2）投标文件的大写金额和小写金额不一致的，以大写金额为准；</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（4）如有多报、重报，其投标总价在评标过程中不予调整。如其中标，其合同价按其投标单价予以调整；</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（5）单价金额小数点有明显错位的，应以总价为准，并修改单价。</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adjustRightInd w:val="0"/>
        <w:snapToGrid w:val="0"/>
        <w:rPr>
          <w:rFonts w:ascii="宋体" w:hAnsi="宋体" w:cs="宋体"/>
          <w:b/>
          <w:color w:val="auto"/>
          <w:sz w:val="24"/>
          <w:szCs w:val="22"/>
          <w:highlight w:val="none"/>
        </w:rPr>
      </w:pPr>
      <w:r>
        <w:rPr>
          <w:rFonts w:hint="eastAsia" w:ascii="宋体" w:hAnsi="宋体" w:cs="宋体"/>
          <w:b/>
          <w:color w:val="auto"/>
          <w:sz w:val="24"/>
          <w:szCs w:val="22"/>
          <w:highlight w:val="none"/>
        </w:rPr>
        <w:t>4、废标</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在招标采购中，出现下列情形之一的，本项目废标：</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（1）符合专业条件的投标人或者对招标文件作实质响应的投标人不足三家的；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（2）出现影响采购公正的违法、违规行为的；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（3）投标人的报价均超过了采购预算，采购人不能支付的；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（4）因重大变故，采购任务取消的。</w:t>
      </w:r>
    </w:p>
    <w:p>
      <w:pPr>
        <w:adjustRightInd w:val="0"/>
        <w:snapToGrid w:val="0"/>
        <w:rPr>
          <w:rFonts w:ascii="宋体" w:hAnsi="宋体" w:cs="宋体"/>
          <w:b/>
          <w:color w:val="auto"/>
          <w:sz w:val="24"/>
          <w:szCs w:val="22"/>
          <w:highlight w:val="none"/>
        </w:rPr>
      </w:pPr>
      <w:r>
        <w:rPr>
          <w:rFonts w:hint="eastAsia" w:ascii="宋体" w:hAnsi="宋体" w:cs="宋体"/>
          <w:b/>
          <w:color w:val="auto"/>
          <w:sz w:val="24"/>
          <w:szCs w:val="22"/>
          <w:highlight w:val="none"/>
        </w:rPr>
        <w:t>5、可中止电子交易活动的情形</w:t>
      </w:r>
    </w:p>
    <w:p>
      <w:pPr>
        <w:adjustRightInd w:val="0"/>
        <w:snapToGrid w:val="0"/>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（1）电子交易平台发生故障而无法登录访问的；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（2）电子交易平台应用或数据库出现错误，不能进行正常操作的；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（3）电子交易平台发现严重安全漏洞，有潜在泄密危险的；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（4）病毒发作导致不能进行正常操作的；</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（5）其他无法保证电子交易的公平、公正和安全的情况。</w:t>
      </w:r>
    </w:p>
    <w:p>
      <w:pPr>
        <w:adjustRightInd w:val="0"/>
        <w:snapToGrid w:val="0"/>
        <w:ind w:firstLine="482" w:firstLineChars="200"/>
        <w:rPr>
          <w:rFonts w:ascii="宋体" w:hAnsi="宋体" w:cs="宋体"/>
          <w:b/>
          <w:bCs/>
          <w:color w:val="auto"/>
          <w:highlight w:val="none"/>
        </w:rPr>
      </w:pPr>
      <w:r>
        <w:rPr>
          <w:rFonts w:hint="eastAsia" w:ascii="宋体" w:hAnsi="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246"/>
        <w:adjustRightInd w:val="0"/>
        <w:snapToGrid w:val="0"/>
        <w:spacing w:before="0" w:line="240" w:lineRule="auto"/>
        <w:ind w:firstLine="0" w:firstLineChars="0"/>
        <w:rPr>
          <w:rFonts w:ascii="宋体" w:hAnsi="宋体" w:cs="宋体"/>
          <w:color w:val="auto"/>
          <w:szCs w:val="24"/>
          <w:highlight w:val="none"/>
        </w:rPr>
      </w:pPr>
      <w:r>
        <w:rPr>
          <w:rFonts w:hint="eastAsia" w:ascii="宋体" w:hAnsi="宋体" w:cs="宋体"/>
          <w:b/>
          <w:color w:val="auto"/>
          <w:highlight w:val="none"/>
        </w:rPr>
        <w:t>（六）投标文件的澄清、说明或补正</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adjustRightInd w:val="0"/>
        <w:snapToGrid w:val="0"/>
        <w:spacing w:line="264"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adjustRightInd w:val="0"/>
        <w:snapToGrid w:val="0"/>
        <w:rPr>
          <w:rFonts w:ascii="宋体" w:hAnsi="宋体" w:cs="宋体"/>
          <w:b/>
          <w:color w:val="auto"/>
          <w:sz w:val="24"/>
          <w:highlight w:val="none"/>
        </w:rPr>
      </w:pPr>
      <w:r>
        <w:rPr>
          <w:rFonts w:hint="eastAsia" w:ascii="宋体" w:hAnsi="宋体" w:cs="宋体"/>
          <w:b/>
          <w:color w:val="auto"/>
          <w:sz w:val="24"/>
          <w:highlight w:val="none"/>
        </w:rPr>
        <w:t>（七）评标办法</w:t>
      </w:r>
    </w:p>
    <w:bookmarkEnd w:id="60"/>
    <w:p>
      <w:pPr>
        <w:adjustRightInd w:val="0"/>
        <w:snapToGrid w:val="0"/>
        <w:ind w:firstLine="480" w:firstLineChars="200"/>
        <w:rPr>
          <w:rFonts w:ascii="宋体" w:hAnsi="宋体" w:cs="宋体"/>
          <w:color w:val="auto"/>
          <w:sz w:val="24"/>
          <w:highlight w:val="none"/>
        </w:rPr>
      </w:pPr>
      <w:bookmarkStart w:id="65" w:name="_Toc86216994"/>
      <w:r>
        <w:rPr>
          <w:rFonts w:hint="eastAsia" w:ascii="宋体" w:hAnsi="宋体" w:cs="宋体"/>
          <w:color w:val="auto"/>
          <w:sz w:val="24"/>
          <w:highlight w:val="none"/>
        </w:rPr>
        <w:t>详见“第六部分  评标办法”。</w:t>
      </w:r>
    </w:p>
    <w:p>
      <w:pPr>
        <w:pStyle w:val="246"/>
        <w:adjustRightInd w:val="0"/>
        <w:snapToGrid w:val="0"/>
        <w:spacing w:before="0" w:line="240" w:lineRule="auto"/>
        <w:ind w:firstLine="0" w:firstLineChars="0"/>
        <w:rPr>
          <w:rFonts w:ascii="宋体" w:hAnsi="宋体" w:cs="宋体"/>
          <w:b/>
          <w:color w:val="auto"/>
          <w:highlight w:val="none"/>
        </w:rPr>
      </w:pPr>
      <w:r>
        <w:rPr>
          <w:rFonts w:hint="eastAsia" w:ascii="宋体" w:hAnsi="宋体" w:cs="宋体"/>
          <w:b/>
          <w:color w:val="auto"/>
          <w:highlight w:val="none"/>
        </w:rPr>
        <w:t>（八）评标内容的保密</w:t>
      </w:r>
    </w:p>
    <w:p>
      <w:pPr>
        <w:adjustRightInd w:val="0"/>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1、公开开标后，直到公告中标单位止，凡属于审查、澄清、评价和比较投标的所有资料，都不向投标人或与评标无关的其他人泄露。</w:t>
      </w:r>
    </w:p>
    <w:p>
      <w:pPr>
        <w:adjustRightInd w:val="0"/>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2、 在投标文件的审查、澄清、评价和比较以及确定中标人过程中，投标人对招标人、招标代理机构和评标委员会施加影响的任何行为，都将导致取消资格。</w:t>
      </w:r>
    </w:p>
    <w:p>
      <w:pPr>
        <w:adjustRightInd w:val="0"/>
        <w:snapToGrid w:val="0"/>
        <w:jc w:val="center"/>
        <w:outlineLvl w:val="1"/>
        <w:rPr>
          <w:rFonts w:ascii="宋体" w:hAnsi="宋体" w:cs="宋体"/>
          <w:b/>
          <w:color w:val="auto"/>
          <w:sz w:val="32"/>
          <w:highlight w:val="none"/>
        </w:rPr>
      </w:pPr>
      <w:bookmarkStart w:id="66" w:name="_Toc23416"/>
      <w:bookmarkStart w:id="67" w:name="_Toc126885994"/>
      <w:bookmarkStart w:id="68" w:name="_Toc233618978"/>
      <w:bookmarkStart w:id="69" w:name="_Toc522530047"/>
      <w:r>
        <w:rPr>
          <w:rFonts w:hint="eastAsia" w:ascii="宋体" w:hAnsi="宋体" w:cs="宋体"/>
          <w:b/>
          <w:color w:val="auto"/>
          <w:sz w:val="32"/>
          <w:highlight w:val="none"/>
        </w:rPr>
        <w:t>七、定 标</w:t>
      </w:r>
      <w:bookmarkEnd w:id="65"/>
      <w:bookmarkEnd w:id="66"/>
      <w:bookmarkEnd w:id="67"/>
      <w:bookmarkEnd w:id="68"/>
      <w:bookmarkEnd w:id="69"/>
    </w:p>
    <w:p>
      <w:pPr>
        <w:pStyle w:val="35"/>
        <w:tabs>
          <w:tab w:val="left" w:pos="1440"/>
        </w:tabs>
        <w:adjustRightInd w:val="0"/>
        <w:snapToGrid w:val="0"/>
        <w:ind w:left="560"/>
        <w:rPr>
          <w:rFonts w:ascii="宋体" w:hAnsi="宋体" w:cs="宋体"/>
          <w:b/>
          <w:color w:val="auto"/>
          <w:sz w:val="24"/>
          <w:highlight w:val="none"/>
        </w:rPr>
      </w:pPr>
      <w:r>
        <w:rPr>
          <w:rFonts w:hint="eastAsia" w:ascii="宋体" w:hAnsi="宋体" w:cs="宋体"/>
          <w:b/>
          <w:color w:val="auto"/>
          <w:sz w:val="24"/>
          <w:highlight w:val="none"/>
        </w:rPr>
        <w:t>（一）定标</w:t>
      </w:r>
      <w:r>
        <w:rPr>
          <w:rFonts w:hint="eastAsia" w:ascii="宋体" w:hAnsi="宋体" w:cs="宋体"/>
          <w:b/>
          <w:color w:val="auto"/>
          <w:sz w:val="24"/>
          <w:highlight w:val="none"/>
        </w:rPr>
        <w:tab/>
      </w:r>
    </w:p>
    <w:p>
      <w:pPr>
        <w:adjustRightInd w:val="0"/>
        <w:snapToGrid w:val="0"/>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评标委员会根据以下规定确定投标人排名并推荐中标候选人。</w:t>
      </w:r>
    </w:p>
    <w:p>
      <w:pPr>
        <w:adjustRightInd w:val="0"/>
        <w:snapToGrid w:val="0"/>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1、评标委员会根据各投标人的综合得分（商务技术分与报价得分之和）从高到低依次进行排名排序。特殊情形按以下原则处理：</w:t>
      </w:r>
    </w:p>
    <w:p>
      <w:pPr>
        <w:adjustRightInd w:val="0"/>
        <w:snapToGrid w:val="0"/>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w:t>
      </w:r>
      <w:r>
        <w:rPr>
          <w:rFonts w:hint="eastAsia" w:ascii="宋体" w:hAnsi="宋体" w:eastAsia="宋体" w:cs="宋体"/>
          <w:color w:val="auto"/>
          <w:sz w:val="24"/>
          <w:szCs w:val="22"/>
          <w:highlight w:val="none"/>
        </w:rPr>
        <w:t>综合得分相同的，按投标报价低的优先原则确定排名；</w:t>
      </w:r>
    </w:p>
    <w:p>
      <w:pPr>
        <w:adjustRightInd w:val="0"/>
        <w:snapToGrid w:val="0"/>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w:t>
      </w:r>
      <w:r>
        <w:rPr>
          <w:rFonts w:hint="eastAsia" w:ascii="宋体" w:hAnsi="宋体" w:eastAsia="宋体" w:cs="宋体"/>
          <w:color w:val="auto"/>
          <w:sz w:val="24"/>
          <w:szCs w:val="22"/>
          <w:highlight w:val="none"/>
        </w:rPr>
        <w:t>综合得分和投标报价均相同，按</w:t>
      </w:r>
      <w:r>
        <w:rPr>
          <w:rFonts w:hint="eastAsia" w:ascii="宋体" w:hAnsi="宋体" w:eastAsia="宋体" w:cs="宋体"/>
          <w:color w:val="auto"/>
          <w:sz w:val="24"/>
          <w:szCs w:val="22"/>
          <w:highlight w:val="none"/>
          <w:lang w:eastAsia="zh-CN"/>
        </w:rPr>
        <w:t>商务技术中商务部分</w:t>
      </w:r>
      <w:r>
        <w:rPr>
          <w:rFonts w:hint="eastAsia" w:ascii="宋体" w:hAnsi="宋体" w:eastAsia="宋体" w:cs="宋体"/>
          <w:color w:val="auto"/>
          <w:sz w:val="24"/>
          <w:szCs w:val="22"/>
          <w:highlight w:val="none"/>
        </w:rPr>
        <w:t>得分从高到低确定排名；</w:t>
      </w:r>
    </w:p>
    <w:p>
      <w:pPr>
        <w:adjustRightInd w:val="0"/>
        <w:snapToGrid w:val="0"/>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eastAsia="宋体" w:cs="宋体"/>
          <w:color w:val="auto"/>
          <w:sz w:val="24"/>
          <w:szCs w:val="22"/>
          <w:highlight w:val="none"/>
        </w:rPr>
        <w:t>综合得分、投标报价和</w:t>
      </w:r>
      <w:r>
        <w:rPr>
          <w:rFonts w:hint="eastAsia" w:ascii="宋体" w:hAnsi="宋体" w:eastAsia="宋体" w:cs="宋体"/>
          <w:color w:val="auto"/>
          <w:sz w:val="24"/>
          <w:szCs w:val="22"/>
          <w:highlight w:val="none"/>
          <w:lang w:eastAsia="zh-CN"/>
        </w:rPr>
        <w:t>商务技术中商务部分</w:t>
      </w:r>
      <w:r>
        <w:rPr>
          <w:rFonts w:hint="eastAsia" w:ascii="宋体" w:hAnsi="宋体" w:eastAsia="宋体" w:cs="宋体"/>
          <w:color w:val="auto"/>
          <w:sz w:val="24"/>
          <w:szCs w:val="22"/>
          <w:highlight w:val="none"/>
        </w:rPr>
        <w:t>得分均相同的</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则</w:t>
      </w:r>
      <w:r>
        <w:rPr>
          <w:rFonts w:hint="eastAsia" w:ascii="宋体" w:hAnsi="宋体" w:eastAsia="宋体" w:cs="宋体"/>
          <w:color w:val="auto"/>
          <w:sz w:val="24"/>
          <w:szCs w:val="22"/>
          <w:highlight w:val="none"/>
          <w:lang w:eastAsia="zh-CN"/>
        </w:rPr>
        <w:t>抽签</w:t>
      </w:r>
      <w:r>
        <w:rPr>
          <w:rFonts w:hint="eastAsia" w:ascii="宋体" w:hAnsi="宋体" w:eastAsia="宋体" w:cs="宋体"/>
          <w:color w:val="auto"/>
          <w:sz w:val="24"/>
          <w:szCs w:val="22"/>
          <w:highlight w:val="none"/>
        </w:rPr>
        <w:t>选取中标候选人。</w:t>
      </w:r>
    </w:p>
    <w:p>
      <w:pPr>
        <w:adjustRightInd w:val="0"/>
        <w:snapToGrid w:val="0"/>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2、根据最终得分排序，通过书面评审报告的形式，向采购人推荐排名第一的投标人为中标候选人。</w:t>
      </w:r>
    </w:p>
    <w:p>
      <w:pPr>
        <w:adjustRightInd w:val="0"/>
        <w:snapToGrid w:val="0"/>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35"/>
        <w:tabs>
          <w:tab w:val="left" w:pos="1440"/>
        </w:tabs>
        <w:adjustRightInd w:val="0"/>
        <w:snapToGrid w:val="0"/>
        <w:ind w:left="560"/>
        <w:rPr>
          <w:rFonts w:ascii="宋体" w:hAnsi="宋体" w:cs="宋体"/>
          <w:b/>
          <w:color w:val="auto"/>
          <w:sz w:val="24"/>
          <w:highlight w:val="none"/>
        </w:rPr>
      </w:pPr>
      <w:r>
        <w:rPr>
          <w:rFonts w:hint="eastAsia" w:ascii="宋体" w:hAnsi="宋体" w:cs="宋体"/>
          <w:b/>
          <w:color w:val="auto"/>
          <w:sz w:val="24"/>
          <w:highlight w:val="none"/>
        </w:rPr>
        <w:t>（二）招标结果公告</w:t>
      </w:r>
    </w:p>
    <w:p>
      <w:pPr>
        <w:adjustRightInd w:val="0"/>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35"/>
        <w:tabs>
          <w:tab w:val="left" w:pos="1440"/>
        </w:tabs>
        <w:adjustRightInd w:val="0"/>
        <w:snapToGrid w:val="0"/>
        <w:ind w:left="560"/>
        <w:rPr>
          <w:rFonts w:ascii="宋体" w:hAnsi="宋体" w:cs="宋体"/>
          <w:b/>
          <w:color w:val="auto"/>
          <w:sz w:val="24"/>
          <w:highlight w:val="none"/>
        </w:rPr>
      </w:pPr>
      <w:bookmarkStart w:id="70" w:name="_Hlt75236103"/>
      <w:bookmarkEnd w:id="70"/>
      <w:bookmarkStart w:id="71" w:name="_Toc86216995"/>
      <w:bookmarkStart w:id="72" w:name="_Toc91899910"/>
      <w:r>
        <w:rPr>
          <w:rFonts w:hint="eastAsia" w:ascii="宋体" w:hAnsi="宋体" w:cs="宋体"/>
          <w:b/>
          <w:color w:val="auto"/>
          <w:sz w:val="24"/>
          <w:highlight w:val="none"/>
        </w:rPr>
        <w:t>（三）中标通知书</w:t>
      </w:r>
      <w:r>
        <w:rPr>
          <w:rFonts w:hint="eastAsia" w:ascii="宋体" w:hAnsi="宋体" w:cs="宋体"/>
          <w:b/>
          <w:color w:val="auto"/>
          <w:sz w:val="24"/>
          <w:highlight w:val="none"/>
        </w:rPr>
        <w:tab/>
      </w:r>
    </w:p>
    <w:p>
      <w:pPr>
        <w:adjustRightInd w:val="0"/>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在公告中标结果的同时，招标人或者招标代理机构应当向中标人发出中标通知书。</w:t>
      </w:r>
    </w:p>
    <w:p>
      <w:pPr>
        <w:adjustRightInd w:val="0"/>
        <w:snapToGrid w:val="0"/>
        <w:jc w:val="center"/>
        <w:outlineLvl w:val="1"/>
        <w:rPr>
          <w:rFonts w:ascii="宋体" w:hAnsi="宋体" w:cs="宋体"/>
          <w:b/>
          <w:color w:val="auto"/>
          <w:sz w:val="32"/>
          <w:highlight w:val="none"/>
        </w:rPr>
      </w:pPr>
      <w:bookmarkStart w:id="73" w:name="_Toc233618979"/>
      <w:bookmarkStart w:id="74" w:name="_Toc522530048"/>
      <w:bookmarkStart w:id="75" w:name="_Toc15506"/>
      <w:bookmarkStart w:id="76" w:name="_Toc126885995"/>
      <w:r>
        <w:rPr>
          <w:rFonts w:hint="eastAsia" w:ascii="宋体" w:hAnsi="宋体" w:cs="宋体"/>
          <w:b/>
          <w:color w:val="auto"/>
          <w:sz w:val="32"/>
          <w:highlight w:val="none"/>
        </w:rPr>
        <w:t>八、</w:t>
      </w:r>
      <w:bookmarkEnd w:id="71"/>
      <w:r>
        <w:rPr>
          <w:rFonts w:hint="eastAsia" w:ascii="宋体" w:hAnsi="宋体" w:cs="宋体"/>
          <w:b/>
          <w:color w:val="auto"/>
          <w:sz w:val="32"/>
          <w:highlight w:val="none"/>
        </w:rPr>
        <w:t>合同签订及其他</w:t>
      </w:r>
      <w:bookmarkEnd w:id="73"/>
      <w:bookmarkEnd w:id="74"/>
      <w:bookmarkEnd w:id="75"/>
      <w:bookmarkEnd w:id="76"/>
    </w:p>
    <w:bookmarkEnd w:id="72"/>
    <w:p>
      <w:pPr>
        <w:adjustRightInd w:val="0"/>
        <w:snapToGrid w:val="0"/>
        <w:rPr>
          <w:rFonts w:ascii="宋体" w:hAnsi="宋体" w:cs="宋体"/>
          <w:b/>
          <w:color w:val="auto"/>
          <w:sz w:val="24"/>
          <w:highlight w:val="none"/>
        </w:rPr>
      </w:pPr>
      <w:r>
        <w:rPr>
          <w:rFonts w:hint="eastAsia" w:ascii="宋体" w:hAnsi="宋体" w:cs="宋体"/>
          <w:b/>
          <w:color w:val="auto"/>
          <w:sz w:val="24"/>
          <w:highlight w:val="none"/>
        </w:rPr>
        <w:t>（一）合同的签订</w:t>
      </w:r>
    </w:p>
    <w:p>
      <w:pPr>
        <w:adjustRightInd w:val="0"/>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中标人接到中标通知书后按规定的日期、时间、地点，由法定代表人或其授权代表与招标人代表按照“第四部分 合同文本”内容签订《采购合同》。</w:t>
      </w:r>
    </w:p>
    <w:p>
      <w:pPr>
        <w:adjustRightInd w:val="0"/>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adjustRightInd w:val="0"/>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招标文件及补充文件、中标人的投标文件及投标修改文件、评标过程中有关澄清文件和中标通知书均作为合同附件。</w:t>
      </w:r>
    </w:p>
    <w:p>
      <w:pPr>
        <w:tabs>
          <w:tab w:val="left" w:pos="3780"/>
        </w:tabs>
        <w:spacing w:line="264" w:lineRule="auto"/>
        <w:ind w:firstLine="482" w:firstLineChars="200"/>
        <w:rPr>
          <w:rFonts w:ascii="宋体" w:hAnsi="宋体" w:cs="宋体"/>
          <w:b/>
          <w:color w:val="auto"/>
          <w:sz w:val="24"/>
          <w:szCs w:val="22"/>
          <w:highlight w:val="none"/>
        </w:rPr>
      </w:pPr>
      <w:r>
        <w:rPr>
          <w:rFonts w:hint="eastAsia" w:ascii="宋体" w:hAnsi="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tabs>
          <w:tab w:val="left" w:pos="3780"/>
        </w:tabs>
        <w:spacing w:line="264" w:lineRule="auto"/>
        <w:ind w:firstLine="482" w:firstLineChars="200"/>
        <w:rPr>
          <w:rFonts w:ascii="宋体" w:hAnsi="宋体" w:cs="宋体"/>
          <w:b/>
          <w:color w:val="auto"/>
          <w:sz w:val="24"/>
          <w:szCs w:val="22"/>
          <w:highlight w:val="none"/>
        </w:rPr>
      </w:pPr>
      <w:r>
        <w:rPr>
          <w:rFonts w:hint="eastAsia" w:ascii="宋体" w:hAnsi="宋体" w:cs="宋体"/>
          <w:b/>
          <w:color w:val="auto"/>
          <w:sz w:val="24"/>
          <w:szCs w:val="22"/>
          <w:highlight w:val="none"/>
        </w:rPr>
        <w:t>存在下列行为的，采购代理机构将其失信行为上报政府采购主管部门，由主管部门按有关规定对其违法失信行为记录进行公开：</w:t>
      </w:r>
    </w:p>
    <w:p>
      <w:pPr>
        <w:tabs>
          <w:tab w:val="left" w:pos="3780"/>
        </w:tabs>
        <w:spacing w:line="264" w:lineRule="auto"/>
        <w:ind w:firstLine="482" w:firstLineChars="200"/>
        <w:rPr>
          <w:rFonts w:ascii="宋体" w:hAnsi="宋体" w:cs="宋体"/>
          <w:b/>
          <w:color w:val="auto"/>
          <w:sz w:val="24"/>
          <w:szCs w:val="22"/>
          <w:highlight w:val="none"/>
        </w:rPr>
      </w:pPr>
      <w:r>
        <w:rPr>
          <w:rFonts w:hint="eastAsia" w:ascii="宋体" w:hAnsi="宋体" w:cs="宋体"/>
          <w:b/>
          <w:color w:val="auto"/>
          <w:sz w:val="24"/>
          <w:szCs w:val="22"/>
          <w:highlight w:val="none"/>
        </w:rPr>
        <w:t>（1）中标或者成交后，拒绝签订政府采购合同的；</w:t>
      </w:r>
    </w:p>
    <w:p>
      <w:pPr>
        <w:tabs>
          <w:tab w:val="left" w:pos="3780"/>
        </w:tabs>
        <w:spacing w:line="264" w:lineRule="auto"/>
        <w:ind w:firstLine="482" w:firstLineChars="200"/>
        <w:rPr>
          <w:rFonts w:ascii="宋体" w:hAnsi="宋体" w:cs="宋体"/>
          <w:b/>
          <w:color w:val="auto"/>
          <w:sz w:val="24"/>
          <w:szCs w:val="22"/>
          <w:highlight w:val="none"/>
        </w:rPr>
      </w:pPr>
      <w:r>
        <w:rPr>
          <w:rFonts w:hint="eastAsia" w:ascii="宋体" w:hAnsi="宋体" w:cs="宋体"/>
          <w:b/>
          <w:color w:val="auto"/>
          <w:sz w:val="24"/>
          <w:szCs w:val="22"/>
          <w:highlight w:val="none"/>
        </w:rPr>
        <w:t>（2）投标有效期内撤销投标文件的。</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如签订合同并生效后，投标人无故拒绝或延期合格交货的，除按照合同条款处罚外，列入不良行为记录一次，并给予通报。</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中标人因制造商原因无法供货导致无法签订合同的视为“中标后无正当理由不与招标人签订合同”。 </w:t>
      </w:r>
    </w:p>
    <w:p>
      <w:pPr>
        <w:tabs>
          <w:tab w:val="left" w:pos="0"/>
        </w:tabs>
        <w:spacing w:line="264" w:lineRule="auto"/>
        <w:rPr>
          <w:rFonts w:ascii="宋体" w:hAnsi="宋体" w:cs="宋体"/>
          <w:b/>
          <w:color w:val="auto"/>
          <w:sz w:val="24"/>
          <w:highlight w:val="none"/>
        </w:rPr>
      </w:pPr>
      <w:r>
        <w:rPr>
          <w:rFonts w:hint="eastAsia" w:ascii="宋体" w:hAnsi="宋体" w:cs="宋体"/>
          <w:b/>
          <w:color w:val="auto"/>
          <w:sz w:val="24"/>
          <w:highlight w:val="none"/>
        </w:rPr>
        <w:t>（二）售后服务考核</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tabs>
          <w:tab w:val="left" w:pos="0"/>
        </w:tabs>
        <w:spacing w:line="264" w:lineRule="auto"/>
        <w:rPr>
          <w:rFonts w:ascii="宋体" w:hAnsi="宋体" w:cs="宋体"/>
          <w:b/>
          <w:color w:val="auto"/>
          <w:sz w:val="24"/>
          <w:highlight w:val="none"/>
        </w:rPr>
      </w:pPr>
      <w:r>
        <w:rPr>
          <w:rFonts w:hint="eastAsia" w:ascii="宋体" w:hAnsi="宋体" w:cs="宋体"/>
          <w:b/>
          <w:color w:val="auto"/>
          <w:sz w:val="24"/>
          <w:highlight w:val="none"/>
        </w:rPr>
        <w:t>（三）招标代理服务费</w:t>
      </w:r>
    </w:p>
    <w:p>
      <w:pPr>
        <w:adjustRightInd w:val="0"/>
        <w:snapToGrid w:val="0"/>
        <w:spacing w:line="26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本次招标代理服务费按本须知“前附表”规定收取。</w:t>
      </w:r>
    </w:p>
    <w:p>
      <w:pPr>
        <w:shd w:val="clear" w:color="auto" w:fill="FFFFFF"/>
        <w:snapToGrid w:val="0"/>
        <w:spacing w:line="400" w:lineRule="exact"/>
        <w:rPr>
          <w:rFonts w:ascii="宋体" w:hAnsi="宋体" w:cs="宋体"/>
          <w:b/>
          <w:bCs/>
          <w:color w:val="auto"/>
          <w:sz w:val="24"/>
          <w:highlight w:val="none"/>
        </w:rPr>
      </w:pPr>
      <w:r>
        <w:rPr>
          <w:rFonts w:hint="eastAsia" w:ascii="宋体" w:hAnsi="宋体" w:cs="宋体"/>
          <w:b/>
          <w:bCs/>
          <w:color w:val="auto"/>
          <w:sz w:val="24"/>
          <w:highlight w:val="none"/>
        </w:rPr>
        <w:t>（四）付款结算方式</w:t>
      </w:r>
    </w:p>
    <w:p>
      <w:pPr>
        <w:shd w:val="clear" w:color="auto" w:fill="FFFFFF"/>
        <w:snapToGrid w:val="0"/>
        <w:spacing w:line="380" w:lineRule="exact"/>
        <w:ind w:firstLine="440" w:firstLineChars="20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（1）</w:t>
      </w:r>
      <w:r>
        <w:rPr>
          <w:rFonts w:hint="eastAsia" w:ascii="宋体" w:hAnsi="宋体" w:cs="宋体"/>
          <w:color w:val="auto"/>
          <w:sz w:val="22"/>
          <w:szCs w:val="22"/>
          <w:highlight w:val="none"/>
        </w:rPr>
        <w:t>合同生效以及具备实施条件后 7个工作日内启动支付流程，支付至合同总价的40%作为预付款（在签订合同时，乙方明确表示无需预付款或者主动要求降低预付款比例的，甲方可不支付该预付款）</w:t>
      </w:r>
      <w:r>
        <w:rPr>
          <w:rFonts w:hint="eastAsia" w:ascii="宋体" w:hAnsi="宋体" w:cs="宋体"/>
          <w:color w:val="auto"/>
          <w:sz w:val="22"/>
          <w:szCs w:val="22"/>
          <w:highlight w:val="none"/>
          <w:lang w:eastAsia="zh-CN"/>
        </w:rPr>
        <w:t>；</w:t>
      </w:r>
    </w:p>
    <w:p>
      <w:pPr>
        <w:shd w:val="clear" w:color="auto" w:fill="FFFFFF"/>
        <w:snapToGrid w:val="0"/>
        <w:spacing w:line="3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硬件设备到货完成安装调试</w:t>
      </w:r>
      <w:r>
        <w:rPr>
          <w:rFonts w:hint="eastAsia" w:ascii="宋体" w:hAnsi="宋体" w:cs="宋体"/>
          <w:color w:val="auto"/>
          <w:sz w:val="22"/>
          <w:szCs w:val="22"/>
          <w:highlight w:val="none"/>
          <w:lang w:eastAsia="zh-CN"/>
        </w:rPr>
        <w:t>，且甲方在收到乙方发票后15个工作日内</w:t>
      </w:r>
      <w:r>
        <w:rPr>
          <w:rFonts w:hint="eastAsia" w:ascii="宋体" w:hAnsi="宋体" w:cs="宋体"/>
          <w:color w:val="auto"/>
          <w:sz w:val="22"/>
          <w:szCs w:val="22"/>
          <w:highlight w:val="none"/>
        </w:rPr>
        <w:t>支付至合同总价的60%；</w:t>
      </w:r>
    </w:p>
    <w:p>
      <w:pPr>
        <w:shd w:val="clear" w:color="auto" w:fill="FFFFFF"/>
        <w:snapToGrid w:val="0"/>
        <w:spacing w:line="380"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w:t>
      </w:r>
      <w:r>
        <w:rPr>
          <w:rFonts w:hint="eastAsia" w:ascii="宋体" w:hAnsi="宋体" w:cs="宋体"/>
          <w:color w:val="auto"/>
          <w:sz w:val="22"/>
          <w:szCs w:val="22"/>
          <w:highlight w:val="none"/>
        </w:rPr>
        <w:t>3</w:t>
      </w:r>
      <w:r>
        <w:rPr>
          <w:rFonts w:ascii="宋体" w:hAnsi="宋体" w:cs="宋体"/>
          <w:color w:val="auto"/>
          <w:sz w:val="22"/>
          <w:szCs w:val="22"/>
          <w:highlight w:val="none"/>
        </w:rPr>
        <w:t>）项目经采购人组织专家通过初步验收</w:t>
      </w:r>
      <w:r>
        <w:rPr>
          <w:rFonts w:hint="eastAsia" w:ascii="宋体" w:hAnsi="宋体" w:cs="宋体"/>
          <w:color w:val="auto"/>
          <w:sz w:val="22"/>
          <w:szCs w:val="22"/>
          <w:highlight w:val="none"/>
          <w:lang w:eastAsia="zh-CN"/>
        </w:rPr>
        <w:t>，且甲方在收到乙方发票后15个工作日内</w:t>
      </w:r>
      <w:r>
        <w:rPr>
          <w:rFonts w:ascii="宋体" w:hAnsi="宋体" w:cs="宋体"/>
          <w:color w:val="auto"/>
          <w:sz w:val="22"/>
          <w:szCs w:val="22"/>
          <w:highlight w:val="none"/>
        </w:rPr>
        <w:t>支付</w:t>
      </w:r>
      <w:r>
        <w:rPr>
          <w:rFonts w:hint="eastAsia" w:ascii="宋体" w:hAnsi="宋体" w:cs="宋体"/>
          <w:color w:val="auto"/>
          <w:sz w:val="22"/>
          <w:szCs w:val="22"/>
          <w:highlight w:val="none"/>
        </w:rPr>
        <w:t>至合同总价的90%</w:t>
      </w:r>
      <w:r>
        <w:rPr>
          <w:rFonts w:ascii="宋体" w:hAnsi="宋体" w:cs="宋体"/>
          <w:color w:val="auto"/>
          <w:sz w:val="22"/>
          <w:szCs w:val="22"/>
          <w:highlight w:val="none"/>
        </w:rPr>
        <w:t>；</w:t>
      </w:r>
    </w:p>
    <w:p>
      <w:pPr>
        <w:shd w:val="clear" w:color="auto" w:fill="FFFFFF"/>
        <w:snapToGrid w:val="0"/>
        <w:spacing w:line="380"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w:t>
      </w:r>
      <w:r>
        <w:rPr>
          <w:rFonts w:hint="eastAsia" w:ascii="宋体" w:hAnsi="宋体" w:cs="宋体"/>
          <w:color w:val="auto"/>
          <w:sz w:val="22"/>
          <w:szCs w:val="22"/>
          <w:highlight w:val="none"/>
        </w:rPr>
        <w:t>4</w:t>
      </w:r>
      <w:r>
        <w:rPr>
          <w:rFonts w:ascii="宋体" w:hAnsi="宋体" w:cs="宋体"/>
          <w:color w:val="auto"/>
          <w:sz w:val="22"/>
          <w:szCs w:val="22"/>
          <w:highlight w:val="none"/>
        </w:rPr>
        <w:t>）项目通过最终验收</w:t>
      </w:r>
      <w:r>
        <w:rPr>
          <w:rFonts w:hint="eastAsia" w:ascii="宋体" w:hAnsi="宋体" w:cs="宋体"/>
          <w:color w:val="auto"/>
          <w:sz w:val="22"/>
          <w:szCs w:val="22"/>
          <w:highlight w:val="none"/>
          <w:lang w:eastAsia="zh-CN"/>
        </w:rPr>
        <w:t>，且甲方在收到乙方发票后15个工作日内</w:t>
      </w:r>
      <w:r>
        <w:rPr>
          <w:rFonts w:ascii="宋体" w:hAnsi="宋体" w:cs="宋体"/>
          <w:color w:val="auto"/>
          <w:sz w:val="22"/>
          <w:szCs w:val="22"/>
          <w:highlight w:val="none"/>
        </w:rPr>
        <w:t>支付</w:t>
      </w:r>
      <w:r>
        <w:rPr>
          <w:rFonts w:hint="eastAsia" w:ascii="宋体" w:hAnsi="宋体" w:cs="宋体"/>
          <w:color w:val="auto"/>
          <w:sz w:val="22"/>
          <w:szCs w:val="22"/>
          <w:highlight w:val="none"/>
        </w:rPr>
        <w:t>至合同总价的</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0%。</w:t>
      </w:r>
    </w:p>
    <w:p>
      <w:pPr>
        <w:rPr>
          <w:color w:val="auto"/>
          <w:highlight w:val="none"/>
        </w:rPr>
      </w:pPr>
    </w:p>
    <w:p>
      <w:pPr>
        <w:rPr>
          <w:color w:val="auto"/>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851" w:gutter="0"/>
          <w:pgNumType w:start="1"/>
          <w:cols w:space="720" w:num="1"/>
          <w:titlePg/>
          <w:docGrid w:linePitch="381" w:charSpace="0"/>
        </w:sectPr>
      </w:pPr>
    </w:p>
    <w:p>
      <w:pPr>
        <w:pStyle w:val="246"/>
        <w:numPr>
          <w:ilvl w:val="0"/>
          <w:numId w:val="4"/>
        </w:numPr>
        <w:spacing w:before="0" w:line="276" w:lineRule="auto"/>
        <w:ind w:firstLine="0" w:firstLineChars="0"/>
        <w:jc w:val="center"/>
        <w:outlineLvl w:val="0"/>
        <w:rPr>
          <w:rFonts w:ascii="宋体" w:hAnsi="宋体" w:cs="宋体"/>
          <w:b/>
          <w:color w:val="auto"/>
          <w:sz w:val="36"/>
          <w:highlight w:val="none"/>
        </w:rPr>
      </w:pPr>
      <w:bookmarkStart w:id="77" w:name="_Toc126885996"/>
      <w:r>
        <w:rPr>
          <w:rFonts w:hint="eastAsia" w:ascii="宋体" w:hAnsi="宋体" w:cs="宋体"/>
          <w:b/>
          <w:color w:val="auto"/>
          <w:sz w:val="36"/>
          <w:highlight w:val="none"/>
        </w:rPr>
        <w:t>采购需求</w:t>
      </w:r>
      <w:bookmarkEnd w:id="77"/>
    </w:p>
    <w:p>
      <w:pPr>
        <w:pStyle w:val="36"/>
        <w:spacing w:line="240" w:lineRule="auto"/>
        <w:ind w:left="0" w:leftChars="0" w:firstLine="0" w:firstLineChars="0"/>
        <w:rPr>
          <w:rFonts w:ascii="宋体" w:hAnsi="宋体" w:eastAsia="宋体" w:cs="宋体"/>
          <w:b/>
          <w:bCs/>
          <w:color w:val="auto"/>
          <w:kern w:val="0"/>
          <w:szCs w:val="21"/>
          <w:highlight w:val="none"/>
        </w:rPr>
      </w:pPr>
      <w:bookmarkStart w:id="78" w:name="_Toc492733886"/>
      <w:bookmarkStart w:id="79" w:name="_Toc86217003"/>
      <w:bookmarkStart w:id="80" w:name="_Toc233618986"/>
      <w:r>
        <w:rPr>
          <w:rFonts w:hint="eastAsia" w:ascii="宋体" w:hAnsi="宋体" w:eastAsia="宋体" w:cs="宋体"/>
          <w:b/>
          <w:bCs/>
          <w:color w:val="auto"/>
          <w:kern w:val="0"/>
          <w:szCs w:val="21"/>
          <w:highlight w:val="none"/>
        </w:rPr>
        <w:t>一、采购内容及技术参数：（▲本项目为包工包料交钥匙工程，中标人需提供完成本项目所需的所有设备、软件平台、材料、配件、附件、备品备件、实施集成服务等（包括但不局限于本章清单所列内容）并完成所有设备的安装调试等，如有需要各投标人可在联系采购人并征得同意后前往踏勘现场，报价时综合考虑。)</w:t>
      </w:r>
    </w:p>
    <w:p>
      <w:pPr>
        <w:adjustRightInd w:val="0"/>
        <w:snapToGrid w:val="0"/>
        <w:spacing w:line="360" w:lineRule="auto"/>
        <w:jc w:val="center"/>
        <w:outlineLvl w:val="1"/>
        <w:rPr>
          <w:rFonts w:ascii="宋体" w:hAnsi="宋体" w:cs="宋体"/>
          <w:b/>
          <w:color w:val="auto"/>
          <w:sz w:val="32"/>
          <w:highlight w:val="none"/>
        </w:rPr>
      </w:pPr>
      <w:bookmarkStart w:id="81" w:name="_Toc126885997"/>
      <w:r>
        <w:rPr>
          <w:rFonts w:hint="eastAsia" w:ascii="宋体" w:hAnsi="宋体" w:cs="宋体"/>
          <w:b/>
          <w:color w:val="auto"/>
          <w:sz w:val="32"/>
          <w:highlight w:val="none"/>
        </w:rPr>
        <w:t>一、采购内容清单</w:t>
      </w:r>
      <w:bookmarkEnd w:id="81"/>
    </w:p>
    <w:p>
      <w:pPr>
        <w:pStyle w:val="86"/>
        <w:jc w:val="both"/>
        <w:rPr>
          <w:color w:val="auto"/>
          <w:sz w:val="21"/>
          <w:szCs w:val="21"/>
          <w:highlight w:val="none"/>
          <w:lang w:val="en-US"/>
        </w:rPr>
      </w:pPr>
      <w:r>
        <w:rPr>
          <w:rFonts w:hint="eastAsia"/>
          <w:color w:val="auto"/>
          <w:sz w:val="21"/>
          <w:szCs w:val="21"/>
          <w:highlight w:val="none"/>
          <w:lang w:val="en-US"/>
        </w:rPr>
        <w:t>本项目采购清单如下表所示，由于本项目为非单一产品采购项目，需要充分考虑项目的重要性和可行性，现指定智能安全分析平台、物联集控管理平台、一码通系统为本项目的核心产品。</w:t>
      </w:r>
    </w:p>
    <w:tbl>
      <w:tblPr>
        <w:tblStyle w:val="88"/>
        <w:tblW w:w="5000" w:type="pct"/>
        <w:tblInd w:w="0" w:type="dxa"/>
        <w:tblLayout w:type="autofit"/>
        <w:tblCellMar>
          <w:top w:w="0" w:type="dxa"/>
          <w:left w:w="108" w:type="dxa"/>
          <w:bottom w:w="0" w:type="dxa"/>
          <w:right w:w="108" w:type="dxa"/>
        </w:tblCellMar>
      </w:tblPr>
      <w:tblGrid>
        <w:gridCol w:w="1105"/>
        <w:gridCol w:w="1105"/>
        <w:gridCol w:w="3037"/>
        <w:gridCol w:w="1433"/>
        <w:gridCol w:w="1842"/>
      </w:tblGrid>
      <w:tr>
        <w:tblPrEx>
          <w:tblCellMar>
            <w:top w:w="0" w:type="dxa"/>
            <w:left w:w="108" w:type="dxa"/>
            <w:bottom w:w="0" w:type="dxa"/>
            <w:right w:w="108" w:type="dxa"/>
          </w:tblCellMar>
        </w:tblPrEx>
        <w:trPr>
          <w:trHeight w:val="278" w:hRule="atLeast"/>
        </w:trPr>
        <w:tc>
          <w:tcPr>
            <w:tcW w:w="6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6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采购模块</w:t>
            </w:r>
          </w:p>
        </w:tc>
        <w:tc>
          <w:tcPr>
            <w:tcW w:w="178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采购内容</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单位</w:t>
            </w:r>
          </w:p>
        </w:tc>
        <w:tc>
          <w:tcPr>
            <w:tcW w:w="108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数量</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64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软件部分</w:t>
            </w: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数据中枢</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智能安全分析平台</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物联集控管理平台</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统一身份认证平台</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统一融合门户平台</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应用集成连接平台</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云会议系统</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预约系统</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一码通系统</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实验室信息管理系统</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能耗管理系统</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12</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数字孪生系统</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OA协同办公系统</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人事管理系统</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移动平台</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资产与采购管理系统</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宿舍管理系统</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科研管理系统</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64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硬件部分</w:t>
            </w: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服务器资源</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批</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网络配置硬件</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批</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实验室监控配套设备</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批</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室外监控设备</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批</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23</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智能网关</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批</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24</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资产管理配套设备</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批</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25</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人行闸机</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批</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26</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会议室配套硬件</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批</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电磁门锁</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批</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28</w:t>
            </w:r>
          </w:p>
        </w:tc>
        <w:tc>
          <w:tcPr>
            <w:tcW w:w="6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17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网络安全设备</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批</w:t>
            </w:r>
          </w:p>
        </w:tc>
      </w:tr>
      <w:tr>
        <w:tblPrEx>
          <w:tblCellMar>
            <w:top w:w="0" w:type="dxa"/>
            <w:left w:w="108" w:type="dxa"/>
            <w:bottom w:w="0" w:type="dxa"/>
            <w:right w:w="108" w:type="dxa"/>
          </w:tblCellMar>
        </w:tblPrEx>
        <w:trPr>
          <w:trHeight w:val="278"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29</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实施部分</w:t>
            </w:r>
          </w:p>
        </w:tc>
        <w:tc>
          <w:tcPr>
            <w:tcW w:w="17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项目集成对接</w:t>
            </w:r>
          </w:p>
        </w:tc>
        <w:tc>
          <w:tcPr>
            <w:tcW w:w="8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w:t>
            </w:r>
          </w:p>
        </w:tc>
      </w:tr>
    </w:tbl>
    <w:p>
      <w:pPr>
        <w:adjustRightInd w:val="0"/>
        <w:snapToGrid w:val="0"/>
        <w:spacing w:line="360" w:lineRule="auto"/>
        <w:jc w:val="center"/>
        <w:outlineLvl w:val="1"/>
        <w:rPr>
          <w:rFonts w:hint="eastAsia" w:ascii="宋体" w:hAnsi="宋体" w:cs="宋体"/>
          <w:b/>
          <w:color w:val="auto"/>
          <w:sz w:val="32"/>
          <w:highlight w:val="none"/>
        </w:rPr>
      </w:pPr>
      <w:bookmarkStart w:id="82" w:name="_Toc126885998"/>
    </w:p>
    <w:p>
      <w:pPr>
        <w:adjustRightInd w:val="0"/>
        <w:snapToGrid w:val="0"/>
        <w:spacing w:line="360" w:lineRule="auto"/>
        <w:jc w:val="center"/>
        <w:outlineLvl w:val="1"/>
        <w:rPr>
          <w:rFonts w:ascii="宋体" w:hAnsi="宋体" w:cs="宋体"/>
          <w:b/>
          <w:color w:val="auto"/>
          <w:sz w:val="32"/>
          <w:highlight w:val="none"/>
        </w:rPr>
      </w:pPr>
      <w:r>
        <w:rPr>
          <w:rFonts w:hint="eastAsia" w:ascii="宋体" w:hAnsi="宋体" w:cs="宋体"/>
          <w:b/>
          <w:color w:val="auto"/>
          <w:sz w:val="32"/>
          <w:highlight w:val="none"/>
        </w:rPr>
        <w:t>二、详细技术参数要求</w:t>
      </w:r>
      <w:bookmarkEnd w:id="82"/>
    </w:p>
    <w:p>
      <w:pPr>
        <w:adjustRightInd w:val="0"/>
        <w:snapToGrid w:val="0"/>
        <w:spacing w:line="360" w:lineRule="auto"/>
        <w:jc w:val="left"/>
        <w:outlineLvl w:val="1"/>
        <w:rPr>
          <w:rFonts w:ascii="宋体" w:hAnsi="宋体" w:cs="宋体"/>
          <w:b/>
          <w:color w:val="auto"/>
          <w:sz w:val="32"/>
          <w:highlight w:val="none"/>
        </w:rPr>
      </w:pPr>
      <w:bookmarkStart w:id="83" w:name="_Toc126885999"/>
      <w:r>
        <w:rPr>
          <w:rFonts w:hint="eastAsia" w:ascii="宋体" w:hAnsi="宋体" w:cs="宋体"/>
          <w:b/>
          <w:color w:val="auto"/>
          <w:sz w:val="32"/>
          <w:highlight w:val="none"/>
        </w:rPr>
        <w:t>1、软件部分技术参数要求</w:t>
      </w:r>
      <w:bookmarkEnd w:id="83"/>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1.1 数据中枢</w:t>
      </w:r>
    </w:p>
    <w:tbl>
      <w:tblPr>
        <w:tblStyle w:val="88"/>
        <w:tblW w:w="4998" w:type="pct"/>
        <w:tblInd w:w="0" w:type="dxa"/>
        <w:tblLayout w:type="autofit"/>
        <w:tblCellMar>
          <w:top w:w="0" w:type="dxa"/>
          <w:left w:w="108" w:type="dxa"/>
          <w:bottom w:w="0" w:type="dxa"/>
          <w:right w:w="108" w:type="dxa"/>
        </w:tblCellMar>
      </w:tblPr>
      <w:tblGrid>
        <w:gridCol w:w="1043"/>
        <w:gridCol w:w="1043"/>
        <w:gridCol w:w="6433"/>
      </w:tblGrid>
      <w:tr>
        <w:tblPrEx>
          <w:tblCellMar>
            <w:top w:w="0" w:type="dxa"/>
            <w:left w:w="108" w:type="dxa"/>
            <w:bottom w:w="0" w:type="dxa"/>
            <w:right w:w="108" w:type="dxa"/>
          </w:tblCellMar>
        </w:tblPrEx>
        <w:trPr>
          <w:trHeight w:val="576"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模块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功能</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参数需求</w:t>
            </w:r>
          </w:p>
        </w:tc>
      </w:tr>
      <w:tr>
        <w:tblPrEx>
          <w:tblCellMar>
            <w:top w:w="0" w:type="dxa"/>
            <w:left w:w="108" w:type="dxa"/>
            <w:bottom w:w="0" w:type="dxa"/>
            <w:right w:w="108" w:type="dxa"/>
          </w:tblCellMar>
        </w:tblPrEx>
        <w:trPr>
          <w:trHeight w:val="480" w:hRule="atLeast"/>
        </w:trPr>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统一数据存储服务</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业务系统数据集成</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本项目需完成对产生权威数据源的相关业务系统的全量数据汇聚。数据范围包括：预约系统、一码通系统、实验室信息管理系统、能耗管理系统、数字孪生系统、OA协同办公系统、人事管理系统、移动平台、资产与采购管理系统；</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2）要求提供数据源梳理和配置服务，将已接入数据源及其来源系统、部门等信息进行登记；</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3）要求根据数据调研的结果，列出所有可能的数据来源和分布，记录访问账号和入口，查看实际的数据内容；</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4）要求根据数据治理的目标，从上述数据中识别出目标数据所在的库、表、字段、格式等信息；</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5）要求输出线下数据管理知识库：数据采集源信息、原始数据数据字典集合、数据采集ETL接口/任务信息、数据交换ETL接口/任务信息。</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物联网数据集成</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1）通过对于物联网设备数据的采集汇聚，实现对物联网设备工作运行状态数据进行实时、动态地采集、存储。方便对多类型、大批量的物联设备实现统一监管。</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本项目需完成的物联网数据采集范围包括：门禁数据、会议室数据、视频监控状态数据、智能门锁数据、能耗（通风柜、空调、水电表）数据、消防（广播、电梯、门禁、喷淋、烟感）数据、资产物联数据、实验室物联数据、停车数据。</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半结构化日志数据集成</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1）在业务数据汇聚之外，本项目需完成对学校多种类型网络设备产生的半结构化日志数据的汇聚解析服务，数据范围包括：上网认证计费日志、无线Wi-Fi日志、防火墙日志、门户日志；</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2）半结构日志数据采集后，需要对相关数据进行数据解析服务，将异构的文本型、行式结构进行结构化解析；</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3）对解析后的结构化数据各字段添加中文注释的标注，统一转换为标准化、应用可识别与调用的结构化数据。</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非结构化视频数据集成</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1）本项目需完成非结构化视频数据汇聚，数据范围：实验室监控数据。</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数据存储架构规划</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1）要求设计数据存储架构和数据存储模型，支持结构化、半结构化、非结构化、物联网数据等多种类型数据的接入存储，实现对多种形态、多种采集来源的数据进行统一规划和持久化存储。</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2）具备对等业务系统相关结构化数据的存储能力；</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3）具备对物理网数据的存储能力；</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4）具备对半结构日志类数据的存储解析能力，具备多副本存储机制；</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5）具备对非结构化数据的存储能力，承载视频监控等类型数据；</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6）按照接入数据的种类、结构、时效性等不同特征，进行科学的存储规划和管理。</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数据湖建设</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1）将原始的多源、异构数据全量副本进行物理集中，实现数据的同构化、同实例化，确保数据内容和维度的完整性；</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要求结合统一数据平台能力支持批量、便捷、高效的创建数据采集接口。在创建数据采集接口的同时，需支持对已创建的接口进行分层分类管理，接口与表的命名应按照统一数据标准制定对象命名规范中的内容。</w:t>
            </w:r>
          </w:p>
        </w:tc>
      </w:tr>
      <w:tr>
        <w:tblPrEx>
          <w:tblCellMar>
            <w:top w:w="0" w:type="dxa"/>
            <w:left w:w="108" w:type="dxa"/>
            <w:bottom w:w="0" w:type="dxa"/>
            <w:right w:w="108" w:type="dxa"/>
          </w:tblCellMar>
        </w:tblPrEx>
        <w:trPr>
          <w:trHeight w:val="720" w:hRule="atLeast"/>
        </w:trPr>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统一数据标准制定服务</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总体要求</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根据国家标准、教育部标准、行业标准和浙江大学公共数据平台的实际业务情况，兼顾各个标准之间的兼容性、一致性以及标准的可扩展性，并结合学院数据特点进行归纳整理，建设和完善学院的各项标准，制定学院自定义的编码规范，综合为学院设计出一套结构科学、落地实用的数据标准体系，为当期和未来所有业务系统/应用的建设提供顶层指导规范，并基于学院服务期限内使用的情况根据需求进行调整。</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建设标准或技术规范</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在参考国标、行标、浙江大学公共数据资源目录的基础上，本项目需建设以下标准或技术规范：</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1）元数据标准（参考JY/T1006-2012及国家强制标准、浙江大学公共数据资源目录并结合学院数据现状及业务需求完成梳理）；</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2）代码标准（参考JY/T1006-2012及国家强制标准、浙江大学公共数据资源目录并结合学院数据现状及业务需求完成梳理）；</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3）编码规范（如学号、工号、证件号、部门编号等符合学院实际业务诉求的编制规范）；</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4）对象命名规范（如表、字段、接口、文档等对象的统一命名规则）；</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5）数据库建设规范：规范各类业务数据库建设的技术要求，包括数据库策略、数据库对象命名规范、数据库安全规范等内容；</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6）数据交换协议：定义统一的跨平台、跨语言数据交换接口协议；</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7）数据服务协议：规范各类数据信息对外服务的格式、接口、认证、反馈等技术要求。</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标准化数据集建设要求</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基于数据标准提供标准化数据集，至少包括：</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1）学院概况数据子集；</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2）教职工管理数据子集；</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3）学生管理数据子集；</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4）科研管理数据子集；</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5）资产与设备管理数据子集；</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6）办公管理数据子集；</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7）公共服务数据子集等。</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元数据标准及标准化数据集建设原则要求</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1）表中各个数据标准子集在标题之后标有确定的职能部门，指定该部门是本子集数据内容的主要提供者，是填写本部分确认表的责任单位；</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2）如果数据标准子集内有超越责任部门管理范围的数据内容，责任部门应该取得其相关部门的协助以完成本数据标准子集内信息项的确认；</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3）同一个数据标准子集可能适用于不同的职能部门，因而可能具有多个责任单位，表示各责任单位应该提供本部门相关的部分信息内容；</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4）每个数据标准子集的责任部门必须逐一核对本数据标准子集的数据项；</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5）元数据标准制定应保证元数据的唯一性，同一元数据不允许出现重复以及同名不同义、同义不同名的情况。</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代码标准制定原则要求</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1）制定以上新建标准化数据集相应的代码标准，代码标准建设包括参考代码（国标、部标、行标）和执行代码（应用的参考标准和自定义标准）。</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2）为了保证数据录入规范，便于查找和统计，每个数据集都对应着相应的标准代码，以及代码的定义与说明。</w:t>
            </w:r>
          </w:p>
        </w:tc>
      </w:tr>
      <w:tr>
        <w:tblPrEx>
          <w:tblCellMar>
            <w:top w:w="0" w:type="dxa"/>
            <w:left w:w="108" w:type="dxa"/>
            <w:bottom w:w="0" w:type="dxa"/>
            <w:right w:w="108" w:type="dxa"/>
          </w:tblCellMar>
        </w:tblPrEx>
        <w:trPr>
          <w:trHeight w:val="144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3）为了保证系统的兼容性，代码必须有良好的风格和统一的代码标准。所有系统在代码标准的使用上，遵循以下原则：</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如果有国家标准代码，遵循国家标准代码；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没有国家标准代码，遵循教育行业标准代码；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没有行业标准代码，遵循浙江大学公共数据资源目录制定的代码标准；</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浙江大学公共数据资源目录制定的标准中仍没有包含的，遵循约定俗成的规定。</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没有约定俗成的规定代码，按相应要求，设计满足需要并保留扩充接口的代码。</w:t>
            </w:r>
          </w:p>
        </w:tc>
      </w:tr>
      <w:tr>
        <w:tblPrEx>
          <w:tblCellMar>
            <w:top w:w="0" w:type="dxa"/>
            <w:left w:w="108" w:type="dxa"/>
            <w:bottom w:w="0" w:type="dxa"/>
            <w:right w:w="108" w:type="dxa"/>
          </w:tblCellMar>
        </w:tblPrEx>
        <w:trPr>
          <w:trHeight w:val="144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4）代码设计原则：</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如果有规定相关字段信息的编写标准的国家标准，则采用国家标准的规定；</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没有相关规定，则根据需求，在满足编码要求的前提下，选择最小长度的编码；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设定足够的冗余字符来保证代码设计的可扩充性；</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编码方式一般采用字符方式；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对于同类型或同性质的代码编制，采用同类型的编码编写方式进行。</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业务数据调研要求</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数据标准需基于对部门进行充分的业务数据调研，才能确保在学院的可落地性和可执行性；因此本项目要求对各业务部门的业务范围、组织机构、工作流程、数据来源、数据形态、供需关系、交换共享要求、数据质量问题、可供引入的标准资源、需要分析主题等进行充分调研。</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数据标准规范建设服务要求</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1）在数据标准制定完成后，需提供相应的服务。包括：数据库中的字段命名、类型与数据标准一致，字段长度不小于数据标准的定义；</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2）在数据库中对字段添加注释信息，注释的内容对应的标准元数据的中文名称；</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3）数据库中的代码表、编码规则必须与数据标准中的标准代码和编码规则保持一致；</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4）与业务无关、与数据标准无关的内容，在数据字典中描述其含义。</w:t>
            </w:r>
          </w:p>
        </w:tc>
      </w:tr>
      <w:tr>
        <w:tblPrEx>
          <w:tblCellMar>
            <w:top w:w="0" w:type="dxa"/>
            <w:left w:w="108" w:type="dxa"/>
            <w:bottom w:w="0" w:type="dxa"/>
            <w:right w:w="108" w:type="dxa"/>
          </w:tblCellMar>
        </w:tblPrEx>
        <w:trPr>
          <w:trHeight w:val="720" w:hRule="atLeast"/>
        </w:trPr>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统一数据清洗服务</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总体要求</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对学院全部已集成数据进行数据质量检测和清洗服务，重点检测对象为人事、科研、论文、获奖等相关被高频使用的数据表，服务内容包含：质量检测规则制定、质量检测任务配置、质量报告反馈和修正(指通过确定的规则在清洗过程中修正)。并支持将数据质量检测结果反馈至平台侧，便于对应责任部门线上认领、跟进处理。</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数据质量检测规则制定</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1）根据数据的质量特性，制定合理的质量规则(如身份证号有效性检测、代码有效性检测、枚举有效性检测等）。</w:t>
            </w:r>
          </w:p>
        </w:tc>
      </w:tr>
      <w:tr>
        <w:tblPrEx>
          <w:tblCellMar>
            <w:top w:w="0" w:type="dxa"/>
            <w:left w:w="108" w:type="dxa"/>
            <w:bottom w:w="0" w:type="dxa"/>
            <w:right w:w="108" w:type="dxa"/>
          </w:tblCellMar>
        </w:tblPrEx>
        <w:trPr>
          <w:trHeight w:val="192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2）支持多种数据质量规则定义：</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非空性；</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唯一性；</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值域有效性；</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枚举有效性；</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代码有效性；</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基于正则表达式的复杂规则；</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基于SQL语句的自定义规则。</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质量检测任务配置</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1）根据数据的有效值域、枚举范围、唯一性、非空性等制定约束条件，对数据的质量情况进行检查。要求列举常见字段的规则库，如身份证、学号、邮箱地址、日期时间等。</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质量结果反馈和修正</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1）针对每次的检测结果，生成数据质量检测结果；</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2）对于明确的数据质量问题，将结果反馈给相关责任部门进行修正数据问题</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数据清洗</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1）根据数据质量管理的要求，利用相关技术对本次纳入数据治理范围的业务系统产生的问题数据进行清洗，将脏数据转换成满足要求的高质量数据；</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2）消除数据名称及格式不统一；</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3）消除数据类型的不一致；</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4）消除数据标准的不一致；</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ascii="宋体" w:hAnsi="宋体" w:cs="宋体"/>
                <w:color w:val="auto"/>
                <w:kern w:val="0"/>
                <w:sz w:val="20"/>
                <w:highlight w:val="none"/>
                <w:lang w:bidi="ar"/>
              </w:rPr>
              <w:t>5</w:t>
            </w:r>
            <w:r>
              <w:rPr>
                <w:rFonts w:hint="eastAsia" w:ascii="宋体" w:hAnsi="宋体" w:cs="宋体"/>
                <w:color w:val="auto"/>
                <w:kern w:val="0"/>
                <w:sz w:val="20"/>
                <w:highlight w:val="none"/>
                <w:lang w:bidi="ar"/>
              </w:rPr>
              <w:t>）所有业务系统的数据接入并最终入库的过程都需要遵循数据清洗的规范要求，降低脏数据等对于业务和分析结果的影响。</w:t>
            </w:r>
          </w:p>
        </w:tc>
      </w:tr>
      <w:tr>
        <w:tblPrEx>
          <w:tblCellMar>
            <w:top w:w="0" w:type="dxa"/>
            <w:left w:w="108" w:type="dxa"/>
            <w:bottom w:w="0" w:type="dxa"/>
            <w:right w:w="108" w:type="dxa"/>
          </w:tblCellMar>
        </w:tblPrEx>
        <w:trPr>
          <w:trHeight w:val="480" w:hRule="atLeast"/>
        </w:trPr>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统一数据主题构建</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总体要求</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1）在对数据湖中的原始数据资源进行清洗后，形成标准化数据，并按照主题分类、子类进行存储，形成标准的数据子集，保障数据分类的体系性和数据表达的一致性、规范性。</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数据仓库主题确定</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1）在构建数据仓库之前，需充分了解业务部门需求，明确所要创建数据仓库的范围和内容。</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2）需从业务方需求中提取出重要的业务数据主题，并对业务数据主题进行详细的解释；</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3）需对提取出的业务数据主题进行主题域的划分，并对主题域进行详细的解释；</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4）需根据主题域的划分，对内部的组织结构和业务关系细节化，构建出主题域的概念模型。</w:t>
            </w:r>
          </w:p>
        </w:tc>
      </w:tr>
      <w:tr>
        <w:tblPrEx>
          <w:tblCellMar>
            <w:top w:w="0" w:type="dxa"/>
            <w:left w:w="108" w:type="dxa"/>
            <w:bottom w:w="0" w:type="dxa"/>
            <w:right w:w="108" w:type="dxa"/>
          </w:tblCellMar>
        </w:tblPrEx>
        <w:trPr>
          <w:trHeight w:val="513" w:hRule="atLeast"/>
        </w:trPr>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统一数据共享服务</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总体要求</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要求根据学院各种具体的业务场景，以对接应用为目标，按照尽量便于应用使用的原则，从标准层数据仓库中摘选合适的数据内容（数据内容基于“最小可用”原则筛选，防止开放不需要的数据，防止涉密、隐私数据非受控泄露），并以适用的接口形式（API、ETL、文件等）对外共享开放数据，支撑上层数据应用建设。统一数据共享服务建设的核心是保障数据对业务应用场景的适配性。</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确定专题数据集市范围及内容</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1）通过与相关部门或应用系统厂商进行专题调研，了解数据使用方对专题数据的使用需求，以及列举具体的业务场景，通过业务场景确定专题数据集市范围；</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r>
              <w:rPr>
                <w:rFonts w:hint="eastAsia" w:ascii="宋体" w:hAnsi="宋体" w:cs="宋体"/>
                <w:color w:val="auto"/>
                <w:kern w:val="0"/>
                <w:sz w:val="20"/>
                <w:highlight w:val="none"/>
                <w:lang w:bidi="ar"/>
              </w:rPr>
              <w:t>设计专题数据集市</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1）数据集市的结构，需考虑数据使用、查询、分析时的便捷性与完整性，以更好地满足应用及业务场景对数据的使用需求；</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2）构建多类主题的专题层数据集市</w:t>
            </w:r>
          </w:p>
        </w:tc>
      </w:tr>
      <w:tr>
        <w:tblPrEx>
          <w:tblCellMar>
            <w:top w:w="0" w:type="dxa"/>
            <w:left w:w="108" w:type="dxa"/>
            <w:bottom w:w="0" w:type="dxa"/>
            <w:right w:w="108" w:type="dxa"/>
          </w:tblCellMar>
        </w:tblPrEx>
        <w:trPr>
          <w:trHeight w:val="48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数据资源目录编制与发布</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1）参照《浙江大学公共数据资源目录》，对学院相关业务域数据信息进行梳理，在标准层数据仓库的基础上进行院级数据资源目录的编制与发布</w:t>
            </w:r>
          </w:p>
        </w:tc>
      </w:tr>
      <w:tr>
        <w:tblPrEx>
          <w:tblCellMar>
            <w:top w:w="0" w:type="dxa"/>
            <w:left w:w="108" w:type="dxa"/>
            <w:bottom w:w="0" w:type="dxa"/>
            <w:right w:w="108" w:type="dxa"/>
          </w:tblCellMar>
        </w:tblPrEx>
        <w:trPr>
          <w:trHeight w:val="28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2）要求对数据资源依据规范进行元数据描述，按照一定的分类方法进行排序和编码，描述各个数据资源的特征，以便于对数据的检索。</w:t>
            </w:r>
          </w:p>
        </w:tc>
      </w:tr>
      <w:tr>
        <w:tblPrEx>
          <w:tblCellMar>
            <w:top w:w="0" w:type="dxa"/>
            <w:left w:w="108" w:type="dxa"/>
            <w:bottom w:w="0" w:type="dxa"/>
            <w:right w:w="108" w:type="dxa"/>
          </w:tblCellMar>
        </w:tblPrEx>
        <w:trPr>
          <w:trHeight w:val="926"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3）要求按照数据资源的应用属性，确认资源的开放属性，形成数据资源开放目录；</w:t>
            </w:r>
          </w:p>
        </w:tc>
      </w:tr>
    </w:tbl>
    <w:p>
      <w:pPr>
        <w:pStyle w:val="37"/>
        <w:ind w:firstLine="210"/>
        <w:rPr>
          <w:rFonts w:ascii="宋体" w:hAnsi="宋体" w:eastAsia="宋体" w:cs="宋体"/>
          <w:color w:val="auto"/>
          <w:szCs w:val="21"/>
          <w:highlight w:val="none"/>
        </w:rPr>
      </w:pPr>
    </w:p>
    <w:p>
      <w:pPr>
        <w:pStyle w:val="73"/>
        <w:spacing w:line="240" w:lineRule="auto"/>
        <w:rPr>
          <w:rFonts w:ascii="宋体" w:hAnsi="宋体" w:cs="宋体"/>
          <w:color w:val="auto"/>
          <w:szCs w:val="21"/>
          <w:highlight w:val="none"/>
        </w:rPr>
      </w:pPr>
    </w:p>
    <w:p>
      <w:pPr>
        <w:keepNext/>
        <w:keepLines/>
        <w:numPr>
          <w:ilvl w:val="2"/>
          <w:numId w:val="5"/>
        </w:numPr>
        <w:wordWrap w:val="0"/>
        <w:spacing w:before="200" w:after="200"/>
        <w:ind w:left="0" w:firstLine="0"/>
        <w:outlineLvl w:val="2"/>
        <w:rPr>
          <w:rFonts w:ascii="宋体" w:hAnsi="宋体" w:cs="宋体"/>
          <w:b/>
          <w:bCs/>
          <w:color w:val="auto"/>
          <w:sz w:val="21"/>
          <w:szCs w:val="21"/>
          <w:highlight w:val="none"/>
        </w:rPr>
        <w:sectPr>
          <w:pgSz w:w="11906" w:h="16838"/>
          <w:pgMar w:top="1440" w:right="1800" w:bottom="1440" w:left="1800" w:header="851" w:footer="992" w:gutter="0"/>
          <w:cols w:space="425" w:num="1"/>
          <w:docGrid w:type="lines" w:linePitch="312" w:charSpace="0"/>
        </w:sect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1.2 智能安全分析平台</w:t>
      </w:r>
    </w:p>
    <w:tbl>
      <w:tblPr>
        <w:tblStyle w:val="88"/>
        <w:tblW w:w="5000" w:type="pct"/>
        <w:tblInd w:w="0" w:type="dxa"/>
        <w:tblLayout w:type="autofit"/>
        <w:tblCellMar>
          <w:top w:w="0" w:type="dxa"/>
          <w:left w:w="108" w:type="dxa"/>
          <w:bottom w:w="0" w:type="dxa"/>
          <w:right w:w="108" w:type="dxa"/>
        </w:tblCellMar>
      </w:tblPr>
      <w:tblGrid>
        <w:gridCol w:w="947"/>
        <w:gridCol w:w="1220"/>
        <w:gridCol w:w="6355"/>
      </w:tblGrid>
      <w:tr>
        <w:tblPrEx>
          <w:tblCellMar>
            <w:top w:w="0" w:type="dxa"/>
            <w:left w:w="108" w:type="dxa"/>
            <w:bottom w:w="0" w:type="dxa"/>
            <w:right w:w="108" w:type="dxa"/>
          </w:tblCellMar>
        </w:tblPrEx>
        <w:trPr>
          <w:trHeight w:val="443" w:hRule="atLeast"/>
        </w:trPr>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模块</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功能</w:t>
            </w:r>
          </w:p>
        </w:tc>
        <w:tc>
          <w:tcPr>
            <w:tcW w:w="37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参数需求</w:t>
            </w:r>
          </w:p>
        </w:tc>
      </w:tr>
      <w:tr>
        <w:tblPrEx>
          <w:tblCellMar>
            <w:top w:w="0" w:type="dxa"/>
            <w:left w:w="108" w:type="dxa"/>
            <w:bottom w:w="0" w:type="dxa"/>
            <w:right w:w="108" w:type="dxa"/>
          </w:tblCellMar>
        </w:tblPrEx>
        <w:trPr>
          <w:trHeight w:val="1530" w:hRule="atLeast"/>
        </w:trPr>
        <w:tc>
          <w:tcPr>
            <w:tcW w:w="5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智能安全分析平台</w:t>
            </w:r>
          </w:p>
        </w:tc>
        <w:tc>
          <w:tcPr>
            <w:tcW w:w="6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基础要求</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提供以下人工智能开发平台体系评估报告：</w:t>
            </w:r>
            <w:r>
              <w:rPr>
                <w:rFonts w:hint="eastAsia" w:ascii="宋体" w:hAnsi="宋体" w:cs="宋体"/>
                <w:color w:val="auto"/>
                <w:kern w:val="0"/>
                <w:sz w:val="20"/>
                <w:highlight w:val="none"/>
              </w:rPr>
              <w:br w:type="textWrapping"/>
            </w:r>
            <w:r>
              <w:rPr>
                <w:rFonts w:hint="eastAsia" w:ascii="方正兰亭纤黑简体" w:hAnsi="等线" w:eastAsia="方正兰亭纤黑简体" w:cs="宋体"/>
                <w:color w:val="auto"/>
                <w:kern w:val="0"/>
                <w:sz w:val="20"/>
                <w:highlight w:val="none"/>
              </w:rPr>
              <w:t>★</w:t>
            </w:r>
            <w:r>
              <w:rPr>
                <w:rFonts w:hint="eastAsia" w:ascii="宋体" w:hAnsi="宋体" w:cs="宋体"/>
                <w:color w:val="auto"/>
                <w:kern w:val="0"/>
                <w:sz w:val="20"/>
                <w:highlight w:val="none"/>
              </w:rPr>
              <w:t>1、AI数据处理检测报告；</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★2、AI模型构建检测报告；</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★3、AI模型部署检测报告；</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★4、AI支撑与服务检测报告。</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（以上每项均需要提供报告证明复印件并加盖公章）</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数据源管理</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支持可视化管理用户个人的远程结构化和非结构化数据源；支持新增、更新、删除个人数据源</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在线服务</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支持容器绑定模型文件及镜像运行环境</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支持公共镜像作为模型服务化运行环境</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支持私有镜像作为模型服务化运行环境</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支持绑定多个容器+镜像组成多容器模型服务</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支持通过录入、选择提供必要的基本配置启动在线推理服务</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支持关联secret, configmap配置启动服务</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支持对服务的配置信息进行更新操作，支持滚动更新</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支持选择网络协议(JSON/PB），根据不同网络协议提供不同交互录入方式</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支持HTTP+PB接口管理</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支持在服务组内，创建复杂类型，编辑复杂类型，删除复杂类型</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支持按容器查看服务日志</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支持按容器查看服务调用量和资源使用量监控</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支持查看服务事件信息，包括容器启动/销毁记录等</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支持远程登录容器，实例pod运行后，支持远程登录容器</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支持管理、编辑、删除configmap/secret</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工作流</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展示已有的工作流，包括官方提供和用户自定义的，可查看工作流基本信息；支持进行工作流的增删改查、复制等操作</w:t>
            </w:r>
          </w:p>
        </w:tc>
      </w:tr>
      <w:tr>
        <w:tblPrEx>
          <w:tblCellMar>
            <w:top w:w="0" w:type="dxa"/>
            <w:left w:w="108" w:type="dxa"/>
            <w:bottom w:w="0" w:type="dxa"/>
            <w:right w:w="108" w:type="dxa"/>
          </w:tblCellMar>
        </w:tblPrEx>
        <w:trPr>
          <w:trHeight w:val="765"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对于自定义工作流，支持用户通过拖拉拽的方式将输入、输出、模型、函数等多种组件拖入工作流面板进行组合编排，用户通过组件拖拉拽加表单填写操作，可以完成无代码化的应用开发链路</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支持对已经编排好的工作流创建执行任务，配置输入参数、选择执行模式后即可发起任务的执行调试</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支持查看执行结果，包括工作流结构与执行状态、节点耗时、详细执行事件数据等</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提供工作流执行数据的观测能力，辅助应用开发者进行工作流执行耗时、执行错误等信息的观测</w:t>
            </w:r>
          </w:p>
        </w:tc>
      </w:tr>
      <w:tr>
        <w:tblPrEx>
          <w:tblCellMar>
            <w:top w:w="0" w:type="dxa"/>
            <w:left w:w="108" w:type="dxa"/>
            <w:bottom w:w="0" w:type="dxa"/>
            <w:right w:w="108" w:type="dxa"/>
          </w:tblCellMar>
        </w:tblPrEx>
        <w:trPr>
          <w:trHeight w:val="765"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第三方组件</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用户自定义创建函数用于在工作流编排中引用，函数代码编写时可进行测试验证；支持对已有函数进行编辑，可查看已有函数的修订记录及还原历史版本，函数编辑完成后可以保存覆盖当前函数，也可以另存为新函数</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支持增删改自定义组件，通过自定义组件注册用于工作流编排</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应用工作台</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支持查看及检索已上架的控制台应用，并支持跳转至应用的控制台</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支持查看及检索已上架的API应用，支持查看API接口信息、进行API调试、查看应用监控数据</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应用管理</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提供第三方AI场景的系统应用接入平台上架至应用工作台的能力，提供将自定义编排的工作流上架为控制台应用的能力</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提供平台模型服务以及工作流服务接入平台上架至应用工作台的能力</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支持在应用编辑页面将应用分享至至其他项目下使用</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数据流设备</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支持IPC设备基于统一的服务实现设备接入、设备在线/离线状态同步等；实现设备连接以获取视频流，并支持进行设备分组的管理</w:t>
            </w:r>
          </w:p>
        </w:tc>
      </w:tr>
      <w:tr>
        <w:tblPrEx>
          <w:tblCellMar>
            <w:top w:w="0" w:type="dxa"/>
            <w:left w:w="108" w:type="dxa"/>
            <w:bottom w:w="0" w:type="dxa"/>
            <w:right w:w="108" w:type="dxa"/>
          </w:tblCellMar>
        </w:tblPrEx>
        <w:trPr>
          <w:trHeight w:val="765"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支持注册国标平台后，将国标平台设备及分组信息自动同步至智能安全分析平台，并通过视频流转换服务实现基于GBT28181规范输入的视频流可用于模型推理、设备数据查看等场景</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支持通过ONVIF协议探测设备，用于进行设备批量注册</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镜像仓库</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提供镜像数据隔离管理，支持项目镜像及平台公共镜像</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支持从本地导入镜像到镜像仓库</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支持从其他镜像仓库拉取镜像到平台镜像仓库</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支持上传代码包后平台自动制作成镜像</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支持通过dockerfile制作镜像</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支持镜像导入任务查看</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支持版本管理功能</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业务管理</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支持业务-项目层级的平台数据隔离框架，业务下可包含多个项目，平台算力资源，数据资源均按项目进行隔离</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支持业务及项目组成员管理，可为项目添加成员，为成员添加角色</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支持业务级和项目级资源管理，管理员可按需为项目分配算力资源，训练任务和推理服务根据项目所有的资源启动，支持存储配额上限配置</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个人中心</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平台提供对用户的管理，且支持密码重置等功能，支持重置用户密码，平台提供密钥管理，用户可使用密钥访问平台api</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角色管理</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提供角色查看和编辑的功能</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用户管理</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提供搜索用户、修改用户基本信息、删除用户的功能</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运维管理</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平台提供监控告警系统，平台管理员和运维人员可在监控系统中查看平台相关的监控信息</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审计日志</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提供操作日志，供审计使用</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审批管理</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提供对模型服务发布进行审批，只有通过审批的模型才可以被发布成服务进行调用；提供我的待办和我的已办记录查看</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License管理</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支持平台license的更新查看</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API网关</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注册和管理第三方外部服务接口，支持通过控制台页面注册或者通过json批量导入</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场景算法要求</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人员管控算法，检测非相关人员出入实验室等核心区域</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人员跌倒算法，检测实验室内出现人员昏迷倒地不起情况</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占道堆物算法，检测实验室室内重点关注区域出现堆物的不合规现象</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烟火监测算法，检测实验室烟雾火灾事件</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吸烟监测算法，检测实验室等核心区域人员吸烟行为</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违规着装监测算法，检测人员短裤短裙的非法着装，禁止进入实验室的行为</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合规着装监测算法，进入实验室进行操作实验时，必须带手套（蓝色）并穿着实验服（白色或蓝色）。是否操作实验以是否带蓝色手套为判断基准。</w:t>
            </w:r>
          </w:p>
        </w:tc>
      </w:tr>
      <w:tr>
        <w:tblPrEx>
          <w:tblCellMar>
            <w:top w:w="0" w:type="dxa"/>
            <w:left w:w="108" w:type="dxa"/>
            <w:bottom w:w="0" w:type="dxa"/>
            <w:right w:w="108" w:type="dxa"/>
          </w:tblCellMar>
        </w:tblPrEx>
        <w:trPr>
          <w:trHeight w:val="51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实验设备运行人员值守监测算法，实验设备开机状态下（从功率计获取信息），需要有人值守或间歇轮巡</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通宵实验合规监测算法，通宵实验报备后，需要两个人及以上才可执行</w:t>
            </w:r>
          </w:p>
        </w:tc>
      </w:tr>
      <w:tr>
        <w:tblPrEx>
          <w:tblCellMar>
            <w:top w:w="0" w:type="dxa"/>
            <w:left w:w="108" w:type="dxa"/>
            <w:bottom w:w="0" w:type="dxa"/>
            <w:right w:w="108" w:type="dxa"/>
          </w:tblCellMar>
        </w:tblPrEx>
        <w:trPr>
          <w:trHeight w:val="270"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实验室渗水检测算法，能够检测出渗水造成的实验室积水现象</w:t>
            </w:r>
          </w:p>
        </w:tc>
      </w:tr>
      <w:tr>
        <w:tblPrEx>
          <w:tblCellMar>
            <w:top w:w="0" w:type="dxa"/>
            <w:left w:w="108" w:type="dxa"/>
            <w:bottom w:w="0" w:type="dxa"/>
            <w:right w:w="108" w:type="dxa"/>
          </w:tblCellMar>
        </w:tblPrEx>
        <w:trPr>
          <w:trHeight w:val="765"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vMerge w:val="continue"/>
            <w:tcBorders>
              <w:top w:val="nil"/>
              <w:left w:val="single" w:color="auto" w:sz="4" w:space="0"/>
              <w:bottom w:val="single" w:color="auto" w:sz="4" w:space="0"/>
              <w:right w:val="single" w:color="auto" w:sz="4" w:space="0"/>
            </w:tcBorders>
            <w:vAlign w:val="center"/>
          </w:tcPr>
          <w:p>
            <w:pPr>
              <w:widowControl/>
              <w:jc w:val="left"/>
              <w:rPr>
                <w:rFonts w:ascii="方正兰亭纤黑简体" w:hAnsi="等线" w:eastAsia="方正兰亭纤黑简体" w:cs="宋体"/>
                <w:b/>
                <w:bCs/>
                <w:color w:val="auto"/>
                <w:kern w:val="0"/>
                <w:sz w:val="20"/>
                <w:highlight w:val="none"/>
              </w:rPr>
            </w:pP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根据实际运行中产生的更多维的需求，进行对应的算法模型定制开发，预留3个算法定制开发。同时本期视频智能分析算法需满足实验室实际场景的个性化检测需求的并发路数。</w:t>
            </w:r>
          </w:p>
        </w:tc>
      </w:tr>
      <w:tr>
        <w:tblPrEx>
          <w:tblCellMar>
            <w:top w:w="0" w:type="dxa"/>
            <w:left w:w="108" w:type="dxa"/>
            <w:bottom w:w="0" w:type="dxa"/>
            <w:right w:w="108" w:type="dxa"/>
          </w:tblCellMar>
        </w:tblPrEx>
        <w:trPr>
          <w:trHeight w:val="2805" w:hRule="atLeast"/>
        </w:trPr>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0"/>
                <w:highlight w:val="none"/>
              </w:rPr>
            </w:pPr>
          </w:p>
        </w:tc>
        <w:tc>
          <w:tcPr>
            <w:tcW w:w="683" w:type="pct"/>
            <w:tcBorders>
              <w:top w:val="nil"/>
              <w:left w:val="nil"/>
              <w:bottom w:val="single" w:color="auto" w:sz="4" w:space="0"/>
              <w:right w:val="single" w:color="auto" w:sz="4" w:space="0"/>
            </w:tcBorders>
            <w:shd w:val="clear" w:color="auto" w:fill="auto"/>
            <w:vAlign w:val="center"/>
          </w:tcPr>
          <w:p>
            <w:pPr>
              <w:widowControl/>
              <w:jc w:val="center"/>
              <w:rPr>
                <w:rFonts w:ascii="方正兰亭纤黑简体" w:hAnsi="等线" w:eastAsia="方正兰亭纤黑简体" w:cs="宋体"/>
                <w:b/>
                <w:bCs/>
                <w:color w:val="auto"/>
                <w:kern w:val="0"/>
                <w:sz w:val="20"/>
                <w:highlight w:val="none"/>
              </w:rPr>
            </w:pPr>
            <w:r>
              <w:rPr>
                <w:rFonts w:hint="eastAsia" w:ascii="方正兰亭纤黑简体" w:hAnsi="等线" w:eastAsia="方正兰亭纤黑简体" w:cs="宋体"/>
                <w:b/>
                <w:bCs/>
                <w:color w:val="auto"/>
                <w:kern w:val="0"/>
                <w:sz w:val="20"/>
                <w:highlight w:val="none"/>
              </w:rPr>
              <w:t>核心算法能力要求</w:t>
            </w:r>
          </w:p>
        </w:tc>
        <w:tc>
          <w:tcPr>
            <w:tcW w:w="3745" w:type="pct"/>
            <w:tcBorders>
              <w:top w:val="nil"/>
              <w:left w:val="nil"/>
              <w:bottom w:val="single" w:color="auto" w:sz="4" w:space="0"/>
              <w:right w:val="single" w:color="auto" w:sz="4" w:space="0"/>
            </w:tcBorders>
            <w:shd w:val="clear" w:color="auto" w:fill="auto"/>
            <w:vAlign w:val="center"/>
          </w:tcPr>
          <w:p>
            <w:pPr>
              <w:widowControl/>
              <w:jc w:val="left"/>
              <w:rPr>
                <w:rFonts w:ascii="方正兰亭纤黑简体" w:hAnsi="等线" w:eastAsia="方正兰亭纤黑简体" w:cs="宋体"/>
                <w:color w:val="auto"/>
                <w:kern w:val="0"/>
                <w:sz w:val="20"/>
                <w:highlight w:val="none"/>
              </w:rPr>
            </w:pPr>
            <w:r>
              <w:rPr>
                <w:rFonts w:hint="eastAsia" w:ascii="方正兰亭纤黑简体" w:hAnsi="等线" w:eastAsia="方正兰亭纤黑简体" w:cs="宋体"/>
                <w:color w:val="auto"/>
                <w:kern w:val="0"/>
                <w:sz w:val="20"/>
                <w:highlight w:val="none"/>
              </w:rPr>
              <w:t>核心算法能力需满足以下要求：</w:t>
            </w:r>
            <w:r>
              <w:rPr>
                <w:rFonts w:hint="eastAsia" w:ascii="方正兰亭纤黑简体" w:hAnsi="等线" w:eastAsia="方正兰亭纤黑简体" w:cs="宋体"/>
                <w:color w:val="auto"/>
                <w:kern w:val="0"/>
                <w:sz w:val="20"/>
                <w:highlight w:val="none"/>
              </w:rPr>
              <w:br w:type="textWrapping"/>
            </w:r>
            <w:r>
              <w:rPr>
                <w:rFonts w:hint="eastAsia" w:ascii="方正兰亭纤黑简体" w:hAnsi="等线" w:eastAsia="方正兰亭纤黑简体" w:cs="宋体"/>
                <w:color w:val="auto"/>
                <w:kern w:val="0"/>
                <w:sz w:val="20"/>
                <w:highlight w:val="none"/>
              </w:rPr>
              <w:t>★1、要求离岗检测算法，检测准确率≥99%；</w:t>
            </w:r>
            <w:r>
              <w:rPr>
                <w:rFonts w:hint="eastAsia" w:ascii="方正兰亭纤黑简体" w:hAnsi="等线" w:eastAsia="方正兰亭纤黑简体" w:cs="宋体"/>
                <w:color w:val="auto"/>
                <w:kern w:val="0"/>
                <w:sz w:val="20"/>
                <w:highlight w:val="none"/>
              </w:rPr>
              <w:br w:type="textWrapping"/>
            </w:r>
            <w:r>
              <w:rPr>
                <w:rFonts w:hint="eastAsia" w:ascii="方正兰亭纤黑简体" w:hAnsi="等线" w:eastAsia="方正兰亭纤黑简体" w:cs="宋体"/>
                <w:color w:val="auto"/>
                <w:kern w:val="0"/>
                <w:sz w:val="20"/>
                <w:highlight w:val="none"/>
              </w:rPr>
              <w:t>★2、要求火焰检测算法，检测准确率≥99%；</w:t>
            </w:r>
            <w:r>
              <w:rPr>
                <w:rFonts w:hint="eastAsia" w:ascii="方正兰亭纤黑简体" w:hAnsi="等线" w:eastAsia="方正兰亭纤黑简体" w:cs="宋体"/>
                <w:color w:val="auto"/>
                <w:kern w:val="0"/>
                <w:sz w:val="20"/>
                <w:highlight w:val="none"/>
              </w:rPr>
              <w:br w:type="textWrapping"/>
            </w:r>
            <w:r>
              <w:rPr>
                <w:rFonts w:hint="eastAsia" w:ascii="方正兰亭纤黑简体" w:hAnsi="等线" w:eastAsia="方正兰亭纤黑简体" w:cs="宋体"/>
                <w:color w:val="auto"/>
                <w:kern w:val="0"/>
                <w:sz w:val="20"/>
                <w:highlight w:val="none"/>
              </w:rPr>
              <w:t>★3、要求烟雾检测算法，检测准确率≥99%；</w:t>
            </w:r>
            <w:r>
              <w:rPr>
                <w:rFonts w:hint="eastAsia" w:ascii="方正兰亭纤黑简体" w:hAnsi="等线" w:eastAsia="方正兰亭纤黑简体" w:cs="宋体"/>
                <w:color w:val="auto"/>
                <w:kern w:val="0"/>
                <w:sz w:val="20"/>
                <w:highlight w:val="none"/>
              </w:rPr>
              <w:br w:type="textWrapping"/>
            </w:r>
            <w:r>
              <w:rPr>
                <w:rFonts w:hint="eastAsia" w:ascii="方正兰亭纤黑简体" w:hAnsi="等线" w:eastAsia="方正兰亭纤黑简体" w:cs="宋体"/>
                <w:color w:val="auto"/>
                <w:kern w:val="0"/>
                <w:sz w:val="20"/>
                <w:highlight w:val="none"/>
              </w:rPr>
              <w:t>★4、要求积水检测算法，检测准确率≥99%；</w:t>
            </w:r>
            <w:r>
              <w:rPr>
                <w:rFonts w:hint="eastAsia" w:ascii="方正兰亭纤黑简体" w:hAnsi="等线" w:eastAsia="方正兰亭纤黑简体" w:cs="宋体"/>
                <w:color w:val="auto"/>
                <w:kern w:val="0"/>
                <w:sz w:val="20"/>
                <w:highlight w:val="none"/>
              </w:rPr>
              <w:br w:type="textWrapping"/>
            </w:r>
            <w:r>
              <w:rPr>
                <w:rFonts w:hint="eastAsia" w:ascii="方正兰亭纤黑简体" w:hAnsi="等线" w:eastAsia="方正兰亭纤黑简体" w:cs="宋体"/>
                <w:color w:val="auto"/>
                <w:kern w:val="0"/>
                <w:sz w:val="20"/>
                <w:highlight w:val="none"/>
              </w:rPr>
              <w:t>★5、要求抽烟检测算法，检测准确率≥99%；</w:t>
            </w:r>
            <w:r>
              <w:rPr>
                <w:rFonts w:hint="eastAsia" w:ascii="方正兰亭纤黑简体" w:hAnsi="等线" w:eastAsia="方正兰亭纤黑简体" w:cs="宋体"/>
                <w:color w:val="auto"/>
                <w:kern w:val="0"/>
                <w:sz w:val="20"/>
                <w:highlight w:val="none"/>
              </w:rPr>
              <w:br w:type="textWrapping"/>
            </w:r>
            <w:r>
              <w:rPr>
                <w:rFonts w:hint="eastAsia" w:ascii="方正兰亭纤黑简体" w:hAnsi="等线" w:eastAsia="方正兰亭纤黑简体" w:cs="宋体"/>
                <w:color w:val="auto"/>
                <w:kern w:val="0"/>
                <w:sz w:val="20"/>
                <w:highlight w:val="none"/>
              </w:rPr>
              <w:t>★6、要求短袖短裤/赤膊检测算法，检测准确率≥99%；</w:t>
            </w:r>
            <w:r>
              <w:rPr>
                <w:rFonts w:hint="eastAsia" w:ascii="方正兰亭纤黑简体" w:hAnsi="等线" w:eastAsia="方正兰亭纤黑简体" w:cs="宋体"/>
                <w:color w:val="auto"/>
                <w:kern w:val="0"/>
                <w:sz w:val="20"/>
                <w:highlight w:val="none"/>
              </w:rPr>
              <w:br w:type="textWrapping"/>
            </w:r>
            <w:r>
              <w:rPr>
                <w:rFonts w:hint="eastAsia" w:ascii="方正兰亭纤黑简体" w:hAnsi="等线" w:eastAsia="方正兰亭纤黑简体" w:cs="宋体"/>
                <w:color w:val="auto"/>
                <w:kern w:val="0"/>
                <w:sz w:val="20"/>
                <w:highlight w:val="none"/>
              </w:rPr>
              <w:t>★7、要求手套检测算法，检测准确率≥99%；</w:t>
            </w:r>
            <w:r>
              <w:rPr>
                <w:rFonts w:hint="eastAsia" w:ascii="方正兰亭纤黑简体" w:hAnsi="等线" w:eastAsia="方正兰亭纤黑简体" w:cs="宋体"/>
                <w:color w:val="auto"/>
                <w:kern w:val="0"/>
                <w:sz w:val="20"/>
                <w:highlight w:val="none"/>
              </w:rPr>
              <w:br w:type="textWrapping"/>
            </w:r>
            <w:r>
              <w:rPr>
                <w:rFonts w:hint="eastAsia" w:ascii="方正兰亭纤黑简体" w:hAnsi="等线" w:eastAsia="方正兰亭纤黑简体" w:cs="宋体"/>
                <w:color w:val="auto"/>
                <w:kern w:val="0"/>
                <w:sz w:val="20"/>
                <w:highlight w:val="none"/>
              </w:rPr>
              <w:t>★8、人员跌倒检测算法，检测准确率≥99%。</w:t>
            </w:r>
            <w:r>
              <w:rPr>
                <w:rFonts w:hint="eastAsia" w:ascii="方正兰亭纤黑简体" w:hAnsi="等线" w:eastAsia="方正兰亭纤黑简体" w:cs="宋体"/>
                <w:color w:val="auto"/>
                <w:kern w:val="0"/>
                <w:sz w:val="20"/>
                <w:highlight w:val="none"/>
              </w:rPr>
              <w:br w:type="textWrapping"/>
            </w:r>
            <w:r>
              <w:rPr>
                <w:rFonts w:hint="eastAsia" w:ascii="方正兰亭纤黑简体" w:hAnsi="等线" w:eastAsia="方正兰亭纤黑简体" w:cs="宋体"/>
                <w:color w:val="auto"/>
                <w:kern w:val="0"/>
                <w:sz w:val="20"/>
                <w:highlight w:val="none"/>
              </w:rPr>
              <w:t>以上每项核心算法能力均需要提供软件算法测试报告证明复印件并加盖公章。</w:t>
            </w:r>
          </w:p>
        </w:tc>
      </w:tr>
    </w:tbl>
    <w:p>
      <w:pPr>
        <w:pStyle w:val="86"/>
        <w:jc w:val="both"/>
        <w:rPr>
          <w:color w:val="auto"/>
          <w:highlight w:val="none"/>
          <w:lang w:val="en-US"/>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1.3 物联集控管理平台</w:t>
      </w:r>
    </w:p>
    <w:tbl>
      <w:tblPr>
        <w:tblStyle w:val="88"/>
        <w:tblW w:w="5000" w:type="pct"/>
        <w:tblInd w:w="0" w:type="dxa"/>
        <w:tblLayout w:type="autofit"/>
        <w:tblCellMar>
          <w:top w:w="0" w:type="dxa"/>
          <w:left w:w="108" w:type="dxa"/>
          <w:bottom w:w="0" w:type="dxa"/>
          <w:right w:w="108" w:type="dxa"/>
        </w:tblCellMar>
      </w:tblPr>
      <w:tblGrid>
        <w:gridCol w:w="1060"/>
        <w:gridCol w:w="1428"/>
        <w:gridCol w:w="6034"/>
      </w:tblGrid>
      <w:tr>
        <w:tblPrEx>
          <w:tblCellMar>
            <w:top w:w="0" w:type="dxa"/>
            <w:left w:w="108" w:type="dxa"/>
            <w:bottom w:w="0" w:type="dxa"/>
            <w:right w:w="108" w:type="dxa"/>
          </w:tblCellMar>
        </w:tblPrEx>
        <w:trPr>
          <w:trHeight w:val="270" w:hRule="atLeast"/>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产品名称</w:t>
            </w:r>
          </w:p>
        </w:tc>
        <w:tc>
          <w:tcPr>
            <w:tcW w:w="8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产品模块</w:t>
            </w:r>
          </w:p>
        </w:tc>
        <w:tc>
          <w:tcPr>
            <w:tcW w:w="35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主要性能参数需求</w:t>
            </w:r>
          </w:p>
        </w:tc>
      </w:tr>
      <w:tr>
        <w:tblPrEx>
          <w:tblCellMar>
            <w:top w:w="0" w:type="dxa"/>
            <w:left w:w="108" w:type="dxa"/>
            <w:bottom w:w="0" w:type="dxa"/>
            <w:right w:w="108" w:type="dxa"/>
          </w:tblCellMar>
        </w:tblPrEx>
        <w:trPr>
          <w:trHeight w:val="765" w:hRule="atLeast"/>
        </w:trPr>
        <w:tc>
          <w:tcPr>
            <w:tcW w:w="6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物联网基础平台</w:t>
            </w: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基础数据管理模块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面向于物联网场景特性，提供数据源的采集、数据转换清洗、数据加载、数据导出能力。可与列式数据库、传统数据库、Hive数据仓库、本地及远端文件等存储交换。支持将半结构化文件流式采集到基础平台中进行数据分析。</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基础数据存储模块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对物联场景的数据资源进行全面采集、统一存储、有效管理、深度挖掘和安全管控的目标。</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基础调度管理模块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提供可视化作业调度能力，满足进行集中式作业调度的需要。</w:t>
            </w:r>
          </w:p>
        </w:tc>
      </w:tr>
      <w:tr>
        <w:tblPrEx>
          <w:tblCellMar>
            <w:top w:w="0" w:type="dxa"/>
            <w:left w:w="108" w:type="dxa"/>
            <w:bottom w:w="0" w:type="dxa"/>
            <w:right w:w="108" w:type="dxa"/>
          </w:tblCellMar>
        </w:tblPrEx>
        <w:trPr>
          <w:trHeight w:val="76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运行监控模块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建设统一的运营监控系统，实现组件、作业以及租户操作等信息实时采集，可以灵活配置监控、告警指标及阀值，提供统一的监控告警功能，监控可视化，并提供平台的审计功能。</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资源管理模块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资源管理主要涉及存储资源和计算资源管理两部分。</w:t>
            </w:r>
          </w:p>
        </w:tc>
      </w:tr>
      <w:tr>
        <w:tblPrEx>
          <w:tblCellMar>
            <w:top w:w="0" w:type="dxa"/>
            <w:left w:w="108" w:type="dxa"/>
            <w:bottom w:w="0" w:type="dxa"/>
            <w:right w:w="108" w:type="dxa"/>
          </w:tblCellMar>
        </w:tblPrEx>
        <w:trPr>
          <w:trHeight w:val="1020" w:hRule="atLeast"/>
        </w:trPr>
        <w:tc>
          <w:tcPr>
            <w:tcW w:w="6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物联管控平台</w:t>
            </w: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物联安全模块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围绕设备数据，设备协议，设备数据传输送，设备数据保存，应用系统安全，应用数据获取，数据存储安全等多方面，打造物联网平台安全系统及保障。</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★为保障物联平台安全、稳定运行，平台原厂商需通过可信云物联网平台认证（需提供可信云物联网平台认证证书复印件并加盖公章）</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应用安全模块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对于应用层的安全，主要包括服务安全、WEB前端安全、WEB后台安全、登录保护</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平台安全模块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资源隔离、存储安全、通道安全、运维管理安全</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数据安全模块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数据加密、秘钥管理、存储备份、数据销毁</w:t>
            </w:r>
          </w:p>
        </w:tc>
      </w:tr>
      <w:tr>
        <w:tblPrEx>
          <w:tblCellMar>
            <w:top w:w="0" w:type="dxa"/>
            <w:left w:w="108" w:type="dxa"/>
            <w:bottom w:w="0" w:type="dxa"/>
            <w:right w:w="108" w:type="dxa"/>
          </w:tblCellMar>
        </w:tblPrEx>
        <w:trPr>
          <w:trHeight w:val="76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物联操作系统能力</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打破传统软硬件捆绑逻辑，支持硬件、软件、服务的模块间灵活组建与自升级。</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提供信令类设备、音视频类设备连接能力，覆盖智能门禁、智能照明、视频监控、能耗监测、梯控系统、环境监测、智慧消防等不同领域。</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实现直连设备和网关子设备连接，直连设备包括智能网关和音视频类设备，网关子设备包括智能照明、供配电、能源能耗、环境监测、能源管理等不同类型的设备</w:t>
            </w:r>
          </w:p>
        </w:tc>
      </w:tr>
      <w:tr>
        <w:tblPrEx>
          <w:tblCellMar>
            <w:top w:w="0" w:type="dxa"/>
            <w:left w:w="108" w:type="dxa"/>
            <w:bottom w:w="0" w:type="dxa"/>
            <w:right w:w="108" w:type="dxa"/>
          </w:tblCellMar>
        </w:tblPrEx>
        <w:trPr>
          <w:trHeight w:val="178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实现对应用系统级别场景的接入能力：</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 xml:space="preserve">1、支持Web网页应用、后台应用、移动应用（公众号、APP）等不同类型的应用系统的接入； </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 xml:space="preserve">2、支持Windows、Linux、Android等主流操作系统的应用系统的接入； </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 xml:space="preserve">3、支持智能照明、视频监控、能源管理、智慧停车等不同行业的应用系统的接入； </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 xml:space="preserve">4、支持应用调用平台提供的统一登录、权限管理、设备管理、设备控制、消息服务、视频服务、告警服务等多种能力。 </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集控管理统一视图模块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对于与平台对接的数据，可以进行实时数据的图表展示</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打造一个面向两院的建筑管理集合平台。对于接入的子系统做统一的快捷跳转。支撑一键进入子系统</w:t>
            </w:r>
          </w:p>
        </w:tc>
      </w:tr>
      <w:tr>
        <w:tblPrEx>
          <w:tblCellMar>
            <w:top w:w="0" w:type="dxa"/>
            <w:left w:w="108" w:type="dxa"/>
            <w:bottom w:w="0" w:type="dxa"/>
            <w:right w:w="108" w:type="dxa"/>
          </w:tblCellMar>
        </w:tblPrEx>
        <w:trPr>
          <w:trHeight w:val="841"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集控管理工作台模块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提供一站式集控管控工作台：</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1、显示本项目内用户总个数、当前在线用户数、昨日人均工作时间；</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2、显示与自己相关的操作日志，包含项目操作、设备操作、应用操作和用户操作等日志记录；</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3、显示各类应用告警数据汇总；</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4、显示建筑内故障设备和离线设备的数量；</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5、显示异常应用的列表，最新出现的异常应用排在最顶部</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空间构造模块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支持完善建筑信息和楼层信息以添加建筑</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可查看自定义结构信息，并支持新增自定义结构数据</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可进行空间坐标系的配置</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可通过拖拽建筑图纸至文件导入区域或直接点击上传 进行导入操作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可通过拖拽点位图纸至文件导入区域或直接点击上传 进行导入操作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已添加完成的建筑，若没有设备绑定建筑数据，则可以对建筑进行删除操作</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点位图纸完成导入转换后，点击单层的预览，显示出图纸所有的点位，包括没有设备的空点位</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应用管理模块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可按照“应用类型”和“应用状态”筛选，或输入关键字进行模糊查询</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建立应用与项目的权限</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解除应用与项目的权限</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绑定设备与应用的权限</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基本信息：可查看应用基本信息（如应用名称、应用类型、发布时间、使用次数、应用状态等信息）和应用配置信息（应用APPID、APPURL地址、回调地址）</w:t>
            </w:r>
          </w:p>
        </w:tc>
      </w:tr>
      <w:tr>
        <w:tblPrEx>
          <w:tblCellMar>
            <w:top w:w="0" w:type="dxa"/>
            <w:left w:w="108" w:type="dxa"/>
            <w:bottom w:w="0" w:type="dxa"/>
            <w:right w:w="108" w:type="dxa"/>
          </w:tblCellMar>
        </w:tblPrEx>
        <w:trPr>
          <w:trHeight w:val="153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配置信息：支持在项目中配置应用与数据的权限管控，支持添加传输权限、设置数据权限</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①应用数据传输：可以配置应用与应用的数据传输权限，可以根据业务需求自行定义应用之间的传输权限。</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②数据模块；可以设定应用与平台中数据模块的权限关系。分为“无权限”、“可读取”、“可编写”、“可读取、编写”这4种权限。</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绑定设备：可查看应用所绑定的设备信息，支持查看设备详情、绑定/解绑设备</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设备管理模块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可按照建筑、楼层、设备类型、设备状态、绑定状态、绑定应用条件筛选查询设备，或通过“输入设备名称/SN/DIN关键字”模糊查询设备</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支持批量导入设备，绑定设备与项目的关系</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支持批量导入网关下的子设备</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支持对未绑定位置的设备进行批量编辑位置</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单个绑定：将某个设备绑定至一个或多个应用</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批量绑定：将某些设备批量绑定至一个或多个应用</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单个解绑：解除某个设备与应用的绑定关系</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批量解绑：批量解除某些设备与应用的绑定关系</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单个升级：将某个设备进行OTA固件升级</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批量升级：将某些设备进行OTA固件升级</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单个删除：将某设备从项目中删除</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批量删除：将某些设备从项目中批量删除</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可查看设备的基本信息、配置信息、操作日志、在线记录</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编辑设备名称：支持对设备名称进行编辑修改</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编辑设备厂商：支持对设备厂商进行编辑修改</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编辑地理位置：支持对设备地理位置进行编辑修改，包括所属建筑、楼层、位置、具体点位编码、图纸编号</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更换设备：可选通过设备名称，PID、SN进行设备更换</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子设备注册：若设备类型是视频网关设备，可进行子设备注册操作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摄像头配置：可对摄像头配置进行设置，包括RTSP URL、实时流来源、录像存储方式等</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上云与存储配置：可对上云与存储进行配置，选择是否不间断推流</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查询操作日志：可按照时间范围和操作结果查看操作记录</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查询在线记录：可按照时间范围查询在线记录</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查验：对已配置的指标进行查验，可以查看图表数据信息</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物联数据服务模块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查询指标：支持在数据指标列表按照指标名称/自定义指标ID查询具体指标</w:t>
            </w:r>
          </w:p>
        </w:tc>
      </w:tr>
      <w:tr>
        <w:tblPrEx>
          <w:tblCellMar>
            <w:top w:w="0" w:type="dxa"/>
            <w:left w:w="108" w:type="dxa"/>
            <w:bottom w:w="0" w:type="dxa"/>
            <w:right w:w="108" w:type="dxa"/>
          </w:tblCellMar>
        </w:tblPrEx>
        <w:trPr>
          <w:trHeight w:val="229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指标数据能力：</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基本信息：包含指标名称、ID、备注</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参数配置：</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①聚合空间维度配置：可选择聚合空间维度或业务维度</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②数据统计配置：可选择时序聚合统计或瞬时值统计</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③计算函数配置：支持对对象模型的数据进行数据计算，支持求和、计数、最小值、最大值、平均值、去重计数、差值共七种函数，并支持对函数再次进行+（加）、-（减）、*（乘）、/（除）的计算</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④数据：支持选择对象模型的属性数据</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查看指标详情：查看已配置的指标信息</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删除指标：删除已配置的指标</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配置：支持对已有的配置项做更改，包括时间统计颗粒、时间范围、位置维度、业务维度等</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查验：对已配置的指标进行查验，可以查看图表数据信息</w:t>
            </w:r>
          </w:p>
        </w:tc>
      </w:tr>
      <w:tr>
        <w:tblPrEx>
          <w:tblCellMar>
            <w:top w:w="0" w:type="dxa"/>
            <w:left w:w="108" w:type="dxa"/>
            <w:bottom w:w="0" w:type="dxa"/>
            <w:right w:w="108" w:type="dxa"/>
          </w:tblCellMar>
        </w:tblPrEx>
        <w:trPr>
          <w:trHeight w:val="127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新增项目自定义模型：目前支持“自定义”和“引用公开的模型”两种方式新增模型</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自定义：支持选择设备、应用对象模型，也可输入类名称/POICODE关键字进行搜索选择所属类型，完善模型名称后完成模型新增</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引用已公开的模型：支持输入模型对应的modelID进行模型引用，引用已公开的模型后，将可以按此模型来进行上报、获取数据</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查询模型：支持通过”名称关键字或modelId“查询模型</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公开此模型：模型定义了功能属性后，支持公开此模型，其他项目也可以使用此模型ID</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删除模型：支持对模型进行删除操作，模型删除后无法恢复</w:t>
            </w:r>
          </w:p>
        </w:tc>
      </w:tr>
      <w:tr>
        <w:tblPrEx>
          <w:tblCellMar>
            <w:top w:w="0" w:type="dxa"/>
            <w:left w:w="108" w:type="dxa"/>
            <w:bottom w:w="0" w:type="dxa"/>
            <w:right w:w="108" w:type="dxa"/>
          </w:tblCellMar>
        </w:tblPrEx>
        <w:trPr>
          <w:trHeight w:val="255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【修改定义模型功能】支持用户以两种方式自主定义模型功能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①快速复制功能：可通过输入modelID完成模型功能的复制，并且可以对复制后的模型功能属性进行编辑修改</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②新增功能：支持对模型定义具体的属性、服务和事件。功能定义好发布后，就可以按照模型进行数据的上报与获取</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定义属性；支持对模型属性进行定义，包括属性名称、ID、数据类型、读写类型（读写/只读）等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定义服务：服务是指对象的可服务功能，支持定义输入参数、输出参数，设置服务功能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定义事件：支持对模型事件进行定义，包括事件名称、ID、新增对应的事件上报参数、事件类型等</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集中监控告警模块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筛选告警内容：可按照告警状态、告警级别、告警业务类型、业务子类型和时间条件筛选告警内容</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批量导出告警：支持按告警状态、告警级别、告警类别等维护筛选出具体告警数据，并对告警数据做批量导出excel操作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查看告警详情：可查看具体告警信息</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进入应用：带有链接的应用，可点击进入应用直接跳转至应用查看告警</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消警：可选择具体处理时间、处理描述、上传现场图片附件等进行消警</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批量消警：支持按告警状态、告警级别、告警类别等维护筛选出具体告警数据，并对告警做批量消警操作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添加处理记录：可针对具体告警添加处理记录，包括处理时间、处理描述、上传附件</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分配：可对具体告警进行告警处理人分配</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重启告警：已处理状态的告警，可进行重启告警操作，重启告警后，该告警会变为待处理状态</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查询规则：可通过关键字“规则编号/规则名称”模糊查询出告警规则</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新增分配规则：可按照负责时间、告警级别、业务类型、负责地点、告警分配方式、处理人范围、指定人员来设置告警分配规则</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查看规则详情：可查看告警规则的详细信息</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编辑分配规则：可对已经设置好的告警规则进行修改操作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删除分配规则：可对告警规则进行删除操作</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查询规则：可通过下拉选择收敛类型可通过关键字“规则编号/规则名称”模糊查询出消息规则</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新增收敛规则：可按照收敛类型（告警、通知等）、消息范围、动作类型等来新增消息收敛规则</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编辑规则状态：可一键开启/关闭收敛规则</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编辑收敛规则：可对已创建的消息收敛规则再次编辑</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查看收敛规则：可查看已创建的消息收敛规则详情</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删除收敛规则：可对消息收敛规则进行删除操作</w:t>
            </w:r>
          </w:p>
        </w:tc>
      </w:tr>
      <w:tr>
        <w:tblPrEx>
          <w:tblCellMar>
            <w:top w:w="0" w:type="dxa"/>
            <w:left w:w="108" w:type="dxa"/>
            <w:bottom w:w="0" w:type="dxa"/>
            <w:right w:w="108" w:type="dxa"/>
          </w:tblCellMar>
        </w:tblPrEx>
        <w:trPr>
          <w:trHeight w:val="76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联动配置模块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联动呈现方式：可选择列表展示和日历展示两种呈现方式</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①列表模式：可展示出已经创建的联动列表，按照创建时间排序</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②日历模式：可按照日历的形式层呈现出本月内的联动时间分布</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查询联动：可通过事件触发类型、有效周期筛选联动，或文本框输入“联动名称/联动ID”关键字模糊查询联动</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新增联动：可通过填写联动规则信息，并选择触发的事件和执行动作，设置联动生效的时间段来完成联动规则的新增</w:t>
            </w:r>
          </w:p>
        </w:tc>
      </w:tr>
      <w:tr>
        <w:tblPrEx>
          <w:tblCellMar>
            <w:top w:w="0" w:type="dxa"/>
            <w:left w:w="108" w:type="dxa"/>
            <w:bottom w:w="0" w:type="dxa"/>
            <w:right w:w="108" w:type="dxa"/>
          </w:tblCellMar>
        </w:tblPrEx>
        <w:trPr>
          <w:trHeight w:val="76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查看联动详情：可查看联动的基本信息与联动记录</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基本信息：可查看联动信息、触发事件、执行动作；</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联动记录：可按时间范围筛选查询联动记录</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编辑联动状态：可一键开启/关闭联动</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修改联动：可对已经设置好的联动规则进行修改操作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删除联动：选择需要操作的联动规则，可执行删除操作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联动测试：可对已经设置好的联动规则进行测试操作</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查询事件：可通过选择事件触发类型筛选事件，或文本框输入“事件名称/事件ID" 关键字模糊查询事件</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新增事件：可通过填写事件基本信息，并选择事件触发类型、触发事件来完成事件的新增</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查看事件详情：可查看事件的详细信息</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修改事件：可对已经设置好的事件进行修改操作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删除事件：可将已有的事件进行删除</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查询动作：可通过选择动作类型筛选动作，或文本框输入”动作名称/动作ID“关键字模糊查询动作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新增动作：可通过填写动作基本信息，并选择动作类型、具体应用等来完成事件的新增</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查看动作详情：可查看动作的详细信息</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修改动作：可对已经设置好的动作进行修改操作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删除动作：可将已有的动作进行删除</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统一物联消息管理模块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设备监控配置：支持对设备状态进行监控配置</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设备掉线率通知：当超过设备掉线率后，支持对是否发送通知进行配置</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掉线率配置：支持对设备掉线率进行配置</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关键设备离线/故障通知：当关键设备离线时，支持对是否发送通知进行配置</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选择关键设备：支持需要监控的关键设备进行配置</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设备监控配置通知人：支持对通知人进行配置，当监控到设备异常时，通知将会以站内通知方式发送给通知人</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告警监控配置：支持选择实时告警通知推送渠道，支持对告警超时未处理通知</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实时告警通知推送渠道：支持对告警处理人可以实时的接收到告警通知的渠道进行配置</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推送方式：可选择多种告警通知推送方式</w:t>
            </w:r>
          </w:p>
        </w:tc>
      </w:tr>
      <w:tr>
        <w:tblPrEx>
          <w:tblCellMar>
            <w:top w:w="0" w:type="dxa"/>
            <w:left w:w="108" w:type="dxa"/>
            <w:bottom w:w="0" w:type="dxa"/>
            <w:right w:w="108" w:type="dxa"/>
          </w:tblCellMar>
        </w:tblPrEx>
        <w:trPr>
          <w:trHeight w:val="76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告警超时未处理通知配置：支持对已分配的告警超时未处理是否发送通知进行配置，并支持根据告警级别、告警类型、告警超时时间配置规则，满足规则后会立即发送通知消息</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告警超时未处理配置通知人：设置的通知人可以接收到逾期的告警通知，可配置通知人为所属上级或指定通知人</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通知渠道：可以自行选择逾期的通知渠道</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查询消息：支持通过消息类型、消息状态筛选查看通知消息</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标记为已读：可选择标记一个或多个消息为已读状态</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删除消息：可删除通知消息</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查看消息详情：可查看通知消息的详细信息</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统一协议库管理模块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支持通过选择协议类型、协议关联、对象模型、通信方式进行筛选协议，或文本框输入”协议名称/协议ID/所属厂商/版本号“关键字模糊查询协议</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可通过填写协议名称、选择协议类型、协议关联、通信方式等信息来完成协议的新增</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可查看协议的详细信息</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可对已经设置好的协议进行编辑修改操作</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可将已有的协议进行删除</w:t>
            </w:r>
          </w:p>
        </w:tc>
      </w:tr>
      <w:tr>
        <w:tblPrEx>
          <w:tblCellMar>
            <w:top w:w="0" w:type="dxa"/>
            <w:left w:w="108" w:type="dxa"/>
            <w:bottom w:w="0" w:type="dxa"/>
            <w:right w:w="108" w:type="dxa"/>
          </w:tblCellMar>
        </w:tblPrEx>
        <w:trPr>
          <w:trHeight w:val="510"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操作日志模块</w:t>
            </w: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可通过操作类别、操作功能、操作时间、操作人、操作内容进行筛选日志，查询具体操作记录</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可对现有操作日志进行重置</w:t>
            </w:r>
          </w:p>
        </w:tc>
      </w:tr>
      <w:tr>
        <w:tblPrEx>
          <w:tblCellMar>
            <w:top w:w="0" w:type="dxa"/>
            <w:left w:w="108" w:type="dxa"/>
            <w:bottom w:w="0" w:type="dxa"/>
            <w:right w:w="108" w:type="dxa"/>
          </w:tblCellMar>
        </w:tblPrEx>
        <w:trPr>
          <w:trHeight w:val="255" w:hRule="atLeast"/>
        </w:trPr>
        <w:tc>
          <w:tcPr>
            <w:tcW w:w="6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54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可查看操作日志的详细信息</w:t>
            </w:r>
          </w:p>
        </w:tc>
      </w:tr>
    </w:tbl>
    <w:p>
      <w:pPr>
        <w:pStyle w:val="86"/>
        <w:jc w:val="both"/>
        <w:rPr>
          <w:color w:val="auto"/>
          <w:highlight w:val="none"/>
          <w:lang w:val="en-US"/>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1.4 统一身份认证平台</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938"/>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模块</w:t>
            </w:r>
          </w:p>
        </w:tc>
        <w:tc>
          <w:tcPr>
            <w:tcW w:w="1137" w:type="pct"/>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功能</w:t>
            </w:r>
          </w:p>
        </w:tc>
        <w:tc>
          <w:tcPr>
            <w:tcW w:w="3463" w:type="pct"/>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认证控制台</w:t>
            </w: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首页</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包括当天实况、数据统计、访问统计等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账号管理</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单账号管理可查询所有的身份账号数据，可对账号进行查询、添加、编辑、删除、禁用、激活、设置过期时间，锁定、解锁、修改密码等操作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账号同步功能是自动将数据中心同步到身份管理平台中，包账号有效性校验、密码策略、 删除、修改、手动同步、用户仅同步到LDAP目录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LDAP用户管理可查询所用LDAP中的账号信息，可进行用户的增加、删除、修改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通过安全中心填写账号申诉信息，会在这里显示，由管理员修改好密码后以邮件方式返回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根据认证平台系统本身数据来统计、分析个人行为，形成一个报告，可支持下载成图片供用户分享，可设置是否开放给用户在安全中心显示。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分组列表是用户组分组管理，可进行用户组的增加、删除、修改查询功能。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组织列表是部门组织编码管理，可进行组织增加、删除、修改及组织管理员功能。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应用管理</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接入应用管理用于管理全校接入的应用系统，应用系统按规范提交注册资料，实施人员将资料录入即注册成功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对访问的应用进行授权，允许用户访问或禁止访问，内部权限由各个应用系统控制。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使用折线图和柱行图的方式统计各个应用当天、年的访问数，机详细访问用户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日志审计</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账号审计中对是否登录、密码未修改、锁定账号、未绑定组织、未分配角色的账号进行审计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提供用户操作日志详情查询。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提供用户访问应用的日志详情查询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提供用户登录日志详情查询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提供用户数据同步日志详情查询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证书管理</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显示数字证书详细信息，过期提醒等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提供证书上传、转换格式、下载功能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数字证书签证后或到期时可在线上传证书进行导入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安全策略</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提供系统安全策略参数设置。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设置密码策略，包括密码长度、组成、密码错误后限制设置和密码过期设置等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支持弱密码检测，可以选择检测常见的弱密码字符串和规则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自动增加，用户操作太快，或者有特殊字符注入时 安全中心过滤器会自动加入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提供IP白名单管理，白名单优先级大于黑名单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系统设置</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包括显示参数、登录参数、消息管理参数、账号同步参数、LDAP参数、邮箱参数、微信参数、QQ参数、短信参数、APP参数、ＩＰ黑白名单参数、ＳＳＬ证书参数等配置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向研发反馈问题时需要提供，记录产品版本更新记录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安全中心</w:t>
            </w: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首页</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个人信息查询、账号安全评分、查用功能快速入口等功能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个人中心</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查看个人信息，设置头像等功能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安全设置</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可以设置别名、解绑QQ、解绑微信、设置密保、校验手机号、校验邮箱、设置二次验证、指纹采集等，（对应设置项根据项目增值服务提供）。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登录日志</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提供个人登录日志查询功能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密码修改</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需要登录才能修改，需要输入原密码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邮箱找回</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通过填写验证信息，验证码邮件发至邮箱，验证验证码后可以修改密码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密保找回</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通过填写自己密保的问题，答案正确后可以修改密码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申诉找回</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通过填写申诉信息提交给管理员进行审核和重置密码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常见问题</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里面列举了各种常见问题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申诉结果</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用户可通过申诉码查询处理结果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个人分析报告</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根据认证平台系统本身数据来统计、分析个人行为，形成一个报告，可支持下载成图片进行分享。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短信找回</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通过填写验证信息和短信验证码，直接修改密码（含短信对接，不含短信运营费用）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微信找回</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通过填写验证信息和微信扫码确认，直接修改密码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QQ找回</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通过填写验证信息和QQ验证，直接修改密码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认证中心</w:t>
            </w:r>
          </w:p>
        </w:tc>
        <w:tc>
          <w:tcPr>
            <w:tcW w:w="1137" w:type="pct"/>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认证中心网站</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统一身份认证登录界面，为全校提供统一单点入口，支持用户使用学校标准账号、别名登录、QQ联合登录等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统一身份认证登录界面，为全校提供统一单点入口，短信验证登录（支持对接）、微信扫码登录、APP扫码登录等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统一身份认证登录界面，支持用户使用自定义账号登录（邮箱/身份证号/手机号），浏览器记住上次登录方式、七天保存密码等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提供单点登出接口，支持厂商配置统一登出，实现统一平台后即退出整个数字化校园。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引进新技术，实现指纹识别认证功能（支持对接）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引进新技术，实现UKey认证登录功能（支持对接）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集成接口服务</w:t>
            </w: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提供JAVA、PHP、C#、.NET等主流开发语言单点登录接口，支持B/S、C/S框架的单点对接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提供APP扫码、微信扫码等第三方进入认证平台的接口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continue"/>
            <w:shd w:val="clear" w:color="auto" w:fill="auto"/>
            <w:vAlign w:val="center"/>
          </w:tcPr>
          <w:p>
            <w:pPr>
              <w:widowControl/>
              <w:jc w:val="center"/>
              <w:rPr>
                <w:rFonts w:ascii="宋体" w:hAnsi="宋体" w:cs="宋体"/>
                <w:color w:val="auto"/>
                <w:kern w:val="0"/>
                <w:sz w:val="20"/>
                <w:highlight w:val="none"/>
              </w:rPr>
            </w:pPr>
          </w:p>
        </w:tc>
        <w:tc>
          <w:tcPr>
            <w:tcW w:w="1137" w:type="pct"/>
            <w:vMerge w:val="continue"/>
            <w:shd w:val="clear" w:color="auto" w:fill="auto"/>
            <w:vAlign w:val="center"/>
          </w:tcPr>
          <w:p>
            <w:pPr>
              <w:widowControl/>
              <w:jc w:val="center"/>
              <w:rPr>
                <w:rFonts w:ascii="宋体" w:hAnsi="宋体" w:cs="宋体"/>
                <w:color w:val="auto"/>
                <w:kern w:val="0"/>
                <w:sz w:val="20"/>
                <w:highlight w:val="none"/>
              </w:rPr>
            </w:pPr>
          </w:p>
        </w:tc>
        <w:tc>
          <w:tcPr>
            <w:tcW w:w="3463" w:type="pct"/>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提供获取用户信息、修改密码、校验密码、禁启用用户等常用接口</w:t>
            </w:r>
          </w:p>
        </w:tc>
      </w:tr>
    </w:tbl>
    <w:p>
      <w:pPr>
        <w:pStyle w:val="37"/>
        <w:ind w:firstLine="0" w:firstLineChars="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1.5 统一融合门户平台</w:t>
      </w:r>
    </w:p>
    <w:tbl>
      <w:tblPr>
        <w:tblStyle w:val="88"/>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29"/>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1" w:type="dxa"/>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模块</w:t>
            </w:r>
          </w:p>
        </w:tc>
        <w:tc>
          <w:tcPr>
            <w:tcW w:w="1829" w:type="dxa"/>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功能</w:t>
            </w:r>
          </w:p>
        </w:tc>
        <w:tc>
          <w:tcPr>
            <w:tcW w:w="6146" w:type="dxa"/>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1"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基础要求</w:t>
            </w:r>
          </w:p>
        </w:tc>
        <w:tc>
          <w:tcPr>
            <w:tcW w:w="182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安全要求</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★系统需基本满足</w:t>
            </w:r>
            <w:r>
              <w:rPr>
                <w:rFonts w:ascii="宋体" w:hAnsi="宋体" w:cs="宋体"/>
                <w:color w:val="auto"/>
                <w:kern w:val="0"/>
                <w:sz w:val="20"/>
                <w:highlight w:val="none"/>
              </w:rPr>
              <w:t xml:space="preserve">GB/T22239-2019 </w:t>
            </w:r>
            <w:r>
              <w:rPr>
                <w:rFonts w:hint="eastAsia" w:ascii="宋体" w:hAnsi="宋体" w:cs="宋体"/>
                <w:color w:val="auto"/>
                <w:kern w:val="0"/>
                <w:sz w:val="20"/>
                <w:highlight w:val="none"/>
              </w:rPr>
              <w:t>《信息安全技术网络安全等级保护基本要求》第三级“安全通用要求”中的“安全计算环境（应用系统）”的测评要求，测试内容应至少包含身份鉴别、访问控制、安全审计、入侵防范、数据完整性、数据保密性、数据备份恢复、个人信息保护。</w:t>
            </w:r>
            <w:r>
              <w:rPr>
                <w:rFonts w:ascii="宋体" w:hAnsi="宋体" w:cs="宋体"/>
                <w:color w:val="auto"/>
                <w:kern w:val="0"/>
                <w:sz w:val="20"/>
                <w:highlight w:val="none"/>
              </w:rPr>
              <w:br w:type="textWrapping"/>
            </w:r>
            <w:r>
              <w:rPr>
                <w:rFonts w:hint="eastAsia" w:ascii="宋体" w:hAnsi="宋体" w:cs="宋体"/>
                <w:color w:val="auto"/>
                <w:kern w:val="0"/>
                <w:sz w:val="20"/>
                <w:highlight w:val="none"/>
              </w:rPr>
              <w:t>（提供系统原厂商第三方信息安全评测机构出具的等级保护测评报告复印件）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融合门户控制台管理模块</w:t>
            </w:r>
          </w:p>
        </w:tc>
        <w:tc>
          <w:tcPr>
            <w:tcW w:w="182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门户首页</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首页包括平台实况、访问统计、访客统计、设备统计、应用/卡片/主题统计等。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用户管理功能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可查询用户基本信息。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restart"/>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主题管理功能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主题进行管理，可查询所有主题数据，可对主题进行查询、添加、编辑、删除、发布等操作。支持按照主题类型、启用状态、标签等进行筛选和检索，支持主题的新增，管理员可自定义主题模板、导航栏文字样式、背景以及样式表等。主题发布、审核后，需要按角色、部门、分组、用户进行授权，以保证相应用户可自主选择该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对主题进行访问权限的控制，添加主题后，需给主题授权以允许哪些角色可以访问该主题。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restart"/>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页面管理功能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页面列表可对单个页面进行添加、复制、编辑、删除、锁定等操作；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页面授权以允许哪些角色可以访问该页面，支持按角色、部门、用户分组、用户等方式授权。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标签管理功能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标签管理可查询、添加、编辑、删除平台标签，可对卡片/应用/主题进行标签分类，优化搜索；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restart"/>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卡片管理功能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接入卡片管理用于管理全院接入的服务卡片，可对单个卡片进行查询、添加、编辑、预览、卡片配置、删除。支持对卡片进行新增、修改、删除、查询的操作，支持卡片图表展示的配置，至少包括x轴数据、y轴数据、图例数据等，并且支持对接口的直接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对访问的卡片进行授权，允许用户访问或禁止访问，内部权限由各个应用系统控制。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restart"/>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应用管理功能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接入应用管理用于管理全院接入的应用系统，应用系统按规范提交注册资料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对访问的应用进行授权，允许用户访问或禁止访问，内部权限由各个应用系统控制。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应用类型是用于对应用进行分类。可对应用类型进行查询、添加、编辑、删除等操作。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消息中心功能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消息中心平能够完成消息的接收、发送和保存，再基于一定规则以邮件、短信、消息等方式推送消息到PC端或手机端，以及对用户、规则、消息进行管理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restart"/>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办事大厅功能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提供用户在平台的所有可用服务清单，提供部门、分类、标签、首字母、推荐、常用等查询导办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提供引导式查询（场景导航）、办事指南等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提供问题反馈通道向管理员反馈问题，提供我的反馈清单查看个人反馈汇总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提供对已完结申请的评价，集中汇总用户对办事服务的评价内容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支持通过一个搜索入口查询事务中心的服务清单、办事记录、消息、日程、帮助、附件等信息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提供热门搜索、历史搜索等智能化搜索推送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restart"/>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在线咨询功能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咨询问答，系统管理员管理所有前台用户提交反馈的问题，系统管理员通过这个列表回答问题，反馈给提问人。支持版块分类、时间搜索，回复内容支持富文本内容。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用于管理平台所有操作指引文章，我院可以将信息化服务的操作指引步骤、常见问题等文章在平台上发布。支持版块分类、问题标题、创建人、发布时间、状态等条件搜索。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常用回复，系统管理员将常见问题的回复内容保存，回复问题时直接选择这个回复内容。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访问统计功能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访问分析，具体分析平台总体访问概况、平台今日访问概况。包含累计访问量、累计访客量、沉默用户数、活跃率、次均访问时长、人均访问时长、平台今天访问量、今天访客量、新访客数、活跃率、次均访问时长、人均访问时长，并且与昨日、上周均值做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restart"/>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日志审计功能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提供用户登录日志详情查询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提供用户操作日志详情查询。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restart"/>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系统管理功能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包括门户前端设置、门户后台设置、单点接入设置、服务接入设置。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对平台卡片图标、应用图标进行管理，可对图标进行查询、上传、删除等操作。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支持对附件进行管理，可对附件进行查询、上传、删除等操作，支持.doc .docx .xlsx .xls .pdf .txt .zip .rar .png .jpg .jpeg .bmp .tif .swf等文档格式。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融合门户前台模块</w:t>
            </w:r>
          </w:p>
        </w:tc>
        <w:tc>
          <w:tcPr>
            <w:tcW w:w="1829" w:type="dxa"/>
            <w:vMerge w:val="restart"/>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基础框架功能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支持单独登录，默认支持与本次建设的统一身份认证认证平台单点登录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用户可个性化管理页面，可对页面进行添加、编辑、删除、排序等操作。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支持单独更改肤色、布局、页面内容以及一键切换主题；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支持用户保存个人主题、共享主题，管理员审核发布后可以给其他用户一键切换使用。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可添加、删除页面卡片，可对单个卡片外观及卡片内容进行设置。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支持页面卡片动态拖拽，自由布局。要求支持对新手操作进行指引，从系统功能介绍和初次使用引导两个角度，结合用户体验，分别予以介绍和指引。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语言切换是将网站固定菜单、特定标题、操作提示、操作按钮等文字切换语言。默认支持中英两种语言切换，并预留其他语言接口。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restart"/>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服务卡片功能</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要求支持内置工具卡片，包括收藏服务卡片、IFrame卡片、RSS卡片、滚动卡片、选项卡卡片、嵌套卡片。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自定义卡片包括内容服务展示、图表服务展示、微标服务展示。用户可以通过配置直接展示列表数据、统计图数据、分页查询等。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vMerge w:val="continue"/>
            <w:vAlign w:val="center"/>
          </w:tcPr>
          <w:p>
            <w:pPr>
              <w:widowControl/>
              <w:jc w:val="left"/>
              <w:rPr>
                <w:rFonts w:ascii="宋体" w:hAnsi="宋体" w:cs="宋体"/>
                <w:color w:val="auto"/>
                <w:kern w:val="0"/>
                <w:sz w:val="20"/>
                <w:highlight w:val="none"/>
              </w:rPr>
            </w:pPr>
          </w:p>
        </w:tc>
        <w:tc>
          <w:tcPr>
            <w:tcW w:w="1829" w:type="dxa"/>
            <w:vMerge w:val="continue"/>
            <w:vAlign w:val="center"/>
          </w:tcPr>
          <w:p>
            <w:pPr>
              <w:widowControl/>
              <w:jc w:val="left"/>
              <w:rPr>
                <w:rFonts w:ascii="宋体" w:hAnsi="宋体" w:cs="宋体"/>
                <w:color w:val="auto"/>
                <w:kern w:val="0"/>
                <w:sz w:val="20"/>
                <w:highlight w:val="none"/>
              </w:rPr>
            </w:pP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内置业务卡片包括课表卡片、工资卡片、邮件卡片、日程卡片、一卡通卡片、图书信息卡片、个人信息卡片。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1"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流程应用定制</w:t>
            </w:r>
          </w:p>
        </w:tc>
        <w:tc>
          <w:tcPr>
            <w:tcW w:w="182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流程应用定制</w:t>
            </w:r>
          </w:p>
        </w:tc>
        <w:tc>
          <w:tcPr>
            <w:tcW w:w="6146"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根据我院的业务需求提供业务流程应用定制服务，本次建设20项应用服务，并实现与统一融合门户平台、钉钉的对接。</w:t>
            </w:r>
          </w:p>
        </w:tc>
      </w:tr>
    </w:tbl>
    <w:p>
      <w:pPr>
        <w:pStyle w:val="37"/>
        <w:ind w:firstLine="0" w:firstLineChars="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1.6 应用集成连接平台</w:t>
      </w:r>
    </w:p>
    <w:tbl>
      <w:tblPr>
        <w:tblStyle w:val="88"/>
        <w:tblW w:w="5000" w:type="pct"/>
        <w:tblInd w:w="0" w:type="dxa"/>
        <w:tblLayout w:type="autofit"/>
        <w:tblCellMar>
          <w:top w:w="0" w:type="dxa"/>
          <w:left w:w="108" w:type="dxa"/>
          <w:bottom w:w="0" w:type="dxa"/>
          <w:right w:w="108" w:type="dxa"/>
        </w:tblCellMar>
      </w:tblPr>
      <w:tblGrid>
        <w:gridCol w:w="668"/>
        <w:gridCol w:w="1916"/>
        <w:gridCol w:w="5938"/>
      </w:tblGrid>
      <w:tr>
        <w:tblPrEx>
          <w:tblCellMar>
            <w:top w:w="0" w:type="dxa"/>
            <w:left w:w="108" w:type="dxa"/>
            <w:bottom w:w="0" w:type="dxa"/>
            <w:right w:w="108" w:type="dxa"/>
          </w:tblCellMar>
        </w:tblPrEx>
        <w:trPr>
          <w:trHeight w:val="270" w:hRule="atLeast"/>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模块</w:t>
            </w:r>
          </w:p>
        </w:tc>
        <w:tc>
          <w:tcPr>
            <w:tcW w:w="11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功能</w:t>
            </w:r>
          </w:p>
        </w:tc>
        <w:tc>
          <w:tcPr>
            <w:tcW w:w="3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参数需求</w:t>
            </w:r>
          </w:p>
        </w:tc>
      </w:tr>
      <w:tr>
        <w:tblPrEx>
          <w:tblCellMar>
            <w:top w:w="0" w:type="dxa"/>
            <w:left w:w="108" w:type="dxa"/>
            <w:bottom w:w="0" w:type="dxa"/>
            <w:right w:w="108" w:type="dxa"/>
          </w:tblCellMar>
        </w:tblPrEx>
        <w:trPr>
          <w:trHeight w:val="540" w:hRule="atLeast"/>
        </w:trPr>
        <w:tc>
          <w:tcPr>
            <w:tcW w:w="3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集成开发平台</w:t>
            </w:r>
          </w:p>
        </w:tc>
        <w:tc>
          <w:tcPr>
            <w:tcW w:w="11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集成基础管理功能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提供创建集成应用、配置集成应用、发布集成应用、查询集成应用等管理能力。</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应用程序连接器功能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将集成业务的开发沉淀为资产，以应用为载体实现规模化复用。</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数据映射和转换功能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通过版本的管理快速应对集成业务需求的变化，多版本管理集成应用，实现不停服的扩展开发。</w:t>
            </w:r>
          </w:p>
        </w:tc>
      </w:tr>
      <w:tr>
        <w:tblPrEx>
          <w:tblCellMar>
            <w:top w:w="0" w:type="dxa"/>
            <w:left w:w="108" w:type="dxa"/>
            <w:bottom w:w="0" w:type="dxa"/>
            <w:right w:w="108" w:type="dxa"/>
          </w:tblCellMar>
        </w:tblPrEx>
        <w:trPr>
          <w:trHeight w:val="81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消息路由功能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在集成应用中通过集成流的设计编排，将集成业务拆成单独可执行的集成流，帮助管理集成业务（一般某个数据或单据的集成在一个流中实现，如人员同步、办事结果回传...）。</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版本管理功能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支持对集成应用进行全局测试，查看每个节点的输入输出是否满足预期，通过应用测试与第三方应用进行联调。</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集成应用日志功能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支持对集成流中的某些节点进行单元测试。</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安全传输功能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支持集成流中节点模拟输入辅助调试。</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集成开发测试功能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在应用测试、单元测试过程，将节点的输入、输出记录下来，帮助查看完整的测试日志，快速追溯问题。</w:t>
            </w:r>
          </w:p>
        </w:tc>
      </w:tr>
      <w:tr>
        <w:tblPrEx>
          <w:tblCellMar>
            <w:top w:w="0" w:type="dxa"/>
            <w:left w:w="108" w:type="dxa"/>
            <w:bottom w:w="0" w:type="dxa"/>
            <w:right w:w="108" w:type="dxa"/>
          </w:tblCellMar>
        </w:tblPrEx>
        <w:trPr>
          <w:trHeight w:val="81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API管理功能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API服务编排，打通平台的集成流以及第三方http接口，可进行API服务生命周期管理，对整个生命周期以及状态进行管控，包含API的创建、编辑、删除、运行、查看等</w:t>
            </w:r>
          </w:p>
        </w:tc>
      </w:tr>
      <w:tr>
        <w:tblPrEx>
          <w:tblCellMar>
            <w:top w:w="0" w:type="dxa"/>
            <w:left w:w="108" w:type="dxa"/>
            <w:bottom w:w="0" w:type="dxa"/>
            <w:right w:w="108" w:type="dxa"/>
          </w:tblCellMar>
        </w:tblPrEx>
        <w:trPr>
          <w:trHeight w:val="81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前后端分离，对外提供统一访问地址便于管理，且屏蔽后端地址保证后端安全，提供编辑态接口功能及参数测试，可通过通用方式对API调用进行鉴权，包含basic，OAuth2，签名等</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提供IP黑白名单限制访问功能，可按一定时间维度控制API请求流量，如秒，分，时等维度，具备通过熔断解决异常访问的能力</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开放门户用户生命周期管理，授权等一系列标准操作</w:t>
            </w:r>
          </w:p>
        </w:tc>
      </w:tr>
      <w:tr>
        <w:tblPrEx>
          <w:tblCellMar>
            <w:top w:w="0" w:type="dxa"/>
            <w:left w:w="108" w:type="dxa"/>
            <w:bottom w:w="0" w:type="dxa"/>
            <w:right w:w="108" w:type="dxa"/>
          </w:tblCellMar>
        </w:tblPrEx>
        <w:trPr>
          <w:trHeight w:val="540" w:hRule="atLeast"/>
        </w:trPr>
        <w:tc>
          <w:tcPr>
            <w:tcW w:w="3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集成管理平台</w:t>
            </w:r>
          </w:p>
        </w:tc>
        <w:tc>
          <w:tcPr>
            <w:tcW w:w="112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集成应用管理功能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提供创建集成流、配置集成流、发布集成流、查询集成应用等管理能力。</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支持自定义数据类型并绑定在所需节点。</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通过拖拉拽组件即可开发集成流，支持脚本编辑，配合图形化开发集成流，支持自定义脚本，增加脚本的复用。</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支持自动联想，帮助快速编写代码，提供代码DEBUG的能力，帮助调试程序。</w:t>
            </w:r>
          </w:p>
        </w:tc>
      </w:tr>
      <w:tr>
        <w:tblPrEx>
          <w:tblCellMar>
            <w:top w:w="0" w:type="dxa"/>
            <w:left w:w="108" w:type="dxa"/>
            <w:bottom w:w="0" w:type="dxa"/>
            <w:right w:w="108" w:type="dxa"/>
          </w:tblCellMar>
        </w:tblPrEx>
        <w:trPr>
          <w:trHeight w:val="81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提供多名成员同时开发同一个集成任务的能力，支持设置编辑时加锁机制。即单条集成流在同一时间只支持被一位成员编辑，系统会提示处于锁定状态。</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同一个集成项目内的不同深度集成之间可以互相也引用集成流。</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提供测试用例管理，自动完成存量用例回归，结合测试完成之后生成的完整测试报告。</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连接管理功能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提供创建连接配置、配置连接配置、查询连接配置等管理能力。</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提供不同的分组来区别不同的连接配置，方便在深度集成中调用。</w:t>
            </w:r>
          </w:p>
        </w:tc>
      </w:tr>
      <w:tr>
        <w:tblPrEx>
          <w:tblCellMar>
            <w:top w:w="0" w:type="dxa"/>
            <w:left w:w="108" w:type="dxa"/>
            <w:bottom w:w="0" w:type="dxa"/>
            <w:right w:w="108" w:type="dxa"/>
          </w:tblCellMar>
        </w:tblPrEx>
        <w:trPr>
          <w:trHeight w:val="81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集成运行监控功能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可查看当前运行的深度集成数、集成流数；可查看集成流一段时间内的运行次数、运行成功次数 、失败次数、数据包平均大小、运行耗时等统计信息。</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提供运行次数、运行成功次数 、失败次数、数据包平均大小、运行耗时等统计信息的图表展示。</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可查看深度集成数的实时或历史运行日志。</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可查看所有定时任务的运行状况。</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提供错误应用的统计、错误类型的统计及应用运行时出错的作业概览，通过查看错误可穿透了解集成流的错误详情。</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管理存储数据功能</w:t>
            </w:r>
          </w:p>
        </w:tc>
        <w:tc>
          <w:tcPr>
            <w:tcW w:w="348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提供字符串的数据存储。可将相对稳定的数据统一存储在通用存储中，集成时通过获取通用存储数据进行转换或数据加工。</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提供哈希数据结构的数据存储、提供列表数据结构的数据存储。</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提供表结构的数据存储，提供数据模型的管理以及数据的新建、删除、导出、提交的管理。</w:t>
            </w:r>
          </w:p>
        </w:tc>
      </w:tr>
      <w:tr>
        <w:tblPrEx>
          <w:tblCellMar>
            <w:top w:w="0" w:type="dxa"/>
            <w:left w:w="108" w:type="dxa"/>
            <w:bottom w:w="0" w:type="dxa"/>
            <w:right w:w="108" w:type="dxa"/>
          </w:tblCellMar>
        </w:tblPrEx>
        <w:trPr>
          <w:trHeight w:val="81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集成资源管理功能</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提供不少于200个SaaS应用连接器，将常用SaaS服务封装成为连接器，并可在线查看每个连接器的具体内容和文档。</w:t>
            </w:r>
          </w:p>
        </w:tc>
      </w:tr>
      <w:tr>
        <w:tblPrEx>
          <w:tblCellMar>
            <w:top w:w="0" w:type="dxa"/>
            <w:left w:w="108" w:type="dxa"/>
            <w:bottom w:w="0" w:type="dxa"/>
            <w:right w:w="108" w:type="dxa"/>
          </w:tblCellMar>
        </w:tblPrEx>
        <w:trPr>
          <w:trHeight w:val="108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为适配主流协议和中间件，需提供对不少于10种交互协议的封装，包括但不限于：HTTP Listener、HTTP Request、SOAP、FTP、Redis、Database、Kafka、MQTT、JWT、GRPC，以通用连接器的形式提供连接能力。</w:t>
            </w:r>
          </w:p>
        </w:tc>
      </w:tr>
      <w:tr>
        <w:tblPrEx>
          <w:tblCellMar>
            <w:top w:w="0" w:type="dxa"/>
            <w:left w:w="108" w:type="dxa"/>
            <w:bottom w:w="0" w:type="dxa"/>
            <w:right w:w="108" w:type="dxa"/>
          </w:tblCellMar>
        </w:tblPrEx>
        <w:trPr>
          <w:trHeight w:val="189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需提供流程控制类（Async、Choice、Flow Reference、For Each、Remove Variable、Set Payload、Set Variable、Synchronized、Until Successful）、数据处理类（Recordset Encoder、Transform、Filter、Mapper）、错误捕获与日志类（Try、Logger、Raise Error）、并行并发类（Parallel Foreach、Scatter Gather）、功能型（缓存、Crypto、表格存储、Compress、Rate Limiter）等不少于20个逻辑组件，通过逻辑组件实现复杂业务的可视化编排。</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提供图形化开发连接器的能力，可根据需求将内、外的应用封装成连接器。提升复用和效率</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提供连接器基本信息的管理，连接器名称、Logo等。提供连接器连接属性的管理。</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提供连接器的触发器的定义和在线图形化流程编排的能力，提供连接器的操作的定义和在线图形化流程编排的能力。</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支持连接器的自定义数据类型的定义。提供连接器UI预览的能力，帮助发布前的审查。</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提供连接器预发布，只有预发布才能在深度集成里使用并进行调试。</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集成项目及环境功能管理</w:t>
            </w: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提供创建集成项目、配置集成项目、查询集成应用等管理能力。</w:t>
            </w:r>
          </w:p>
        </w:tc>
      </w:tr>
      <w:tr>
        <w:tblPrEx>
          <w:tblCellMar>
            <w:top w:w="0" w:type="dxa"/>
            <w:left w:w="108" w:type="dxa"/>
            <w:bottom w:w="0" w:type="dxa"/>
            <w:right w:w="108" w:type="dxa"/>
          </w:tblCellMar>
        </w:tblPrEx>
        <w:trPr>
          <w:trHeight w:val="54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提供集成项目情况的仪表盘管理功能，包括：深度集成数、连接配置数、安全网关数、项目成员数及它们的详细内容。</w:t>
            </w:r>
          </w:p>
        </w:tc>
      </w:tr>
      <w:tr>
        <w:tblPrEx>
          <w:tblCellMar>
            <w:top w:w="0" w:type="dxa"/>
            <w:left w:w="108" w:type="dxa"/>
            <w:bottom w:w="0" w:type="dxa"/>
            <w:right w:w="108" w:type="dxa"/>
          </w:tblCellMar>
        </w:tblPrEx>
        <w:trPr>
          <w:trHeight w:val="270" w:hRule="atLeast"/>
        </w:trPr>
        <w:tc>
          <w:tcPr>
            <w:tcW w:w="39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4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提供集群内运行情况的查看、集成任务的管理。</w:t>
            </w:r>
          </w:p>
        </w:tc>
      </w:tr>
    </w:tbl>
    <w:p>
      <w:pPr>
        <w:pStyle w:val="37"/>
        <w:ind w:firstLine="0" w:firstLineChars="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1.7 云会议系统</w:t>
      </w:r>
    </w:p>
    <w:tbl>
      <w:tblPr>
        <w:tblStyle w:val="88"/>
        <w:tblW w:w="5000" w:type="pct"/>
        <w:tblInd w:w="0" w:type="dxa"/>
        <w:tblLayout w:type="autofit"/>
        <w:tblCellMar>
          <w:top w:w="0" w:type="dxa"/>
          <w:left w:w="108" w:type="dxa"/>
          <w:bottom w:w="0" w:type="dxa"/>
          <w:right w:w="108" w:type="dxa"/>
        </w:tblCellMar>
      </w:tblPr>
      <w:tblGrid>
        <w:gridCol w:w="920"/>
        <w:gridCol w:w="1030"/>
        <w:gridCol w:w="6572"/>
      </w:tblGrid>
      <w:tr>
        <w:tblPrEx>
          <w:tblCellMar>
            <w:top w:w="0" w:type="dxa"/>
            <w:left w:w="108" w:type="dxa"/>
            <w:bottom w:w="0" w:type="dxa"/>
            <w:right w:w="108" w:type="dxa"/>
          </w:tblCellMar>
        </w:tblPrEx>
        <w:trPr>
          <w:trHeight w:val="270" w:hRule="atLeast"/>
        </w:trPr>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模块</w:t>
            </w:r>
          </w:p>
        </w:tc>
        <w:tc>
          <w:tcPr>
            <w:tcW w:w="6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功能</w:t>
            </w:r>
          </w:p>
        </w:tc>
        <w:tc>
          <w:tcPr>
            <w:tcW w:w="38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参数需求</w:t>
            </w:r>
          </w:p>
        </w:tc>
      </w:tr>
      <w:tr>
        <w:tblPrEx>
          <w:tblCellMar>
            <w:top w:w="0" w:type="dxa"/>
            <w:left w:w="108" w:type="dxa"/>
            <w:bottom w:w="0" w:type="dxa"/>
            <w:right w:w="108" w:type="dxa"/>
          </w:tblCellMar>
        </w:tblPrEx>
        <w:trPr>
          <w:trHeight w:val="270" w:hRule="atLeast"/>
        </w:trPr>
        <w:tc>
          <w:tcPr>
            <w:tcW w:w="5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云会议后台系统</w:t>
            </w: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部署要求</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基于成熟的公有云平台部署，满足实时音视频协作场景需求</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★为保障校内协作的数据私密性和安全性，投标产品需具备可信云企业级SaaS认证</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（需提供可信云企业级会议认证证书复印件并加盖公章）</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支持SSO单点登录，与本次建设的统一身份认证平台需实现无缝对接</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提供系统API，以保证后续调用，提高用户体验</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提供SDK开发包，以满足后续嵌入业务系统，提高体验</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为提高全球接入效果，要求支持2800个以上加速节点</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容量要求</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支持20组不限时会议（主持人）并发召开或20*300方终端并发接入，提供不少于3年的使用授权。</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支持通讯录SSO对接，实现2000个校内账号同步</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编解码</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系统支持H.264、H.264 SVC、H.265 SCC视频编解码协议</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管理控制</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可定义个人会议室相关权限，包括会议密码、入会前权限等</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支持域名、邮件两种登录方式</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管理后台支持自定义布局，支持15种以上分屏布局</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可通过后台管理，进行自定义分屏切换</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远程会议控制：企业管理员在后台对参会成员进行静音/移除等会控操作，确保会议私密性。可在后台监测会议质量，包括网络、音频、视频、屏幕共享的质量。</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企业级账号管理：设置专属控制台，管理员可对校内账号进行分配和回收管理，并进行角色管理。</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会议数据管理：可视化仪表盘实时展示企业会议数据，使用情况一目了然，便于跟踪管理。</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支持在线剪辑云录制视频，支持插入文字、音乐、字幕、转场和特效功能。</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管理后台预约会议时支持新建在线文档，导入离线文档</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管理后台可以统一修改所有会议客户端使用的虚拟背景。</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管理平台可进行资源配置，控制用户是否有发起会议的权限，可以指定用户预留会议室资源。</w:t>
            </w:r>
          </w:p>
        </w:tc>
      </w:tr>
      <w:tr>
        <w:tblPrEx>
          <w:tblCellMar>
            <w:top w:w="0" w:type="dxa"/>
            <w:left w:w="108" w:type="dxa"/>
            <w:bottom w:w="0" w:type="dxa"/>
            <w:right w:w="108" w:type="dxa"/>
          </w:tblCellMar>
        </w:tblPrEx>
        <w:trPr>
          <w:trHeight w:val="270" w:hRule="atLeast"/>
        </w:trPr>
        <w:tc>
          <w:tcPr>
            <w:tcW w:w="5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云会议平台用户端系统</w:t>
            </w:r>
          </w:p>
        </w:tc>
        <w:tc>
          <w:tcPr>
            <w:tcW w:w="6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系统要求</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云会议客户端需支持Windows、macOS、Android、iOS、小程序、outlook插件</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直播/录制</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支持会议直播功能，可通过浏览器观看</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可自定义直播布局，用户自行调整直播布局</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能够支持微信视频号推流，满足浙大衢州研究院宣传渠道需要</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支持会议高清录制功能，支持本地/云端录制，主持人可设置录制权限</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★云录制空间无限制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（投标文件中提供投标人承诺函，</w:t>
            </w:r>
            <w:r>
              <w:rPr>
                <w:rFonts w:hint="eastAsia" w:ascii="宋体" w:hAnsi="宋体" w:cs="宋体"/>
                <w:color w:val="auto"/>
                <w:kern w:val="0"/>
                <w:sz w:val="20"/>
                <w:szCs w:val="20"/>
                <w:highlight w:val="none"/>
                <w:lang w:eastAsia="zh-CN"/>
              </w:rPr>
              <w:t>格式自拟</w:t>
            </w:r>
            <w:r>
              <w:rPr>
                <w:rFonts w:hint="eastAsia" w:ascii="宋体" w:hAnsi="宋体" w:cs="宋体"/>
                <w:color w:val="auto"/>
                <w:kern w:val="0"/>
                <w:sz w:val="20"/>
                <w:szCs w:val="20"/>
                <w:highlight w:val="none"/>
              </w:rPr>
              <w:t>）</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视频要求</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主流最高支持1920*1080、1280*720等主流格式，共享桌面最高支持2560*1440分辨率）并向下兼容标清格式</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支持视频降噪，使画面更清晰</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支持视频镜像</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支持虚拟背景，背景可替换为图片，支持自定义</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不显示没有打开视频的参会者，保持画面一致性</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支持较暗环境下手动设置提升亮度</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支持30种以上人像美颜与滤镜效果，有开关控制</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支持人像叠加功能，可在分享双流内容时，实现人物与双流的叠加效果，提高培训互动性</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支持动态虚拟背景设置，背景可替换为视频，支持自定义</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支持眼神接触，修正视线的焦点。使得用户在非注视镜头时，视频画面中的视线也可以保持专注。</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支持同框模式，可把多个与会者视频图像放到同一背景中。</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音频要求</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产品客户端支持音频降噪，可有效降低周边杂声对会议的干扰，降噪能力可手动调节</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支持检测啸叫，并自动静音</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通话过程中，支持静音提醒，支持快捷键解除静音</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支持PSTN传统音频接入</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支持音量自动调节，自动监测满足不同环境对音量大小的需要</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支持音乐模式，背景音乐更加清晰流畅，适用于将音乐作为主要音频输入类型的场景。支持自动检测音乐并提醒开启</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共享要求</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会议中支持电脑（Windows、macOS）和手机（iOS、Android）通过网络的方式共享内容</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屏幕共享支持共享整个桌面、某一个应用窗口、或是电子白板</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屏幕共享支持共享电脑的外接视频源和部分屏幕区域</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pc上支持双屏显示，分别显示图像和共享内容</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支持共享桌面时能同步共享声音</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功能要求</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支持IM聊天功能（至少包括文字、图片），允许自由聊天/仅允许公开聊天/仅允许私聊主持人/全体成员禁言</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产品客户端支持演讲者视图、宫格视图切换</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支持多画面显示，最大支持30分屏</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客户端支持主持人会中修改成员名字</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移动客户端会议信息支持通过微信、短信、邮件等方式进行会议邀请</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产品客户端支持预约会议室设备，预约的会议室设备支持显示邀约信息以及一键入会</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支持个人固定会议号及随机会议号，满足不同的接入场景</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支持组织架构展示</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支持在会议中进行文档协作，支持xls、word、ppt、pdf格式，可供多人同时在线编辑，文档保存在可信云云端。</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支持PC、手机主流浏览器链接跳转入会，支持浏览器直接跳转入会</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支持同声传译，客户端可自定义不同语种传译员，用户入会后，可以自主选择收听不同的传译语言</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支持自动会议纪要，云录制内容支持自动语音转文字</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支持在自动会议纪要中通过搜索关键字直接转到视频对应位置</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客户端支持网络检测，通过网络检测可查询：网络权限，网络连接情况，服务器连接情况，域名解析耗时，连接耗时</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安全要求</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会议创建者拥有主持人权限，有权移交及回收主持人权限，支持联席主持人</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共享内容时支持对内容设置单排和多排水印，以保障信息安全</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支持高强度密码策略，支持密码防刷策略，重复多次密码输入错误后账号锁定</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支持等候室功能，参会人员需主持人确认后方可进入会议</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支持嘉宾功能，嘉宾无需等候、输入会议密码直接入会</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可以根据角色设置不同的操作权限，可以根据需要设置多名联席主持人</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支持校内成员入会限制能力，非校内成员无法入会</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协作要求</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桌面可发起共享屏幕、特定程序和白板，支持互动批注以及权限控制，支持对标注内容进行保存。</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移动端可发起共享白板或共享屏幕</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支持个人笔记功能，支持会中随时记录想法的功能，可截屏，跟随会议自动保存，会后可查找历史会议查阅</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支持发起在线投票，满足会议互动、决策等多场景需求</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支持在共享屏幕过程中，其他与会者控制共享屏幕人员的电脑桌面。</w:t>
            </w:r>
          </w:p>
        </w:tc>
      </w:tr>
      <w:tr>
        <w:tblPrEx>
          <w:tblCellMar>
            <w:top w:w="0" w:type="dxa"/>
            <w:left w:w="108" w:type="dxa"/>
            <w:bottom w:w="0" w:type="dxa"/>
            <w:right w:w="108" w:type="dxa"/>
          </w:tblCellMar>
        </w:tblPrEx>
        <w:trPr>
          <w:trHeight w:val="4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抗网络损伤</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★视频70%丢包时画面不卡顿语音清晰，音频80%丢包时需满足语音清晰流畅，同时具备网络权限、网络连接情况、服务器连接情况、域名解析耗时、连接耗时等网络检测功能以及设备与网络状态查看功能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（提供检测报告复印件并加盖公章）</w:t>
            </w:r>
          </w:p>
        </w:tc>
      </w:tr>
      <w:tr>
        <w:tblPrEx>
          <w:tblCellMar>
            <w:top w:w="0" w:type="dxa"/>
            <w:left w:w="108" w:type="dxa"/>
            <w:bottom w:w="0" w:type="dxa"/>
            <w:right w:w="108" w:type="dxa"/>
          </w:tblCellMar>
        </w:tblPrEx>
        <w:trPr>
          <w:trHeight w:val="51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融合要求</w:t>
            </w: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特邀会议支持在微信分享会议信息后，仅收到会议邀请的微信用户和微信群成员可以入会，会议邀请信息转发无效</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开放API，并提供在线API说明文档</w:t>
            </w:r>
          </w:p>
        </w:tc>
      </w:tr>
      <w:tr>
        <w:tblPrEx>
          <w:tblCellMar>
            <w:top w:w="0" w:type="dxa"/>
            <w:left w:w="108" w:type="dxa"/>
            <w:bottom w:w="0" w:type="dxa"/>
            <w:right w:w="108" w:type="dxa"/>
          </w:tblCellMar>
        </w:tblPrEx>
        <w:trPr>
          <w:trHeight w:val="270" w:hRule="atLeast"/>
        </w:trPr>
        <w:tc>
          <w:tcPr>
            <w:tcW w:w="5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38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支持在客户端扩展会议场景的应用程序</w:t>
            </w:r>
          </w:p>
        </w:tc>
      </w:tr>
    </w:tbl>
    <w:p>
      <w:pPr>
        <w:pStyle w:val="37"/>
        <w:ind w:firstLine="0" w:firstLineChars="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1.8</w:t>
      </w:r>
      <w:r>
        <w:rPr>
          <w:rFonts w:ascii="宋体" w:hAnsi="宋体" w:cs="宋体"/>
          <w:b/>
          <w:bCs/>
          <w:color w:val="auto"/>
          <w:sz w:val="21"/>
          <w:szCs w:val="21"/>
          <w:highlight w:val="none"/>
        </w:rPr>
        <w:t xml:space="preserve"> </w:t>
      </w:r>
      <w:r>
        <w:rPr>
          <w:rFonts w:hint="eastAsia" w:ascii="宋体" w:hAnsi="宋体" w:cs="宋体"/>
          <w:b/>
          <w:bCs/>
          <w:color w:val="auto"/>
          <w:sz w:val="21"/>
          <w:szCs w:val="21"/>
          <w:highlight w:val="none"/>
        </w:rPr>
        <w:t>预约系统</w:t>
      </w:r>
    </w:p>
    <w:tbl>
      <w:tblPr>
        <w:tblStyle w:val="88"/>
        <w:tblW w:w="5000" w:type="pct"/>
        <w:tblInd w:w="0" w:type="dxa"/>
        <w:tblLayout w:type="autofit"/>
        <w:tblCellMar>
          <w:top w:w="0" w:type="dxa"/>
          <w:left w:w="108" w:type="dxa"/>
          <w:bottom w:w="0" w:type="dxa"/>
          <w:right w:w="108" w:type="dxa"/>
        </w:tblCellMar>
      </w:tblPr>
      <w:tblGrid>
        <w:gridCol w:w="1514"/>
        <w:gridCol w:w="2401"/>
        <w:gridCol w:w="4607"/>
      </w:tblGrid>
      <w:tr>
        <w:tblPrEx>
          <w:tblCellMar>
            <w:top w:w="0" w:type="dxa"/>
            <w:left w:w="108" w:type="dxa"/>
            <w:bottom w:w="0" w:type="dxa"/>
            <w:right w:w="108" w:type="dxa"/>
          </w:tblCellMar>
        </w:tblPrEx>
        <w:trPr>
          <w:trHeight w:val="27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模块</w:t>
            </w:r>
          </w:p>
        </w:tc>
        <w:tc>
          <w:tcPr>
            <w:tcW w:w="14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功能</w:t>
            </w:r>
          </w:p>
        </w:tc>
        <w:tc>
          <w:tcPr>
            <w:tcW w:w="27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参数需求</w:t>
            </w:r>
          </w:p>
        </w:tc>
      </w:tr>
      <w:tr>
        <w:tblPrEx>
          <w:tblCellMar>
            <w:top w:w="0" w:type="dxa"/>
            <w:left w:w="108" w:type="dxa"/>
            <w:bottom w:w="0" w:type="dxa"/>
            <w:right w:w="108" w:type="dxa"/>
          </w:tblCellMar>
        </w:tblPrEx>
        <w:trPr>
          <w:trHeight w:val="291" w:hRule="atLeast"/>
        </w:trPr>
        <w:tc>
          <w:tcPr>
            <w:tcW w:w="88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预约系统（小程序）</w:t>
            </w: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访客预约管理</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访客预约申请管理，能够与一码通系统实现对接，发放访客码，在实现刷码通行，提升用户体验</w:t>
            </w:r>
          </w:p>
        </w:tc>
      </w:tr>
      <w:tr>
        <w:tblPrEx>
          <w:tblCellMar>
            <w:top w:w="0" w:type="dxa"/>
            <w:left w:w="108" w:type="dxa"/>
            <w:bottom w:w="0" w:type="dxa"/>
            <w:right w:w="108" w:type="dxa"/>
          </w:tblCellMar>
        </w:tblPrEx>
        <w:trPr>
          <w:trHeight w:val="291" w:hRule="atLeast"/>
        </w:trPr>
        <w:tc>
          <w:tcPr>
            <w:tcW w:w="88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访客使用方式</w:t>
            </w:r>
          </w:p>
        </w:tc>
        <w:tc>
          <w:tcPr>
            <w:tcW w:w="2703" w:type="pct"/>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0"/>
                <w:highlight w:val="none"/>
              </w:rPr>
            </w:pPr>
            <w:r>
              <w:rPr>
                <w:rFonts w:hint="eastAsia" w:ascii="宋体" w:hAnsi="宋体" w:cs="宋体"/>
                <w:color w:val="auto"/>
                <w:kern w:val="0"/>
                <w:sz w:val="20"/>
                <w:highlight w:val="none"/>
              </w:rPr>
              <w:t>支持受访人转发给访客自行填写预约，同时受访人可以直接帮访客填写；</w:t>
            </w:r>
          </w:p>
          <w:p>
            <w:pPr>
              <w:rPr>
                <w:rFonts w:hint="eastAsia" w:ascii="宋体" w:hAnsi="宋体" w:cs="宋体"/>
                <w:color w:val="auto"/>
                <w:kern w:val="0"/>
                <w:sz w:val="20"/>
                <w:highlight w:val="none"/>
              </w:rPr>
            </w:pPr>
            <w:r>
              <w:rPr>
                <w:rFonts w:hint="eastAsia" w:ascii="宋体" w:hAnsi="宋体" w:cs="宋体"/>
                <w:color w:val="auto"/>
                <w:kern w:val="0"/>
                <w:sz w:val="20"/>
                <w:highlight w:val="none"/>
              </w:rPr>
              <w:t>支持打印成二维码摆在校门让访客扫码填写；</w:t>
            </w:r>
          </w:p>
        </w:tc>
      </w:tr>
      <w:tr>
        <w:tblPrEx>
          <w:tblCellMar>
            <w:top w:w="0" w:type="dxa"/>
            <w:left w:w="108" w:type="dxa"/>
            <w:bottom w:w="0" w:type="dxa"/>
            <w:right w:w="108" w:type="dxa"/>
          </w:tblCellMar>
        </w:tblPrEx>
        <w:trPr>
          <w:trHeight w:val="291" w:hRule="atLeast"/>
        </w:trPr>
        <w:tc>
          <w:tcPr>
            <w:tcW w:w="88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访客核验方式</w:t>
            </w:r>
          </w:p>
        </w:tc>
        <w:tc>
          <w:tcPr>
            <w:tcW w:w="2703" w:type="pct"/>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0"/>
                <w:highlight w:val="none"/>
              </w:rPr>
            </w:pPr>
            <w:r>
              <w:rPr>
                <w:rFonts w:hint="eastAsia" w:ascii="宋体" w:hAnsi="宋体" w:cs="宋体"/>
                <w:color w:val="auto"/>
                <w:kern w:val="0"/>
                <w:sz w:val="20"/>
                <w:highlight w:val="none"/>
              </w:rPr>
              <w:t>支持直接通过小程序的方式进行扫码核验，支持开放接口和硬件读头对接</w:t>
            </w:r>
          </w:p>
        </w:tc>
      </w:tr>
      <w:tr>
        <w:tblPrEx>
          <w:tblCellMar>
            <w:top w:w="0" w:type="dxa"/>
            <w:left w:w="108" w:type="dxa"/>
            <w:bottom w:w="0" w:type="dxa"/>
            <w:right w:w="108" w:type="dxa"/>
          </w:tblCellMar>
        </w:tblPrEx>
        <w:trPr>
          <w:trHeight w:val="51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会议预约管理</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申请人填写预约时间、参会人数等信息。打通会议门禁系统，到点给开门权限。</w:t>
            </w:r>
          </w:p>
        </w:tc>
      </w:tr>
      <w:tr>
        <w:tblPrEx>
          <w:tblCellMar>
            <w:top w:w="0" w:type="dxa"/>
            <w:left w:w="108" w:type="dxa"/>
            <w:bottom w:w="0" w:type="dxa"/>
            <w:right w:w="108" w:type="dxa"/>
          </w:tblCellMar>
        </w:tblPrEx>
        <w:trPr>
          <w:trHeight w:val="51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场地预约管理</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申请填写活动内容、参加人数、时间等，打通门禁系统，主要用于展厅、球场等。</w:t>
            </w:r>
          </w:p>
        </w:tc>
      </w:tr>
      <w:tr>
        <w:tblPrEx>
          <w:tblCellMar>
            <w:top w:w="0" w:type="dxa"/>
            <w:left w:w="108" w:type="dxa"/>
            <w:bottom w:w="0" w:type="dxa"/>
            <w:right w:w="108" w:type="dxa"/>
          </w:tblCellMar>
        </w:tblPrEx>
        <w:trPr>
          <w:trHeight w:val="27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公车预约管理</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用户通过小程序预约公车。</w:t>
            </w:r>
          </w:p>
        </w:tc>
      </w:tr>
      <w:tr>
        <w:tblPrEx>
          <w:tblCellMar>
            <w:top w:w="0" w:type="dxa"/>
            <w:left w:w="108" w:type="dxa"/>
            <w:bottom w:w="0" w:type="dxa"/>
            <w:right w:w="108" w:type="dxa"/>
          </w:tblCellMar>
        </w:tblPrEx>
        <w:trPr>
          <w:trHeight w:val="51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预约二维码管理</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预约成功后，有扫码机的地方通过二维码通行。</w:t>
            </w:r>
          </w:p>
        </w:tc>
      </w:tr>
      <w:tr>
        <w:tblPrEx>
          <w:tblCellMar>
            <w:top w:w="0" w:type="dxa"/>
            <w:left w:w="108" w:type="dxa"/>
            <w:bottom w:w="0" w:type="dxa"/>
            <w:right w:w="108" w:type="dxa"/>
          </w:tblCellMar>
        </w:tblPrEx>
        <w:trPr>
          <w:trHeight w:val="27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我的预约</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展示我的预约记录、状态等。</w:t>
            </w:r>
          </w:p>
        </w:tc>
      </w:tr>
      <w:tr>
        <w:tblPrEx>
          <w:tblCellMar>
            <w:top w:w="0" w:type="dxa"/>
            <w:left w:w="108" w:type="dxa"/>
            <w:bottom w:w="0" w:type="dxa"/>
            <w:right w:w="108" w:type="dxa"/>
          </w:tblCellMar>
        </w:tblPrEx>
        <w:trPr>
          <w:trHeight w:val="27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预约审批</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展示我的审批记录，需要具备审批权限。</w:t>
            </w:r>
          </w:p>
        </w:tc>
      </w:tr>
      <w:tr>
        <w:tblPrEx>
          <w:tblCellMar>
            <w:top w:w="0" w:type="dxa"/>
            <w:left w:w="108" w:type="dxa"/>
            <w:bottom w:w="0" w:type="dxa"/>
            <w:right w:w="108" w:type="dxa"/>
          </w:tblCellMar>
        </w:tblPrEx>
        <w:trPr>
          <w:trHeight w:val="51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通知公告</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支持主动推送相关场馆、会议室的活动信息，显示预约场地的新闻资讯、活动、场地关停等信息，便于师生了解和使用公共资源</w:t>
            </w:r>
          </w:p>
        </w:tc>
      </w:tr>
      <w:tr>
        <w:tblPrEx>
          <w:tblCellMar>
            <w:top w:w="0" w:type="dxa"/>
            <w:left w:w="108" w:type="dxa"/>
            <w:bottom w:w="0" w:type="dxa"/>
            <w:right w:w="108" w:type="dxa"/>
          </w:tblCellMar>
        </w:tblPrEx>
        <w:trPr>
          <w:trHeight w:val="291" w:hRule="atLeast"/>
        </w:trPr>
        <w:tc>
          <w:tcPr>
            <w:tcW w:w="88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预约系统（P</w:t>
            </w:r>
            <w:r>
              <w:rPr>
                <w:rFonts w:ascii="宋体" w:hAnsi="宋体" w:cs="宋体"/>
                <w:color w:val="auto"/>
                <w:kern w:val="0"/>
                <w:sz w:val="20"/>
                <w:highlight w:val="none"/>
              </w:rPr>
              <w:t>C</w:t>
            </w:r>
            <w:r>
              <w:rPr>
                <w:rFonts w:hint="eastAsia" w:ascii="宋体" w:hAnsi="宋体" w:cs="宋体"/>
                <w:color w:val="auto"/>
                <w:kern w:val="0"/>
                <w:sz w:val="20"/>
                <w:highlight w:val="none"/>
              </w:rPr>
              <w:t>后台管理）</w:t>
            </w: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人员管理</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与基础平台对接，实现对于访客人员、管理人员、内部人员等的可视化管理</w:t>
            </w:r>
          </w:p>
        </w:tc>
      </w:tr>
      <w:tr>
        <w:tblPrEx>
          <w:tblCellMar>
            <w:top w:w="0" w:type="dxa"/>
            <w:left w:w="108" w:type="dxa"/>
            <w:bottom w:w="0" w:type="dxa"/>
            <w:right w:w="108" w:type="dxa"/>
          </w:tblCellMar>
        </w:tblPrEx>
        <w:trPr>
          <w:trHeight w:val="51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访客规则配置</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可设置访客最大可访问时间、支持二维码自动刷新时间的定义、可设置访客组的权限等</w:t>
            </w:r>
          </w:p>
        </w:tc>
      </w:tr>
      <w:tr>
        <w:tblPrEx>
          <w:tblCellMar>
            <w:top w:w="0" w:type="dxa"/>
            <w:left w:w="108" w:type="dxa"/>
            <w:bottom w:w="0" w:type="dxa"/>
            <w:right w:w="108" w:type="dxa"/>
          </w:tblCellMar>
        </w:tblPrEx>
        <w:trPr>
          <w:trHeight w:val="51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访客多级审批流程配置</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支持新增审批层级，一级审批完成后流转到下一层次再次确认</w:t>
            </w:r>
          </w:p>
        </w:tc>
      </w:tr>
      <w:tr>
        <w:tblPrEx>
          <w:tblCellMar>
            <w:top w:w="0" w:type="dxa"/>
            <w:left w:w="108" w:type="dxa"/>
            <w:bottom w:w="0" w:type="dxa"/>
            <w:right w:w="108" w:type="dxa"/>
          </w:tblCellMar>
        </w:tblPrEx>
        <w:trPr>
          <w:trHeight w:val="51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访客预约抄送通知</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可设置指定人员接收审批通过抄送通知</w:t>
            </w:r>
          </w:p>
        </w:tc>
      </w:tr>
      <w:tr>
        <w:tblPrEx>
          <w:tblCellMar>
            <w:top w:w="0" w:type="dxa"/>
            <w:left w:w="108" w:type="dxa"/>
            <w:bottom w:w="0" w:type="dxa"/>
            <w:right w:w="108" w:type="dxa"/>
          </w:tblCellMar>
        </w:tblPrEx>
        <w:trPr>
          <w:trHeight w:val="27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预约资源管理-场地预约管理</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支持设置场地资源名称、可容纳人数、开放时间段、支持单次最长预约时间、最少预约人数、最早预约限制、最晚预约限制、是否需要参与人确认、是否需要管理员审批等详细功能</w:t>
            </w:r>
          </w:p>
        </w:tc>
      </w:tr>
      <w:tr>
        <w:tblPrEx>
          <w:tblCellMar>
            <w:top w:w="0" w:type="dxa"/>
            <w:left w:w="108" w:type="dxa"/>
            <w:bottom w:w="0" w:type="dxa"/>
            <w:right w:w="108" w:type="dxa"/>
          </w:tblCellMar>
        </w:tblPrEx>
        <w:trPr>
          <w:trHeight w:val="51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预约资源管理-会议室预约管理</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支持设置会议室资源名称、可容纳人数、开放时间段、支持单次最长预约时间、最少预约人数、最早预约限制、最晚预约限制、是否需要参与人确认、是否需要管理员审批等详细功能</w:t>
            </w:r>
          </w:p>
        </w:tc>
      </w:tr>
      <w:tr>
        <w:tblPrEx>
          <w:tblCellMar>
            <w:top w:w="0" w:type="dxa"/>
            <w:left w:w="108" w:type="dxa"/>
            <w:bottom w:w="0" w:type="dxa"/>
            <w:right w:w="108" w:type="dxa"/>
          </w:tblCellMar>
        </w:tblPrEx>
        <w:trPr>
          <w:trHeight w:val="27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信息发布</w:t>
            </w:r>
          </w:p>
        </w:tc>
        <w:tc>
          <w:tcPr>
            <w:tcW w:w="270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支持主动式通知公告发布</w:t>
            </w:r>
          </w:p>
        </w:tc>
      </w:tr>
    </w:tbl>
    <w:p>
      <w:pPr>
        <w:pStyle w:val="37"/>
        <w:ind w:firstLine="0" w:firstLineChars="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1.9 一码通系统</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784"/>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模块</w:t>
            </w:r>
          </w:p>
        </w:tc>
        <w:tc>
          <w:tcPr>
            <w:tcW w:w="460" w:type="pct"/>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功能</w:t>
            </w:r>
          </w:p>
        </w:tc>
        <w:tc>
          <w:tcPr>
            <w:tcW w:w="4080" w:type="pct"/>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基础要求</w:t>
            </w:r>
          </w:p>
        </w:tc>
        <w:tc>
          <w:tcPr>
            <w:tcW w:w="460" w:type="pct"/>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基础要求</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以下内容需基于SaaS的方式提供服务，保障核心发码业务的多地多活，实现高可用，提供不少于3年的使用授权。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一码通基础管理平台</w:t>
            </w: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电子码身份认证管理功能</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1、提供多种认证方式，包括数据接口认证、原系统页面认证、实名信息认证等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2、支持校园卡统一创建和配置、连接本次新建的统一身份认证平台和提供微信侧统一身份认证登录等功能，实现全维度电子身份的构建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3、各应用及系统可以通过接入统一的身份鉴权，完成对用户登录授权的控制，并支持二级权限分配身份认证管理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4、可以根据研究院需求配置上百种身份类型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5、可以对每个身份类型人员设置身份管理范围、部门管理权限（可以自由配置开关）等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6、可以进行成员信息管理，需包含在成员管理面管理员可修改成员的信息配置、成员可自行修改的信息配置、成员登录认证所需信息配置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用户登录管理，可以根据身份类型配置不同的登录方式，需要支持认证提示语，登录方式需包括【姓名+证件号登录】（接口对接）、手机号登录、姓名+证件号码登录、学工号+姓名登录、学工号+证件号码登录、【姓名+证件号登录】（接口登录）+手机号登录、【姓名+证件号登录】（接口登录）+姓名+证件号码登录、【姓名+证件号登录】（接口登录）+【姓名+证件号码登录】、【姓名+证件号登录】（接口登录）+【学工号+姓名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鉴权管理功能</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1、为校园常用的鉴权场景提供保障，如菜单权限、应用权限、访问权限、校园卡领取权限、消费权限等场景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2、提供配置灵活，查看简便的鉴权服务。通过把不同角色分配给不同的权限实现角色所包含权限的自由组合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3、支持跨应用选择功能组成权限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4、授权配置，可以关联研究院的移动平台，通过通讯录授权，直接获取人员信息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5、角色管理：可根据研究院行政体系分类，设置不同的角色，包括超级管理员、子管理员、部门负责人、不同岗位的老师等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6、标签用户管理：可进行标签用户的增加以及移除，不影响用户基础信息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7、新建校园卡： 可进行校园卡基本信息设置，包括卡面设计、信息项、卡面入口等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8、修改校园卡：可进行校园卡删除、信息修改等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9、发放校园卡：可选择发卡工具，使用线上发卡模板（公众号中发放信息）或线下发卡模板（线下物料模板）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10、领取校园卡：可使用带参数公众号二维码（用户关注公众号后自动领取，有利消息通知）或直接领卡二维码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11、服务大厅管理 ：可配置教务查询和生活服务等相关服务入口，支持平台自带应用和自定义小程序应用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12、接口管理 ：可进行各种系统接口设置，内含各类接口管理指引文档（如余额、图书借阅、一卡通等），含一码通平台的接口调用凭证、事件推送接口、企业微信接口等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13、岗位管理 ：支持指定某些成员创建岗位，分别管理不同的组织架构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14、扫码验证：内含扫码验证流程和扫码接口文档指引，完成接口开发和线下设备指引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15、校园卡运营支持：对研究院建卡、发卡等进行运营支持服务如提供发卡宣传推文模板等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16、身份认证对接服务：通过提供标准接口，完成身份认证对接，实现自有应用与平台对接，如：查成绩、查课表等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用户权限管理功能</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1、需支持管理员权限、管理组权限、标签权限、基本功能权限、应用权限等五种权限配置方式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2、根据校园场景，提供部门、标签、角色三种管理组。管理员可在后台管理全院的学生、教师、校友等各类人群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用户管理模块支持多种类型的组织架构，支持对用户/部门/标签等进行新增、删除、修改信息等操作，包括添加用户、删除用户、解绑用户、移动用户、创建分组、修改分组、增加标签、修改标签、标签用户管理、岗位管理、用户管理API、权限配置、预约下载、毕业处理、校园卡小程序设置、研究院专属一码通小程序、服务商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4、服务大厅：支持自定义服务大厅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5、添加用户：可进行单个用户添加及批量用户添加，用户信息也可导出Excel表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6、删除用户 ：可进行单个用户及多个用户删除，删除操作不可撤销且用户无法再次领取当前卡种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7、注销用户 ：可进行单个用户及多个用户解绑注销，注销后不删除用户信息，可重新绑定身份激活校园卡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8、移动用户：可进行单个用户及多个用户移动，移动到不同组织架构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9、创建分组：可进行组织架构创建，例如学生、教师、校友、年级、班级等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10、修改分组：可进行组织架构名称修改及删除组织架构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11、增加标签：补充组织架构设置，例如社团、科研小组、贫困生等特殊设置，用来发放补助，设置津贴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12、修改标签：可进行标签名称修改及删除标签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13、岗位管理 ：支持指定某些成员创建岗位，分别管理不同的组织架构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14、统一身份认证 ：提供多种认证方式，包括数据接口认证、原系统页面认证、实名信息认证、人脸识别认证、自定义信息认证等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15、身份鉴权服务：各应用及系统可以通过接入统一的身份鉴权，完成对用户登录授权的控制，并支持二级权限分配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16、校园码：可根据每个用户生成专属的校园码，提供校园码解码能力及风控策略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17、用户管理API ：提供基于成员、组织架构、标签、岗位提供标准的API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电子校园卡管理功能</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需包含教师卡、学生卡、校友卡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主要提供电子校园卡管理功能，包括电子校园卡的新建、修改、预览、发放和领取，服务大厅的配置等。校园卡支持根据研究院不同的人群配置特定的电子校园卡，例如学生卡、教职工卡、校友卡和临时卡等。同时研究院还可以自定义卡面的基本信息，包括校园卡标题、封面、LOGO、头像、卡面信息设置、快捷信息项设置以及服务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2、可使用带参数公众号二维码进行领卡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3、可集成服务大厅，为用户提供校园相关应用服务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4、卡面管理：支持自定义研究院专属校园卡，并可根据身份类型指定使用范围，可进行基本信息修改（含名称、logo等），可进行绑定公众号修改（需联系客服）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5、信息项管理：可根据信息项标准接口开发自定义校园卡面信息项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6、卡面小程序管理：可根据标准接口自定义校园卡面上小程序入口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7、校园卡API：提供标准的校园卡API，可维护用户与校园卡的关系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8、发卡工具：包括线上发卡模板（公众号中发放信息）或线下发卡模板（线下物料模板）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9、集成校园码：校园卡里集成校园码入口，切换校园码支持线下服务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10、集成服务大厅：集成服务大厅，为用户提供所有应用服务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11、个人中心 ：支持用户信息管理，查看优惠券等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12、服务商管理：需含服务商申请审核（服务商公司名称、期望获得权限集、状态）、和服务商管理（服务商公司名称、APP_KEY、操作等）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13、校园码小程序：校园码小程序申请及管理，提供小程序移动门户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14、预约下载：用户管理中导出的文件太大时，会引导预约下载，会异步下载文件放到预约下载中（需含任务创建时间、文档名、状态、操作）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毕业处理：可注销之前领取的校园卡，发送注销通知，并且可以自动发放校友卡。（需包含是否注销之前领取的校园卡开关、自动发送通知；是否自动发校园卡的开关、领取校友卡）；可支持对毕业生批量导入，可以提供下载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16、权限配置：可进行管理员增删，及对不同的角色进行权限配置（含基本功能、应用的权限设置等）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17、校园卡小程序设置：可以根据不同身份配置不同的小程序校园卡模板，新增或修改后需要重新发布小程序才会生效。可以自由选择电子码页面或者门户页面作为小程序默认首页。还需支持未登录指定门户模板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18、研究院专属微信小程序：需支持体验二维码设置，发布线上设置，以及体验者管理；用户扫码关注公众号后，需自动下发小程序卡片引导用户进入小程序。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19、临时卡配置：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（1）支持设置临时卡名称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（2）可以对临时卡进行身份配置，如访客、临时人员等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（3）可以设置临时卡的卡面信息（姓名、工号、部门、头像、学院、专业、年级、班级、职务、编号、有效期、身份、性别等）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（4）可以设置临时卡logo、封面、主标题、电子码标题等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（5）可以在临时卡设置页实时预览设置效果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20、需提供电子卡使用视频教程模块，可以直接在平台上观看电子卡的使用视频，需包括支付和实名登记两大教程，其中支付包括计次消费视频教程、充值消费视频教程、餐补消费视频教程；实名登记包括进出通行视频教程、巡更巡检视频教程、物资领取视频教程、班车核验视频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消息通知功能</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依托实名认证体系及多点触达能力，针对校园场景提供对应的通知能力。并与公众号、企业号形成功能互补。针对用户较为关心的触达渠道、已读未读、富文本推送、信息收集等功能深入优化，帮助研究院解决业务场景的触发和重要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2、支持基于组织架构或标签发布或编辑回复通知，要求收到用户阅读后点击确认以便统计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3、支持基于组织架构或标签发布或编辑可回复通知，收到用户可根据要求进行回复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4、提供标准的消息通知API，应用或系统可实现通知调用及数据统计等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5、普通通知发布：支持基于组织架构或标签自定义发布或编辑普通通知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6、回复通知发布：支持基于组织架构或标签发布或编辑回复通知，要求收到用户阅读后点击确认以便统计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7、可回复通知发布：支持基于组织架构或标签发布或编辑可回复通知，收到用户可根据要求进行回复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8、表单通知发布：支持基于组织架构或标签发布或编辑表单通知，可根据需要收集用户表单信息并统计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9、导入方式发布通知：通过Excel导入的方式支持千人千面的通知发布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10、网页内容通知：点击通知后直接进入所配置的网页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11、消息通知统一管理：包括对消息再次编辑、撤消、批阅回复等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12、多渠道触达：支持公众号消息、短信或企业号（企业微信）进行消息通知触达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13、数据明细 ：可以发送通知的详细数据（阅读、回复、批阅等），可导出Excel表（含信息回复的详细内容）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14、消息通知API：提供标准的消息通知API，应用或系统可实现通知调用及数据统计等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15、消息通知公告模板：需要提供行政管理、教育培训、业务评比、活动组织等20种消息通知模板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16、消息通知权限设置：可以设置部门负责人查看部门成员发送和收到的通知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17、可填表通知发布：支持基于组织架构或标签发布或编辑自定义问卷通知，要求收到用户阅读后进行问卷填写以便统计（包含多行文字、多项选择、单项选择、上传图片等表单格式，可设置必填选项。支持常用组件设置，如姓名、性别、手机、邮箱、学校、院系、专业、年级、地区、定位（可获取用户定位的省市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18、可签名通知发布：支持基于组织架构或标签发布或编辑签名通知，要求收到用户阅读后手写签名以便统计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实名登记码功能</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登记码，减少硬件设备使用，可以给每个实名登记场景生成固定二维码，用户可以扫码完成登记，适用于疫情期间通行、班车核验、物资取用等登记场景。每个保卫人员还可通过手机小程序实现对进出用户的身份登记，适用于访客预约登记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必须提供宿舍、访客来访、班车、重要通道、物资发放、健身房等场景的实名登记码，可以快速进行登记码创建；需包含名称、分组、地理位置限制、关联表单、允许登记范围（所有成员、指定成员及时间可登记）、每人可登记次数（无限制、每人可登记X次）、总共可登记次数（无限制、每人可登记X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支持提供实名登记码模板，需支持人员进出登记、每日健康登记、核酸检测签到、办公用品领取、会议签到、校服领取登记、保卫科交接班、设备检修登记、中高风险申报、行程码统计、防疫物资领取、消毒登记、疫情值班、车辆登记、来访登记、进场登记、家庭问卷、用印登记、物品领取、停车证借还、设备故障报修、运维服务登记、消防巡检、隐患排查、保洁登记、学生晨午晚检、食堂服务评分、意见反馈、春游报名登记等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4、登记数据明细查询和导出，需包含登记时间、登记码名称、分组、学工号、姓名、部门、定位距离、登记方式、表单名称、表单信息等字段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5、支持设备列表管理，支持硬件及无硬件手机完成登记，可通过扫描二维码实现硬件/手机关联注册，如无法扫描二维码，也可通过输入设备编号注册，可对设备名称进行自定义编辑，删除等操作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校园卡数据分析</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1、帮助研究院通过数据了解一码通平台及应用使用情况。通过数据分析模块，可了各学院/年级学生及老师等的领卡情况、活跃情况、活跃学生人数等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2、同时，也支持通过了解校园的一卡通消费和在线缴费等产品的使用数据，如消费笔数、缴费笔数、变化趋势等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3、校园卡数据统计：包括校园卡领卡、激活、浏览次数等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4、校园码数据统计：包括消费、门禁、签到次数等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5、消息通知数据统计：基于消息通知的数据统计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6、总数据分析：包含消费总人数趋势分析、消费总笔数趋势分析、消费总金额趋势分析，能进行日环比、周环比分析，可通过图形化展示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7、消费变化分析：最近消费变化趋势分析（可进行周、月、季度分析），可通过图形化展示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8、消费类别分析：餐饮与非餐饮人数对比分析，餐饮与非餐饮消费笔数对比分析，餐饮与非餐饮消费金额对比分析，可通过图形化展示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9、消费场景分析：各消费场景人数、笔数和金额对比分析（例如餐饮、小卖部、电费、校巴等不同场景分析），可通过图形化展示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10、分校区消费分析：各校区消费人数、笔数、金额对比分析，可通过图形化展示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11、消费身份类型分析：各身份类型消费人数、笔数、金额对比分析（比如教师、本科生、研究生、校友、外来人员等不同身份人员），可通过图形化展示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12、各食堂档口消费分析：各食堂子档口消费金额对比分析（可进行条件筛选比如食堂一和食堂二对比分析，一楼和二楼对比分析，A档口和B档口对比分析等），可通过图形化展示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13、餐段消费分析：各餐段消费笔数对比分析（比如早餐、午餐、晚餐等分析），可通过图形化展示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14、消费笔数分析：餐饮类单笔消费金额笔数分步分析，可通过图形化展示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r>
              <w:rPr>
                <w:rFonts w:ascii="宋体" w:hAnsi="宋体" w:cs="宋体"/>
                <w:color w:val="auto"/>
                <w:kern w:val="0"/>
                <w:sz w:val="20"/>
                <w:highlight w:val="none"/>
                <w:lang w:bidi="ar"/>
              </w:rPr>
              <w:t>5</w:t>
            </w:r>
            <w:r>
              <w:rPr>
                <w:rFonts w:hint="eastAsia" w:ascii="宋体" w:hAnsi="宋体" w:cs="宋体"/>
                <w:color w:val="auto"/>
                <w:kern w:val="0"/>
                <w:sz w:val="20"/>
                <w:highlight w:val="none"/>
                <w:lang w:bidi="ar"/>
              </w:rPr>
              <w:t>、时间段消费趋势分析：每5分钟消费笔数趋势分析，可通过图形化展示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r>
              <w:rPr>
                <w:rFonts w:ascii="宋体" w:hAnsi="宋体" w:cs="宋体"/>
                <w:color w:val="auto"/>
                <w:kern w:val="0"/>
                <w:sz w:val="20"/>
                <w:highlight w:val="none"/>
                <w:lang w:bidi="ar"/>
              </w:rPr>
              <w:t>6</w:t>
            </w:r>
            <w:r>
              <w:rPr>
                <w:rFonts w:hint="eastAsia" w:ascii="宋体" w:hAnsi="宋体" w:cs="宋体"/>
                <w:color w:val="auto"/>
                <w:kern w:val="0"/>
                <w:sz w:val="20"/>
                <w:highlight w:val="none"/>
                <w:lang w:bidi="ar"/>
              </w:rPr>
              <w:t>、高峰段消费分析：各餐厅消费高峰期监控分析（可设置时间段筛选条件），可通过图形化展示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r>
              <w:rPr>
                <w:rFonts w:ascii="宋体" w:hAnsi="宋体" w:cs="宋体"/>
                <w:color w:val="auto"/>
                <w:kern w:val="0"/>
                <w:sz w:val="20"/>
                <w:highlight w:val="none"/>
                <w:lang w:bidi="ar"/>
              </w:rPr>
              <w:t>7</w:t>
            </w:r>
            <w:r>
              <w:rPr>
                <w:rFonts w:hint="eastAsia" w:ascii="宋体" w:hAnsi="宋体" w:cs="宋体"/>
                <w:color w:val="auto"/>
                <w:kern w:val="0"/>
                <w:sz w:val="20"/>
                <w:highlight w:val="none"/>
                <w:lang w:bidi="ar"/>
              </w:rPr>
              <w:t>、已领取校园卡人数分析：昨日新增领卡人数分析（日环比，周环比分析），可通过图形化展示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ascii="宋体" w:hAnsi="宋体" w:cs="宋体"/>
                <w:color w:val="auto"/>
                <w:kern w:val="0"/>
                <w:sz w:val="20"/>
                <w:highlight w:val="none"/>
                <w:lang w:bidi="ar"/>
              </w:rPr>
              <w:t>18</w:t>
            </w:r>
            <w:r>
              <w:rPr>
                <w:rFonts w:hint="eastAsia" w:ascii="宋体" w:hAnsi="宋体" w:cs="宋体"/>
                <w:color w:val="auto"/>
                <w:kern w:val="0"/>
                <w:sz w:val="20"/>
                <w:highlight w:val="none"/>
                <w:lang w:bidi="ar"/>
              </w:rPr>
              <w:t>、校园卡/码活跃度分析：昨日校园码活跃次数、昨日校园码活跃人数、昨日校园卡活跃次数、昨日校园卡活跃人数分析（日环比，周环比分析），可通过图形化展示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ascii="宋体" w:hAnsi="宋体" w:cs="宋体"/>
                <w:color w:val="auto"/>
                <w:kern w:val="0"/>
                <w:sz w:val="20"/>
                <w:highlight w:val="none"/>
                <w:lang w:bidi="ar"/>
              </w:rPr>
              <w:t>19</w:t>
            </w:r>
            <w:r>
              <w:rPr>
                <w:rFonts w:hint="eastAsia" w:ascii="宋体" w:hAnsi="宋体" w:cs="宋体"/>
                <w:color w:val="auto"/>
                <w:kern w:val="0"/>
                <w:sz w:val="20"/>
                <w:highlight w:val="none"/>
                <w:lang w:bidi="ar"/>
              </w:rPr>
              <w:t>、校园卡身份维度分析：研究院各身份类型分布、各身份类型已领卡人数分布分析、各身份类型活跃分布分析，可通过图形化展示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r>
              <w:rPr>
                <w:rFonts w:ascii="宋体" w:hAnsi="宋体" w:cs="宋体"/>
                <w:color w:val="auto"/>
                <w:kern w:val="0"/>
                <w:sz w:val="20"/>
                <w:highlight w:val="none"/>
                <w:lang w:bidi="ar"/>
              </w:rPr>
              <w:t>0</w:t>
            </w:r>
            <w:r>
              <w:rPr>
                <w:rFonts w:hint="eastAsia" w:ascii="宋体" w:hAnsi="宋体" w:cs="宋体"/>
                <w:color w:val="auto"/>
                <w:kern w:val="0"/>
                <w:sz w:val="20"/>
                <w:highlight w:val="none"/>
                <w:lang w:bidi="ar"/>
              </w:rPr>
              <w:t>、校园卡/码性别维度分析：研究院男女人数分布、男女领取校园卡人数分布、男女校园卡（码）活跃分布，可通过图形化展示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r>
              <w:rPr>
                <w:rFonts w:ascii="宋体" w:hAnsi="宋体" w:cs="宋体"/>
                <w:color w:val="auto"/>
                <w:kern w:val="0"/>
                <w:sz w:val="20"/>
                <w:highlight w:val="none"/>
                <w:lang w:bidi="ar"/>
              </w:rPr>
              <w:t>1</w:t>
            </w:r>
            <w:r>
              <w:rPr>
                <w:rFonts w:hint="eastAsia" w:ascii="宋体" w:hAnsi="宋体" w:cs="宋体"/>
                <w:color w:val="auto"/>
                <w:kern w:val="0"/>
                <w:sz w:val="20"/>
                <w:highlight w:val="none"/>
                <w:lang w:bidi="ar"/>
              </w:rPr>
              <w:t>、各场景活跃度分析：昨日校园码各场景使用人数/次数分析，可通过图形化展示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r>
              <w:rPr>
                <w:rFonts w:ascii="宋体" w:hAnsi="宋体" w:cs="宋体"/>
                <w:color w:val="auto"/>
                <w:kern w:val="0"/>
                <w:sz w:val="20"/>
                <w:highlight w:val="none"/>
                <w:lang w:bidi="ar"/>
              </w:rPr>
              <w:t>2</w:t>
            </w:r>
            <w:r>
              <w:rPr>
                <w:rFonts w:hint="eastAsia" w:ascii="宋体" w:hAnsi="宋体" w:cs="宋体"/>
                <w:color w:val="auto"/>
                <w:kern w:val="0"/>
                <w:sz w:val="20"/>
                <w:highlight w:val="none"/>
                <w:lang w:bidi="ar"/>
              </w:rPr>
              <w:t>、各学院持卡及活跃度分析：各学院校园卡领卡人数分布、各学院活跃人数分布（校园卡/码），可通过图形化展示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r>
              <w:rPr>
                <w:rFonts w:ascii="宋体" w:hAnsi="宋体" w:cs="宋体"/>
                <w:color w:val="auto"/>
                <w:kern w:val="0"/>
                <w:sz w:val="20"/>
                <w:highlight w:val="none"/>
                <w:lang w:bidi="ar"/>
              </w:rPr>
              <w:t>3</w:t>
            </w:r>
            <w:r>
              <w:rPr>
                <w:rFonts w:hint="eastAsia" w:ascii="宋体" w:hAnsi="宋体" w:cs="宋体"/>
                <w:color w:val="auto"/>
                <w:kern w:val="0"/>
                <w:sz w:val="20"/>
                <w:highlight w:val="none"/>
                <w:lang w:bidi="ar"/>
              </w:rPr>
              <w:t>、各年级持卡及活跃度分析：各年级领卡人数，昨日各年级活跃人数，可通过图形化展示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一码通消费管理平台</w:t>
            </w: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机具管理</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1、可统一管理全院机具：实时监控机具的版本和在线状态及风控更新情况：一览机具最后交易时间，监控机具活跃度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2、商户管理：可以建立树形结构，对全院商户进行管理：支持不少于</w:t>
            </w:r>
            <w:r>
              <w:rPr>
                <w:rFonts w:ascii="宋体" w:hAnsi="宋体" w:cs="宋体"/>
                <w:color w:val="auto"/>
                <w:kern w:val="0"/>
                <w:sz w:val="20"/>
                <w:highlight w:val="none"/>
                <w:lang w:bidi="ar"/>
              </w:rPr>
              <w:t>9</w:t>
            </w:r>
            <w:r>
              <w:rPr>
                <w:rFonts w:hint="eastAsia" w:ascii="宋体" w:hAnsi="宋体" w:cs="宋体"/>
                <w:color w:val="auto"/>
                <w:kern w:val="0"/>
                <w:sz w:val="20"/>
                <w:highlight w:val="none"/>
                <w:lang w:bidi="ar"/>
              </w:rPr>
              <w:t>级商户结构：可针对商户设置联系人、联系电话等基本信息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机具管理：可统一管理全院机具：实时监控机具的版本和在线状态，及风控更新情况：一览机具最后交易时间，监控机具活跃度，可以打印和下载机具的详细列表，需包含机具编号、机具名称、机型、版本、风控更新时间、最后交易时间、关联商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4、身份管理 ：可设置每个身份在研究院商户的溢价和折扣比例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介质管理</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1、校园卡一码通消费支付平台，同时支持电子校园卡、实体卡和人脸消费。消费系统支持直接扣银行卡资金和一码通小钱包补贴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2、一码通小钱包系统支持两种余额来源：研究院管理员下发和人工充值。支持用户在人工窗口通过现金等方式进行充值后，操作人员在后台对指定电子钱包账户充入等值金额，金额实时到账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支付策略</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1、对于已领取实体校园卡但未关联电子校园卡的在校师生、校友，刷卡消费的时候扣取一码通小钱包的钱（后台系统有个小钱包账户）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2、对于已领取电子校园卡的用户，可与实体校园卡进行关联。用户刷码/卡时，可从一码通小钱包或微信钱包中扣款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3、一码通可以支持绑定研究院指定的银行卡，消费直接扣银行卡的钱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4、支持免密代扣：师生可签约微信支付免密代扣，无需提前充值，消费后再自动代扣付款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5、可支持机具与手机端双离线支付，确保复杂网络环境下的秒刷码付款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6、可以根据领取校园卡角色类型设置不同的费率比例，研究院可以根据实际需求在支付管理后台灵活调整费率，离线消费场景下也支持按照费率消费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7、可以根据消费机具不同的费率比例，消费系统可以根据商户不同设置不同的费率比例，离线消费场景下也支持按照费率消费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8、可针对每一个商户单独设定消费限额，不同场景不同上限，增强校内支付安全等级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9、分时段消费：可分商户管理各个身份类型的可消费时段：消费时段可设置按日、按周等各种自由规则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10、免密代扣 ：师生可签约微信支付免密代扣，无需提前充值，消费后再自动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11、代扣付款，消费后T+0到账研究院微信支付账号，T+1到账研究院结算银行卡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12、双离线支付：可支持机具与手机端双离线支付，确保复杂网络环境下的秒刷码付款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13、消费限额 ：可针对每一个商户单独设定消费限额，不同场景不同上限，增强校内支付安全等级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14、管理费：可设置和管理每个商户的管理费，可针对父级商户设置管理费，批量针对子商户生效，相关清算报表自动汇总统计每月商户管理费，及应结算金额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15、退款管理：可分别设置机具和后台的退款周期，可设置为不允许退款、当天内、半年内：退款时手机验证码校验，确保操作安全性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电子小钱包</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供研究院发放和管理专项经费或补贴，可建立三个不同类型小钱包：每个小钱包可以单独设置可消费商户范围、发放上限等：小钱包可通过excel进行发放和导入，并支持单人和批量清零，完整的小钱包余额监控及结算报表：小钱包可设置操作人、审批人、关注人，分散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2、可提供小钱包补贴查询和扣减接口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小钱包：供研究院发放和管理专项经费或补贴，可建立三个不同类型小钱包：每个小钱包可以单独设置可消费商户范围、发放上限等：小钱包可通过excel进行发放和导入，并支持单人和批量清零，完整的小钱包余额监控及结算报表：小钱包可设置操作人、审批人、关注人，分散管理权限，确保安全。需可设置小钱包账户logo、账户名称、使用说明、消费范围、消费范围备注、个人单次充值上限、个人钱包余额上限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电子餐券</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1、供研究院发放和管理教职工或来访团等场景的餐券补贴；餐券不限定建立数量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2、每一张餐券可以单独设置面额、消费范围、有效期等；餐券可设定只发放一次，或每天自动发放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3、餐券可通过excel进行发放和导入；完整的餐券余额监控及结算报表：餐券可设置操作人、审批人、关注人，分散管理权限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4、电子餐券：供研究院发放和管理教职工或来访团等场景的餐券补贴；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1）餐券不限定建立数量；每一张餐券可以单独设置面额、消费范围、有效期等；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2）餐券可设定只发放一次，或每天自动发放：餐券可通过excel进行发放和导入；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3）提供完整的餐券余额监控及结算报表：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4）餐券可设置操作人、审批人、关注人，分散管理权限，确保安全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报表管理</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1、支持收支汇总表，可按日、按周、按月汇总各渠道应收和入账情况：退款汇总表，可按日、按周、按月汇总各渠道退款情况；商户清算表，可按自由时段清算各级商户应结算金额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2、可支持实时交易查询，可查询最近2个月任意日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支持实时订单：可按照商户、机具编号、学工号、姓名等方式筛选和查找指定订单；退款交易查询，可查询最近2个月任意日（包括今日）的实时退款订单；可按照商户、机具编号、学工号、姓名等方式筛选和查找指定退款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支持消费分析报表，商户汇总表，可按日、按月、按年汇总任意商户的人数、笔数和金额情况；餐段汇总表，可按各个餐段汇总研究院内任意商户的人数、笔数和金额情况：机具汇总表，可按机具汇总研究院内任意商户的人数、笔数和金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5、商户移动报表：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1）支持每个商户可查询各自的当日总收入、当日实时交易流水及餐段经营数据；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2）商户可设置多名管理员，共享数据权限；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3）商户可设置每日推送，接收当日总收入和实时交易流水推送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6、支持查看计划扣款报表，需包含收款明细（收款单号、收款时间、姓名、学工号、计划名称、所在部门、服务日期、服务项目、发生金额、交易金额、应收金额、状态、操作）、收款汇总、收款进度等信息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7、经营分析，需支持打印、下载、查看计次消费表（含商户编号、商户名称、计次消费）和人员计次消费表（含日期、学工号、姓名、部门、总计消费）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支付权限管理</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1、可分别设置信息化、财务、后勤、服务商、商户等各角色分别设置角色组；可按照功能模块和报表查看范围，分别设置每个角色组的操作和查看权限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2、支付接口开放能力：可开放支付平台相关接口能力，对接到研究院任意消费场景，并提供统一的对账报表和结算平台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3、可对支付通用项目进行设置，如消费机退款（不允许退款、允许当天退款、允许半年内退款）和后台退款（不允许退款、允许当天退款、允许半年内退款），需支持管理费开关，支持打印签名设置。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实体卡功能</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1、支持自助发卡，自助发卡需要配合硬件发卡机进行发卡，可支持批量发卡和发卡状态查看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2、支持实体卡查询，查看卡片状态、挂失、退卡、卡片校正等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3、支持实体卡业务操作报表查看历史记录，操作流水号、日期、操作员、服务、学号等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4、支持实体卡密钥设置，主控密钥用于加密卡卡维护密钥明文，下发到机具进行卡认证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5、密钥管理系统，密钥管理系统需要满足非对称密钥体系、对称密钥体系的所有密钥的全生命周期管理和密钥到卡片的完整生命周期管理。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指定银行卡代扣</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指定银行卡代扣，可支持在师生免密代扣签约的时候，限定师生只绑定研究院要求的指定银行卡，才能进行消费，绑定后直接扣指定银行卡的钱，不需要进行充值。师生绑定指定银行卡进行代扣后，不能修改指定的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2、可提供批量解除银行卡绑定的服务，让师生可以重新签约绑卡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3、账户与签约管理，需支持查看总人数、刷脸签约人数、支付签约人数、未签约人数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一码通缴费管理平台</w:t>
            </w: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缴费管理</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1、手机微信支付：支持手机微信支付缴费，可设置代缴模式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2、发起缴费 ： 可发起任意缴费，包括学费、书费、住宿费、班费、培训费等多种类型费用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3、多个收款账户 ：可根据收费类别不同，设置多个收款账户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4、分缴功能：可根据学生情况，设置分缴功能，一次，两次，或者多次，只要在规定时间完成缴费即可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5、可设置展示列：包括收款账户，项目名称，项目类别，项目说明，项目截止时间，状态，创建者，发布者，创建时间，发布时间，操作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6、退款查询 ：可进行退款操作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7、已缴查询：可查看已缴项目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8、待缴查询：可查看待缴项目，并发起二次缴费通知，可以进行全部催缴，或者部分催缴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9、现金收款：可设置部分现金收款方式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10、统计报表 ：可查看组织架构，应缴人数（人次），应缴总数（元），已缴人数（人次），已缴总数（元），待缴人数（人次），待缴总数（元）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11、收款汇总 ：可查看收款汇总数据，按天，按月等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12、充值项目：可设置充值项目，包括网费，水电费，体检费等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13、充值查询 ：可查看充值信息，包括业务订单号，学/工号，姓名，所需信息，充值项目，充值金额（元），支付订单号，支付方式，状态，交易时间，操作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14、数据导出：所有统计数据都可以导出成excel表；接口对接 ：可与财务系统对接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15、应收项目管理：可自定义研究院应收项目，并根据组织架构或导表等方式指定缴费人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16、缴费明细查询 ：支持缴费明细根据不同维度进行查询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17、缴费统计查询 ：支持对缴费项目进行统计及根据时间进行收款汇总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18、缴费分类：支持将缴费项目进行自定义分类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19、消息智能推送：创建缴费项目后或项目临近最后缴费时间时，会自动发送消息通知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20、一键催收：对待缴订单可随时进行催收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21、找人代缴 ：支持转给父母或朋友进行代缴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22、现金收款管理 ：支持对现金收款方式管理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23、多商户微信支付收款：支持微信支付，并支持多商户进行收款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24、缴费API ：提供缴费相关的标准API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智能风控</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为防止学生一卡通出借，当学生进行校园码截图时，后台会记录截屏的次数，管理者可以设置参数，当累计截屏达次数之后，会自动发送风险预警，让学生停止截屏分享，若不停止，自动冻结账户，需要管理者重新开通。后台可以设置每笔消费上线，以及消费预警金额限制，当达到一定警戒值后，会发送风险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2、后台显示和下载截屏记录信息需包含：学工号、姓名、截屏时间和管理策略，其中管理策略需包含：冻结方式（永久冻结或指定时间）、冻结原因。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3、截屏记录：校园码截屏记录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4、操作记录：系统的操作记录，历史日志等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5、临时认证：新建临时校园卡，可设置卡片类型、有效期、领取上限、需登记信息等内容，领卡信息可导出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6、截屏风控策略：配置截屏风控规则（可编辑的截屏次数和对应惩罚），提高电子校园卡安全，规范校园码使用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7、需支持截屏风控功能，可在后台进行风控策略配置，风控策略需包含：近一年截屏次数、触发惩罚和管理。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8、近一年截屏次数，可在后台配置1-8次的截屏次数限制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9、触发惩罚需包含：校园码提醒、模板消息警告、冻结0.5小时、冻结1小时、冻结2小时、冻结4小时、冻结8小时、冻结1天、冻结3天、冻结5天、永久冻结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10、后台需支持显示和下载截屏记录，记录信息需包含：学工号、姓名、截屏时间和管理策略，其中管理策略需包含：冻结方式（永久冻结或指定时间）、冻结原因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11、后台需支持显示和下载已冻结名单，需包含：学工号、姓名、冻结原因、冻结方式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人脸库平台</w:t>
            </w: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人脸库系统</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统一人脸素材库管理，能进行人脸统一登记，提供简洁高效的管理平台用户使用。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hint="eastAsia" w:ascii="宋体" w:hAnsi="宋体" w:cs="宋体"/>
                <w:color w:val="auto"/>
                <w:kern w:val="0"/>
                <w:sz w:val="20"/>
                <w:highlight w:val="none"/>
                <w:lang w:bidi="ar"/>
              </w:rPr>
            </w:pPr>
            <w:r>
              <w:rPr>
                <w:rFonts w:hint="eastAsia" w:ascii="宋体" w:hAnsi="宋体" w:cs="宋体"/>
                <w:color w:val="auto"/>
                <w:kern w:val="0"/>
                <w:sz w:val="20"/>
                <w:highlight w:val="none"/>
                <w:lang w:bidi="ar"/>
              </w:rPr>
              <w:t>传统人脸系统往往存在人脸信息收集困难、登记入口少、登记信息遗漏等常见的问题。</w:t>
            </w:r>
          </w:p>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人脸登记：用户可以自行在移动端进行人脸登记。用户使用本服务登记完成后，并同步到人脸识别服务提供商系统中，完成同步后就可以用于门禁、消费、签到等场景的人脸识别功能。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人脸同步：管理员可以查看或搜索已上传的成员列表，管理员可以设置用户是否可以通过移动端录入人脸、录入是不允许选择手机相册、一年可修改次数等功能。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脸同步，备自动同步用户信息的能力，能够实现给人脸识别服务提供商根据组织架构，标签等多个维进行用户、人脸信息的同步。采用成熟的异步队列技术，失败重推等机制，保证服务的高可用性。同时，整个同步过程是自动的，在接入过程中同步服务会就自动进行配置，降低了添加厂商或更换厂商的繁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后台配置：</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人脸厂商配置：管理员可以自主进行人脸识别服务提供商的的配置，选择需要接入使用的人脸识别服务提供商，并填写由提供商提供的人脸推送地址。</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人脸信息查看及重新上传：管理员可以查看或搜索已上传的成员列表，查看用户当前照片，以及针对某个学工号重新上传人脸照片。</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人脸信息移动端录入：用户可通过二维码扫码或访问H5链接进入移动端，现场拍照进行录入，拍照后数据将会录入统一人脸素材库，并同步推送给厂商。</w:t>
            </w:r>
          </w:p>
          <w:p>
            <w:pPr>
              <w:widowControl/>
              <w:jc w:val="left"/>
              <w:textAlignment w:val="center"/>
              <w:rPr>
                <w:rFonts w:hint="eastAsia" w:ascii="宋体" w:hAnsi="宋体" w:cs="宋体"/>
                <w:color w:val="auto"/>
                <w:kern w:val="0"/>
                <w:sz w:val="20"/>
                <w:highlight w:val="none"/>
                <w:lang w:bidi="ar"/>
              </w:rPr>
            </w:pPr>
            <w:r>
              <w:rPr>
                <w:rFonts w:hint="eastAsia" w:ascii="宋体" w:hAnsi="宋体" w:cs="宋体"/>
                <w:color w:val="auto"/>
                <w:kern w:val="0"/>
                <w:sz w:val="20"/>
                <w:highlight w:val="none"/>
                <w:lang w:bidi="ar"/>
              </w:rPr>
              <w:t>移动端录入管理：管理员可以控制用户是否可以通过移动端录入人脸图片，并且设置用户在移动端一年内允许更换的次数</w:t>
            </w:r>
            <w:r>
              <w:rPr>
                <w:rFonts w:ascii="宋体" w:hAnsi="宋体" w:cs="宋体"/>
                <w:color w:val="auto"/>
                <w:kern w:val="0"/>
                <w:sz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一码通微应用</w:t>
            </w: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微应用功能</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可对校园应用进行集中管理，不仅支持自研应用，同时支持校园自建应用、第三方应用等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提供标准的应用功能以及开放接口，后续建设的教务系统可基于对接，实现在移动端更优的用户体验，含以下标准应用：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1、查课表：可查看本学期课表，提供标准接口供教务系统对接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2、查成绩：可查看在校所有的考试成绩，提供标准接口供教务系统对接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3、查考试：可查看发布考试的具体信息（考试科目、地点、时间、座位号等），提供标准接口供教务系统对接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5、校历：可查看研究院的每学期时间安排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6、签到助手：可进行签到（支持手机展示二维码、大屏幕投放扫码、盒子扫码等方式签到）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一码通光盘行动系统</w:t>
            </w: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光盘行动</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提供内嵌于电子校园卡内的光盘行动小程序，学生就餐后可通过光盘小程序识别就餐光盘情况，云端AI将会根据盘内饭菜剩余情况进行识别，识别光盘成功后将会返回一张可用于下次校园就餐的消费代金券或对光盘进行积分统计。并根据结果来进行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2、研究院可根据个人、班级等排名进行表彰嘉奖，鼓励学生养成勤俭节约的品质。消费代金券由系统建设商提供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需提供内嵌于电子校园卡内的光盘行动小程序，学生就餐后可通过光盘小程序识别就餐光盘情况，AI将会根据盘内饭菜剩余情况进行识别，识别光盘成功后将会返回一张可用于下次校园就餐的消费代金券或对光盘进行积分统计。并根据结果来进行积分，研究院可根据个人、班级等排名进行表彰嘉奖，鼓励学生养成勤俭节约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4、需支持在移动端创建光盘行动，可以同时创建多个光盘行动，需提供配置教程显示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5、需支持设置活动主题、活动日期、活动规则、活动餐段、搜集信息配置（包含用户姓名、所在组织）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6、配置完成后需在移动端显示活动ID、活动时间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7、需在移动端提供推广光盘活动的说明指南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8、需在移动端支持设置核销管理人员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9、需支持移动端扫码核销光盘积分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10、移动端需提供个人排名和部门排名显示，个人排名信息需包含：排名、姓名、部门、光盘次数，部门排名信息需包含：排名、部门、人均次数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11、移动端需支持显示总参与人数、我的光盘次数、我的排名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软门禁场景管控系统</w:t>
            </w: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软门禁场景管控</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1、主要针对研究院大门、图书馆、宿舍、教室等场所，启用门禁、通道、门锁等身份识别系统，提供门禁管理、接口对接等功能。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2、支持离线核验和在线核验两种门禁核验方式，用户可根据实际需求选用一种或多种核验方案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3、位置管理：可根据研究院设置好研究院每个门的位置，并绑定对应的门禁设备，支持地理位置限制，打开地理位置限制后，用户只有在规定的地理位置范围内扫码才可以成功登记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4、规则管理 ：可灵活设置门禁通行的时段规则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5、授权管理 ：可给研究院所有的门位置授权可通行的研究院人员、组织架构或标签，实时生效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6、进出记录 ：实时查询研究院的进出记录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7、多方式核验：支持校园码等方式进行核验通行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8、核验小程序：支持通过小程序代替设备完成通行核验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9、表单关联：添加表单后，用户登记时需要填写表单内的信息才可完成登记，可选择已创建的表单进行关联，一个登记码只支持关联一个表单；若无符合要求的表单，可新建表单。可支持对表单名称进行搜索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10、门禁对接API：提供门禁标准API，包括心跳机制、核验接口等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一码通接口定制</w:t>
            </w:r>
          </w:p>
        </w:tc>
        <w:tc>
          <w:tcPr>
            <w:tcW w:w="460" w:type="pct"/>
            <w:shd w:val="clear" w:color="auto" w:fill="FFFFFF"/>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接口开放管理</w:t>
            </w: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定制提供身份验证、电子码、用户信息、组织架构、消息通知、支付、人脸等接口开放和管理能力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Merge w:val="restart"/>
            <w:shd w:val="clear" w:color="auto" w:fill="auto"/>
            <w:vAlign w:val="center"/>
          </w:tcPr>
          <w:p>
            <w:pPr>
              <w:widowControl/>
              <w:jc w:val="center"/>
              <w:textAlignment w:val="center"/>
              <w:rPr>
                <w:rFonts w:hint="eastAsia"/>
                <w:color w:val="auto"/>
                <w:highlight w:val="none"/>
                <w:lang w:bidi="ar"/>
              </w:rPr>
            </w:pPr>
            <w:r>
              <w:rPr>
                <w:rFonts w:hint="eastAsia" w:ascii="宋体" w:hAnsi="宋体" w:cs="宋体"/>
                <w:color w:val="auto"/>
                <w:kern w:val="0"/>
                <w:sz w:val="20"/>
                <w:highlight w:val="none"/>
                <w:lang w:bidi="ar"/>
              </w:rPr>
              <w:t>一码通配套设备</w:t>
            </w:r>
          </w:p>
        </w:tc>
        <w:tc>
          <w:tcPr>
            <w:tcW w:w="460" w:type="pct"/>
            <w:vMerge w:val="restart"/>
            <w:shd w:val="clear" w:color="auto" w:fill="FFFFFF"/>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卡码脸消费一体机（5台）</w:t>
            </w: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总体需求 支持卡码脸一体化消费验证能力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操作系统 Android 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CPU 不低于RK3288，Cortex-A17四核，主频1.8GHz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内存 不低于DDR3：2GB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存储器 不低于NandFlash：16GB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主屏 不低于5英寸，LED背光，分辨率1280*720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按键 19键实体防水防尘机械式键盘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副屏 不低于7英寸，LED背光，分辨率1024*600，电容触摸屏，支持多点触控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以太网 1*RJ45，支持TCP/IP标准有线网络通讯，10M/100M自适应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WIFI 支持IEEE 802.11b/g/n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蓝牙 支持蓝牙4.0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电源适配器 12VDC电源适配器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扬声器 大音量双喇叭，不低于3W*2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卡槽 SIM卡×1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系统软件开发 Android 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应用程序环境 支持Java语言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USB2.0接口 2个标准Type-A 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以太网接口(RJ45) 1个(10M/100M自适应)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非接触式读卡模块（NFC读卡） 13.56MHz高频读卡模块，支持ISO/IEC 14443A、ISO/IEC14443B，FeliCa，Mifare 1K/4K，NFC Forum tag， ISO/IEC 15693/ICODE, NFCIP-1, NFCIP-2协议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二维扫描 支持主流一维/二维条码扫描，支持扫码支付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4G通讯 支持中国移动、中国电信、中国联通4G全网通，支持物联卡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人脸识别摄像头 支持人脸识别，支持微信刷脸支付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工作环境 温度：-10℃～50℃；相对湿度：5℅～95℅（非冷凝)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FFFFFF"/>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卡码掌消费一体机（2台）</w:t>
            </w: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支持卡码掌一体化消费验证能力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支持刷掌距离：5-15cm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操作系统 Android 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CPU MT8788及以上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存储 4GB+16GB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屏幕 5.5英寸及以上 分辨率720×1280及以上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网络 支持4G、Wi-Fi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接口 USB-HID、USB Host、DC、Micro USB调试口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FFFFFF"/>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CPU卡（5</w:t>
            </w:r>
            <w:r>
              <w:rPr>
                <w:rFonts w:ascii="宋体" w:hAnsi="宋体" w:cs="宋体"/>
                <w:color w:val="auto"/>
                <w:kern w:val="0"/>
                <w:sz w:val="20"/>
                <w:highlight w:val="none"/>
                <w:lang w:bidi="ar"/>
              </w:rPr>
              <w:t>00</w:t>
            </w:r>
            <w:r>
              <w:rPr>
                <w:rFonts w:hint="eastAsia" w:ascii="宋体" w:hAnsi="宋体" w:cs="宋体"/>
                <w:color w:val="auto"/>
                <w:kern w:val="0"/>
                <w:sz w:val="20"/>
                <w:highlight w:val="none"/>
                <w:lang w:bidi="ar"/>
              </w:rPr>
              <w:t>张）</w:t>
            </w: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材料：PVC、PET、ABC混合料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尺寸：85.6×54×0.84mm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颜色：支持定做颜色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容量：8K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感应方式：非接触式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感应距离：1～5CM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工作频率：13.56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FFFFFF"/>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独立发卡机（1台）</w:t>
            </w: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接口方式：网线/WIFI/4G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感应方式：非接触式读卡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感应距离：1～5CM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工作频率：13.56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工作电压：DC12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工作环境：-10℃～70℃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FFFFFF"/>
            <w:vAlign w:val="center"/>
          </w:tcPr>
          <w:p>
            <w:pPr>
              <w:jc w:val="center"/>
              <w:rPr>
                <w:rFonts w:ascii="宋体" w:hAnsi="宋体" w:cs="宋体"/>
                <w:color w:val="auto"/>
                <w:sz w:val="20"/>
                <w:highlight w:val="none"/>
              </w:rPr>
            </w:pPr>
          </w:p>
        </w:tc>
        <w:tc>
          <w:tcPr>
            <w:tcW w:w="4080" w:type="pct"/>
            <w:shd w:val="clear" w:color="auto" w:fill="FFFFFF"/>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适用卡类：FM1208 CPU卡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restart"/>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证卡打印机（1台）</w:t>
            </w: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单面或双面打印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显色能力:全彩单色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打印方式:直接到卡热升华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分辨率: 300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0" w:type="pct"/>
            <w:vMerge w:val="continue"/>
            <w:shd w:val="clear" w:color="auto" w:fill="auto"/>
            <w:vAlign w:val="center"/>
          </w:tcPr>
          <w:p>
            <w:pPr>
              <w:jc w:val="center"/>
              <w:rPr>
                <w:rFonts w:ascii="宋体" w:hAnsi="宋体" w:cs="宋体"/>
                <w:color w:val="auto"/>
                <w:sz w:val="20"/>
                <w:highlight w:val="none"/>
              </w:rPr>
            </w:pPr>
          </w:p>
        </w:tc>
        <w:tc>
          <w:tcPr>
            <w:tcW w:w="460" w:type="pct"/>
            <w:vMerge w:val="continue"/>
            <w:shd w:val="clear" w:color="auto" w:fill="auto"/>
            <w:vAlign w:val="center"/>
          </w:tcPr>
          <w:p>
            <w:pPr>
              <w:jc w:val="center"/>
              <w:rPr>
                <w:rFonts w:ascii="宋体" w:hAnsi="宋体" w:cs="宋体"/>
                <w:color w:val="auto"/>
                <w:sz w:val="20"/>
                <w:highlight w:val="none"/>
              </w:rPr>
            </w:pPr>
          </w:p>
        </w:tc>
        <w:tc>
          <w:tcPr>
            <w:tcW w:w="4080" w:type="pct"/>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内存:32MB内存标准</w:t>
            </w:r>
          </w:p>
        </w:tc>
      </w:tr>
    </w:tbl>
    <w:p>
      <w:pPr>
        <w:pStyle w:val="37"/>
        <w:ind w:firstLine="0" w:firstLineChars="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1.10 实验室信息管理系统</w:t>
      </w:r>
    </w:p>
    <w:tbl>
      <w:tblPr>
        <w:tblStyle w:val="88"/>
        <w:tblW w:w="4999" w:type="pct"/>
        <w:tblInd w:w="0" w:type="dxa"/>
        <w:tblLayout w:type="autofit"/>
        <w:tblCellMar>
          <w:top w:w="0" w:type="dxa"/>
          <w:left w:w="108" w:type="dxa"/>
          <w:bottom w:w="0" w:type="dxa"/>
          <w:right w:w="108" w:type="dxa"/>
        </w:tblCellMar>
      </w:tblPr>
      <w:tblGrid>
        <w:gridCol w:w="1551"/>
        <w:gridCol w:w="1335"/>
        <w:gridCol w:w="5634"/>
      </w:tblGrid>
      <w:tr>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模块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功能</w:t>
            </w:r>
          </w:p>
        </w:tc>
        <w:tc>
          <w:tcPr>
            <w:tcW w:w="5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参数需求</w:t>
            </w:r>
          </w:p>
        </w:tc>
      </w:tr>
      <w:tr>
        <w:tblPrEx>
          <w:tblCellMar>
            <w:top w:w="0" w:type="dxa"/>
            <w:left w:w="108" w:type="dxa"/>
            <w:bottom w:w="0" w:type="dxa"/>
            <w:right w:w="108" w:type="dxa"/>
          </w:tblCellMar>
        </w:tblPrEx>
        <w:trPr>
          <w:trHeight w:val="913"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实验室一体化管理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实验室平台综合门户</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支持管理员发布各实验室信息、仪器信息、文件信息、教学视频等；支持展示实验室实验数据、巡检维修、危化品、试剂耗材等数据的统计</w:t>
            </w:r>
          </w:p>
        </w:tc>
      </w:tr>
      <w:tr>
        <w:tblPrEx>
          <w:tblCellMar>
            <w:top w:w="0" w:type="dxa"/>
            <w:left w:w="108" w:type="dxa"/>
            <w:bottom w:w="0" w:type="dxa"/>
            <w:right w:w="108" w:type="dxa"/>
          </w:tblCellMar>
        </w:tblPrEx>
        <w:trPr>
          <w:trHeight w:val="288" w:hRule="atLeast"/>
        </w:trPr>
        <w:tc>
          <w:tcPr>
            <w:tcW w:w="9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安全巡检</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角色管理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支持系统角色、功能权限的维护</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指标管理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支持实验室巡检指标的维护</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任务模板管理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支持设置任务模板，常用的巡检可直接使用</w:t>
            </w:r>
          </w:p>
        </w:tc>
      </w:tr>
      <w:tr>
        <w:tblPrEx>
          <w:tblCellMar>
            <w:top w:w="0" w:type="dxa"/>
            <w:left w:w="108" w:type="dxa"/>
            <w:bottom w:w="0" w:type="dxa"/>
            <w:right w:w="108" w:type="dxa"/>
          </w:tblCellMar>
        </w:tblPrEx>
        <w:trPr>
          <w:trHeight w:val="969"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巡检任务管理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支持发布、修改、删除巡检任务，并对巡检记录的录入、审核、复查功能</w:t>
            </w:r>
          </w:p>
        </w:tc>
      </w:tr>
      <w:tr>
        <w:tblPrEx>
          <w:tblCellMar>
            <w:top w:w="0" w:type="dxa"/>
            <w:left w:w="108" w:type="dxa"/>
            <w:bottom w:w="0" w:type="dxa"/>
            <w:right w:w="108" w:type="dxa"/>
          </w:tblCellMar>
        </w:tblPrEx>
        <w:trPr>
          <w:trHeight w:val="576"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隐患整改/流程管理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支持安全巡检中的问题跟踪处理，结果处理，追溯，责任到人</w:t>
            </w:r>
          </w:p>
        </w:tc>
      </w:tr>
      <w:tr>
        <w:tblPrEx>
          <w:tblCellMar>
            <w:top w:w="0" w:type="dxa"/>
            <w:left w:w="108" w:type="dxa"/>
            <w:bottom w:w="0" w:type="dxa"/>
            <w:right w:w="108" w:type="dxa"/>
          </w:tblCellMar>
        </w:tblPrEx>
        <w:trPr>
          <w:trHeight w:val="576"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安全教育管理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支持发布国家政策法规、学校政策、规章制度；实验室安全检查通知、检查结果、通报</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手机移动端</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支持移动端查询安全巡查结果，接受提示，进度跟踪，报警</w:t>
            </w:r>
          </w:p>
        </w:tc>
      </w:tr>
      <w:tr>
        <w:tblPrEx>
          <w:tblCellMar>
            <w:top w:w="0" w:type="dxa"/>
            <w:left w:w="108" w:type="dxa"/>
            <w:bottom w:w="0" w:type="dxa"/>
            <w:right w:w="108" w:type="dxa"/>
          </w:tblCellMar>
        </w:tblPrEx>
        <w:trPr>
          <w:trHeight w:val="288" w:hRule="atLeast"/>
        </w:trPr>
        <w:tc>
          <w:tcPr>
            <w:tcW w:w="9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安全准入</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网上学习功能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支持仪器线上报名、培训、教学、签到功能，培训后可分配授权资格</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题库管理功能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支持题库的管理维护</w:t>
            </w:r>
          </w:p>
        </w:tc>
      </w:tr>
      <w:tr>
        <w:tblPrEx>
          <w:tblCellMar>
            <w:top w:w="0" w:type="dxa"/>
            <w:left w:w="108" w:type="dxa"/>
            <w:bottom w:w="0" w:type="dxa"/>
            <w:right w:w="108" w:type="dxa"/>
          </w:tblCellMar>
        </w:tblPrEx>
        <w:trPr>
          <w:trHeight w:val="576"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考试功能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支持生成考试试卷、线上考试、系统自动批改试题生成成绩</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证书管理功能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支持根据成绩授权或取消对应仪器操作资格</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接口管理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支持与仪器管理系统对接</w:t>
            </w:r>
          </w:p>
        </w:tc>
      </w:tr>
      <w:tr>
        <w:tblPrEx>
          <w:tblCellMar>
            <w:top w:w="0" w:type="dxa"/>
            <w:left w:w="108" w:type="dxa"/>
            <w:bottom w:w="0" w:type="dxa"/>
            <w:right w:w="108" w:type="dxa"/>
          </w:tblCellMar>
        </w:tblPrEx>
        <w:trPr>
          <w:trHeight w:val="288" w:hRule="atLeast"/>
        </w:trPr>
        <w:tc>
          <w:tcPr>
            <w:tcW w:w="9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危化品管理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危化品数据库</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支持多类型数据库模式</w:t>
            </w:r>
          </w:p>
        </w:tc>
      </w:tr>
      <w:tr>
        <w:tblPrEx>
          <w:tblCellMar>
            <w:top w:w="0" w:type="dxa"/>
            <w:left w:w="108" w:type="dxa"/>
            <w:bottom w:w="0" w:type="dxa"/>
            <w:right w:w="108" w:type="dxa"/>
          </w:tblCellMar>
        </w:tblPrEx>
        <w:trPr>
          <w:trHeight w:val="576"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危化品流程管理功能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支持申购、入库、领用、归还、盘点，回收等危化品全流程管理</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数据报表功能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支持统计危化品库存、使用记录、人员等信息</w:t>
            </w:r>
          </w:p>
        </w:tc>
      </w:tr>
      <w:tr>
        <w:tblPrEx>
          <w:tblCellMar>
            <w:top w:w="0" w:type="dxa"/>
            <w:left w:w="108" w:type="dxa"/>
            <w:bottom w:w="0" w:type="dxa"/>
            <w:right w:w="108" w:type="dxa"/>
          </w:tblCellMar>
        </w:tblPrEx>
        <w:trPr>
          <w:trHeight w:val="864"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接口管理功能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系统支持对接RFID智能危化品柜及RFID智能称量台，可以支撑双人双锁管理、危化品取样自动管理、自动台账管理功能</w:t>
            </w:r>
          </w:p>
        </w:tc>
      </w:tr>
      <w:tr>
        <w:tblPrEx>
          <w:tblCellMar>
            <w:top w:w="0" w:type="dxa"/>
            <w:left w:w="108" w:type="dxa"/>
            <w:bottom w:w="0" w:type="dxa"/>
            <w:right w:w="108" w:type="dxa"/>
          </w:tblCellMar>
        </w:tblPrEx>
        <w:trPr>
          <w:trHeight w:val="288" w:hRule="atLeast"/>
        </w:trPr>
        <w:tc>
          <w:tcPr>
            <w:tcW w:w="9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试剂耗材管理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统计报表功能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支持自定义相关统计报表，导出打印功能</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流程管理功能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支持申购、入库、出库、库存提醒等全流程管理</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基础数据库管理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支持实验室耗材、房间信息、人员信息、预约权限维护</w:t>
            </w:r>
          </w:p>
        </w:tc>
      </w:tr>
      <w:tr>
        <w:tblPrEx>
          <w:tblCellMar>
            <w:top w:w="0" w:type="dxa"/>
            <w:left w:w="108" w:type="dxa"/>
            <w:bottom w:w="0" w:type="dxa"/>
            <w:right w:w="108" w:type="dxa"/>
          </w:tblCellMar>
        </w:tblPrEx>
        <w:trPr>
          <w:trHeight w:val="288" w:hRule="atLeast"/>
        </w:trPr>
        <w:tc>
          <w:tcPr>
            <w:tcW w:w="9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环境监测</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基础数据管理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支持实验室位置、人员、课题组信息、责任人设置</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人员权限管理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支持人员角色，职责及权限管理</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数据展示功能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支持展示温湿度、有害气体、压差、GIS地图信息等</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手机移动端</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支持移动端预警信息自动发送</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接口管理功能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支持与实验室传感器、门禁、通排风等联动</w:t>
            </w:r>
          </w:p>
        </w:tc>
      </w:tr>
      <w:tr>
        <w:tblPrEx>
          <w:tblCellMar>
            <w:top w:w="0" w:type="dxa"/>
            <w:left w:w="108" w:type="dxa"/>
            <w:bottom w:w="0" w:type="dxa"/>
            <w:right w:w="108" w:type="dxa"/>
          </w:tblCellMar>
        </w:tblPrEx>
        <w:trPr>
          <w:trHeight w:val="288" w:hRule="atLeast"/>
        </w:trPr>
        <w:tc>
          <w:tcPr>
            <w:tcW w:w="9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智能维修管理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用户角色管理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支持角色定义及权限管理</w:t>
            </w:r>
          </w:p>
        </w:tc>
      </w:tr>
      <w:tr>
        <w:tblPrEx>
          <w:tblCellMar>
            <w:top w:w="0" w:type="dxa"/>
            <w:left w:w="108" w:type="dxa"/>
            <w:bottom w:w="0" w:type="dxa"/>
            <w:right w:w="108" w:type="dxa"/>
          </w:tblCellMar>
        </w:tblPrEx>
        <w:trPr>
          <w:trHeight w:val="576"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巡检流程管理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支持报修记录、实验室装修改造、巡检维修、配电巡检任务的分配及进度追踪</w:t>
            </w:r>
          </w:p>
        </w:tc>
      </w:tr>
      <w:tr>
        <w:tblPrEx>
          <w:tblCellMar>
            <w:top w:w="0" w:type="dxa"/>
            <w:left w:w="108" w:type="dxa"/>
            <w:bottom w:w="0" w:type="dxa"/>
            <w:right w:w="108" w:type="dxa"/>
          </w:tblCellMar>
        </w:tblPrEx>
        <w:trPr>
          <w:trHeight w:val="576"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手机微信端或钉钉端对接</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支持移动端查询，接受订单信息，反馈结果等</w:t>
            </w:r>
          </w:p>
        </w:tc>
      </w:tr>
      <w:tr>
        <w:tblPrEx>
          <w:tblCellMar>
            <w:top w:w="0" w:type="dxa"/>
            <w:left w:w="108" w:type="dxa"/>
            <w:bottom w:w="0" w:type="dxa"/>
            <w:right w:w="108" w:type="dxa"/>
          </w:tblCellMar>
        </w:tblPrEx>
        <w:trPr>
          <w:trHeight w:val="576" w:hRule="atLeast"/>
        </w:trPr>
        <w:tc>
          <w:tcPr>
            <w:tcW w:w="9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仪器共享管理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用户管理功能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支持用户角色定义及权限管理，包括仪器管理员，校/院级管理员，课题组及成员，财务管理员，系统管理员等</w:t>
            </w:r>
          </w:p>
        </w:tc>
      </w:tr>
      <w:tr>
        <w:tblPrEx>
          <w:tblCellMar>
            <w:top w:w="0" w:type="dxa"/>
            <w:left w:w="108" w:type="dxa"/>
            <w:bottom w:w="0" w:type="dxa"/>
            <w:right w:w="108" w:type="dxa"/>
          </w:tblCellMar>
        </w:tblPrEx>
        <w:trPr>
          <w:trHeight w:val="576"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仪器管理功能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支持仪器基础信息、状态、开关机方式、授权资格、预约方式、预约时间、预约权限、人员资质设置等设置</w:t>
            </w:r>
          </w:p>
        </w:tc>
      </w:tr>
      <w:tr>
        <w:tblPrEx>
          <w:tblCellMar>
            <w:top w:w="0" w:type="dxa"/>
            <w:left w:w="108" w:type="dxa"/>
            <w:bottom w:w="0" w:type="dxa"/>
            <w:right w:w="108" w:type="dxa"/>
          </w:tblCellMar>
        </w:tblPrEx>
        <w:trPr>
          <w:trHeight w:val="576"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预约管理功能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支持用户按时预约、委托预约，需与预约系统打通，对用户侧提供统一界面</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统计管理功能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支持统计仪器使用时长、服务成效、培训、维护等报表</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计费管理功能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支持仪器收费规则设置，计费管理</w:t>
            </w:r>
          </w:p>
        </w:tc>
      </w:tr>
      <w:tr>
        <w:tblPrEx>
          <w:tblCellMar>
            <w:top w:w="0" w:type="dxa"/>
            <w:left w:w="108" w:type="dxa"/>
            <w:bottom w:w="0" w:type="dxa"/>
            <w:right w:w="108" w:type="dxa"/>
          </w:tblCellMar>
        </w:tblPrEx>
        <w:trPr>
          <w:trHeight w:val="576"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实验数据管理功能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在实验仪器配套电脑不允许连接网络的情况下，实现实验数据文件等资料安全的上传至服务器，有效防止实验数据的丢失，杜绝电脑联网染毒</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事件管理功能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支持实时记录系统运行状态，日志，并按设定要报警及提示</w:t>
            </w:r>
          </w:p>
        </w:tc>
      </w:tr>
      <w:tr>
        <w:tblPrEx>
          <w:tblCellMar>
            <w:top w:w="0" w:type="dxa"/>
            <w:left w:w="108" w:type="dxa"/>
            <w:bottom w:w="0" w:type="dxa"/>
            <w:right w:w="108" w:type="dxa"/>
          </w:tblCellMar>
        </w:tblPrEx>
        <w:trPr>
          <w:trHeight w:val="288"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接口管理</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支持与门禁系统联动，管理相关人员进入实验室的时间及权限</w:t>
            </w:r>
          </w:p>
        </w:tc>
      </w:tr>
      <w:tr>
        <w:tblPrEx>
          <w:tblCellMar>
            <w:top w:w="0" w:type="dxa"/>
            <w:left w:w="108" w:type="dxa"/>
            <w:bottom w:w="0" w:type="dxa"/>
            <w:right w:w="108" w:type="dxa"/>
          </w:tblCellMar>
        </w:tblPrEx>
        <w:trPr>
          <w:trHeight w:val="576"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数据上报功能</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支持按照科技部标准，对接国家大仪平台，实现数据上报</w:t>
            </w:r>
          </w:p>
        </w:tc>
      </w:tr>
    </w:tbl>
    <w:p>
      <w:pPr>
        <w:pStyle w:val="37"/>
        <w:ind w:firstLine="21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1.11 能耗管理系统</w:t>
      </w:r>
    </w:p>
    <w:tbl>
      <w:tblPr>
        <w:tblStyle w:val="88"/>
        <w:tblW w:w="5000" w:type="pct"/>
        <w:tblInd w:w="0" w:type="dxa"/>
        <w:tblLayout w:type="autofit"/>
        <w:tblCellMar>
          <w:top w:w="0" w:type="dxa"/>
          <w:left w:w="108" w:type="dxa"/>
          <w:bottom w:w="0" w:type="dxa"/>
          <w:right w:w="108" w:type="dxa"/>
        </w:tblCellMar>
      </w:tblPr>
      <w:tblGrid>
        <w:gridCol w:w="782"/>
        <w:gridCol w:w="731"/>
        <w:gridCol w:w="7009"/>
      </w:tblGrid>
      <w:tr>
        <w:tblPrEx>
          <w:tblCellMar>
            <w:top w:w="0" w:type="dxa"/>
            <w:left w:w="108" w:type="dxa"/>
            <w:bottom w:w="0" w:type="dxa"/>
            <w:right w:w="108" w:type="dxa"/>
          </w:tblCellMar>
        </w:tblPrEx>
        <w:trPr>
          <w:trHeight w:val="622"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模块</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功能</w:t>
            </w: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参数需求</w:t>
            </w:r>
          </w:p>
        </w:tc>
      </w:tr>
      <w:tr>
        <w:tblPrEx>
          <w:tblCellMar>
            <w:top w:w="0" w:type="dxa"/>
            <w:left w:w="108" w:type="dxa"/>
            <w:bottom w:w="0" w:type="dxa"/>
            <w:right w:w="108" w:type="dxa"/>
          </w:tblCellMar>
        </w:tblPrEx>
        <w:trPr>
          <w:trHeight w:val="864"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能耗管理系统</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能耗管理系统</w:t>
            </w: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支持自动生成各类图表、支持自定义报表设置、可查看院区各建筑及维度能耗数据、支持动态数据的监测</w:t>
            </w:r>
          </w:p>
        </w:tc>
      </w:tr>
      <w:tr>
        <w:tblPrEx>
          <w:tblCellMar>
            <w:top w:w="0" w:type="dxa"/>
            <w:left w:w="108" w:type="dxa"/>
            <w:bottom w:w="0" w:type="dxa"/>
            <w:right w:w="108" w:type="dxa"/>
          </w:tblCellMar>
        </w:tblPrEx>
        <w:trPr>
          <w:trHeight w:val="576"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支持学校各部门及各功能房的能耗统计、查询、数据聚合处理</w:t>
            </w:r>
          </w:p>
        </w:tc>
      </w:tr>
      <w:tr>
        <w:tblPrEx>
          <w:tblCellMar>
            <w:top w:w="0" w:type="dxa"/>
            <w:left w:w="108" w:type="dxa"/>
            <w:bottom w:w="0" w:type="dxa"/>
            <w:right w:w="108" w:type="dxa"/>
          </w:tblCellMar>
        </w:tblPrEx>
        <w:trPr>
          <w:trHeight w:val="576"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支持碳排放折标系数的配置并自动计算碳排放数据</w:t>
            </w:r>
          </w:p>
        </w:tc>
      </w:tr>
      <w:tr>
        <w:tblPrEx>
          <w:tblCellMar>
            <w:top w:w="0" w:type="dxa"/>
            <w:left w:w="108" w:type="dxa"/>
            <w:bottom w:w="0" w:type="dxa"/>
            <w:right w:w="108" w:type="dxa"/>
          </w:tblCellMar>
        </w:tblPrEx>
        <w:trPr>
          <w:trHeight w:val="576"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支持能源费率参数的配置并自动计算能源成本</w:t>
            </w:r>
          </w:p>
        </w:tc>
      </w:tr>
      <w:tr>
        <w:tblPrEx>
          <w:tblCellMar>
            <w:top w:w="0" w:type="dxa"/>
            <w:left w:w="108" w:type="dxa"/>
            <w:bottom w:w="0" w:type="dxa"/>
            <w:right w:w="108" w:type="dxa"/>
          </w:tblCellMar>
        </w:tblPrEx>
        <w:trPr>
          <w:trHeight w:val="86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支持对学校能源关键指标进行分析展示，包括但不限于单位面积能耗等指标</w:t>
            </w:r>
          </w:p>
        </w:tc>
      </w:tr>
      <w:tr>
        <w:tblPrEx>
          <w:tblCellMar>
            <w:top w:w="0" w:type="dxa"/>
            <w:left w:w="108" w:type="dxa"/>
            <w:bottom w:w="0" w:type="dxa"/>
            <w:right w:w="108" w:type="dxa"/>
          </w:tblCellMar>
        </w:tblPrEx>
        <w:trPr>
          <w:trHeight w:val="576"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支持结合浙江当地用能标准进行分析对比</w:t>
            </w:r>
          </w:p>
        </w:tc>
      </w:tr>
      <w:tr>
        <w:tblPrEx>
          <w:tblCellMar>
            <w:top w:w="0" w:type="dxa"/>
            <w:left w:w="108" w:type="dxa"/>
            <w:bottom w:w="0" w:type="dxa"/>
            <w:right w:w="108" w:type="dxa"/>
          </w:tblCellMar>
        </w:tblPrEx>
        <w:trPr>
          <w:trHeight w:val="576"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支持通过能源流向图线显示能源消费去向</w:t>
            </w:r>
          </w:p>
        </w:tc>
      </w:tr>
      <w:tr>
        <w:tblPrEx>
          <w:tblCellMar>
            <w:top w:w="0" w:type="dxa"/>
            <w:left w:w="108" w:type="dxa"/>
            <w:bottom w:w="0" w:type="dxa"/>
            <w:right w:w="108" w:type="dxa"/>
          </w:tblCellMar>
        </w:tblPrEx>
        <w:trPr>
          <w:trHeight w:val="86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能源看板、能源分析、能源流向、能源报表等页面具备灵活配置的能力，可以按照需求随时调整，并且可以下钻层层剖析</w:t>
            </w:r>
          </w:p>
        </w:tc>
      </w:tr>
      <w:tr>
        <w:tblPrEx>
          <w:tblCellMar>
            <w:top w:w="0" w:type="dxa"/>
            <w:left w:w="108" w:type="dxa"/>
            <w:bottom w:w="0" w:type="dxa"/>
            <w:right w:w="108" w:type="dxa"/>
          </w:tblCellMar>
        </w:tblPrEx>
        <w:trPr>
          <w:trHeight w:val="576"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支持提供能耗监测报警功能（包含数据、通讯等异常状况），并自动分类不同报警信息，支持设定报警阈值</w:t>
            </w:r>
          </w:p>
        </w:tc>
      </w:tr>
      <w:tr>
        <w:tblPrEx>
          <w:tblCellMar>
            <w:top w:w="0" w:type="dxa"/>
            <w:left w:w="108" w:type="dxa"/>
            <w:bottom w:w="0" w:type="dxa"/>
            <w:right w:w="108" w:type="dxa"/>
          </w:tblCellMar>
        </w:tblPrEx>
        <w:trPr>
          <w:trHeight w:val="576"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支持根据不同部门设置能源绩效目标并显示完成进度，支持各部门及当前部门绩效对比</w:t>
            </w:r>
          </w:p>
        </w:tc>
      </w:tr>
      <w:tr>
        <w:tblPrEx>
          <w:tblCellMar>
            <w:top w:w="0" w:type="dxa"/>
            <w:left w:w="108" w:type="dxa"/>
            <w:bottom w:w="0" w:type="dxa"/>
            <w:right w:w="108" w:type="dxa"/>
          </w:tblCellMar>
        </w:tblPrEx>
        <w:trPr>
          <w:trHeight w:val="28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支持建立能耗预测模型并实现预测分析功能</w:t>
            </w:r>
          </w:p>
        </w:tc>
      </w:tr>
      <w:tr>
        <w:tblPrEx>
          <w:tblCellMar>
            <w:top w:w="0" w:type="dxa"/>
            <w:left w:w="108" w:type="dxa"/>
            <w:bottom w:w="0" w:type="dxa"/>
            <w:right w:w="108" w:type="dxa"/>
          </w:tblCellMar>
        </w:tblPrEx>
        <w:trPr>
          <w:trHeight w:val="576"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针对学校相关能源系统进行数据对接，采集相关数据信息，支持学校能源的精细化管理工作</w:t>
            </w:r>
          </w:p>
        </w:tc>
      </w:tr>
      <w:tr>
        <w:tblPrEx>
          <w:tblCellMar>
            <w:top w:w="0" w:type="dxa"/>
            <w:left w:w="108" w:type="dxa"/>
            <w:bottom w:w="0" w:type="dxa"/>
            <w:right w:w="108" w:type="dxa"/>
          </w:tblCellMar>
        </w:tblPrEx>
        <w:trPr>
          <w:trHeight w:val="576"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可采集并展示实验室空气状态参数并分析各类指标、舒适度等，可采集并展示关键设备的电能质量</w:t>
            </w:r>
          </w:p>
        </w:tc>
      </w:tr>
      <w:tr>
        <w:tblPrEx>
          <w:tblCellMar>
            <w:top w:w="0" w:type="dxa"/>
            <w:left w:w="108" w:type="dxa"/>
            <w:bottom w:w="0" w:type="dxa"/>
            <w:right w:w="108" w:type="dxa"/>
          </w:tblCellMar>
        </w:tblPrEx>
        <w:trPr>
          <w:trHeight w:val="576"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4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根据数据分析结果制定实验室送排风系统优化控制策略，需要搭建模型后基于模型持续调优</w:t>
            </w:r>
          </w:p>
        </w:tc>
      </w:tr>
    </w:tbl>
    <w:p>
      <w:pPr>
        <w:pStyle w:val="37"/>
        <w:ind w:firstLine="21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1.12 数字孪生系统</w:t>
      </w:r>
    </w:p>
    <w:tbl>
      <w:tblPr>
        <w:tblStyle w:val="88"/>
        <w:tblW w:w="4999" w:type="pct"/>
        <w:tblInd w:w="0" w:type="dxa"/>
        <w:tblLayout w:type="autofit"/>
        <w:tblCellMar>
          <w:top w:w="0" w:type="dxa"/>
          <w:left w:w="108" w:type="dxa"/>
          <w:bottom w:w="0" w:type="dxa"/>
          <w:right w:w="108" w:type="dxa"/>
        </w:tblCellMar>
      </w:tblPr>
      <w:tblGrid>
        <w:gridCol w:w="1072"/>
        <w:gridCol w:w="1594"/>
        <w:gridCol w:w="5854"/>
      </w:tblGrid>
      <w:tr>
        <w:tblPrEx>
          <w:tblCellMar>
            <w:top w:w="0" w:type="dxa"/>
            <w:left w:w="108" w:type="dxa"/>
            <w:bottom w:w="0" w:type="dxa"/>
            <w:right w:w="108" w:type="dxa"/>
          </w:tblCellMar>
        </w:tblPrEx>
        <w:trPr>
          <w:trHeight w:val="276"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模块</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功能</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参数需求</w:t>
            </w:r>
          </w:p>
        </w:tc>
      </w:tr>
      <w:tr>
        <w:tblPrEx>
          <w:tblCellMar>
            <w:top w:w="0" w:type="dxa"/>
            <w:left w:w="108" w:type="dxa"/>
            <w:bottom w:w="0" w:type="dxa"/>
            <w:right w:w="108" w:type="dxa"/>
          </w:tblCellMar>
        </w:tblPrEx>
        <w:trPr>
          <w:trHeight w:val="960" w:hRule="atLeast"/>
        </w:trPr>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数字孪生基础平台</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数字孪生3D模板资源</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400种以上包括但不限于地理板图、城市区县、商圈建筑、文化旅游、科技工业等模型；覆盖世界板块、中国各省市板块及多个局部地区的中、低精度模型</w:t>
            </w:r>
          </w:p>
        </w:tc>
      </w:tr>
      <w:tr>
        <w:tblPrEx>
          <w:tblCellMar>
            <w:top w:w="0" w:type="dxa"/>
            <w:left w:w="108" w:type="dxa"/>
            <w:bottom w:w="0" w:type="dxa"/>
            <w:right w:w="108" w:type="dxa"/>
          </w:tblCellMar>
        </w:tblPrEx>
        <w:trPr>
          <w:trHeight w:val="72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数字孪生2D模板资源</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200种以上包括但不限于柱状图、折线图、饼图、雷达图、仪表盘、水波图、漏斗图、词云图、散点图、盒须图、河流图等图表资源库。</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自定义资源</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通过图表组件和场景工作站自定义2D、3D资源</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图表编辑器</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支持自定义图表样式、支持ECharts，js/json代码类型的图表导入</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场景工作站</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支持用户上传自己在三维建模软件中制作的场景，通过场景工作站配置场景效果</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用户管理</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支持管理员可以通过权限管理模块邀请用户、修改用户信息、移除用户等</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角色管理</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支持角色管理模块自定义添加角色、配置权限等</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低代码支持</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采用拖拉点拽的编辑方式和场景驱动的内容逻辑，简化可视化大屏搭建流程，真正实现设计即开发。</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多终端支持</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支持在大屏设备、PC电脑上呈现</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数字孪生编辑能力</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支持自定义分辨率</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支持对项目进行预览、保存、自动保存</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支持对项目进行管理，可新建、删除、编辑管理工程；可新建、删除、编辑、查询、复制、预览、发布项目</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支持项目发布后以链接的形式进行分享浏览，支持公开发布、加密发布</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支持项目以压缩文件、标识码等方式导入、导出</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支持多层级多页面的内容编辑方式，二维三维内容分别在不同层级展示</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支持删除、添加、复制、重命名层级/页面；可调整顺序、展开、折叠层级/页面</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支持画布操作，可尺寸调整、锁定、解锁画布比例</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支持鼠标右键快捷键及键盘快捷键</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支持对组件进行打组，取消组合</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可复制、删除、置顶、置底、调整组合/组件图层顺序</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支持多选、连选、移动、对齐、居中、旋转、放大、缩小、收藏</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支持显、隐、重命名、复制、删除、顺序调整组合/组件</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支持对单个组件、多选组件、组合组件的收藏，和再次使用、编辑</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支持设置画布背景，场景层灯光和摄像机视角</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支持场景效果、场景风格设置</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支持用户通过数据均衡器实现自主开发自定义的web页面，在页面内开发组件，通过iFrame嵌入到专业版内，并与其他组件产生交互</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支持各种组件添加联动事件实现交互操作</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支持各种组件添加数据实现各种数据源接入</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数字孪生设计能力</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支持图表/场景开放的自定义属性，调节多样效果</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支持文本滚动、切页轮播、行列轮播、翻牌等效果</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支持场景添加标记、轨迹、热力图等</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交互形式</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支持鼠标单击、双击、移出、移入等触发条件</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支持跳转页面、跳转外链、隐藏、显示、切换场景、变量赋值、切换视角、摄像机注视等交互动作</w:t>
            </w:r>
          </w:p>
        </w:tc>
      </w:tr>
      <w:tr>
        <w:tblPrEx>
          <w:tblCellMar>
            <w:top w:w="0" w:type="dxa"/>
            <w:left w:w="108" w:type="dxa"/>
            <w:bottom w:w="0" w:type="dxa"/>
            <w:right w:w="108" w:type="dxa"/>
          </w:tblCellMar>
        </w:tblPrEx>
        <w:trPr>
          <w:trHeight w:val="72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数据源</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支持接入静态数据、MySQL数据库、Oracle数据库、SQLServer数据库、API和离线文件，MySQL数据库、Oracle数据库、SQL Server数据库和API可设置自动更新，部分组件支持网络数据拉取</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媒体支持</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支持HLS类型的视频流</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支持MPEG、AVI和MP4格式的文件</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支持PNG、JPG、GIF和BMP格式的文件，可用于展示动效、装饰元素或监控照片。</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iFrame组件</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支持嵌入HTTP/HTTPS协议的任意网址，链接地址即iFrame的页面地址</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模型</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支持FBX与OBJ格式文件</w:t>
            </w:r>
          </w:p>
        </w:tc>
      </w:tr>
      <w:tr>
        <w:tblPrEx>
          <w:tblCellMar>
            <w:top w:w="0" w:type="dxa"/>
            <w:left w:w="108" w:type="dxa"/>
            <w:bottom w:w="0" w:type="dxa"/>
            <w:right w:w="108" w:type="dxa"/>
          </w:tblCellMar>
        </w:tblPrEx>
        <w:trPr>
          <w:trHeight w:val="480" w:hRule="atLeast"/>
        </w:trPr>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数据孪生定制开发服务</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全国场景模型及渲染</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全国地图板块三维场景模型包括行政区的位置及渲染效果，便于直观展示。场景可用于展示生源、毕业走向等大范围统计数据。</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院区场景模型及渲染</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具备对研究院资产3D场景的展示能力，包括办公楼、公共空间、实验楼、宿舍楼等位置及渲染，呈现院区的建筑、道路分布。</w:t>
            </w:r>
          </w:p>
        </w:tc>
      </w:tr>
      <w:tr>
        <w:tblPrEx>
          <w:tblCellMar>
            <w:top w:w="0" w:type="dxa"/>
            <w:left w:w="108" w:type="dxa"/>
            <w:bottom w:w="0" w:type="dxa"/>
            <w:right w:w="108" w:type="dxa"/>
          </w:tblCellMar>
        </w:tblPrEx>
        <w:trPr>
          <w:trHeight w:val="72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重点建筑模型及渲染</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支持对实验楼、办公楼、宿舍楼重点楼宇的建筑外观进行三维显示；高度还原重点建筑的外观与结构，根据建筑物的真实外观完成3D建模及渲染，展示建筑的基本规格信息。</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楼层分层模型及渲染</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对实验楼进行楼层炸开建模及渲染，室内还原展示楼层功能区分布情况。呈现建筑楼层房间结构，根据楼层的实际建筑结构完成3D建模。</w:t>
            </w:r>
          </w:p>
        </w:tc>
      </w:tr>
      <w:tr>
        <w:tblPrEx>
          <w:tblCellMar>
            <w:top w:w="0" w:type="dxa"/>
            <w:left w:w="108" w:type="dxa"/>
            <w:bottom w:w="0" w:type="dxa"/>
            <w:right w:w="108" w:type="dxa"/>
          </w:tblCellMar>
        </w:tblPrEx>
        <w:trPr>
          <w:trHeight w:val="377"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综合态势可视化构建</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包括安防、消防、能源能耗、人员车辆通行、公共空间环境、设备设施状态等，帮助用户快速了解浙大衢州“两院”的整体状况，通过可视化的方式展现给研究院管理部门，帮助提升浙大衢州“两院”在信息化层面的科技感、安全感，并通过不同业务的数据下钻，对各项业务进行数据分析，帮助管理者提供数据决策，提升决策处理水平。</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能源能耗场景构建</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包括能耗总览，查看年月日能耗情况。年月日能耗对比环比，能耗异常情况预警。能源分析，按区域、设备维度分析能源流向。</w:t>
            </w:r>
          </w:p>
        </w:tc>
      </w:tr>
      <w:tr>
        <w:tblPrEx>
          <w:tblCellMar>
            <w:top w:w="0" w:type="dxa"/>
            <w:left w:w="108" w:type="dxa"/>
            <w:bottom w:w="0" w:type="dxa"/>
            <w:right w:w="108" w:type="dxa"/>
          </w:tblCellMar>
        </w:tblPrEx>
        <w:trPr>
          <w:trHeight w:val="24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提供各楼宇实时能耗数据可视化展示，对能耗异常情况实时报警。</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综合安防场景构建</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场景中显示重点位置监控的点位，并可调取摄像头实时查看。针对周界、涉水、事故频发等重点区域进行视频监控画面实时展示。</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针对门禁、闸机等通行数据提供可视化展示，对车辆、人员的非法闯入提供预警管理。</w:t>
            </w:r>
          </w:p>
        </w:tc>
      </w:tr>
      <w:tr>
        <w:tblPrEx>
          <w:tblCellMar>
            <w:top w:w="0" w:type="dxa"/>
            <w:left w:w="108" w:type="dxa"/>
            <w:bottom w:w="0" w:type="dxa"/>
            <w:right w:w="108" w:type="dxa"/>
          </w:tblCellMar>
        </w:tblPrEx>
        <w:trPr>
          <w:trHeight w:val="72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实验室全场景构建</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提供实验室环境、能耗、安防、当前使用状态、人员状态等全场景数据呈现，可视化展现实验室的实时运行数据，提供实验室安全事故的预警能力，保障实验室的安全运行。</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实验室环境可视化展示，通过对实验室烟感、VOC等传感器数据对接，实时展示实验室整体环境状况及突发状况的及时预警。</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实验室运行状况展示，结合门禁数据、设备运行数据等，呈现实验室的使用状况，提高实验室的管理运行效率。</w:t>
            </w:r>
          </w:p>
        </w:tc>
      </w:tr>
      <w:tr>
        <w:tblPrEx>
          <w:tblCellMar>
            <w:top w:w="0" w:type="dxa"/>
            <w:left w:w="108" w:type="dxa"/>
            <w:bottom w:w="0" w:type="dxa"/>
            <w:right w:w="108" w:type="dxa"/>
          </w:tblCellMar>
        </w:tblPrEx>
        <w:trPr>
          <w:trHeight w:val="72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实验室安全管理展示，对实验室人员、设备、物品规范化等维度进行统计数据分析展示，加强规范管理，降低安全事故发生率，提高实验室人员及设备的安全。</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消防管理场景构建</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对研究院消防整体情况进行展示，包括消防设备设施的位置信息、状态信息，展示消防预警信息等。</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消防设备运行状况展示，实时呈现消防设备的实时运行数据及位置信息。</w:t>
            </w:r>
          </w:p>
        </w:tc>
      </w:tr>
      <w:tr>
        <w:tblPrEx>
          <w:tblCellMar>
            <w:top w:w="0" w:type="dxa"/>
            <w:left w:w="108" w:type="dxa"/>
            <w:bottom w:w="0" w:type="dxa"/>
            <w:right w:w="108" w:type="dxa"/>
          </w:tblCellMar>
        </w:tblPrEx>
        <w:trPr>
          <w:trHeight w:val="48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消防报警展示，实时展示消防预警信息及预警位置，同步呈现现场视频信息。</w:t>
            </w:r>
          </w:p>
        </w:tc>
      </w:tr>
      <w:tr>
        <w:tblPrEx>
          <w:tblCellMar>
            <w:top w:w="0" w:type="dxa"/>
            <w:left w:w="108" w:type="dxa"/>
            <w:bottom w:w="0" w:type="dxa"/>
            <w:right w:w="108" w:type="dxa"/>
          </w:tblCellMar>
        </w:tblPrEx>
        <w:trPr>
          <w:trHeight w:val="72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立体空间立体管理场景构建</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通过展示楼宇的公共空间，包括实验楼、办公楼、多功能室、IT机房等，通过可视化的方式实现实验场所及办公场所的状态分析，提高空间运行效率及运维效率。</w:t>
            </w:r>
          </w:p>
        </w:tc>
      </w:tr>
      <w:tr>
        <w:tblPrEx>
          <w:tblCellMar>
            <w:top w:w="0" w:type="dxa"/>
            <w:left w:w="108" w:type="dxa"/>
            <w:bottom w:w="0" w:type="dxa"/>
            <w:right w:w="108" w:type="dxa"/>
          </w:tblCellMar>
        </w:tblPrEx>
        <w:trPr>
          <w:trHeight w:val="1200" w:hRule="atLeast"/>
        </w:trPr>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设备设施管理场景构建</w:t>
            </w:r>
          </w:p>
        </w:tc>
        <w:tc>
          <w:tcPr>
            <w:tcW w:w="3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展示研究院当前机电、暖通、安防、消防、能源、照明、广播、门禁等各系统设备的运行情况，进行故障报警、故障定位等功能，当出现设备掉线、设备异常等情况，能够及时在大屏上及时预警，提示用户进行现场处置，提升设备使用生命周期，提升设备运维效率，减少新增设备成本。</w:t>
            </w:r>
          </w:p>
        </w:tc>
      </w:tr>
    </w:tbl>
    <w:p>
      <w:pPr>
        <w:pStyle w:val="37"/>
        <w:ind w:firstLine="21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1.13 OA协同办公系统</w:t>
      </w:r>
    </w:p>
    <w:tbl>
      <w:tblPr>
        <w:tblStyle w:val="88"/>
        <w:tblW w:w="5000" w:type="pct"/>
        <w:tblInd w:w="0" w:type="dxa"/>
        <w:tblLayout w:type="autofit"/>
        <w:tblCellMar>
          <w:top w:w="0" w:type="dxa"/>
          <w:left w:w="108" w:type="dxa"/>
          <w:bottom w:w="0" w:type="dxa"/>
          <w:right w:w="108" w:type="dxa"/>
        </w:tblCellMar>
      </w:tblPr>
      <w:tblGrid>
        <w:gridCol w:w="985"/>
        <w:gridCol w:w="1188"/>
        <w:gridCol w:w="6349"/>
      </w:tblGrid>
      <w:tr>
        <w:tblPrEx>
          <w:tblCellMar>
            <w:top w:w="0" w:type="dxa"/>
            <w:left w:w="108" w:type="dxa"/>
            <w:bottom w:w="0" w:type="dxa"/>
            <w:right w:w="108" w:type="dxa"/>
          </w:tblCellMar>
        </w:tblPrEx>
        <w:trPr>
          <w:trHeight w:val="27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模块</w:t>
            </w:r>
          </w:p>
        </w:tc>
        <w:tc>
          <w:tcPr>
            <w:tcW w:w="6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功能</w:t>
            </w:r>
          </w:p>
        </w:tc>
        <w:tc>
          <w:tcPr>
            <w:tcW w:w="372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参数需求</w:t>
            </w:r>
          </w:p>
        </w:tc>
      </w:tr>
      <w:tr>
        <w:tblPrEx>
          <w:tblCellMar>
            <w:top w:w="0" w:type="dxa"/>
            <w:left w:w="108" w:type="dxa"/>
            <w:bottom w:w="0" w:type="dxa"/>
            <w:right w:w="108" w:type="dxa"/>
          </w:tblCellMar>
        </w:tblPrEx>
        <w:trPr>
          <w:trHeight w:val="765" w:hRule="atLeast"/>
        </w:trPr>
        <w:tc>
          <w:tcPr>
            <w:tcW w:w="5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基础要求</w:t>
            </w: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安全要求</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★本次建设系统将会上传大量学校内部文档与资料，所投产品需基于文件安全管理技术并支持加密管理，关键技术为国产自主知识产权。</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（提供系统原厂商电子文档安全管理软件著作权登记证书复印件）</w:t>
            </w:r>
          </w:p>
        </w:tc>
      </w:tr>
      <w:tr>
        <w:tblPrEx>
          <w:tblCellMar>
            <w:top w:w="0" w:type="dxa"/>
            <w:left w:w="108" w:type="dxa"/>
            <w:bottom w:w="0" w:type="dxa"/>
            <w:right w:w="108" w:type="dxa"/>
          </w:tblCellMar>
        </w:tblPrEx>
        <w:trPr>
          <w:trHeight w:val="510" w:hRule="atLeast"/>
        </w:trPr>
        <w:tc>
          <w:tcPr>
            <w:tcW w:w="5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基础OA服务</w:t>
            </w: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消息服务</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不受环境、终端、时间的限制，第一时间接收会议、通知、待办等消息，方便老师处理紧急事务</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离职交接</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在人事变动的情况下，将数据迁移到新的账户，历史办公数据可查</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委托待办</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在忙碌的情景之下，将事务转交给他人办理，办理结果可查</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事务催办</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支撑办公效能监测，在办理时间过长时系统自动催办，可以手动催办</w:t>
            </w:r>
          </w:p>
        </w:tc>
      </w:tr>
      <w:tr>
        <w:tblPrEx>
          <w:tblCellMar>
            <w:top w:w="0" w:type="dxa"/>
            <w:left w:w="108" w:type="dxa"/>
            <w:bottom w:w="0" w:type="dxa"/>
            <w:right w:w="108" w:type="dxa"/>
          </w:tblCellMar>
        </w:tblPrEx>
        <w:trPr>
          <w:trHeight w:val="510"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日程服务</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融合手机自带的日程功能，将会议、待办、督办、周程等推送到手机日程，无需进行额外的下载操作</w:t>
            </w:r>
          </w:p>
        </w:tc>
      </w:tr>
      <w:tr>
        <w:tblPrEx>
          <w:tblCellMar>
            <w:top w:w="0" w:type="dxa"/>
            <w:left w:w="108" w:type="dxa"/>
            <w:bottom w:w="0" w:type="dxa"/>
            <w:right w:w="108" w:type="dxa"/>
          </w:tblCellMar>
        </w:tblPrEx>
        <w:trPr>
          <w:trHeight w:val="510" w:hRule="atLeast"/>
        </w:trPr>
        <w:tc>
          <w:tcPr>
            <w:tcW w:w="5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办文服务</w:t>
            </w: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一键套红</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办文过程中，根据老师的权限，调用模板，快捷、准确地完成套红环节，自动排版，达到研究院要求的标准</w:t>
            </w:r>
          </w:p>
        </w:tc>
      </w:tr>
      <w:tr>
        <w:tblPrEx>
          <w:tblCellMar>
            <w:top w:w="0" w:type="dxa"/>
            <w:left w:w="108" w:type="dxa"/>
            <w:bottom w:w="0" w:type="dxa"/>
            <w:right w:w="108" w:type="dxa"/>
          </w:tblCellMar>
        </w:tblPrEx>
        <w:trPr>
          <w:trHeight w:val="510"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电子签章调用</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节省签署文件的时间，可调用电子签章能力。</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权限分级</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设置可看范围，设置下载、传阅等操作权限，保障公文的严密性</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审阅留痕</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正文拟稿采用审阅模式，可多次、反复修改，记录修改痕迹</w:t>
            </w:r>
          </w:p>
        </w:tc>
      </w:tr>
      <w:tr>
        <w:tblPrEx>
          <w:tblCellMar>
            <w:top w:w="0" w:type="dxa"/>
            <w:left w:w="108" w:type="dxa"/>
            <w:bottom w:w="0" w:type="dxa"/>
            <w:right w:w="108" w:type="dxa"/>
          </w:tblCellMar>
        </w:tblPrEx>
        <w:trPr>
          <w:trHeight w:val="6907"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发文管理</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高校内部发文根据发文性质一般分为上行文，下行文，平行文，根据拟稿单位主要分为党委发文、校级发文及部门发文，常见的发文流程一般为拟稿人拟稿、部门主管审核、分管领导会签、核稿、书记院长批示、排版、套红、清稿、盖章、校对、发布。</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1）发文审批流程</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实现发文的网上拟稿、部门领导核稿、跨部门会签（审签）、办公室核稿、分管领导会签、主要领导签发、编号、成文等功能，其中管理员用户可以定制文件流转过程，系统按照预先定义的工作流程进行流转，系统提供严密的授权管理，保证文件不被未授权人处理和查看，实现对文档传递过程中有效的实时监控，保证文件网上流转准确。发文表单的字段有：文件类别可选目前可选项为党委文件、行政文件；发文单题头：显示为“XX大学发文稿纸”；机关代字、编号、文种（可选目前可选项为决定、通告、通知、通报、报告、请示、批复、意见、函、会议纪要、议案、公告、条例、规定、办法；文种可添加）、紧急程度（可选目前可选项为一般、紧急、加急；其中一般为默认值）、秘密程度（可选项为空白、秘密、机密；其中一般为默认值空白）。文件标题、拟稿部门、拟稿人、拟稿日期、主题词、主送、抄送、成文日期、印发份数、附件（以附件的形式资料）、备注。（其中签发、会（审）签、审核、部门意见、院对意见以意见形式体现。）</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流程定义：管理员可以对流程进行定义，包括流程的名称、流程序号、后续流程序号、涉及的用户等。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痕迹保留：通过保留Word文档的修订痕迹来实现区别不同人员的修改。</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发文拟稿：由拟稿人选择公文流转类型编写并填写相关的文稿信息；同时按照预先定义的流程进行发送。</w:t>
            </w:r>
          </w:p>
        </w:tc>
      </w:tr>
      <w:tr>
        <w:tblPrEx>
          <w:tblCellMar>
            <w:top w:w="0" w:type="dxa"/>
            <w:left w:w="108" w:type="dxa"/>
            <w:bottom w:w="0" w:type="dxa"/>
            <w:right w:w="108" w:type="dxa"/>
          </w:tblCellMar>
        </w:tblPrEx>
        <w:trPr>
          <w:trHeight w:val="7069"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部门核稿：部门负责人进行部门核稿并提出部门意见，修改文稿并保留修改痕迹。</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院办秘书初核：由院办秘书初核，修改文稿并保留修改痕迹。</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院办主任核稿：院办主任核稿并提出办公室意见，修改文稿并保留修改痕迹。</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分管领导会签：分管领导提出会签意见，修改文稿并保留修改痕迹。</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院领导发文签发：院领导提出签发意见，修改文稿并保留修改痕迹。</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文件发送：将文件发送到各职能部门相关人员。</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收回功能：供发送人收回已经发送的发文，避免由于接收人外出或有事或错误操作的情况下延误发文过程。</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意见查阅：只要流转过程中每一个用户都可以查阅文件处理过程中别人签署的意见。</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版本保存及查阅：可以保存及查阅发文正文的各个历史版本。</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文件查询：通过各种条件组合，实现查询。</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流程跟踪：自动跟踪并显示文件的流转过程，可以查看流转的情况，文件流转时间，经办人，执行的操作，将要执行的操作。</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自动编号：机关代号一般有（XXX大学，XXX大学党委，XXX大学院办，XXX大学团委等）；其中机关代号管理员可维护。</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签署意见：学院领导、办公室主任、各职能部门负责人、会签相关环节有签署意见的权限。</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模板定义：管理员根据不同的办公内容，可以任意定义各类模板，模板制作使用Word文档，方便易用。模板文件一般有：《XXX大学发文稿纸》、《XXX大学会议纪要》等。其中系统管理员可维护公文模板。</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返回功能：可以通过返回功能把该文返回到文件已流转的任意一个节点。</w:t>
            </w:r>
          </w:p>
        </w:tc>
      </w:tr>
      <w:tr>
        <w:tblPrEx>
          <w:tblCellMar>
            <w:top w:w="0" w:type="dxa"/>
            <w:left w:w="108" w:type="dxa"/>
            <w:bottom w:w="0" w:type="dxa"/>
            <w:right w:w="108" w:type="dxa"/>
          </w:tblCellMar>
        </w:tblPrEx>
        <w:trPr>
          <w:trHeight w:val="1958"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2）发文发布管理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发文流程走完以后，需要把文件公示给对应的部门和人员，包括发文发布管理以及发文浏览功能，发文发布管理可设定发布范围，支持按照部门发布、按照人员发布，取消发布及修改正文和附件、查看阅读情况的功能；发布出来的公文，可在发文浏览模块查阅，支持按照标题，年度搜索，支持按照发文号分类展示，支持标记已读。</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3）发文阅览</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用户通过手机接收发文到达提醒，支持PC端或手机端直接打开正文、预览附件，支持传阅、下载。支持按照标题，年度搜索，支持按照发文号分类展示，支持标记已读。</w:t>
            </w:r>
          </w:p>
        </w:tc>
      </w:tr>
      <w:tr>
        <w:tblPrEx>
          <w:tblCellMar>
            <w:top w:w="0" w:type="dxa"/>
            <w:left w:w="108" w:type="dxa"/>
            <w:bottom w:w="0" w:type="dxa"/>
            <w:right w:w="108" w:type="dxa"/>
          </w:tblCellMar>
        </w:tblPrEx>
        <w:trPr>
          <w:trHeight w:val="7304"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收文管理</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收文管理主要对学校收到的外来文件进行收文登记、拟办、领导阅批、下发、阅办、查询等功能。用户在登记收文的时候，首先需将纸质文件扫描。用户流程可以自行定义，文件按系统设置好的流程正常流转。用户可以查看、打印文件的流转过程记录（包括办文的通知时间、办理时间、办理结果、意见，以及领导批示意见等）；并对文档进行实时监控；查询主办和协办部门在网上的填写意见及反馈的材料；同时系统对于文件的权限有严格的限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收文登录：进行收文基本信息和全息内容的登录和嵌入；可以进行手工录入、文件引入两种手段。对于接收到的文字材料，可以通过扫描仪先扫描成电子格式（PDF格式），然后通过文件引入的方式引入到系统中。登记内容包括文件标题、来文类别、编号（格式为：[年份]+流水+号）、来文字号（默认值为[年份]）、来文单位、份数、页数、来文日期、收文日期、登记人、办理期限、紧急程度、来文原文、备注。其中收文日期、登记人系统自动生成登记人员可以再进行修改；缓急提供选择功能，选择项为一般、急件、特急。</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收文编号：编号规则为按来文单位年度流水、系统提供收文自动编号功能。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文件收文类别分为类，以每类一个流水号自动生成编号。其中类别可以进行维护。</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收文拟办：由拟办的负责人填写或选择拟办意见。</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收文办理：供主办部门和协办部门相关人员填写办理意见。</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收文分发：收文秘书可以对经过拟办、领导批阅的收文根据领导的意见分发至主办和协办部门。</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收文阅览：短信提醒、微信提醒、手机端任务栏提醒等方式接收到达消息，支持PC端或手机端直接打开正文、预览附件，支持传阅、下载。支持按照标题，年度搜索，支持按照来文单位分类展示，支持标记已读。</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收文传阅：接收人可以将收到的收文传阅给本部门的相关人员。</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文件查询：通过收文字号等各种条件组合，实现查询。</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收回功能：供发送人收回已经发送的收文。</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流程跟踪：自动跟踪并显示文件的流转过程，可以查看流转的详细情况。</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返回功能：管理员或收发员可以通过返回功能把该文返回到文件已流转的任意一个节点。</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撤销收文：管理员或收发员可以随时撤消该收文，除了自己以外，其他人将看不到该文。另外相应的待办事宜中所有人员有关该文的记录将被系统自动删除。</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收文转督办：若需要纳入督办的收文，可一键转入到督办模块，进行督办的反馈、催办；催办可支持发送短信提醒、微信提醒、手机端任务栏提醒等方式，使得接收人能够及时得收到任务的提醒。</w:t>
            </w:r>
          </w:p>
        </w:tc>
      </w:tr>
      <w:tr>
        <w:tblPrEx>
          <w:tblCellMar>
            <w:top w:w="0" w:type="dxa"/>
            <w:left w:w="108" w:type="dxa"/>
            <w:bottom w:w="0" w:type="dxa"/>
            <w:right w:w="108" w:type="dxa"/>
          </w:tblCellMar>
        </w:tblPrEx>
        <w:trPr>
          <w:trHeight w:val="510" w:hRule="atLeast"/>
        </w:trPr>
        <w:tc>
          <w:tcPr>
            <w:tcW w:w="5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会议服务</w:t>
            </w: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议题会议立项</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管理员可以预先拟定议题会议，后续再根据议题的上报情况发布会议，让议题会议的安排模式更加灵活</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议题库</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主要给管理员进行议题的分门别类、排期上会、会中汇报秩序管理、会后记录的工作</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会后纪要</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主要在重要会议需要会后总结的场景下，会务人员进行会议纪要的拟稿、审批、发布</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统计服务</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会务人员查看回执提交统计、回执填写项统计、出席会议统计</w:t>
            </w:r>
          </w:p>
        </w:tc>
      </w:tr>
      <w:tr>
        <w:tblPrEx>
          <w:tblCellMar>
            <w:top w:w="0" w:type="dxa"/>
            <w:left w:w="108" w:type="dxa"/>
            <w:bottom w:w="0" w:type="dxa"/>
            <w:right w:w="108" w:type="dxa"/>
          </w:tblCellMar>
        </w:tblPrEx>
        <w:trPr>
          <w:trHeight w:val="510" w:hRule="atLeast"/>
        </w:trPr>
        <w:tc>
          <w:tcPr>
            <w:tcW w:w="5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督办服务</w:t>
            </w: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会议转督办</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在会议结果需要实施、落实和监督的情况下，将会议转为督办，可以落实到具体任务执行人员和监督人员</w:t>
            </w:r>
          </w:p>
        </w:tc>
      </w:tr>
      <w:tr>
        <w:tblPrEx>
          <w:tblCellMar>
            <w:top w:w="0" w:type="dxa"/>
            <w:left w:w="108" w:type="dxa"/>
            <w:bottom w:w="0" w:type="dxa"/>
            <w:right w:w="108" w:type="dxa"/>
          </w:tblCellMar>
        </w:tblPrEx>
        <w:trPr>
          <w:trHeight w:val="510"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来文转督办</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当上级单位给出工作指示，并且需要执行、落实和监督的情况下，将来文转为督办，以提高工作的重视度</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任务分办</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在忙碌的情况下，承办部门分办给其他部门的接口人，让其代理提交任务反馈</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落实情况跟踪</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给领导提供任务跟踪的途径，可以查看任务的每次反馈、进度</w:t>
            </w:r>
          </w:p>
        </w:tc>
      </w:tr>
      <w:tr>
        <w:tblPrEx>
          <w:tblCellMar>
            <w:top w:w="0" w:type="dxa"/>
            <w:left w:w="108" w:type="dxa"/>
            <w:bottom w:w="0" w:type="dxa"/>
            <w:right w:w="108" w:type="dxa"/>
          </w:tblCellMar>
        </w:tblPrEx>
        <w:trPr>
          <w:trHeight w:val="255" w:hRule="atLeast"/>
        </w:trPr>
        <w:tc>
          <w:tcPr>
            <w:tcW w:w="5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业务申请</w:t>
            </w: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业务收藏</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可以收藏常用业务，收藏后在个人工作台中展示，方便一键申请业务</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业务分类</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业务分类是按自定义划分的，自己构建业务分类名称，按分类划分不同业务</w:t>
            </w:r>
          </w:p>
        </w:tc>
      </w:tr>
      <w:tr>
        <w:tblPrEx>
          <w:tblCellMar>
            <w:top w:w="0" w:type="dxa"/>
            <w:left w:w="108" w:type="dxa"/>
            <w:bottom w:w="0" w:type="dxa"/>
            <w:right w:w="108" w:type="dxa"/>
          </w:tblCellMar>
        </w:tblPrEx>
        <w:trPr>
          <w:trHeight w:val="255" w:hRule="atLeast"/>
        </w:trPr>
        <w:tc>
          <w:tcPr>
            <w:tcW w:w="5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周程服务</w:t>
            </w: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会议周程</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主要用于将重要会议纳入周程范围，提高会议的重视度和周程的全面性</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周程上报</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主要用于各部门上报周程</w:t>
            </w:r>
          </w:p>
        </w:tc>
      </w:tr>
      <w:tr>
        <w:tblPrEx>
          <w:tblCellMar>
            <w:top w:w="0" w:type="dxa"/>
            <w:left w:w="108" w:type="dxa"/>
            <w:bottom w:w="0" w:type="dxa"/>
            <w:right w:w="108" w:type="dxa"/>
          </w:tblCellMar>
        </w:tblPrEx>
        <w:trPr>
          <w:trHeight w:val="255" w:hRule="atLeast"/>
        </w:trPr>
        <w:tc>
          <w:tcPr>
            <w:tcW w:w="5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值班服务</w:t>
            </w: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部门值班</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主要用于进行本部门的值班安排，仅限本部门人员查看</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值班统计</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能通过值班表、部门、具体值班人员进行多角度查询，给领导提供有效的监督途径</w:t>
            </w:r>
          </w:p>
        </w:tc>
      </w:tr>
      <w:tr>
        <w:tblPrEx>
          <w:tblCellMar>
            <w:top w:w="0" w:type="dxa"/>
            <w:left w:w="108" w:type="dxa"/>
            <w:bottom w:w="0" w:type="dxa"/>
            <w:right w:w="108" w:type="dxa"/>
          </w:tblCellMar>
        </w:tblPrEx>
        <w:trPr>
          <w:trHeight w:val="255" w:hRule="atLeast"/>
        </w:trPr>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个人值班</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查询个人值班安排，填写值班日志</w:t>
            </w:r>
          </w:p>
        </w:tc>
      </w:tr>
      <w:tr>
        <w:tblPrEx>
          <w:tblCellMar>
            <w:top w:w="0" w:type="dxa"/>
            <w:left w:w="108" w:type="dxa"/>
            <w:bottom w:w="0" w:type="dxa"/>
            <w:right w:w="108" w:type="dxa"/>
          </w:tblCellMar>
        </w:tblPrEx>
        <w:trPr>
          <w:trHeight w:val="255" w:hRule="atLeast"/>
        </w:trPr>
        <w:tc>
          <w:tcPr>
            <w:tcW w:w="5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移动OA</w:t>
            </w:r>
          </w:p>
        </w:tc>
        <w:tc>
          <w:tcPr>
            <w:tcW w:w="6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移动OA</w:t>
            </w:r>
          </w:p>
        </w:tc>
        <w:tc>
          <w:tcPr>
            <w:tcW w:w="37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根据本期的实际需求，将上述功能拆分不同的移动端服务，形成H5页面集成到不同系统</w:t>
            </w:r>
          </w:p>
        </w:tc>
      </w:tr>
    </w:tbl>
    <w:p>
      <w:pPr>
        <w:rPr>
          <w:color w:val="auto"/>
          <w:highlight w:val="none"/>
        </w:rPr>
      </w:pPr>
    </w:p>
    <w:p>
      <w:pPr>
        <w:pStyle w:val="86"/>
        <w:rPr>
          <w:color w:val="auto"/>
          <w:highlight w:val="none"/>
          <w:lang w:val="en-US"/>
        </w:rPr>
      </w:pPr>
    </w:p>
    <w:p>
      <w:pPr>
        <w:rPr>
          <w:color w:val="auto"/>
          <w:highlight w:val="none"/>
        </w:rPr>
        <w:sectPr>
          <w:pgSz w:w="11906" w:h="16838"/>
          <w:pgMar w:top="1440" w:right="1800" w:bottom="1440" w:left="1800" w:header="851" w:footer="992" w:gutter="0"/>
          <w:cols w:space="425" w:num="1"/>
          <w:docGrid w:type="lines" w:linePitch="312" w:charSpace="0"/>
        </w:sect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1.14 人事管理系统</w:t>
      </w:r>
    </w:p>
    <w:tbl>
      <w:tblPr>
        <w:tblStyle w:val="88"/>
        <w:tblW w:w="5000" w:type="pct"/>
        <w:tblInd w:w="0" w:type="dxa"/>
        <w:tblLayout w:type="autofit"/>
        <w:tblCellMar>
          <w:top w:w="0" w:type="dxa"/>
          <w:left w:w="108" w:type="dxa"/>
          <w:bottom w:w="0" w:type="dxa"/>
          <w:right w:w="108" w:type="dxa"/>
        </w:tblCellMar>
      </w:tblPr>
      <w:tblGrid>
        <w:gridCol w:w="1562"/>
        <w:gridCol w:w="1732"/>
        <w:gridCol w:w="5948"/>
      </w:tblGrid>
      <w:tr>
        <w:tblPrEx>
          <w:tblCellMar>
            <w:top w:w="0" w:type="dxa"/>
            <w:left w:w="108" w:type="dxa"/>
            <w:bottom w:w="0" w:type="dxa"/>
            <w:right w:w="108" w:type="dxa"/>
          </w:tblCellMar>
        </w:tblPrEx>
        <w:trPr>
          <w:trHeight w:val="270" w:hRule="atLeast"/>
        </w:trPr>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模块</w:t>
            </w:r>
          </w:p>
        </w:tc>
        <w:tc>
          <w:tcPr>
            <w:tcW w:w="9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功能</w:t>
            </w:r>
          </w:p>
        </w:tc>
        <w:tc>
          <w:tcPr>
            <w:tcW w:w="32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参数需求</w:t>
            </w:r>
          </w:p>
        </w:tc>
      </w:tr>
      <w:tr>
        <w:tblPrEx>
          <w:tblCellMar>
            <w:top w:w="0" w:type="dxa"/>
            <w:left w:w="108" w:type="dxa"/>
            <w:bottom w:w="0" w:type="dxa"/>
            <w:right w:w="108" w:type="dxa"/>
          </w:tblCellMar>
        </w:tblPrEx>
        <w:trPr>
          <w:trHeight w:val="7395" w:hRule="atLeast"/>
        </w:trPr>
        <w:tc>
          <w:tcPr>
            <w:tcW w:w="8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人事管理系统基础模块</w:t>
            </w: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招聘管理</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人才招聘管理通过内网加外网相结合的方式，以及全面的服务，实现人才网上招聘的管理。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招聘后台管理：通过招聘管理服务，对各部门岗位的空缺数以及人员调动情况，实现每年的人员招聘计划的制定，并对招聘的时间段、人员招聘类别、人数、岗位等信息进行统一管理与发布。</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岗位需求收集：各业务部门根据学校的招聘计划，上报本部门的岗位空缺数以及岗位要求。</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岗位管理与审核发布：系统支持对各部门院系提交的岗位信息进行审核，也支持直接对岗位信息进行维护并发布，发布内容包括岗位发布的周期和人数等。岗位发布成功后招聘信息展现在招聘网站上。</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应聘管理：实现岗位应聘审批管理服务，包括：简历的查看，筛选、部门审批、通知笔试、面试以及各个岗位应聘情况统计等。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招聘网站：通过招聘网站服务，支持面向社会人员公开招聘，使用户实现招聘信息以及相关通知公告的发布，包括：岗位信息的查询，岗位应聘、简历的填写，消息的提示，通知公告的查询，交通指引以及学校介绍等业务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账号管理：实现对应聘人员在招聘网站注册的账号管理，让管理人员可查询、启用禁用、重置应聘人员密码等功能；以及实现应聘人员黑名单管理服务。</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信息咨询：实现信息咨询功能，让应聘人员可在线咨询学校岗位信息以及群（QQ群、微信群）沟通。</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准考证管理：实现准考证管理功能，管理员可手动编排考场信息，应聘人员可自行下载导入准考证号。</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应聘统计：实现应聘人才统计分析功能，让招聘管理人员可直观展示应聘人员信息。以图表的形式展示应聘人员学历、学位、学校等多维度统计招聘情况。</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应聘历史人才库：对历史所有应聘人员信息进行集中管理和数据查询。招聘管理人员可针对学校招聘管理业务，对不通过的应聘人员进行人员补录操作。</w:t>
            </w:r>
          </w:p>
        </w:tc>
      </w:tr>
      <w:tr>
        <w:tblPrEx>
          <w:tblCellMar>
            <w:top w:w="0" w:type="dxa"/>
            <w:left w:w="108" w:type="dxa"/>
            <w:bottom w:w="0" w:type="dxa"/>
            <w:right w:w="108" w:type="dxa"/>
          </w:tblCellMar>
        </w:tblPrEx>
        <w:trPr>
          <w:trHeight w:val="2805" w:hRule="atLeast"/>
        </w:trPr>
        <w:tc>
          <w:tcPr>
            <w:tcW w:w="8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新进报到</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新进报到服务提供新员工报到入职的过程管理，将线下会签、业务办理等流程迁移至线上，减少新员工线下跑腿次数，大大提升新员工的满意度。</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实现人事处和各用人单位提供报到包括审核、管理和监控的功能，各办事人员可以在同一界面浏览到自己需要处理的环节及每个环节的待办事项。</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人事部门管理员可对新进教职工的报到进行环节设置、填报设置、办理设置功能，如：新进报到表单设置、是否允许跳过下一环节、是否启用短信通知、短信内容编辑等。新进教职工可通过邮件或短信的方式，收到进校报到通知，可登录学校人事系统填写完成个人信息，同时可以查看所有报到环节并了解环节的办理情况。</w:t>
            </w:r>
          </w:p>
        </w:tc>
      </w:tr>
      <w:tr>
        <w:tblPrEx>
          <w:tblCellMar>
            <w:top w:w="0" w:type="dxa"/>
            <w:left w:w="108" w:type="dxa"/>
            <w:bottom w:w="0" w:type="dxa"/>
            <w:right w:w="108" w:type="dxa"/>
          </w:tblCellMar>
        </w:tblPrEx>
        <w:trPr>
          <w:trHeight w:val="5100" w:hRule="atLeast"/>
        </w:trPr>
        <w:tc>
          <w:tcPr>
            <w:tcW w:w="8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组织管理服务</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实现组织机构的灵活管理，包括学校部门、岗位、编制信息进行统一管理。可对学校的编制、岗位信息进行动态设置，并且支持对占编、占岗数进行实时查看。</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组织机构维护：实现对学校的所有职能部门、二级学院进行管理，具体包括对组织机构的增设、修改、合并以及撤销等功能，支持树形的展示方式，能够直观的展示学校所有组织机构的详细信息以及部门人员信息。</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编制管理：根据学校实际的发展情况，系统能够灵活设置及调整学校各部门、各类岗位的组织机构和人员编制定额，具体包括编制类别维护、编制控制数管理、查看编制详细信息。</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岗位管理：系统对全校所有岗位信息进行集中管理，其中包括：岗位类别、岗位级别、编制类别、岗位编号、岗位名称、岗位职责、岗位业绩指标、岗位目标等岗位信息管理。系统支持对全校所有占岗占编数进行数据查询和管理。如果超出岗位设置要求系统会以强、弱两种方式予以提示，采用强制控制系统会禁止录入该岗位人员；采用弱控制系统会给出提示信息，但允许人员入库。</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岗位分析：岗位缺岗分析，能够根据学校岗位等级来查询学校岗位占岗情况。</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变更查询：对全校的部门、岗位变动信息进行记录，形成历史变动信息，方便后期数据的查询和分析。</w:t>
            </w:r>
          </w:p>
        </w:tc>
      </w:tr>
      <w:tr>
        <w:tblPrEx>
          <w:tblCellMar>
            <w:top w:w="0" w:type="dxa"/>
            <w:left w:w="108" w:type="dxa"/>
            <w:bottom w:w="0" w:type="dxa"/>
            <w:right w:w="108" w:type="dxa"/>
          </w:tblCellMar>
        </w:tblPrEx>
        <w:trPr>
          <w:trHeight w:val="8190" w:hRule="atLeast"/>
        </w:trPr>
        <w:tc>
          <w:tcPr>
            <w:tcW w:w="8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教师信息服务</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电子档案管理：通过电子档案管理，让用户实现对全校所有教职工信息管理和查询，形成教工档案一览表。让用户实现教师发展历史记录，形成发展轨迹档案。</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系统需支持自定义高级查询条件，查询字段可自定义多种查询方式，满足学校人事信息管理需求。</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人员信息库可建立多套信息管理（查询）库；如：在职在编人员信息库、离校人员信息库、返聘人员信息库、非事业编制人员信息库等。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人员信息数据管理添加部门管理员角色权限，部门信息数据可下放部门管理员进行数据管理。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让用户实现教师个人档案一表式自动生成与导出。</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人事基本信息管理：实现人事基本信息管理，可以将不同的信息项分配给不同的人员进行管理和维护（例如师资科管理出国进修、培训的信息），教职工扩展信息包括但不限于：工作经历，学习经历，家庭成员，政治面貌、任职资格、培训进修、奖惩信息等信息。普通教职工登录人事个人综合服务平台，可以对自己相关的业务数据进行查询和维护。</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科研信息：包括论文著作管理、科研项目管理。系统支持科研数据从科研系统同步的功能。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任职资格信息：系统支持对全校所有教职工的任职资格信息进行维护与管理，支持对任职资格信息进行新增、删除、导入、导出操作。其中任职资格信息包括：教师资格证书信息、教师资格证管理、专业技术职务信息、双师信息管理、工人技术等级信息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奖惩信息：系统支持全校所有教职工的荣誉奖励和惩处信息的管理。支持撤销惩处信息登记功能。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培训进修管理：实现培训进修管理服务，包括国内进修信息管理、出国（境）进修信息管理、岗前培训管理、教职工培训管理和社会实践信息等信息管理。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师资信息管理：实现师资信息管理服务，包括重点人才培养管理、荣誉称号、社会实践、企业兼职信息管理、学术兼职信息管理、社会兼职信息管理、班主任信息管理、导师信息管理等信息管理。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教职工人员分类管理：通过教职工人员分类管理服务，使系统实现根据不同的教职工人员类型，进行教职工分类管理。包括：干部人员信息管理、高层次人员信息管理、博士后人员信息管理、临时人员信息管理、离退休人员信息、兼职兼课人员等信息管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高级人才信息管理：实现高级人才信息管理服务，使用户对学校高级人才的详细信息进行管理，包括专家职工号、姓名、出生日期、所在具体部门、技术职务、职称级别、岗位等级、批准单位、批准单位级别信息、批准时间、享受待遇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博士后管理：系统应支持博士后的进站、出站以及工作站点进行管理，具体包括博士后进站页面信息的维护、博士后的信息进行管理、博士后进站消息提醒、博士后信息查询、流动站点的管理。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临时人员管理：实现临时人员管理服务，使用户能够对部门或院系临时教职工人员信息进行信息管理，部门或院系可上报本部门下的临时人员信息，提交给人事处进行统一管理和数据审核。临时人员信息包括临时职工号、姓名、出生日期、身份证号、户籍所在地、学历、学位、单位、进入本单位时间、职务、评定时间、工种、手机号、合同签订时间等。实现灵活自定义信息字段扩展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外聘教师管理：通过外聘教师管理服务，实现外聘教师信息的管理，包括职工号、姓名、出生日期、身份证号、学历、学位、职称等。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头像（照片）管理：对全校所有教职工头像（照片）进行管理。系统提供批量导入、导出教职工头像（照片）信息。</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花名册管理：系统支持灵活设置常用人员花名册，管理员可自定义查询方案（自定义查询条件、查询信息、显示字段），然后保存查询方案和花名册。当管理员想一键调出之前的查询方案和人员名单，可以一键调出管理员自定义保存好的人员名册，花名册可以导出excel文件和打印。</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信息查询：实现教职工信息查询服务，使用户能够将教职工人员信息管理和信息查询分开管理。可针对不同业务场景和角色，授予对应的管理和查询的权限。满足不同场景下学校信息管理需求。</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信息快照：实现信息归档服务，使管理人员根据业务管理需求，实现对全校教职工信息进行数据定期归档，形成全校教职工某一时刻的教职工档案信息，方便后期数据查询和数据分析。</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自定义扩展：用户可根据学校业务对教职工档案信息进行自定义扩展功能，满足学校教职工信息管理需求。</w:t>
            </w:r>
          </w:p>
        </w:tc>
      </w:tr>
      <w:tr>
        <w:tblPrEx>
          <w:tblCellMar>
            <w:top w:w="0" w:type="dxa"/>
            <w:left w:w="108" w:type="dxa"/>
            <w:bottom w:w="0" w:type="dxa"/>
            <w:right w:w="108" w:type="dxa"/>
          </w:tblCellMar>
        </w:tblPrEx>
        <w:trPr>
          <w:trHeight w:val="90" w:hRule="atLeast"/>
        </w:trPr>
        <w:tc>
          <w:tcPr>
            <w:tcW w:w="8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人员调配服务</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人事管理模块是人事处管理员对全校所有教职工的异动信息进行管理。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入职、报到：通过入职、报到服务，使用户实现将招聘系统中确定录用的教职工人员进行入职报到办理，并支持自动生成教职工号。</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转正管理：系统根据提醒规则，到期自动提醒试用将到期的教职工人员和管理人员，普通教职工可在线填写试用转正申请，管理人员可对试用到期的人员为其办理转正或延期转正的业务。</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岗位聘任管理：系统对聘岗人员的岗位信息进行管理。普通教职工可对校内的岗位空缺信息，在线提交岗位聘任申请。</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校内调动：实现管理人员为校内调动人员办理校内调动业务。普通教职工或部门可在线提交校内调动申请。</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离校离职：实现管理人员为教职工办理离校离职登记。普通教职工可在线提交离校离职申请。</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退休管理：通过退休管理服务，为用户实现将退休、已退休以及延迟退休的教职工人员进行管理，可为待退休人员提供退休、提前退休或延迟退休等相关业务的办理。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待退休：通过待退休服务，为满足退休条件的教职工人员实现退休管理人员和退休人员办理对应的退休手续进行自动筛选和提醒。</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已退休：对学校已退休的教职工人员进行查看和返聘业务办理。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延迟退休：对延迟退休的教职工人员进行管理。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返聘管理：提供返聘管理服务，实现对已达到法定退休年龄，但是又可以继续为学校任职的教职工进行返聘管理。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去世管理：实现对已故的教职工信息的进行维护和登记。</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异动统计：实现对不同时间范围内，校内的人事异动统计，默认为年。</w:t>
            </w:r>
          </w:p>
        </w:tc>
      </w:tr>
      <w:tr>
        <w:tblPrEx>
          <w:tblCellMar>
            <w:top w:w="0" w:type="dxa"/>
            <w:left w:w="108" w:type="dxa"/>
            <w:bottom w:w="0" w:type="dxa"/>
            <w:right w:w="108" w:type="dxa"/>
          </w:tblCellMar>
        </w:tblPrEx>
        <w:trPr>
          <w:trHeight w:val="1785" w:hRule="atLeast"/>
        </w:trPr>
        <w:tc>
          <w:tcPr>
            <w:tcW w:w="8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合同管理</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1）合同管理服务实现全校所有教职工合同的管理。合同类型包括：聘用合同，劳务合同，博士后合同，临时工合同、出国协议等。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2）实现用户对教职工签订的合同信息进行在线管理功能。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3）对将到期的合同签订的管理人员和本人提供提醒服务，为其合同续签还是解除操作进行办理。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4）为用户实现支持同时进行多份合同信息的签订，以及所有教职工合同签订信息查看功能。</w:t>
            </w:r>
          </w:p>
        </w:tc>
      </w:tr>
      <w:tr>
        <w:tblPrEx>
          <w:tblCellMar>
            <w:top w:w="0" w:type="dxa"/>
            <w:left w:w="108" w:type="dxa"/>
            <w:bottom w:w="0" w:type="dxa"/>
            <w:right w:w="108" w:type="dxa"/>
          </w:tblCellMar>
        </w:tblPrEx>
        <w:trPr>
          <w:trHeight w:val="510" w:hRule="atLeast"/>
        </w:trPr>
        <w:tc>
          <w:tcPr>
            <w:tcW w:w="8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档案管理</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档案管理服务提供教职工人事档案转入、借出、转出、销毁、遗失状态进行维护，实现线下档案信息化管理。</w:t>
            </w:r>
          </w:p>
        </w:tc>
      </w:tr>
      <w:tr>
        <w:tblPrEx>
          <w:tblCellMar>
            <w:top w:w="0" w:type="dxa"/>
            <w:left w:w="108" w:type="dxa"/>
            <w:bottom w:w="0" w:type="dxa"/>
            <w:right w:w="108" w:type="dxa"/>
          </w:tblCellMar>
        </w:tblPrEx>
        <w:trPr>
          <w:trHeight w:val="3825" w:hRule="atLeast"/>
        </w:trPr>
        <w:tc>
          <w:tcPr>
            <w:tcW w:w="8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考勤管理</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考勤管理服务为用户实现各部门考勤人员对本部门考勤情况的上报，支持教职工人员进行日常考勤的管理。普通教职工可进行日常考勤申请，如请假申请、销假申请等的在线提交。</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可对日常工作进行考勤，形成考勤统计，导出为pdf、Excel、word等格式文件。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考勤类别设置：系统可动态维护缺勤人员类别，包括：事假、病假、婚假、产假、探亲假、丧假、产检假、看护假等考勤类型。</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考勤上报：部门考勤人员对部门请假的考勤信息进行数据上报，提交部门领导审核。</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数据审核、备案：实现对部门上报的月度考勤情况进行审批、备案。支持人事管理人员可以在线登记教职工请假、加班记录信息功能。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考勤统计：支持管理人员查询考勤情况、汇总统计各个部门的考勤情况。形成部门考勤月报。</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节假日管理：系统支持对接学校校历数据，对学期或年度放假的节假日信息进行管理。</w:t>
            </w:r>
          </w:p>
        </w:tc>
      </w:tr>
      <w:tr>
        <w:tblPrEx>
          <w:tblCellMar>
            <w:top w:w="0" w:type="dxa"/>
            <w:left w:w="108" w:type="dxa"/>
            <w:bottom w:w="0" w:type="dxa"/>
            <w:right w:w="108" w:type="dxa"/>
          </w:tblCellMar>
        </w:tblPrEx>
        <w:trPr>
          <w:trHeight w:val="2295" w:hRule="atLeast"/>
        </w:trPr>
        <w:tc>
          <w:tcPr>
            <w:tcW w:w="8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师资管理</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出国境管理：对学校出国境教职工信息进行管理。普通教职工可在线提交出国境申请。</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因私出国境管理：对学校因私出国境的教职工信息进行管理。普通教职工可在线提交因私出国境表单申请。</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攻读硕博：对学校教职工参与攻读硕博的信息进行管理。普通教职工可在线提交攻读硕博表单申请。</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访问学者管理：对学校参加访问学者的教职工信息进行管理。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教师培训：对教职工参与的相关培训进行管理。普通教职工或部门可在线提交教师培训申请表单。</w:t>
            </w:r>
          </w:p>
        </w:tc>
      </w:tr>
      <w:tr>
        <w:tblPrEx>
          <w:tblCellMar>
            <w:top w:w="0" w:type="dxa"/>
            <w:left w:w="108" w:type="dxa"/>
            <w:bottom w:w="0" w:type="dxa"/>
            <w:right w:w="108" w:type="dxa"/>
          </w:tblCellMar>
        </w:tblPrEx>
        <w:trPr>
          <w:trHeight w:val="2805" w:hRule="atLeast"/>
        </w:trPr>
        <w:tc>
          <w:tcPr>
            <w:tcW w:w="8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统计分析</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实现事业单位中常见的统计报表（高校基础报表（教育部制定共21张）、工资报表11张）以及业务模块中常见的自定义统计报表。</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1）固定报表：实现系统中常用的报表展示以及导出Excel数据，以及系统常用的学历、年龄、职称图表统计。</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2）自定义统计：用户可以自定义统计方案、自定义展现的形式，进行数据的查看和统计，并支持统计结果导出。</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3）多维度统计：系统应提供多种统计维度；如学历学位分析、年龄分析、性别分析、岗位分析、职称分析、高层次人才分析等维度统计。</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4）领导桌面：系统实现领导桌面功能，让学校领导可视化全校教职工信息（指标分析）并能够钻取、导出查询的教职工信息。</w:t>
            </w:r>
          </w:p>
        </w:tc>
      </w:tr>
      <w:tr>
        <w:tblPrEx>
          <w:tblCellMar>
            <w:top w:w="0" w:type="dxa"/>
            <w:left w:w="108" w:type="dxa"/>
            <w:bottom w:w="0" w:type="dxa"/>
            <w:right w:w="108" w:type="dxa"/>
          </w:tblCellMar>
        </w:tblPrEx>
        <w:trPr>
          <w:trHeight w:val="510" w:hRule="atLeast"/>
        </w:trPr>
        <w:tc>
          <w:tcPr>
            <w:tcW w:w="8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人事系统支撑服务模块</w:t>
            </w: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智能变动消息服务</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教职工从入校前、在校期间、离校后的人员信息内容变动，系统自动关联相关业务并进行消息提醒，提高业务的协同性。</w:t>
            </w:r>
          </w:p>
        </w:tc>
      </w:tr>
      <w:tr>
        <w:tblPrEx>
          <w:tblCellMar>
            <w:top w:w="0" w:type="dxa"/>
            <w:left w:w="108" w:type="dxa"/>
            <w:bottom w:w="0" w:type="dxa"/>
            <w:right w:w="108" w:type="dxa"/>
          </w:tblCellMar>
        </w:tblPrEx>
        <w:trPr>
          <w:trHeight w:val="270" w:hRule="atLeast"/>
        </w:trPr>
        <w:tc>
          <w:tcPr>
            <w:tcW w:w="8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教师个人服务中心</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个人信息查询、事务申请、通知公告自助服务中心。</w:t>
            </w:r>
          </w:p>
        </w:tc>
      </w:tr>
      <w:tr>
        <w:tblPrEx>
          <w:tblCellMar>
            <w:top w:w="0" w:type="dxa"/>
            <w:left w:w="108" w:type="dxa"/>
            <w:bottom w:w="0" w:type="dxa"/>
            <w:right w:w="108" w:type="dxa"/>
          </w:tblCellMar>
        </w:tblPrEx>
        <w:trPr>
          <w:trHeight w:val="765" w:hRule="atLeast"/>
        </w:trPr>
        <w:tc>
          <w:tcPr>
            <w:tcW w:w="8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9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移动端服务</w:t>
            </w:r>
          </w:p>
        </w:tc>
        <w:tc>
          <w:tcPr>
            <w:tcW w:w="32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根据学院实际，可自定义集成到微信服务号、钉钉等各平台，实现人事业务移动化，移动端服务包含移动考勤、移动考核、移动招聘、事务申请审批、数据查询等服务，方便教职工日常事务管理。</w:t>
            </w:r>
          </w:p>
        </w:tc>
      </w:tr>
    </w:tbl>
    <w:p>
      <w:pPr>
        <w:pStyle w:val="37"/>
        <w:ind w:firstLine="0" w:firstLineChars="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1.15 移动微门户平台</w:t>
      </w:r>
    </w:p>
    <w:tbl>
      <w:tblPr>
        <w:tblStyle w:val="88"/>
        <w:tblW w:w="5000" w:type="pct"/>
        <w:tblInd w:w="0" w:type="dxa"/>
        <w:tblLayout w:type="autofit"/>
        <w:tblCellMar>
          <w:top w:w="0" w:type="dxa"/>
          <w:left w:w="108" w:type="dxa"/>
          <w:bottom w:w="0" w:type="dxa"/>
          <w:right w:w="108" w:type="dxa"/>
        </w:tblCellMar>
      </w:tblPr>
      <w:tblGrid>
        <w:gridCol w:w="1614"/>
        <w:gridCol w:w="1568"/>
        <w:gridCol w:w="6060"/>
      </w:tblGrid>
      <w:tr>
        <w:tblPrEx>
          <w:tblCellMar>
            <w:top w:w="0" w:type="dxa"/>
            <w:left w:w="108" w:type="dxa"/>
            <w:bottom w:w="0" w:type="dxa"/>
            <w:right w:w="108" w:type="dxa"/>
          </w:tblCellMar>
        </w:tblPrEx>
        <w:trPr>
          <w:trHeight w:val="522" w:hRule="atLeast"/>
        </w:trPr>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产品名称</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产品模块</w:t>
            </w:r>
          </w:p>
        </w:tc>
        <w:tc>
          <w:tcPr>
            <w:tcW w:w="32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主要性能参数需求</w:t>
            </w:r>
          </w:p>
        </w:tc>
      </w:tr>
      <w:tr>
        <w:tblPrEx>
          <w:tblCellMar>
            <w:top w:w="0" w:type="dxa"/>
            <w:left w:w="108" w:type="dxa"/>
            <w:bottom w:w="0" w:type="dxa"/>
            <w:right w:w="108" w:type="dxa"/>
          </w:tblCellMar>
        </w:tblPrEx>
        <w:trPr>
          <w:trHeight w:val="2295" w:hRule="atLeast"/>
        </w:trPr>
        <w:tc>
          <w:tcPr>
            <w:tcW w:w="87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基础要求</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性能要求</w:t>
            </w:r>
          </w:p>
        </w:tc>
        <w:tc>
          <w:tcPr>
            <w:tcW w:w="327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根据我校师生用户规模、对外服务的实际需求及现有计算机资源实际情况，所投“移动微门户平台”满足以下性能要求。在不超过5台主流配置（CPU主频不高于3Ghz，内存不高于16GB）应用服务器环境下测试，系统支持4000个并发用户执行登录操作，平均响应时间不超过1.5秒，事务成功率不低于95%。100个并发用户执行消息发送操作，平均响应时间不超过0.5秒，事务成功率不低于95%。</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（提供系统原厂商具有CNAS标识或CMA标识的第三方软件评测机构出具的性能评测报告扫描图）</w:t>
            </w:r>
          </w:p>
        </w:tc>
      </w:tr>
      <w:tr>
        <w:tblPrEx>
          <w:tblCellMar>
            <w:top w:w="0" w:type="dxa"/>
            <w:left w:w="108" w:type="dxa"/>
            <w:bottom w:w="0" w:type="dxa"/>
            <w:right w:w="108" w:type="dxa"/>
          </w:tblCellMar>
        </w:tblPrEx>
        <w:trPr>
          <w:trHeight w:val="510" w:hRule="atLeast"/>
        </w:trPr>
        <w:tc>
          <w:tcPr>
            <w:tcW w:w="87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移动支撑</w:t>
            </w:r>
          </w:p>
        </w:tc>
        <w:tc>
          <w:tcPr>
            <w:tcW w:w="84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钉钉/企业微信协作平台融合模块</w:t>
            </w:r>
          </w:p>
        </w:tc>
        <w:tc>
          <w:tcPr>
            <w:tcW w:w="327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能够基于企业微信或钉钉平台，实现通讯录同步，保证在校师生用户可以正常使用钉钉/企业微信</w:t>
            </w:r>
          </w:p>
        </w:tc>
      </w:tr>
      <w:tr>
        <w:tblPrEx>
          <w:tblCellMar>
            <w:top w:w="0" w:type="dxa"/>
            <w:left w:w="108" w:type="dxa"/>
            <w:bottom w:w="0" w:type="dxa"/>
            <w:right w:w="108" w:type="dxa"/>
          </w:tblCellMar>
        </w:tblPrEx>
        <w:trPr>
          <w:trHeight w:val="510"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27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移动管理后台，提供平台基础支撑管理。包括人员信息、标签、操作日志、运行情况管理等。</w:t>
            </w:r>
          </w:p>
        </w:tc>
      </w:tr>
      <w:tr>
        <w:tblPrEx>
          <w:tblCellMar>
            <w:top w:w="0" w:type="dxa"/>
            <w:left w:w="108" w:type="dxa"/>
            <w:bottom w:w="0" w:type="dxa"/>
            <w:right w:w="108" w:type="dxa"/>
          </w:tblCellMar>
        </w:tblPrEx>
        <w:trPr>
          <w:trHeight w:val="510"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27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对钉钉/企业微信平台的用户访问记录进行统计分析与可视化展示。</w:t>
            </w:r>
          </w:p>
        </w:tc>
      </w:tr>
      <w:tr>
        <w:tblPrEx>
          <w:tblCellMar>
            <w:top w:w="0" w:type="dxa"/>
            <w:left w:w="108" w:type="dxa"/>
            <w:bottom w:w="0" w:type="dxa"/>
            <w:right w:w="108" w:type="dxa"/>
          </w:tblCellMar>
        </w:tblPrEx>
        <w:trPr>
          <w:trHeight w:val="765"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2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后台数据采集引擎，数据采集支持，对不同采集类的数据进行管理，包括系统管理、日志审计、接口管理、参数管理等。</w:t>
            </w:r>
          </w:p>
        </w:tc>
      </w:tr>
      <w:tr>
        <w:tblPrEx>
          <w:tblCellMar>
            <w:top w:w="0" w:type="dxa"/>
            <w:left w:w="108" w:type="dxa"/>
            <w:bottom w:w="0" w:type="dxa"/>
            <w:right w:w="108" w:type="dxa"/>
          </w:tblCellMar>
        </w:tblPrEx>
        <w:trPr>
          <w:trHeight w:val="510"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2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数据处理引擎，管理用来配置和管理处理任务，查询任务执行日志等操作。</w:t>
            </w:r>
          </w:p>
        </w:tc>
      </w:tr>
      <w:tr>
        <w:tblPrEx>
          <w:tblCellMar>
            <w:top w:w="0" w:type="dxa"/>
            <w:left w:w="108" w:type="dxa"/>
            <w:bottom w:w="0" w:type="dxa"/>
            <w:right w:w="108" w:type="dxa"/>
          </w:tblCellMar>
        </w:tblPrEx>
        <w:trPr>
          <w:trHeight w:val="510"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32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消息引擎，实现消息源、消息推送测录，消息渠道的配与管理。</w:t>
            </w:r>
          </w:p>
        </w:tc>
      </w:tr>
      <w:tr>
        <w:tblPrEx>
          <w:tblCellMar>
            <w:top w:w="0" w:type="dxa"/>
            <w:left w:w="108" w:type="dxa"/>
            <w:bottom w:w="0" w:type="dxa"/>
            <w:right w:w="108" w:type="dxa"/>
          </w:tblCellMar>
        </w:tblPrEx>
        <w:trPr>
          <w:trHeight w:val="510" w:hRule="atLeast"/>
        </w:trPr>
        <w:tc>
          <w:tcPr>
            <w:tcW w:w="87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校园助手</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校园概况</w:t>
            </w:r>
          </w:p>
        </w:tc>
        <w:tc>
          <w:tcPr>
            <w:tcW w:w="32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展示研究院对外公开的基本情况及校园详情，一般显示研究院介绍，校歌，校训，院系介绍等内容。</w:t>
            </w:r>
          </w:p>
        </w:tc>
      </w:tr>
      <w:tr>
        <w:tblPrEx>
          <w:tblCellMar>
            <w:top w:w="0" w:type="dxa"/>
            <w:left w:w="108" w:type="dxa"/>
            <w:bottom w:w="0" w:type="dxa"/>
            <w:right w:w="108" w:type="dxa"/>
          </w:tblCellMar>
        </w:tblPrEx>
        <w:trPr>
          <w:trHeight w:val="510"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校园风光</w:t>
            </w:r>
          </w:p>
        </w:tc>
        <w:tc>
          <w:tcPr>
            <w:tcW w:w="32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展示研究院自然风光，还提供可自行拍照和删除、点赞功能。</w:t>
            </w:r>
          </w:p>
        </w:tc>
      </w:tr>
      <w:tr>
        <w:tblPrEx>
          <w:tblCellMar>
            <w:top w:w="0" w:type="dxa"/>
            <w:left w:w="108" w:type="dxa"/>
            <w:bottom w:w="0" w:type="dxa"/>
            <w:right w:w="108" w:type="dxa"/>
          </w:tblCellMar>
        </w:tblPrEx>
        <w:trPr>
          <w:trHeight w:val="510"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校园地图</w:t>
            </w:r>
          </w:p>
        </w:tc>
        <w:tc>
          <w:tcPr>
            <w:tcW w:w="32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校园地图可根据用户需要设置重要地点和按不同地区显示并设置中心点，进行地点的搜索导航。</w:t>
            </w:r>
          </w:p>
        </w:tc>
      </w:tr>
      <w:tr>
        <w:tblPrEx>
          <w:tblCellMar>
            <w:top w:w="0" w:type="dxa"/>
            <w:left w:w="108" w:type="dxa"/>
            <w:bottom w:w="0" w:type="dxa"/>
            <w:right w:w="108" w:type="dxa"/>
          </w:tblCellMar>
        </w:tblPrEx>
        <w:trPr>
          <w:trHeight w:val="510"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校园新闻</w:t>
            </w:r>
          </w:p>
        </w:tc>
        <w:tc>
          <w:tcPr>
            <w:tcW w:w="32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用于展示研究院的新闻，有两种展示方式：第一种是获取研究院新闻网页的数据，第二种是直接跳转研究院网址。</w:t>
            </w:r>
          </w:p>
        </w:tc>
      </w:tr>
      <w:tr>
        <w:tblPrEx>
          <w:tblCellMar>
            <w:top w:w="0" w:type="dxa"/>
            <w:left w:w="108" w:type="dxa"/>
            <w:bottom w:w="0" w:type="dxa"/>
            <w:right w:w="108" w:type="dxa"/>
          </w:tblCellMar>
        </w:tblPrEx>
        <w:trPr>
          <w:trHeight w:val="510"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图书借阅</w:t>
            </w:r>
          </w:p>
        </w:tc>
        <w:tc>
          <w:tcPr>
            <w:tcW w:w="32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图书借阅基础功能包括图书借阅记录、欠费情况。此外掌上校园支持馆藏查询及收藏功能。</w:t>
            </w:r>
          </w:p>
        </w:tc>
      </w:tr>
      <w:tr>
        <w:tblPrEx>
          <w:tblCellMar>
            <w:top w:w="0" w:type="dxa"/>
            <w:left w:w="108" w:type="dxa"/>
            <w:bottom w:w="0" w:type="dxa"/>
            <w:right w:w="108" w:type="dxa"/>
          </w:tblCellMar>
        </w:tblPrEx>
        <w:trPr>
          <w:trHeight w:val="765"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日程（课程、校历、会议等）</w:t>
            </w:r>
          </w:p>
        </w:tc>
        <w:tc>
          <w:tcPr>
            <w:tcW w:w="32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日程展示当前用户近期在校安排，包括课程、考试、校历、会议等。</w:t>
            </w:r>
          </w:p>
        </w:tc>
      </w:tr>
    </w:tbl>
    <w:p>
      <w:pPr>
        <w:pStyle w:val="37"/>
        <w:ind w:firstLine="0" w:firstLineChars="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1.16</w:t>
      </w:r>
      <w:r>
        <w:rPr>
          <w:rFonts w:ascii="宋体" w:hAnsi="宋体" w:cs="宋体"/>
          <w:b/>
          <w:bCs/>
          <w:color w:val="auto"/>
          <w:sz w:val="21"/>
          <w:szCs w:val="21"/>
          <w:highlight w:val="none"/>
        </w:rPr>
        <w:t xml:space="preserve"> </w:t>
      </w:r>
      <w:r>
        <w:rPr>
          <w:rFonts w:hint="eastAsia" w:ascii="宋体" w:hAnsi="宋体" w:cs="宋体"/>
          <w:b/>
          <w:bCs/>
          <w:color w:val="auto"/>
          <w:sz w:val="21"/>
          <w:szCs w:val="21"/>
          <w:highlight w:val="none"/>
        </w:rPr>
        <w:t>资产与采购管理系统</w:t>
      </w:r>
    </w:p>
    <w:tbl>
      <w:tblPr>
        <w:tblStyle w:val="88"/>
        <w:tblW w:w="4999" w:type="pct"/>
        <w:tblInd w:w="0" w:type="dxa"/>
        <w:tblLayout w:type="autofit"/>
        <w:tblCellMar>
          <w:top w:w="0" w:type="dxa"/>
          <w:left w:w="108" w:type="dxa"/>
          <w:bottom w:w="0" w:type="dxa"/>
          <w:right w:w="108" w:type="dxa"/>
        </w:tblCellMar>
      </w:tblPr>
      <w:tblGrid>
        <w:gridCol w:w="1032"/>
        <w:gridCol w:w="1747"/>
        <w:gridCol w:w="6461"/>
      </w:tblGrid>
      <w:tr>
        <w:tblPrEx>
          <w:tblCellMar>
            <w:top w:w="0" w:type="dxa"/>
            <w:left w:w="108" w:type="dxa"/>
            <w:bottom w:w="0" w:type="dxa"/>
            <w:right w:w="108" w:type="dxa"/>
          </w:tblCellMar>
        </w:tblPrEx>
        <w:trPr>
          <w:trHeight w:val="48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b/>
                <w:bCs/>
                <w:color w:val="auto"/>
                <w:sz w:val="20"/>
                <w:highlight w:val="none"/>
              </w:rPr>
              <w:t>产品名称</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b/>
                <w:bCs/>
                <w:color w:val="auto"/>
                <w:sz w:val="20"/>
                <w:highlight w:val="none"/>
              </w:rPr>
              <w:t>产品模块</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b/>
                <w:bCs/>
                <w:color w:val="auto"/>
                <w:sz w:val="20"/>
                <w:highlight w:val="none"/>
              </w:rPr>
              <w:t>主要性能参数需求</w:t>
            </w:r>
          </w:p>
        </w:tc>
      </w:tr>
      <w:tr>
        <w:tblPrEx>
          <w:tblCellMar>
            <w:top w:w="0" w:type="dxa"/>
            <w:left w:w="108" w:type="dxa"/>
            <w:bottom w:w="0" w:type="dxa"/>
            <w:right w:w="108" w:type="dxa"/>
          </w:tblCellMar>
        </w:tblPrEx>
        <w:trPr>
          <w:trHeight w:val="480"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资产与采购管理系统</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功能要求</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支持汇总展示资产类统计数据，待办任务分类数量等统一工作台</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支持发起采购计划申请，并按照系统统一设定的审批流程进行采购计划审批</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支持按周，月，季度等对采购次数和金额进行统计，按部门对采购数据进行统计</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支持查看系统发送审批等消息和管理员发送的通知公告信息</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支持将资产信息进行入库，并形式该资产的独立二维码</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支持通过硬件设备打印资产二维码，然后贴在资产实物上</w:t>
            </w:r>
          </w:p>
        </w:tc>
      </w:tr>
      <w:tr>
        <w:tblPrEx>
          <w:tblCellMar>
            <w:top w:w="0" w:type="dxa"/>
            <w:left w:w="108" w:type="dxa"/>
            <w:bottom w:w="0" w:type="dxa"/>
            <w:right w:w="108" w:type="dxa"/>
          </w:tblCellMar>
        </w:tblPrEx>
        <w:trPr>
          <w:trHeight w:val="72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支持展示系统所有的资产清单，可查看某个资产的详细信息，如：资产基本信息，资产操作信息，资产盘点记录等</w:t>
            </w:r>
          </w:p>
        </w:tc>
      </w:tr>
      <w:tr>
        <w:tblPrEx>
          <w:tblCellMar>
            <w:top w:w="0" w:type="dxa"/>
            <w:left w:w="108" w:type="dxa"/>
            <w:bottom w:w="0" w:type="dxa"/>
            <w:right w:w="108" w:type="dxa"/>
          </w:tblCellMar>
        </w:tblPrEx>
        <w:trPr>
          <w:trHeight w:val="72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支持对资产进行领用、退还、借用/归还、变更、调拨、维修、报废、处置、折旧等操作，相关操作需要进行审核通过后才能生效</w:t>
            </w:r>
          </w:p>
        </w:tc>
      </w:tr>
      <w:tr>
        <w:tblPrEx>
          <w:tblCellMar>
            <w:top w:w="0" w:type="dxa"/>
            <w:left w:w="108" w:type="dxa"/>
            <w:bottom w:w="0" w:type="dxa"/>
            <w:right w:w="108" w:type="dxa"/>
          </w:tblCellMar>
        </w:tblPrEx>
        <w:trPr>
          <w:trHeight w:val="72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支持通过IoT设备与资产设备进行绑定，监测资产设备是否在运行中，系统记录资产的运行状态</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支持对资产进行盘点，可以进行全部盘点，也可以只针对部分资产分类进行盘点</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支持全员参与盘点，员工盘点自己名下或负责管理的资产</w:t>
            </w:r>
          </w:p>
        </w:tc>
      </w:tr>
      <w:tr>
        <w:tblPrEx>
          <w:tblCellMar>
            <w:top w:w="0" w:type="dxa"/>
            <w:left w:w="108" w:type="dxa"/>
            <w:bottom w:w="0" w:type="dxa"/>
            <w:right w:w="108" w:type="dxa"/>
          </w:tblCellMar>
        </w:tblPrEx>
        <w:trPr>
          <w:trHeight w:val="288"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支持对资产盘点进行盘盈、盘亏、正常等处理</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支持形成盘点报告，统计此次盘点资产的盘盈、盘亏、正常的总体情况</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支持员工可以查看自己名下的所有资产信息，对资产发起报修操作，也可以根据需要发起资产申请</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当员工离职或调岗后，支持员工将名下资产进行交接</w:t>
            </w:r>
          </w:p>
        </w:tc>
      </w:tr>
      <w:tr>
        <w:tblPrEx>
          <w:tblCellMar>
            <w:top w:w="0" w:type="dxa"/>
            <w:left w:w="108" w:type="dxa"/>
            <w:bottom w:w="0" w:type="dxa"/>
            <w:right w:w="108" w:type="dxa"/>
          </w:tblCellMar>
        </w:tblPrEx>
        <w:trPr>
          <w:trHeight w:val="96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支持以流程图的方式设定审批流，管理员可以通过拖动流程块和连接线的方式来便捷的完成审批流程的设定，支持为系统中的审批流设置默认审批流程，支持自定义流程设定</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支持汇总所有需要个人审批的审批单，并进行审批处理</w:t>
            </w:r>
          </w:p>
        </w:tc>
      </w:tr>
      <w:tr>
        <w:tblPrEx>
          <w:tblCellMar>
            <w:top w:w="0" w:type="dxa"/>
            <w:left w:w="108" w:type="dxa"/>
            <w:bottom w:w="0" w:type="dxa"/>
            <w:right w:w="108" w:type="dxa"/>
          </w:tblCellMar>
        </w:tblPrEx>
        <w:trPr>
          <w:trHeight w:val="288"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支持根据资产的类型对资产数量进行统计</w:t>
            </w:r>
          </w:p>
        </w:tc>
      </w:tr>
      <w:tr>
        <w:tblPrEx>
          <w:tblCellMar>
            <w:top w:w="0" w:type="dxa"/>
            <w:left w:w="108" w:type="dxa"/>
            <w:bottom w:w="0" w:type="dxa"/>
            <w:right w:w="108" w:type="dxa"/>
          </w:tblCellMar>
        </w:tblPrEx>
        <w:trPr>
          <w:trHeight w:val="288"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支持分部门对资产的数量进行统计</w:t>
            </w:r>
          </w:p>
        </w:tc>
      </w:tr>
      <w:tr>
        <w:tblPrEx>
          <w:tblCellMar>
            <w:top w:w="0" w:type="dxa"/>
            <w:left w:w="108" w:type="dxa"/>
            <w:bottom w:w="0" w:type="dxa"/>
            <w:right w:w="108" w:type="dxa"/>
          </w:tblCellMar>
        </w:tblPrEx>
        <w:trPr>
          <w:trHeight w:val="288"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支持按照月度展示每月增加的资产费用账单</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支持展示资产折旧和报废的费用账单，可按照时间段进行搜索</w:t>
            </w:r>
          </w:p>
        </w:tc>
      </w:tr>
      <w:tr>
        <w:tblPrEx>
          <w:tblCellMar>
            <w:top w:w="0" w:type="dxa"/>
            <w:left w:w="108" w:type="dxa"/>
            <w:bottom w:w="0" w:type="dxa"/>
            <w:right w:w="108" w:type="dxa"/>
          </w:tblCellMar>
        </w:tblPrEx>
        <w:trPr>
          <w:trHeight w:val="288"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支持按员工，对员工名下资产数量和价值统计</w:t>
            </w:r>
          </w:p>
        </w:tc>
      </w:tr>
      <w:tr>
        <w:tblPrEx>
          <w:tblCellMar>
            <w:top w:w="0" w:type="dxa"/>
            <w:left w:w="108" w:type="dxa"/>
            <w:bottom w:w="0" w:type="dxa"/>
            <w:right w:w="108" w:type="dxa"/>
          </w:tblCellMar>
        </w:tblPrEx>
        <w:trPr>
          <w:trHeight w:val="288"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支持展示资产操作和处理台账记录</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支持统计IoT监控设备的使用状态反馈，统计设备的使用时长，运行状态情况等</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支持通过部门，资产状态等对资产数据进行图表统计分析</w:t>
            </w:r>
          </w:p>
        </w:tc>
      </w:tr>
      <w:tr>
        <w:tblPrEx>
          <w:tblCellMar>
            <w:top w:w="0" w:type="dxa"/>
            <w:left w:w="108" w:type="dxa"/>
            <w:bottom w:w="0" w:type="dxa"/>
            <w:right w:w="108" w:type="dxa"/>
          </w:tblCellMar>
        </w:tblPrEx>
        <w:trPr>
          <w:trHeight w:val="72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支持对系统中通用的资产进行分类，资产存放位置，资产供应商等统一进行管理，便于资产入库时可直接选择</w:t>
            </w:r>
          </w:p>
        </w:tc>
      </w:tr>
      <w:tr>
        <w:tblPrEx>
          <w:tblCellMar>
            <w:top w:w="0" w:type="dxa"/>
            <w:left w:w="108" w:type="dxa"/>
            <w:bottom w:w="0" w:type="dxa"/>
            <w:right w:w="108" w:type="dxa"/>
          </w:tblCellMar>
        </w:tblPrEx>
        <w:trPr>
          <w:trHeight w:val="288"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支持对系统名称，logo，通知公告等进行管理</w:t>
            </w:r>
          </w:p>
        </w:tc>
      </w:tr>
      <w:tr>
        <w:tblPrEx>
          <w:tblCellMar>
            <w:top w:w="0" w:type="dxa"/>
            <w:left w:w="108" w:type="dxa"/>
            <w:bottom w:w="0" w:type="dxa"/>
            <w:right w:w="108" w:type="dxa"/>
          </w:tblCellMar>
        </w:tblPrEx>
        <w:trPr>
          <w:trHeight w:val="480"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移动端应用</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功能要求</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支持通过移动设备扫描资产二维码，获取资产详细信息，并对资产进行领用，维护，报废等操作。</w:t>
            </w:r>
          </w:p>
        </w:tc>
      </w:tr>
      <w:tr>
        <w:tblPrEx>
          <w:tblCellMar>
            <w:top w:w="0" w:type="dxa"/>
            <w:left w:w="108" w:type="dxa"/>
            <w:bottom w:w="0" w:type="dxa"/>
            <w:right w:w="108" w:type="dxa"/>
          </w:tblCellMar>
        </w:tblPrEx>
        <w:trPr>
          <w:trHeight w:val="288"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支持通过移动设备扫描资产二维码，进行资产盘点</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支持汇总所有需要个人审批的审批单，并进行审批处理</w:t>
            </w:r>
          </w:p>
        </w:tc>
      </w:tr>
      <w:tr>
        <w:tblPrEx>
          <w:tblCellMar>
            <w:top w:w="0" w:type="dxa"/>
            <w:left w:w="108" w:type="dxa"/>
            <w:bottom w:w="0" w:type="dxa"/>
            <w:right w:w="108" w:type="dxa"/>
          </w:tblCellMar>
        </w:tblPrEx>
        <w:trPr>
          <w:trHeight w:val="48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通过与本次建设的移动平台对接，实现在移动端平台上的统一使用</w:t>
            </w:r>
          </w:p>
        </w:tc>
      </w:tr>
    </w:tbl>
    <w:p>
      <w:pPr>
        <w:pStyle w:val="37"/>
        <w:ind w:firstLine="210"/>
        <w:rPr>
          <w:rFonts w:ascii="宋体" w:hAnsi="宋体" w:eastAsia="宋体" w:cs="宋体"/>
          <w:color w:val="auto"/>
          <w:szCs w:val="21"/>
          <w:highlight w:val="none"/>
        </w:rPr>
      </w:pPr>
    </w:p>
    <w:p>
      <w:pPr>
        <w:pStyle w:val="73"/>
        <w:rPr>
          <w:color w:val="auto"/>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1.17 宿舍管理系统</w:t>
      </w:r>
    </w:p>
    <w:tbl>
      <w:tblPr>
        <w:tblStyle w:val="88"/>
        <w:tblW w:w="4999" w:type="pct"/>
        <w:tblInd w:w="0" w:type="dxa"/>
        <w:tblLayout w:type="autofit"/>
        <w:tblCellMar>
          <w:top w:w="0" w:type="dxa"/>
          <w:left w:w="108" w:type="dxa"/>
          <w:bottom w:w="0" w:type="dxa"/>
          <w:right w:w="108" w:type="dxa"/>
        </w:tblCellMar>
      </w:tblPr>
      <w:tblGrid>
        <w:gridCol w:w="1395"/>
        <w:gridCol w:w="1501"/>
        <w:gridCol w:w="6344"/>
      </w:tblGrid>
      <w:tr>
        <w:tblPrEx>
          <w:tblCellMar>
            <w:top w:w="0" w:type="dxa"/>
            <w:left w:w="108" w:type="dxa"/>
            <w:bottom w:w="0" w:type="dxa"/>
            <w:right w:w="108" w:type="dxa"/>
          </w:tblCellMar>
        </w:tblPrEx>
        <w:trPr>
          <w:trHeight w:val="276"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模块</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功能</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参数需求</w:t>
            </w:r>
          </w:p>
        </w:tc>
      </w:tr>
      <w:tr>
        <w:tblPrEx>
          <w:tblCellMar>
            <w:top w:w="0" w:type="dxa"/>
            <w:left w:w="108" w:type="dxa"/>
            <w:bottom w:w="0" w:type="dxa"/>
            <w:right w:w="108" w:type="dxa"/>
          </w:tblCellMar>
        </w:tblPrEx>
        <w:trPr>
          <w:trHeight w:val="480" w:hRule="atLeast"/>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宿舍楼栋房间管理模块</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房间信息管理</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提供校区、楼栋、楼层、房间用途、男女属性、床位数、宿舍朝向、收费周期、收费标准、房间电话等信息管理。</w:t>
            </w:r>
          </w:p>
        </w:tc>
      </w:tr>
      <w:tr>
        <w:tblPrEx>
          <w:tblCellMar>
            <w:top w:w="0" w:type="dxa"/>
            <w:left w:w="108" w:type="dxa"/>
            <w:bottom w:w="0" w:type="dxa"/>
            <w:right w:w="108" w:type="dxa"/>
          </w:tblCellMar>
        </w:tblPrEx>
        <w:trPr>
          <w:trHeight w:val="276"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楼栋管理员设置</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实现对楼栋管理员的管理，包括校区、楼栋名称、楼栋属性、楼栋管理员内容。</w:t>
            </w:r>
          </w:p>
        </w:tc>
      </w:tr>
      <w:tr>
        <w:tblPrEx>
          <w:tblCellMar>
            <w:top w:w="0" w:type="dxa"/>
            <w:left w:w="108" w:type="dxa"/>
            <w:bottom w:w="0" w:type="dxa"/>
            <w:right w:w="108" w:type="dxa"/>
          </w:tblCellMar>
        </w:tblPrEx>
        <w:trPr>
          <w:trHeight w:val="480" w:hRule="atLeast"/>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宿舍分配模块</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床位管理与分配</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提供校区、楼栋、楼层、房间、床位数、男女属性、床位号、学院、专业、班级、年级等信息，实现床位管理与分配。</w:t>
            </w:r>
          </w:p>
        </w:tc>
      </w:tr>
      <w:tr>
        <w:tblPrEx>
          <w:tblCellMar>
            <w:top w:w="0" w:type="dxa"/>
            <w:left w:w="108" w:type="dxa"/>
            <w:bottom w:w="0" w:type="dxa"/>
            <w:right w:w="108" w:type="dxa"/>
          </w:tblCellMar>
        </w:tblPrEx>
        <w:trPr>
          <w:trHeight w:val="48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学院二次分配</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提供校区、楼栋、楼层、房间、床位数、男女属性、床位号、学院、专业、班级、年级等信息，实现学院二次分配。</w:t>
            </w:r>
          </w:p>
        </w:tc>
      </w:tr>
      <w:tr>
        <w:tblPrEx>
          <w:tblCellMar>
            <w:top w:w="0" w:type="dxa"/>
            <w:left w:w="108" w:type="dxa"/>
            <w:bottom w:w="0" w:type="dxa"/>
            <w:right w:w="108" w:type="dxa"/>
          </w:tblCellMar>
        </w:tblPrEx>
        <w:trPr>
          <w:trHeight w:val="48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列表床位分配</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提供校区、楼栋、楼层、房间、男女属性、床位号、学院、专业、班级、年级等信息，实现列表床位自动分配。</w:t>
            </w:r>
          </w:p>
        </w:tc>
      </w:tr>
      <w:tr>
        <w:tblPrEx>
          <w:tblCellMar>
            <w:top w:w="0" w:type="dxa"/>
            <w:left w:w="108" w:type="dxa"/>
            <w:bottom w:w="0" w:type="dxa"/>
            <w:right w:w="108" w:type="dxa"/>
          </w:tblCellMar>
        </w:tblPrEx>
        <w:trPr>
          <w:trHeight w:val="480" w:hRule="atLeast"/>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宿舍日常管理模块</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可视化管理</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实现所属床源、所属年级宿舍信息查看，包括入住率、床位使用率、男女比例、学院人数比例内容。</w:t>
            </w:r>
          </w:p>
        </w:tc>
      </w:tr>
      <w:tr>
        <w:tblPrEx>
          <w:tblCellMar>
            <w:top w:w="0" w:type="dxa"/>
            <w:left w:w="108" w:type="dxa"/>
            <w:bottom w:w="0" w:type="dxa"/>
            <w:right w:w="108" w:type="dxa"/>
          </w:tblCellMar>
        </w:tblPrEx>
        <w:trPr>
          <w:trHeight w:val="48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寝室长管理</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提供校区、楼栋、楼层、房间号、寝室长姓名、手机号码等内容，实现寝室长设置管理。</w:t>
            </w:r>
          </w:p>
        </w:tc>
      </w:tr>
      <w:tr>
        <w:tblPrEx>
          <w:tblCellMar>
            <w:top w:w="0" w:type="dxa"/>
            <w:left w:w="108" w:type="dxa"/>
            <w:bottom w:w="0" w:type="dxa"/>
            <w:right w:w="108" w:type="dxa"/>
          </w:tblCellMar>
        </w:tblPrEx>
        <w:trPr>
          <w:trHeight w:val="48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退宿管理</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提供姓名、性别、学院、专业、班级、退宿原因、退宿时间等信息管理，管理员可手动登记退宿学生信息，同时支持学生通过申请流程，调宿审批通过后，完成退宿。</w:t>
            </w:r>
          </w:p>
        </w:tc>
      </w:tr>
      <w:tr>
        <w:tblPrEx>
          <w:tblCellMar>
            <w:top w:w="0" w:type="dxa"/>
            <w:left w:w="108" w:type="dxa"/>
            <w:bottom w:w="0" w:type="dxa"/>
            <w:right w:w="108" w:type="dxa"/>
          </w:tblCellMar>
        </w:tblPrEx>
        <w:trPr>
          <w:trHeight w:val="72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调宿管理</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提供姓名、性别、校区、学院、专业、班级、调宿原因、调宿时间等信息管理，管理员可手动登记调宿学生信息，支持单个宿舍调宿及批量调宿，同时支持学生通过申请流程，调宿审批通过后，完成调宿。</w:t>
            </w:r>
          </w:p>
        </w:tc>
      </w:tr>
      <w:tr>
        <w:tblPrEx>
          <w:tblCellMar>
            <w:top w:w="0" w:type="dxa"/>
            <w:left w:w="108" w:type="dxa"/>
            <w:bottom w:w="0" w:type="dxa"/>
            <w:right w:w="108" w:type="dxa"/>
          </w:tblCellMar>
        </w:tblPrEx>
        <w:trPr>
          <w:trHeight w:val="48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维修信息</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支持学生发起维修申请，提供公寓维修信息登记，包括联系电话、维修项目、维修故障描述、故障图片内容记录。实现维修管理。</w:t>
            </w:r>
          </w:p>
        </w:tc>
      </w:tr>
      <w:tr>
        <w:tblPrEx>
          <w:tblCellMar>
            <w:top w:w="0" w:type="dxa"/>
            <w:left w:w="108" w:type="dxa"/>
            <w:bottom w:w="0" w:type="dxa"/>
            <w:right w:w="108" w:type="dxa"/>
          </w:tblCellMar>
        </w:tblPrEx>
        <w:trPr>
          <w:trHeight w:val="276"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宿舍对调</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提供需要调换的房间、被调换的房间、调换时间，实现宿舍对调业务。</w:t>
            </w:r>
          </w:p>
        </w:tc>
      </w:tr>
      <w:tr>
        <w:tblPrEx>
          <w:tblCellMar>
            <w:top w:w="0" w:type="dxa"/>
            <w:left w:w="108" w:type="dxa"/>
            <w:bottom w:w="0" w:type="dxa"/>
            <w:right w:w="108" w:type="dxa"/>
          </w:tblCellMar>
        </w:tblPrEx>
        <w:trPr>
          <w:trHeight w:val="276"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卫生评比表管理</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提供评比表名称、制定人、制定日期、状态内容，实现卫生评比表管理。</w:t>
            </w:r>
          </w:p>
        </w:tc>
      </w:tr>
      <w:tr>
        <w:tblPrEx>
          <w:tblCellMar>
            <w:top w:w="0" w:type="dxa"/>
            <w:left w:w="108" w:type="dxa"/>
            <w:bottom w:w="0" w:type="dxa"/>
            <w:right w:w="108" w:type="dxa"/>
          </w:tblCellMar>
        </w:tblPrEx>
        <w:trPr>
          <w:trHeight w:val="48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晚归登记</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提供晚归人员管理，包括姓名、学号、晚归日期、回寝时间、类型、学院、专业、班级等信息。</w:t>
            </w:r>
          </w:p>
        </w:tc>
      </w:tr>
      <w:tr>
        <w:tblPrEx>
          <w:tblCellMar>
            <w:top w:w="0" w:type="dxa"/>
            <w:left w:w="108" w:type="dxa"/>
            <w:bottom w:w="0" w:type="dxa"/>
            <w:right w:w="108" w:type="dxa"/>
          </w:tblCellMar>
        </w:tblPrEx>
        <w:trPr>
          <w:trHeight w:val="48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违纪管理</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提供对违纪学生进行违纪登记管理，包括登记时间、违纪时间、违纪学生、违纪类型等。</w:t>
            </w:r>
          </w:p>
        </w:tc>
      </w:tr>
      <w:tr>
        <w:tblPrEx>
          <w:tblCellMar>
            <w:top w:w="0" w:type="dxa"/>
            <w:left w:w="108" w:type="dxa"/>
            <w:bottom w:w="0" w:type="dxa"/>
            <w:right w:w="108" w:type="dxa"/>
          </w:tblCellMar>
        </w:tblPrEx>
        <w:trPr>
          <w:trHeight w:val="48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走读生查询</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支持学生发起学生走读申请，包括申请走读年份、走读申请理由、走读所住地址等内容，实现对走读生进行查询操作。</w:t>
            </w:r>
          </w:p>
        </w:tc>
      </w:tr>
      <w:tr>
        <w:tblPrEx>
          <w:tblCellMar>
            <w:top w:w="0" w:type="dxa"/>
            <w:left w:w="108" w:type="dxa"/>
            <w:bottom w:w="0" w:type="dxa"/>
            <w:right w:w="108" w:type="dxa"/>
          </w:tblCellMar>
        </w:tblPrEx>
        <w:trPr>
          <w:trHeight w:val="276"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假期留宿信息发布</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提供假期留宿信息发布，包括申请时间、状态等信息。</w:t>
            </w:r>
          </w:p>
        </w:tc>
      </w:tr>
      <w:tr>
        <w:tblPrEx>
          <w:tblCellMar>
            <w:top w:w="0" w:type="dxa"/>
            <w:left w:w="108" w:type="dxa"/>
            <w:bottom w:w="0" w:type="dxa"/>
            <w:right w:w="108" w:type="dxa"/>
          </w:tblCellMar>
        </w:tblPrEx>
        <w:trPr>
          <w:trHeight w:val="48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宿舍违纪记录</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提供学期、楼栋、楼层、房间、违纪类型、违纪时间等内容查看，实现宿舍违纪记录管理。</w:t>
            </w:r>
          </w:p>
        </w:tc>
      </w:tr>
      <w:tr>
        <w:tblPrEx>
          <w:tblCellMar>
            <w:top w:w="0" w:type="dxa"/>
            <w:left w:w="108" w:type="dxa"/>
            <w:bottom w:w="0" w:type="dxa"/>
            <w:right w:w="108" w:type="dxa"/>
          </w:tblCellMar>
        </w:tblPrEx>
        <w:trPr>
          <w:trHeight w:val="480" w:hRule="atLeast"/>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统计查询模块</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宿舍住宿信息查询</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提供校区、楼栋、楼层、房间、男女属性、床位、姓名、身份证号、学号等内容进行管理，实现宿舍住宿信息查询。</w:t>
            </w:r>
          </w:p>
        </w:tc>
      </w:tr>
      <w:tr>
        <w:tblPrEx>
          <w:tblCellMar>
            <w:top w:w="0" w:type="dxa"/>
            <w:left w:w="108" w:type="dxa"/>
            <w:bottom w:w="0" w:type="dxa"/>
            <w:right w:w="108" w:type="dxa"/>
          </w:tblCellMar>
        </w:tblPrEx>
        <w:trPr>
          <w:trHeight w:val="48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学生住宿情况统计</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提供学生住宿情况统计，支持多维度统计，包括学院住宿情况统计、年级专业住宿情况统计、班级住宿情况统计、晚归、违纪统计等。</w:t>
            </w:r>
          </w:p>
        </w:tc>
      </w:tr>
      <w:tr>
        <w:tblPrEx>
          <w:tblCellMar>
            <w:top w:w="0" w:type="dxa"/>
            <w:left w:w="108" w:type="dxa"/>
            <w:bottom w:w="0" w:type="dxa"/>
            <w:right w:w="108" w:type="dxa"/>
          </w:tblCellMar>
        </w:tblPrEx>
        <w:trPr>
          <w:trHeight w:val="480" w:hRule="atLeast"/>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住宿历史记录查询</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提供住宿历史记录查询，包括学号、姓名、学院、专业、班级、年级、校区名称、楼栋名称、楼层名称、房间名称等内容。</w:t>
            </w:r>
          </w:p>
        </w:tc>
      </w:tr>
      <w:tr>
        <w:tblPrEx>
          <w:tblCellMar>
            <w:top w:w="0" w:type="dxa"/>
            <w:left w:w="108" w:type="dxa"/>
            <w:bottom w:w="0" w:type="dxa"/>
            <w:right w:w="108" w:type="dxa"/>
          </w:tblCellMar>
        </w:tblPrEx>
        <w:trPr>
          <w:trHeight w:val="48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移动宿舍管理模块</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移动宿舍管理</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提供公寓信息查询（住宿信息、床源信息、宿舍卫生检查统计、违纪统计、晚归情况统计）、卫生检查打分、违纪登记移动服务。</w:t>
            </w:r>
          </w:p>
        </w:tc>
      </w:tr>
    </w:tbl>
    <w:p>
      <w:pPr>
        <w:pStyle w:val="37"/>
        <w:ind w:firstLine="21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1.18 科研管理系统</w:t>
      </w:r>
    </w:p>
    <w:tbl>
      <w:tblPr>
        <w:tblStyle w:val="88"/>
        <w:tblW w:w="4999" w:type="pct"/>
        <w:tblInd w:w="0" w:type="dxa"/>
        <w:tblLayout w:type="autofit"/>
        <w:tblCellMar>
          <w:top w:w="0" w:type="dxa"/>
          <w:left w:w="108" w:type="dxa"/>
          <w:bottom w:w="0" w:type="dxa"/>
          <w:right w:w="108" w:type="dxa"/>
        </w:tblCellMar>
      </w:tblPr>
      <w:tblGrid>
        <w:gridCol w:w="1270"/>
        <w:gridCol w:w="1013"/>
        <w:gridCol w:w="6957"/>
      </w:tblGrid>
      <w:tr>
        <w:tblPrEx>
          <w:tblCellMar>
            <w:top w:w="0" w:type="dxa"/>
            <w:left w:w="108" w:type="dxa"/>
            <w:bottom w:w="0" w:type="dxa"/>
            <w:right w:w="108" w:type="dxa"/>
          </w:tblCellMar>
        </w:tblPrEx>
        <w:trPr>
          <w:trHeight w:val="312"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模块</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功能</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参数需求</w:t>
            </w:r>
          </w:p>
        </w:tc>
      </w:tr>
      <w:tr>
        <w:tblPrEx>
          <w:tblCellMar>
            <w:top w:w="0" w:type="dxa"/>
            <w:left w:w="108" w:type="dxa"/>
            <w:bottom w:w="0" w:type="dxa"/>
            <w:right w:w="108" w:type="dxa"/>
          </w:tblCellMar>
        </w:tblPrEx>
        <w:trPr>
          <w:trHeight w:val="480" w:hRule="atLeast"/>
        </w:trPr>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项目管理</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纵向项目</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实现各级各类纵向项目精细化、差异化管理，包括立项登记、中检变更、验收结项管理，提供增、删、改、查、审、Excel导入导出以及统计分析功能：</w:t>
            </w:r>
          </w:p>
        </w:tc>
      </w:tr>
      <w:tr>
        <w:tblPrEx>
          <w:tblCellMar>
            <w:top w:w="0" w:type="dxa"/>
            <w:left w:w="108" w:type="dxa"/>
            <w:bottom w:w="0" w:type="dxa"/>
            <w:right w:w="108" w:type="dxa"/>
          </w:tblCellMar>
        </w:tblPrEx>
        <w:trPr>
          <w:trHeight w:val="96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立项管理：项目基本信息、成员信息、预算信息（批复、配套、外拨）、合作单位等信息管理以及项目文档管理；支持项目立项信息 Excel数据批量导入，可对导入数据完整性和有效性进行校验；支持国家自然科学基金项目PDF计划书批量解析导入，实现项目基本信息、成员信息、预算信息解析获取。</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变更管理：项目委托、预算、成员、延期、中止等变更提交、审核和备案；</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中检管理：项目中期检查要求设置，中期检查材料提交、审核；</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结项管理：项目验收前置提醒，结项材料及成果提交、审核、电子归档等；</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分类管理：可建立项目分类结构树，配置各类项目级别、预算标准、经费建卡模式、预算拆分规则、费用提取方案及其编号规则。</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横向项目</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合同签审管理：可上传合同电子版提交审核，可浏览合同历史版本和审核意见，支持合同在线浏览和打印；</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合同备案管理：已签署合同登记备案，提供合同增、删、改、查、审、Excel导入导出以及统计分析功能；</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合同变更管理：合同变更申请、审核和备案；</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合作单位资质管理：合作单位基本信息和相关资质材料管理；</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合同分类管理：可设置合同类别，可上传和维护各类合同模板。</w:t>
            </w:r>
          </w:p>
        </w:tc>
      </w:tr>
      <w:tr>
        <w:tblPrEx>
          <w:tblCellMar>
            <w:top w:w="0" w:type="dxa"/>
            <w:left w:w="108" w:type="dxa"/>
            <w:bottom w:w="0" w:type="dxa"/>
            <w:right w:w="108" w:type="dxa"/>
          </w:tblCellMar>
        </w:tblPrEx>
        <w:trPr>
          <w:trHeight w:val="72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校级项目</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网上申报管理：基于项目申报方案，服务于校内项目申报工作，包括申报计划编制、申报条件设定、申报信息登记、申报材料提交和审核等。可定制申报书模板，由系统自动合成PDF格式申报书全文，支持PDF格式申报书全文网上浏览，支持带水印或者二维码打印。</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网上评审功能，包括评审方案制定，评审专家指派，评审计划发布，专家网上评审，评审过程跟踪，评审结果汇总以及统计分析等功能。</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校级项目立项登记、中检变更、验收结项管理，提供增、删、改、查、审、Excel导入导出以及统计分析功能。</w:t>
            </w:r>
          </w:p>
        </w:tc>
      </w:tr>
      <w:tr>
        <w:tblPrEx>
          <w:tblCellMar>
            <w:top w:w="0" w:type="dxa"/>
            <w:left w:w="108" w:type="dxa"/>
            <w:bottom w:w="0" w:type="dxa"/>
            <w:right w:w="108" w:type="dxa"/>
          </w:tblCellMar>
        </w:tblPrEx>
        <w:trPr>
          <w:trHeight w:val="276" w:hRule="atLeast"/>
        </w:trPr>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经费管理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银行到款</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银行到款信息登记、查询、统计等，支持Excel批量导入。</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项目入账</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批量到款可由科研管理人员网上批量分配，支持拨款单导入。</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个别到款（不清楚来款归属项目的）可由项目负责人网上认领、科研管理人员审批。</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项目经费卡建卡和入账，可支持经费拆卡、拆预算模式，经审批通过后，可根据项目入账信息打印到款通知单。</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可对项目到账信息进行查询、统计、导出。</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费用提取</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项目入账登记时，各类费用自动提取、记录，可手动调整。</w:t>
            </w:r>
          </w:p>
        </w:tc>
      </w:tr>
      <w:tr>
        <w:tblPrEx>
          <w:tblCellMar>
            <w:top w:w="0" w:type="dxa"/>
            <w:left w:w="108" w:type="dxa"/>
            <w:bottom w:w="0" w:type="dxa"/>
            <w:right w:w="108" w:type="dxa"/>
          </w:tblCellMar>
        </w:tblPrEx>
        <w:trPr>
          <w:trHeight w:val="276" w:hRule="atLeast"/>
        </w:trPr>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科研财务协同</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接口对接</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通过与财务系统对接，实现科研管理部门和财务管理部门科研经费数据共享：</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数据接口：开发科研与财务系统数据接口，建立数据信任和传递机制；</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数据对照：项目分类对照，项目编码及代号对照，预算科目标准与财务报销科目对照；</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信息共享：项目预算信息共享，银行到款信息共享，项目入账信息共享，财务报销信息共享；</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数据同步：展示科研与财务系统共享信息及同步状态，提供同步核对功能。</w:t>
            </w:r>
          </w:p>
        </w:tc>
      </w:tr>
      <w:tr>
        <w:tblPrEx>
          <w:tblCellMar>
            <w:top w:w="0" w:type="dxa"/>
            <w:left w:w="108" w:type="dxa"/>
            <w:bottom w:w="0" w:type="dxa"/>
            <w:right w:w="108" w:type="dxa"/>
          </w:tblCellMar>
        </w:tblPrEx>
        <w:trPr>
          <w:trHeight w:val="417"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业务协同</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通过与财务系统对接，实现科研管理部门和财务管理部门科研经费业务协同，包括项目入账、经费外拨、预算变更、预借票据、经费调账、经费结转等业务申请审批，各类经费结算单据生成和打印，推送财务系统实现业务协同。经费业务协同具体内容，需要根据研究院科研和财务实际情况进一步分析确定。</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可设置各类项目“预算-报销”科目对照表，将财务报销明细信息自动对应到项目预算科目中，以跟踪项目预算执行率；</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经费执行统计，可从项目、学院、年度等角度，统计科研经费执行率；</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经费执行预警，可设置项目经费执行预警触发条件和信息模板，系统可动态向项目负责人推送相关预警信息；</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经费工作量分割，可分割项目经费工作量至各项目成员，用于项目成员工作量考核；</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项目绩效分割，可分割项目绩效经费至各项目成员，经科研管理人员审批后进行绩效发放。</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数据处理</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制定科研经费历史数据处理策略，对已结题项目和在研项目科研经费历史数据进行处理，需针对不同类型项目特点对科研经费历史数据进行差异化处理。</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提供数据清洗协同，提供系统运转过程中异常数据处理和数据纠偏。</w:t>
            </w:r>
          </w:p>
        </w:tc>
      </w:tr>
      <w:tr>
        <w:tblPrEx>
          <w:tblCellMar>
            <w:top w:w="0" w:type="dxa"/>
            <w:left w:w="108" w:type="dxa"/>
            <w:bottom w:w="0" w:type="dxa"/>
            <w:right w:w="108" w:type="dxa"/>
          </w:tblCellMar>
        </w:tblPrEx>
        <w:trPr>
          <w:trHeight w:val="276" w:hRule="atLeast"/>
        </w:trPr>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成果管理</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科研成果</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论文登记审核：支持Excel批量导入、在线登记、论文认领、论文自助检索四种形式；</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论文库：提供论文查询、Excel导出以及统计分析功能；</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期刊源和刊物级别管理：支持期刊源创建及管理，支持刊物级别设定，并与论文库中的论文数据自动进行匹配；</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著作、研究报告、鉴定成果、艺术作品等成果信息登记、审核、查询、导入导出以及统计分析。</w:t>
            </w:r>
          </w:p>
        </w:tc>
      </w:tr>
      <w:tr>
        <w:tblPrEx>
          <w:tblCellMar>
            <w:top w:w="0" w:type="dxa"/>
            <w:left w:w="108" w:type="dxa"/>
            <w:bottom w:w="0" w:type="dxa"/>
            <w:right w:w="108" w:type="dxa"/>
          </w:tblCellMar>
        </w:tblPrEx>
        <w:trPr>
          <w:trHeight w:val="277"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知识产权</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专利登记审批：在线登记、审核、查询、导入导出以及统计分析。</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常用专利代理公司资质登记及其账号管理，专利申请信息和材料可在线转交专利代理公司进行代理和维护。</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著作权、标准、集成电路布图、药证、新品种等知识产权信息登记、审核、查询、导入导出以及统计分析。</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获奖成果</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获奖登记审批：国家级、省部级等获奖情况信息登记、审核、查询、导入导出以及统计分析。</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学术交流</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主办会议、学术讲座、参加会议、合作研究（人员派遣、人员接受）等学术交流活动信息登记、审核、查询、导入导出以及统计分析。</w:t>
            </w:r>
          </w:p>
        </w:tc>
      </w:tr>
      <w:tr>
        <w:tblPrEx>
          <w:tblCellMar>
            <w:top w:w="0" w:type="dxa"/>
            <w:left w:w="108" w:type="dxa"/>
            <w:bottom w:w="0" w:type="dxa"/>
            <w:right w:w="108" w:type="dxa"/>
          </w:tblCellMar>
        </w:tblPrEx>
        <w:trPr>
          <w:trHeight w:val="960" w:hRule="atLeast"/>
        </w:trPr>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论文网推</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论文网推</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提供中英文论文数据服务，向研究院系统推送其教师发表的中英文论文数据（含SCI、EI、中文期刊论文数据和中科院JCR数据，需要研究院购买相应论文数据库授权），系统自动将论文数据与研究院教师姓名进行匹配，实现研究院教师论文成果数据的智能匹配、推送和教师认领，减少论文数据登记和审核工作量。</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作者/机构中英对照：建立本校教师论文数据检索精确/模糊匹配机制，将论文数据与作者姓名自动进行匹配；</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论文推送认领：论文数据与教师姓名匹配成功后，系统自动将论文信息直接推送到作者本人，作者登录系统直接认领，重名情况重复认领由管理员审批。</w:t>
            </w:r>
          </w:p>
        </w:tc>
      </w:tr>
      <w:tr>
        <w:tblPrEx>
          <w:tblCellMar>
            <w:top w:w="0" w:type="dxa"/>
            <w:left w:w="108" w:type="dxa"/>
            <w:bottom w:w="0" w:type="dxa"/>
            <w:right w:w="108" w:type="dxa"/>
          </w:tblCellMar>
        </w:tblPrEx>
        <w:trPr>
          <w:trHeight w:val="390" w:hRule="atLeast"/>
        </w:trPr>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科研统计</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教育部统计</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基于教育部年度科技、社科统计要求，提供统计辅助工具和服务，实现统计数据装入、检查、校验、报表生成和导出，可导出教育部社科统计XML格式完整数据包，实现研究院科研日常管理数据和教育部年度科研统计数据的无缝对接。</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科研数据汇编</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实现科研数据跨表/跨模块聚合、查询、筛选和汇编，快速生成各类科研基础数据报表，服务于研究院各类科研数据统计分析需求。</w:t>
            </w:r>
          </w:p>
        </w:tc>
      </w:tr>
      <w:tr>
        <w:tblPrEx>
          <w:tblCellMar>
            <w:top w:w="0" w:type="dxa"/>
            <w:left w:w="108" w:type="dxa"/>
            <w:bottom w:w="0" w:type="dxa"/>
            <w:right w:w="108" w:type="dxa"/>
          </w:tblCellMar>
        </w:tblPrEx>
        <w:trPr>
          <w:trHeight w:val="72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数据汇编：自定义科研数据汇编表，支持跨表/跨模块（科研单位、人员、项目、经费、成果以及机构等）科研数据汇编、筛选和排序，支持数汇表子集内容多行多列合并展现，支持数汇表保存、导出（Excel或者PDF），支持已有数汇表快捷检索。</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数据分享：可创建数汇表分享链接，支持跨系统查看数汇表结果，支持页面嵌入方式展示。可添加到数字化校园等其他系统，作为数据表入口，或者直接分享给个人。</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考核奖励</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根据研究院考核奖励办法，定制考核奖励模型，实现考核奖励分值的自动核算。</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考核对象选定：可以以科研机构/学院或者科研个人两个角度进行考核，支持被考核人员Excel清单导入。</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考核范围选定：可选定项目类别、经费类别、成果类别及其相应的时间段区间作为考核范围。</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计分细则制定：可制定各类考核项计分细则，包括基准分值、权重分值和分摊方式。</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考核方案发布：选定考核对象、范围及计分细则形成考核方案，创建考核批次，网上发布。</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考核过程支撑：考核过程跟踪，考核结果推送、质疑及网上反馈。</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考核结果导出：考核结果统计分析及报表导出。</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奖励方案设置：奖励范围、奖励细则以及分摊方案设置。</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奖励批次创建：奖励人员登记、奖励分值计算、确认、疑问网上反馈、结果导出等。</w:t>
            </w:r>
          </w:p>
        </w:tc>
      </w:tr>
      <w:tr>
        <w:tblPrEx>
          <w:tblCellMar>
            <w:top w:w="0" w:type="dxa"/>
            <w:left w:w="108" w:type="dxa"/>
            <w:bottom w:w="0" w:type="dxa"/>
            <w:right w:w="108" w:type="dxa"/>
          </w:tblCellMar>
        </w:tblPrEx>
        <w:trPr>
          <w:trHeight w:val="720" w:hRule="atLeast"/>
        </w:trPr>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基础资源</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科研队伍</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人员库：科研人员基本信息（可与人事系统同步）、科研信息管理及维护，查询、统计及导出；可生成个人科研详情概览，汇总个人科研项目、经费、成果等数据，可自定义配置展示数据项，可进行个人科研详情表导出或者打印。</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专家库：专家分组管理，专家遴选，专家账号管理及维护。</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组织结构：研究院科研组织结构树创建及维护。</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科研平台</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科研平台信息登记管理，包括平台基本信息、规章制度、仪器设备、开放交流以及平台年报等。</w:t>
            </w:r>
          </w:p>
        </w:tc>
      </w:tr>
      <w:tr>
        <w:tblPrEx>
          <w:tblCellMar>
            <w:top w:w="0" w:type="dxa"/>
            <w:left w:w="108" w:type="dxa"/>
            <w:bottom w:w="0" w:type="dxa"/>
            <w:right w:w="108" w:type="dxa"/>
          </w:tblCellMar>
        </w:tblPrEx>
        <w:trPr>
          <w:trHeight w:val="276"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科研平台数据统计，包括平台科研人员、项目、成果和获奖情况。</w:t>
            </w:r>
          </w:p>
        </w:tc>
      </w:tr>
      <w:tr>
        <w:tblPrEx>
          <w:tblCellMar>
            <w:top w:w="0" w:type="dxa"/>
            <w:left w:w="108" w:type="dxa"/>
            <w:bottom w:w="0" w:type="dxa"/>
            <w:right w:w="108" w:type="dxa"/>
          </w:tblCellMar>
        </w:tblPrEx>
        <w:trPr>
          <w:trHeight w:val="720" w:hRule="atLeast"/>
        </w:trPr>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科研服务大厅</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科研服务点</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秉承“最多跑一次”、“最多录一次”的理念，全面梳理科研业务，规范业务流程，规范界面展示，规范业务提醒，搭建网上科研服务大厅，包括科研服务点、业务跟踪、通知公告、个人中心四部分。</w:t>
            </w:r>
          </w:p>
        </w:tc>
      </w:tr>
      <w:tr>
        <w:tblPrEx>
          <w:tblCellMar>
            <w:top w:w="0" w:type="dxa"/>
            <w:left w:w="108" w:type="dxa"/>
            <w:bottom w:w="0" w:type="dxa"/>
            <w:right w:w="108" w:type="dxa"/>
          </w:tblCellMar>
        </w:tblPrEx>
        <w:trPr>
          <w:trHeight w:val="96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服务点为用户提供所有科研服务办理的入口，服务点按照项目、经费、成果、综合等类别进行梳理和构建，针对每项服务点，形成服务说明、服务流程、服务办理事项、服务所需文档模板、服务办理人员、办理咨询电话。在服务大厅实现科研业务办理的统一入口，针对每个服务点实现业务的“一站式”式办理。</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梳理研究院科研业务服务点，并对服务点流程进行梳理、提炼和优化，参考兄弟单位的实现，按照研究院科研管理改革和个人服务提升要求，构建若干具有研究院特色的科研服务点。</w:t>
            </w:r>
          </w:p>
        </w:tc>
      </w:tr>
      <w:tr>
        <w:tblPrEx>
          <w:tblCellMar>
            <w:top w:w="0" w:type="dxa"/>
            <w:left w:w="108" w:type="dxa"/>
            <w:bottom w:w="0" w:type="dxa"/>
            <w:right w:w="108" w:type="dxa"/>
          </w:tblCellMar>
        </w:tblPrEx>
        <w:trPr>
          <w:trHeight w:val="72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业务跟踪</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业务跟踪可对办理中业务的跟踪展示，可对办理中的业务进行查看、催办，办理完成对办理人进行信息提醒。提供服务反馈通道，每个办理人可对业务的办理效果进行信息反馈评价，督促服务人员及服务平台持续优化服务，优化效率。</w:t>
            </w:r>
          </w:p>
        </w:tc>
      </w:tr>
      <w:tr>
        <w:tblPrEx>
          <w:tblCellMar>
            <w:top w:w="0" w:type="dxa"/>
            <w:left w:w="108" w:type="dxa"/>
            <w:bottom w:w="0" w:type="dxa"/>
            <w:right w:w="108" w:type="dxa"/>
          </w:tblCellMar>
        </w:tblPrEx>
        <w:trPr>
          <w:trHeight w:val="72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通知公告</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通知公告可将国家政策、研究院政策、科研资讯等动态信息有效向科研人员推送展示，不仅在平台上可查，重点信息可通过短信、邮件、微信等方式直接推送至个人终端，解决政策“不知晓、难找到”的现实痛点。</w:t>
            </w:r>
          </w:p>
        </w:tc>
      </w:tr>
      <w:tr>
        <w:tblPrEx>
          <w:tblCellMar>
            <w:top w:w="0" w:type="dxa"/>
            <w:left w:w="108" w:type="dxa"/>
            <w:bottom w:w="0" w:type="dxa"/>
            <w:right w:w="108" w:type="dxa"/>
          </w:tblCellMar>
        </w:tblPrEx>
        <w:trPr>
          <w:trHeight w:val="480"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个人中心</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个人中心可对个人科研数据进行全面展示，包括个人的科研项目、科研经费、科研成果、科研奖励等数据，个人科研统计数据，科研业务的审核记录、变更记录可快捷查询。</w:t>
            </w:r>
          </w:p>
        </w:tc>
      </w:tr>
      <w:tr>
        <w:tblPrEx>
          <w:tblCellMar>
            <w:top w:w="0" w:type="dxa"/>
            <w:left w:w="108" w:type="dxa"/>
            <w:bottom w:w="0" w:type="dxa"/>
            <w:right w:w="108" w:type="dxa"/>
          </w:tblCellMar>
        </w:tblPrEx>
        <w:trPr>
          <w:trHeight w:val="480" w:hRule="atLeast"/>
        </w:trPr>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移动科研服务</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移动科研</w:t>
            </w: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通过与本次新建设的移动平台的统一对接，实现科研动态信息（通知公告、待办事项、项目立项、经费入账、绩效发放、执行预警等）实时推送到个人，提升科研服务体验。</w:t>
            </w:r>
          </w:p>
        </w:tc>
      </w:tr>
      <w:tr>
        <w:tblPrEx>
          <w:tblCellMar>
            <w:top w:w="0" w:type="dxa"/>
            <w:left w:w="108" w:type="dxa"/>
            <w:bottom w:w="0" w:type="dxa"/>
            <w:right w:w="108" w:type="dxa"/>
          </w:tblCellMar>
        </w:tblPrEx>
        <w:trPr>
          <w:trHeight w:val="688"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科研人员绑定账号后，可以在移动端自主查询个人科研项目、经费、成果等信息。</w:t>
            </w:r>
          </w:p>
        </w:tc>
      </w:tr>
    </w:tbl>
    <w:p>
      <w:pPr>
        <w:pStyle w:val="37"/>
        <w:ind w:firstLine="210"/>
        <w:rPr>
          <w:rFonts w:ascii="宋体" w:hAnsi="宋体" w:eastAsia="宋体" w:cs="宋体"/>
          <w:color w:val="auto"/>
          <w:szCs w:val="21"/>
          <w:highlight w:val="none"/>
        </w:rPr>
      </w:pPr>
    </w:p>
    <w:p>
      <w:pPr>
        <w:adjustRightInd w:val="0"/>
        <w:snapToGrid w:val="0"/>
        <w:spacing w:line="360" w:lineRule="auto"/>
        <w:jc w:val="left"/>
        <w:outlineLvl w:val="1"/>
        <w:rPr>
          <w:rFonts w:ascii="宋体" w:hAnsi="宋体" w:cs="宋体"/>
          <w:b/>
          <w:color w:val="auto"/>
          <w:sz w:val="32"/>
          <w:highlight w:val="none"/>
        </w:rPr>
      </w:pPr>
      <w:bookmarkStart w:id="84" w:name="_Toc126886000"/>
      <w:r>
        <w:rPr>
          <w:rFonts w:hint="eastAsia" w:ascii="宋体" w:hAnsi="宋体" w:cs="宋体"/>
          <w:b/>
          <w:color w:val="auto"/>
          <w:sz w:val="32"/>
          <w:highlight w:val="none"/>
        </w:rPr>
        <w:t>2、硬件部分技术参数要求</w:t>
      </w:r>
      <w:bookmarkEnd w:id="84"/>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2.1</w:t>
      </w:r>
      <w:r>
        <w:rPr>
          <w:rFonts w:ascii="宋体" w:hAnsi="宋体" w:cs="宋体"/>
          <w:b/>
          <w:bCs/>
          <w:color w:val="auto"/>
          <w:sz w:val="21"/>
          <w:szCs w:val="21"/>
          <w:highlight w:val="none"/>
        </w:rPr>
        <w:t xml:space="preserve"> </w:t>
      </w:r>
      <w:r>
        <w:rPr>
          <w:rFonts w:hint="eastAsia" w:ascii="宋体" w:hAnsi="宋体" w:cs="宋体"/>
          <w:b/>
          <w:bCs/>
          <w:color w:val="auto"/>
          <w:sz w:val="21"/>
          <w:szCs w:val="21"/>
          <w:highlight w:val="none"/>
        </w:rPr>
        <w:t>服务器资源</w:t>
      </w:r>
    </w:p>
    <w:p>
      <w:pPr>
        <w:pStyle w:val="37"/>
        <w:ind w:firstLine="21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ascii="宋体" w:hAnsi="宋体" w:eastAsia="宋体" w:cs="宋体"/>
          <w:b/>
          <w:bCs/>
          <w:color w:val="auto"/>
          <w:szCs w:val="21"/>
          <w:highlight w:val="none"/>
        </w:rPr>
        <w:t>.1.2</w:t>
      </w:r>
      <w:r>
        <w:rPr>
          <w:rFonts w:hint="eastAsia" w:ascii="宋体" w:hAnsi="宋体" w:eastAsia="宋体" w:cs="宋体"/>
          <w:b/>
          <w:bCs/>
          <w:color w:val="auto"/>
          <w:szCs w:val="21"/>
          <w:highlight w:val="none"/>
        </w:rPr>
        <w:t>设备清单</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5599"/>
        <w:gridCol w:w="1189"/>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pPr>
              <w:widowControl/>
              <w:wordWrap w:val="0"/>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模块</w:t>
            </w:r>
          </w:p>
        </w:tc>
        <w:tc>
          <w:tcPr>
            <w:tcW w:w="3029" w:type="pct"/>
            <w:vAlign w:val="center"/>
          </w:tcPr>
          <w:p>
            <w:pPr>
              <w:widowControl/>
              <w:wordWrap w:val="0"/>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采购内容</w:t>
            </w:r>
          </w:p>
        </w:tc>
        <w:tc>
          <w:tcPr>
            <w:tcW w:w="643" w:type="pct"/>
            <w:vAlign w:val="center"/>
          </w:tcPr>
          <w:p>
            <w:pPr>
              <w:widowControl/>
              <w:wordWrap w:val="0"/>
              <w:jc w:val="center"/>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单位</w:t>
            </w:r>
          </w:p>
        </w:tc>
        <w:tc>
          <w:tcPr>
            <w:tcW w:w="542" w:type="pct"/>
            <w:vAlign w:val="center"/>
          </w:tcPr>
          <w:p>
            <w:pPr>
              <w:widowControl/>
              <w:wordWrap w:val="0"/>
              <w:jc w:val="center"/>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restart"/>
            <w:shd w:val="clear" w:color="000000" w:fill="FFFFFF"/>
            <w:noWrap/>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服务器资源</w:t>
            </w: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智能安全分析平台 CPU服务器</w:t>
            </w:r>
          </w:p>
        </w:tc>
        <w:tc>
          <w:tcPr>
            <w:tcW w:w="643"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c>
          <w:tcPr>
            <w:tcW w:w="542"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智能安全分析平台 GPU服务器</w:t>
            </w:r>
          </w:p>
        </w:tc>
        <w:tc>
          <w:tcPr>
            <w:tcW w:w="643"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c>
          <w:tcPr>
            <w:tcW w:w="542"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计算服务器</w:t>
            </w:r>
          </w:p>
        </w:tc>
        <w:tc>
          <w:tcPr>
            <w:tcW w:w="643"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c>
          <w:tcPr>
            <w:tcW w:w="542"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超融合软件</w:t>
            </w:r>
          </w:p>
        </w:tc>
        <w:tc>
          <w:tcPr>
            <w:tcW w:w="643"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542"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计算虚拟化软件</w:t>
            </w:r>
          </w:p>
        </w:tc>
        <w:tc>
          <w:tcPr>
            <w:tcW w:w="643"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542"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存储虚拟化软件</w:t>
            </w:r>
          </w:p>
        </w:tc>
        <w:tc>
          <w:tcPr>
            <w:tcW w:w="643"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542" w:type="pct"/>
            <w:shd w:val="clear" w:color="000000" w:fill="FFFFFF"/>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r>
    </w:tbl>
    <w:p>
      <w:pPr>
        <w:pStyle w:val="37"/>
        <w:ind w:firstLine="211"/>
        <w:rPr>
          <w:rFonts w:ascii="宋体" w:hAnsi="宋体" w:eastAsia="宋体" w:cs="宋体"/>
          <w:color w:val="auto"/>
          <w:szCs w:val="21"/>
          <w:highlight w:val="none"/>
        </w:rPr>
      </w:pPr>
      <w:r>
        <w:rPr>
          <w:rFonts w:hint="eastAsia" w:ascii="宋体" w:hAnsi="宋体" w:eastAsia="宋体" w:cs="宋体"/>
          <w:b/>
          <w:bCs/>
          <w:color w:val="auto"/>
          <w:szCs w:val="21"/>
          <w:highlight w:val="none"/>
        </w:rPr>
        <w:t>2.1.2 基本参数</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198"/>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04" w:type="pct"/>
            <w:vMerge w:val="restart"/>
            <w:vAlign w:val="center"/>
          </w:tcPr>
          <w:p>
            <w:pPr>
              <w:widowControl/>
              <w:wordWrap w:val="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模块</w:t>
            </w:r>
          </w:p>
        </w:tc>
        <w:tc>
          <w:tcPr>
            <w:tcW w:w="648" w:type="pct"/>
            <w:vMerge w:val="restart"/>
            <w:vAlign w:val="center"/>
          </w:tcPr>
          <w:p>
            <w:pPr>
              <w:widowControl/>
              <w:wordWrap w:val="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产品</w:t>
            </w:r>
          </w:p>
        </w:tc>
        <w:tc>
          <w:tcPr>
            <w:tcW w:w="3847" w:type="pct"/>
            <w:vMerge w:val="restart"/>
            <w:vAlign w:val="center"/>
          </w:tcPr>
          <w:p>
            <w:pPr>
              <w:widowControl/>
              <w:wordWrap w:val="0"/>
              <w:jc w:val="center"/>
              <w:rPr>
                <w:rFonts w:ascii="宋体" w:hAnsi="宋体" w:cs="宋体"/>
                <w:b/>
                <w:bCs/>
                <w:color w:val="auto"/>
                <w:kern w:val="0"/>
                <w:sz w:val="21"/>
                <w:szCs w:val="21"/>
                <w:highlight w:val="none"/>
              </w:rPr>
            </w:pPr>
            <w:r>
              <w:rPr>
                <w:rFonts w:hint="eastAsia" w:ascii="宋体" w:hAnsi="宋体" w:cs="宋体"/>
                <w:b/>
                <w:bCs/>
                <w:color w:val="auto"/>
                <w:sz w:val="21"/>
                <w:szCs w:val="21"/>
                <w:highlight w:val="none"/>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4" w:type="pct"/>
            <w:vMerge w:val="continue"/>
            <w:vAlign w:val="center"/>
          </w:tcPr>
          <w:p>
            <w:pPr>
              <w:widowControl/>
              <w:wordWrap w:val="0"/>
              <w:jc w:val="left"/>
              <w:rPr>
                <w:rFonts w:ascii="宋体" w:hAnsi="宋体" w:cs="宋体"/>
                <w:b/>
                <w:bCs/>
                <w:color w:val="auto"/>
                <w:kern w:val="0"/>
                <w:sz w:val="21"/>
                <w:szCs w:val="21"/>
                <w:highlight w:val="none"/>
              </w:rPr>
            </w:pPr>
          </w:p>
        </w:tc>
        <w:tc>
          <w:tcPr>
            <w:tcW w:w="648" w:type="pct"/>
            <w:vMerge w:val="continue"/>
            <w:vAlign w:val="center"/>
          </w:tcPr>
          <w:p>
            <w:pPr>
              <w:widowControl/>
              <w:wordWrap w:val="0"/>
              <w:jc w:val="left"/>
              <w:rPr>
                <w:rFonts w:ascii="宋体" w:hAnsi="宋体" w:cs="宋体"/>
                <w:b/>
                <w:bCs/>
                <w:color w:val="auto"/>
                <w:kern w:val="0"/>
                <w:sz w:val="21"/>
                <w:szCs w:val="21"/>
                <w:highlight w:val="none"/>
              </w:rPr>
            </w:pPr>
          </w:p>
        </w:tc>
        <w:tc>
          <w:tcPr>
            <w:tcW w:w="3847" w:type="pct"/>
            <w:vMerge w:val="continue"/>
            <w:vAlign w:val="center"/>
          </w:tcPr>
          <w:p>
            <w:pPr>
              <w:widowControl/>
              <w:wordWrap w:val="0"/>
              <w:jc w:val="left"/>
              <w:rPr>
                <w:rFonts w:ascii="宋体" w:hAnsi="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Merge w:val="restar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服务器资源</w:t>
            </w:r>
          </w:p>
        </w:tc>
        <w:tc>
          <w:tcPr>
            <w:tcW w:w="648"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智能安全分析平台 CPU服务器</w:t>
            </w:r>
          </w:p>
        </w:tc>
        <w:tc>
          <w:tcPr>
            <w:tcW w:w="3847"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1、2U机架式设备，配置原厂上架导轨；</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2、CPU要求≥2颗，主频≥2.1Ghz，核数≥20；</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3、内存：≥128G DDR4。</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4、硬盘要求：系统盘：≥2*480GB SATA SSD，数据盘：≥2*3.84TB NVMe SSD；</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5、Raid卡：12Gb SAS RAID 2G缓存，VROC模块；</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6、网络：万兆光接口: ≥2个（含光模块）、千兆电接口: ≥2个；</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7、电源：≥550W；</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配置1Gb独立的远程管理控制端口，配置虚拟KVM功能,可实现与操作系统无关的远程对服务器的完全控制，包括远程的开机、关机、重启、更新Firmware、虚拟软驱、虚拟光驱、虚拟文件夹等操作，提供健康日记、服务器控制台录屏/回放功能，能够提供电源监控，可支持动态功率封顶；</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9、支持3D温度海洋形式展示各组件温度传感器的分布图，可让用户直观感知设备整体温感状态；</w:t>
            </w:r>
          </w:p>
          <w:p>
            <w:pPr>
              <w:widowControl/>
              <w:wordWrap w:val="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10、支持无须部署软件的多台服务器统一管理功能，查看设备的基本状态信息，可执行设备操作，包括电源管理、远程KVM访问等</w:t>
            </w:r>
            <w:r>
              <w:rPr>
                <w:rFonts w:hint="eastAsia" w:ascii="宋体" w:hAnsi="宋体" w:cs="宋体"/>
                <w:b w:val="0"/>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Merge w:val="continue"/>
            <w:vAlign w:val="center"/>
          </w:tcPr>
          <w:p>
            <w:pPr>
              <w:widowControl/>
              <w:wordWrap w:val="0"/>
              <w:jc w:val="center"/>
              <w:rPr>
                <w:rFonts w:ascii="宋体" w:hAnsi="宋体" w:cs="宋体"/>
                <w:color w:val="auto"/>
                <w:kern w:val="0"/>
                <w:sz w:val="21"/>
                <w:szCs w:val="21"/>
                <w:highlight w:val="none"/>
              </w:rPr>
            </w:pPr>
          </w:p>
        </w:tc>
        <w:tc>
          <w:tcPr>
            <w:tcW w:w="648"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智能安全分析平台 GPU服务器</w:t>
            </w:r>
          </w:p>
        </w:tc>
        <w:tc>
          <w:tcPr>
            <w:tcW w:w="3847"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1、≥4U机架式，配置原厂上架导轨；</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2、CPU配置≥2颗，主频≥2.4Ghz，核数≥24；</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★3、支持≥8个双宽NVIDIA GPU卡，支持≥20个单宽NVIDIA GPU卡，CPU与GPU间支持1:4与1:8的灵活连接，GPU与GPU支持PCIe4.0连接，（提供</w:t>
            </w:r>
            <w:r>
              <w:rPr>
                <w:rFonts w:hint="eastAsia" w:ascii="宋体" w:hAnsi="宋体" w:cs="宋体"/>
                <w:color w:val="auto"/>
                <w:kern w:val="0"/>
                <w:sz w:val="21"/>
                <w:szCs w:val="21"/>
                <w:highlight w:val="none"/>
                <w:lang w:eastAsia="zh-CN"/>
              </w:rPr>
              <w:t>相关</w:t>
            </w:r>
            <w:r>
              <w:rPr>
                <w:rFonts w:hint="eastAsia" w:ascii="宋体" w:hAnsi="宋体" w:cs="宋体"/>
                <w:color w:val="auto"/>
                <w:kern w:val="0"/>
                <w:sz w:val="21"/>
                <w:szCs w:val="21"/>
                <w:highlight w:val="none"/>
              </w:rPr>
              <w:t>材料证明）；</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4、配置≥4张NVIDIA T4 GPU；</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5、配置≥4*32GB DDR4；</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6、配置≥2*480GB SATA SSD硬盘，≥2* 960GB SATA SSD；</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7、配置1块SAS RAID阵列卡，≥2GB缓存；</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8、配置≥1张双口10Gb SFP+网卡（含光模块），≥1张双口1Gb电接口网卡；</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9、接口≥7个USB接口，≥2 个VGA 接口；</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10、配置2个≥2000w热插拔冗余电源；</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11、配置8个热插拔冗余风扇；</w:t>
            </w:r>
          </w:p>
          <w:p>
            <w:pPr>
              <w:widowControl/>
              <w:wordWrap w:val="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12、支持3D温度海洋形式展示各组件温度传感器的分布图，可让用户直观感知设备整体温感状态；</w:t>
            </w:r>
          </w:p>
          <w:p>
            <w:pPr>
              <w:widowControl/>
              <w:wordWrap w:val="0"/>
              <w:ind w:firstLine="0" w:firstLineChars="0"/>
              <w:jc w:val="left"/>
              <w:rPr>
                <w:rFonts w:ascii="宋体" w:hAnsi="宋体" w:eastAsia="宋体" w:cs="宋体"/>
                <w:color w:val="auto"/>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rPr>
              <w:t>支持无须部署软件的多台服务器统一管理功能，查看设备的基本状态信息，可执行设备操作，包括电源管理、远程KVM访问等</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kern w:val="0"/>
                <w:sz w:val="21"/>
                <w:szCs w:val="21"/>
                <w:highlight w:val="cyan"/>
                <w:lang w:eastAsia="zh-CN"/>
              </w:rPr>
              <w:t>(提供管理界面功能截图)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Merge w:val="continue"/>
            <w:vAlign w:val="center"/>
          </w:tcPr>
          <w:p>
            <w:pPr>
              <w:widowControl/>
              <w:wordWrap w:val="0"/>
              <w:jc w:val="center"/>
              <w:rPr>
                <w:rFonts w:ascii="宋体" w:hAnsi="宋体" w:cs="宋体"/>
                <w:color w:val="auto"/>
                <w:kern w:val="0"/>
                <w:sz w:val="21"/>
                <w:szCs w:val="21"/>
                <w:highlight w:val="none"/>
              </w:rPr>
            </w:pPr>
          </w:p>
        </w:tc>
        <w:tc>
          <w:tcPr>
            <w:tcW w:w="648"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计算服务器</w:t>
            </w:r>
          </w:p>
        </w:tc>
        <w:tc>
          <w:tcPr>
            <w:tcW w:w="3847"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1、2U机架式设备，配置原厂上架导轨；</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1、CPU要求≥2颗，主频≥2.1Ghz，核数≥26；</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2、内存：≥512G DDR4；</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3、硬盘要求：系统盘：≥2*480GB SATA SSD，缓存盘：≥1*960GB NVMe SSD，数据盘：≥3*6TB 7.2K SATA HDD；</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4、Raid卡：12Gb SAS RAID 2G缓存；</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4、网络：万兆光接口≥6个（含光模块），千兆电接口≥4个；</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5、电源：≥800W；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Merge w:val="continue"/>
            <w:vAlign w:val="center"/>
          </w:tcPr>
          <w:p>
            <w:pPr>
              <w:widowControl/>
              <w:wordWrap w:val="0"/>
              <w:jc w:val="center"/>
              <w:rPr>
                <w:rFonts w:ascii="宋体" w:hAnsi="宋体" w:cs="宋体"/>
                <w:color w:val="auto"/>
                <w:kern w:val="0"/>
                <w:sz w:val="21"/>
                <w:szCs w:val="21"/>
                <w:highlight w:val="none"/>
              </w:rPr>
            </w:pPr>
          </w:p>
        </w:tc>
        <w:tc>
          <w:tcPr>
            <w:tcW w:w="648"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超融合软件</w:t>
            </w:r>
          </w:p>
        </w:tc>
        <w:tc>
          <w:tcPr>
            <w:tcW w:w="3847"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1、管理平台双机热备：超融合管理平台提供主备节点冗余方式确保平台的可用性；</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2、资源统一管理：通过超融合管理平台即可实现对计算、存储、网络等资源进行统一管理，所有功能无需界面跳转即可实现全部操作，真正融合、简化管理；</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可靠性中心：针对超融合整体软硬件故障问题，提供统一的可视的监控管理中心，可视化实时监控中心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维人员可以直观查看集群的整体运行情况，可以快速诊断集群的健康状态，同时支持对无需关注的检测异常启用屏蔽功能，启用屏蔽功能的检测异常将不会上报显示，现实可视、可控、可管，简化运维</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大屏展示：支持一键切换展示大屏功能，直观展示虚拟化资源池的健康度、告警、资源使用情况等，同时展示内容支持用户自定义，可定制的指标包括但不限于主机性能、虚拟机性能、共享存储性能、系统总体健康度、主机健康度、CPU分配比、内存分配比、存储分配比、系统告警、Top 5主机CPU和内存利用率、Top 5虚拟机CPU和内存利用率、主机和虚拟机状态统计等；</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5、一键巡检：支持健康巡检功能，用于快速查看超融合系统健康情况。包括：总体健康状况、集群健康状况、存储健康状况、网络健康状况、告警信息状况和其它配置信息，可自定义检测项；</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6、资源分析：支持使用一键按钮分析虚拟机、主机历史资源使用情况，提供规划决策数据支撑</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7、迁移工具：超融合管理平台集成融合在线的p2v、v2v迁移工具，支持业界主流的操作系统、虚拟化平台、公有云。包括但不限于VMware、微软、华为、H3C 、阿里云、深信服等厂商平台的迁移，提升被迁移业务平台的普适性、提升业务迁移的便捷性，降低业务迁移的工作量</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7、SSD寿命展示：支持实时展示SSD固态硬盘寿命信息，以百分比展示SSD固态硬盘剩余寿命，作为及时更换硬盘提供信息支撑，保证业务的可连续性；</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8、虚拟化拓扑：支持对整个平台虚拟设备实现统一的管理，虚拟化 WEB 管理平台可以完成网络拓扑的构建，完成各类虚拟设备的自助逻辑编排，支持在管理平台上连接、开启、关闭各类虚拟设备，拓扑呈现业务流量信息，所画即所得，方便运维管理；</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9、操作易用性：支持一键秒级创建虚机（包括CPU、内存、操作系统等）、直观快捷的虚机管理、贴心的回收站功能、所画即所得资源编排等方便用户操作和管理资源的功能；</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10、自动部署要求：管理平台对于新上线节点设备可基于链路层协议、被管理节点自动发现，自动分配其IP地址，降低管理难度；</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11、配置要求：一颗物理CPU为一个授权许可，含三年软件版本升级服务和远程技术支持服务；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Merge w:val="continue"/>
            <w:vAlign w:val="center"/>
          </w:tcPr>
          <w:p>
            <w:pPr>
              <w:widowControl/>
              <w:wordWrap w:val="0"/>
              <w:jc w:val="center"/>
              <w:rPr>
                <w:rFonts w:ascii="宋体" w:hAnsi="宋体" w:cs="宋体"/>
                <w:color w:val="auto"/>
                <w:kern w:val="0"/>
                <w:sz w:val="21"/>
                <w:szCs w:val="21"/>
                <w:highlight w:val="none"/>
              </w:rPr>
            </w:pPr>
          </w:p>
        </w:tc>
        <w:tc>
          <w:tcPr>
            <w:tcW w:w="648" w:type="pct"/>
            <w:vAlign w:val="center"/>
          </w:tcPr>
          <w:p>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计算虚拟化软件</w:t>
            </w:r>
          </w:p>
        </w:tc>
        <w:tc>
          <w:tcPr>
            <w:tcW w:w="3847"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1、兼容性要求：支持现有市场上主要国内外操作系统，包括Windows、CentOS、Fedora、RedHat、SUSE、Ubuntu、FreeBSD、MacOS、中标红旗、中标麒麟、中标普华、深度、一铭、凝思等； </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2、提供虚拟机启动、暂停、恢复、休眠、重启、关闭、克隆、迁移、删除、快照等功能的批量操作；</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3、提供集群HA（高可用），DRS（动态资源调度）等功能配置；</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备份要求：虚拟化软件内置备份模块，无需单独安装备份软件即可实现虚拟机全量、增量、差异备份功能，备份时对业务运行无影响，支持按时间（按天、按周、按月）设置自动化备份策略，备份策略可细化到分钟级;</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运维管理要求：支持批量修改虚拟机的配置参数，包括：I/O优先级、启动优先级、是否自动迁移、CPU调度优先级、CPU个数、内存大小、自动启动、VM启动设备、tools自动升级等；支持虚拟机桌面预览功能，无需登录虚拟机即可在虚拟化管理平台上看到虚拟机当前桌面的状态，降低配置工作量及运维难度</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6、配置要求：一颗物理CPU为一个授权许可，含三年软件版本升级服务和远程技术支持服务；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Merge w:val="continue"/>
            <w:vAlign w:val="center"/>
          </w:tcPr>
          <w:p>
            <w:pPr>
              <w:widowControl/>
              <w:wordWrap w:val="0"/>
              <w:jc w:val="center"/>
              <w:rPr>
                <w:rFonts w:ascii="宋体" w:hAnsi="宋体" w:cs="宋体"/>
                <w:color w:val="auto"/>
                <w:kern w:val="0"/>
                <w:sz w:val="21"/>
                <w:szCs w:val="21"/>
                <w:highlight w:val="none"/>
              </w:rPr>
            </w:pPr>
          </w:p>
        </w:tc>
        <w:tc>
          <w:tcPr>
            <w:tcW w:w="648" w:type="pct"/>
            <w:vAlign w:val="center"/>
          </w:tcPr>
          <w:p>
            <w:pPr>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存储虚拟化软件</w:t>
            </w:r>
          </w:p>
        </w:tc>
        <w:tc>
          <w:tcPr>
            <w:tcW w:w="3847"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架构要求: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存储集群规模支持≥256个节点；</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2、能力要求：同一节点同时提供服务器虚拟化及分式布块、对象、文件种存储功能，3个节点集群即可同时提供虚拟化、分布式块、对象、文件存储服务；</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3、支持厚配置，可以根据业务需求分配固定的物理存储空间、支持精简配置，可以根据应用实际写需要时才分配相应的物理存储空间；</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4、支持卷快照，支持可写快照、定时快照，一致性组快照;支持链式卷克隆、完整克隆；</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5、支持卷拷贝、卷迁移，如从低性能资源池迁移至高性能池；</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6、副本机制要求：支持多副本保护机制，可选择2～5副本，支持依据业务数据重要性进行灵活设置副本数量机制</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7、数据自动重建要求：磁盘或者节点故障之后无需人工干预，数据在集群内硬盘的剩余空间中自动重构，每T数据重构时间不大于3分钟；</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8、配置要求：本次配置块存储功能授权，一颗物理CPU为一个授权许可，含三年软件版本升级服务和远程技术支持服务；</w:t>
            </w:r>
          </w:p>
        </w:tc>
      </w:tr>
    </w:tbl>
    <w:p>
      <w:pPr>
        <w:pStyle w:val="37"/>
        <w:ind w:firstLine="21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2.2 网络配置硬件</w:t>
      </w:r>
    </w:p>
    <w:p>
      <w:pPr>
        <w:pStyle w:val="37"/>
        <w:ind w:firstLine="0" w:firstLineChars="0"/>
        <w:rPr>
          <w:rFonts w:ascii="宋体" w:hAnsi="宋体" w:eastAsia="宋体" w:cs="宋体"/>
          <w:color w:val="auto"/>
          <w:szCs w:val="21"/>
          <w:highlight w:val="none"/>
        </w:rPr>
      </w:pPr>
      <w:r>
        <w:rPr>
          <w:rFonts w:hint="eastAsia" w:ascii="宋体" w:hAnsi="宋体" w:eastAsia="宋体" w:cs="宋体"/>
          <w:b/>
          <w:bCs/>
          <w:color w:val="auto"/>
          <w:szCs w:val="21"/>
          <w:highlight w:val="none"/>
        </w:rPr>
        <w:t>2.2.1  设备清单</w:t>
      </w:r>
    </w:p>
    <w:tbl>
      <w:tblPr>
        <w:tblStyle w:val="88"/>
        <w:tblW w:w="4916" w:type="pct"/>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5504"/>
        <w:gridCol w:w="116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shd w:val="clear" w:color="000000" w:fill="FFFFFF"/>
            <w:noWrap/>
            <w:vAlign w:val="center"/>
          </w:tcPr>
          <w:p>
            <w:pPr>
              <w:widowControl/>
              <w:wordWrap w:val="0"/>
              <w:jc w:val="center"/>
              <w:textAlignment w:val="center"/>
              <w:rPr>
                <w:rFonts w:ascii="宋体" w:hAnsi="宋体" w:cs="宋体"/>
                <w:color w:val="auto"/>
                <w:kern w:val="0"/>
                <w:sz w:val="21"/>
                <w:szCs w:val="21"/>
                <w:highlight w:val="none"/>
              </w:rPr>
            </w:pPr>
            <w:r>
              <w:rPr>
                <w:rFonts w:hint="eastAsia" w:ascii="宋体" w:hAnsi="宋体" w:cs="宋体"/>
                <w:b/>
                <w:bCs/>
                <w:color w:val="auto"/>
                <w:sz w:val="21"/>
                <w:szCs w:val="21"/>
                <w:highlight w:val="none"/>
              </w:rPr>
              <w:t>模块</w:t>
            </w:r>
          </w:p>
        </w:tc>
        <w:tc>
          <w:tcPr>
            <w:tcW w:w="5076" w:type="dxa"/>
            <w:shd w:val="clear" w:color="000000" w:fill="FFFFFF"/>
            <w:vAlign w:val="center"/>
          </w:tcPr>
          <w:p>
            <w:pPr>
              <w:widowControl/>
              <w:wordWrap w:val="0"/>
              <w:jc w:val="center"/>
              <w:textAlignment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lang w:bidi="ar"/>
              </w:rPr>
              <w:t>采购内容</w:t>
            </w:r>
          </w:p>
        </w:tc>
        <w:tc>
          <w:tcPr>
            <w:tcW w:w="1078" w:type="dxa"/>
            <w:shd w:val="clear" w:color="000000" w:fill="FFFFFF"/>
            <w:vAlign w:val="center"/>
          </w:tcPr>
          <w:p>
            <w:pPr>
              <w:widowControl/>
              <w:wordWrap w:val="0"/>
              <w:jc w:val="center"/>
              <w:textAlignment w:val="center"/>
              <w:rPr>
                <w:rFonts w:ascii="宋体" w:hAnsi="宋体" w:cs="宋体"/>
                <w:color w:val="auto"/>
                <w:sz w:val="21"/>
                <w:szCs w:val="21"/>
                <w:highlight w:val="none"/>
              </w:rPr>
            </w:pPr>
            <w:r>
              <w:rPr>
                <w:rFonts w:hint="eastAsia" w:ascii="宋体" w:hAnsi="宋体" w:cs="宋体"/>
                <w:b/>
                <w:bCs/>
                <w:color w:val="auto"/>
                <w:kern w:val="0"/>
                <w:sz w:val="21"/>
                <w:szCs w:val="21"/>
                <w:highlight w:val="none"/>
                <w:lang w:bidi="ar"/>
              </w:rPr>
              <w:t>单位</w:t>
            </w:r>
          </w:p>
        </w:tc>
        <w:tc>
          <w:tcPr>
            <w:tcW w:w="910" w:type="dxa"/>
            <w:shd w:val="clear" w:color="000000" w:fill="FFFFFF"/>
            <w:vAlign w:val="center"/>
          </w:tcPr>
          <w:p>
            <w:pPr>
              <w:widowControl/>
              <w:wordWrap w:val="0"/>
              <w:jc w:val="center"/>
              <w:textAlignment w:val="center"/>
              <w:rPr>
                <w:rFonts w:ascii="宋体" w:hAnsi="宋体" w:cs="宋体"/>
                <w:color w:val="auto"/>
                <w:sz w:val="21"/>
                <w:szCs w:val="21"/>
                <w:highlight w:val="none"/>
              </w:rPr>
            </w:pPr>
            <w:r>
              <w:rPr>
                <w:rFonts w:hint="eastAsia" w:ascii="宋体" w:hAnsi="宋体" w:cs="宋体"/>
                <w:b/>
                <w:bCs/>
                <w:color w:val="auto"/>
                <w:kern w:val="0"/>
                <w:sz w:val="21"/>
                <w:szCs w:val="21"/>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restart"/>
            <w:shd w:val="clear" w:color="000000" w:fill="FFFFFF"/>
            <w:noWrap/>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网络配置硬件</w:t>
            </w: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核心交换机24口万兆扩容</w:t>
            </w:r>
          </w:p>
        </w:tc>
        <w:tc>
          <w:tcPr>
            <w:tcW w:w="643" w:type="pct"/>
            <w:shd w:val="clear" w:color="000000" w:fill="FFFFFF"/>
            <w:vAlign w:val="center"/>
          </w:tcPr>
          <w:p>
            <w:pPr>
              <w:widowControl/>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块</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48口汇聚交换机</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堆叠线缆</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条</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万兆单模光模块</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万兆多模光模块</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千兆多模光模块</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8口交换机</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16口交换机</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24口交换机</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48口交换机</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接入交换机</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网线</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米</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数据中心万兆交换机</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存储万兆交换机</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万兆多模光模块</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数据中心管理交换机</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SDN一体机</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SDN软件</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网络分析器</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r>
    </w:tbl>
    <w:p>
      <w:pPr>
        <w:pStyle w:val="37"/>
        <w:ind w:firstLine="21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2.2.2基本参数</w:t>
      </w:r>
    </w:p>
    <w:tbl>
      <w:tblPr>
        <w:tblStyle w:val="88"/>
        <w:tblW w:w="4910"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262"/>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44" w:type="pct"/>
            <w:vMerge w:val="restart"/>
            <w:vAlign w:val="center"/>
          </w:tcPr>
          <w:p>
            <w:pPr>
              <w:widowControl/>
              <w:wordWrap w:val="0"/>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模块</w:t>
            </w:r>
          </w:p>
        </w:tc>
        <w:tc>
          <w:tcPr>
            <w:tcW w:w="695" w:type="pct"/>
            <w:vMerge w:val="restart"/>
            <w:vAlign w:val="center"/>
          </w:tcPr>
          <w:p>
            <w:pPr>
              <w:widowControl/>
              <w:wordWrap w:val="0"/>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产品</w:t>
            </w:r>
          </w:p>
        </w:tc>
        <w:tc>
          <w:tcPr>
            <w:tcW w:w="3760" w:type="pct"/>
            <w:vMerge w:val="restart"/>
            <w:vAlign w:val="center"/>
          </w:tcPr>
          <w:p>
            <w:pPr>
              <w:widowControl/>
              <w:wordWrap w:val="0"/>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44" w:type="pct"/>
            <w:vMerge w:val="continue"/>
            <w:vAlign w:val="center"/>
          </w:tcPr>
          <w:p>
            <w:pPr>
              <w:widowControl/>
              <w:wordWrap w:val="0"/>
              <w:jc w:val="left"/>
              <w:rPr>
                <w:rFonts w:ascii="宋体" w:hAnsi="宋体" w:cs="宋体"/>
                <w:b/>
                <w:bCs/>
                <w:color w:val="auto"/>
                <w:kern w:val="0"/>
                <w:sz w:val="21"/>
                <w:szCs w:val="21"/>
                <w:highlight w:val="none"/>
              </w:rPr>
            </w:pPr>
          </w:p>
        </w:tc>
        <w:tc>
          <w:tcPr>
            <w:tcW w:w="695" w:type="pct"/>
            <w:vMerge w:val="continue"/>
            <w:vAlign w:val="center"/>
          </w:tcPr>
          <w:p>
            <w:pPr>
              <w:widowControl/>
              <w:wordWrap w:val="0"/>
              <w:jc w:val="left"/>
              <w:rPr>
                <w:rFonts w:ascii="宋体" w:hAnsi="宋体" w:cs="宋体"/>
                <w:b/>
                <w:bCs/>
                <w:color w:val="auto"/>
                <w:kern w:val="0"/>
                <w:sz w:val="21"/>
                <w:szCs w:val="21"/>
                <w:highlight w:val="none"/>
              </w:rPr>
            </w:pPr>
          </w:p>
        </w:tc>
        <w:tc>
          <w:tcPr>
            <w:tcW w:w="3760" w:type="pct"/>
            <w:vMerge w:val="continue"/>
            <w:vAlign w:val="center"/>
          </w:tcPr>
          <w:p>
            <w:pPr>
              <w:widowControl/>
              <w:wordWrap w:val="0"/>
              <w:jc w:val="left"/>
              <w:rPr>
                <w:rFonts w:ascii="宋体" w:hAnsi="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restar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网络配置硬件</w:t>
            </w: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核心交换机24口万兆扩容</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1、24端口万兆以太网光接口模块(SFP+,LC)</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2、支持三层Vxlan网关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48口汇聚交换机</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1、交换容量≥750Gbps，转发率≥250Mpps，若存在双指标，以较低值为准；</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2、MAC地址表≥64K，路由表容量≥32K，ARP≥32K；</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3、配置≥48千兆光，≥4万兆SFP+，≥1个业务扩展槽，双模块化电源和双模块化风扇；</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4、具备扩展独立防火墙等安全模块能力</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5、支持OpenFlow 1.3标准；</w:t>
            </w:r>
          </w:p>
          <w:p>
            <w:pPr>
              <w:widowControl/>
              <w:wordWrap w:val="0"/>
              <w:jc w:val="left"/>
              <w:rPr>
                <w:rFonts w:ascii="宋体" w:hAnsi="宋体" w:cs="宋体"/>
                <w:color w:val="auto"/>
                <w:sz w:val="21"/>
                <w:szCs w:val="21"/>
                <w:highlight w:val="none"/>
              </w:rPr>
            </w:pPr>
            <w:r>
              <w:rPr>
                <w:rFonts w:hint="eastAsia" w:ascii="宋体" w:hAnsi="宋体" w:cs="宋体"/>
                <w:color w:val="auto"/>
                <w:kern w:val="0"/>
                <w:sz w:val="21"/>
                <w:szCs w:val="21"/>
                <w:highlight w:val="none"/>
              </w:rPr>
              <w:t>6、支持VxLAN集中式和分布式网关功能；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堆叠线缆</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SFP+电缆 0.65m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万兆单模光模块</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SFP+ 万兆模块(1310nm,10km,LC)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万兆多模光模块</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SFP+ 万兆模块(850nm,300m,LC)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千兆多模光模块</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SFP-GE-多模模块-(850nm,0.55km,LC)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8口交换机</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1、交换容量≥336Gbps，包转发率≥24Mpps，若存在双指标，以较低值为准；</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2、提供千兆电接口≥8个，千兆光接口≥2个；</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3、设备MAC地址≥16K；</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4、支持IPv4/IPv6双栈，支持IPv4/IPv6静态路由，OSPF v2/v3；</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5、支持横向虚、纵向虚拟化等功能；</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6、支持SDN功能、10KV业务端口防雷能力；</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7、支持Telemetry技术；</w:t>
            </w:r>
          </w:p>
          <w:p>
            <w:pPr>
              <w:widowControl/>
              <w:wordWrap w:val="0"/>
              <w:jc w:val="left"/>
              <w:rPr>
                <w:rFonts w:ascii="宋体" w:hAnsi="宋体" w:cs="宋体"/>
                <w:color w:val="auto"/>
                <w:sz w:val="21"/>
                <w:szCs w:val="21"/>
                <w:highlight w:val="none"/>
              </w:rPr>
            </w:pPr>
            <w:r>
              <w:rPr>
                <w:rFonts w:hint="eastAsia" w:ascii="宋体" w:hAnsi="宋体" w:cs="宋体"/>
                <w:color w:val="auto"/>
                <w:kern w:val="0"/>
                <w:sz w:val="21"/>
                <w:szCs w:val="21"/>
                <w:highlight w:val="none"/>
              </w:rPr>
              <w:t>8、支持端口自动节能功能、G.8032 ERPS环网协议、端口隔离功能、电源、风扇、温度告警等；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16口交换机</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1、交换容量≥336Gbps，包转发率≥39Mpps，若存在双指标，以较低值为准；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2、提供千兆电接口≥16个，千兆光接口≥4个；</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3、设备MAC地址≥16K；</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4、支持IPv4/IPv6双栈，支持IPv4/IPv6静态路由，OSPF v2/v3；</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5、支持横向虚、纵向虚拟化等功能；</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6、支持SDN功能、10KV业务端口防雷能力；</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7、支持Telemetry技术；</w:t>
            </w:r>
          </w:p>
          <w:p>
            <w:pPr>
              <w:widowControl/>
              <w:wordWrap w:val="0"/>
              <w:jc w:val="left"/>
              <w:rPr>
                <w:rFonts w:ascii="宋体" w:hAnsi="宋体" w:cs="宋体"/>
                <w:color w:val="auto"/>
                <w:sz w:val="21"/>
                <w:szCs w:val="21"/>
                <w:highlight w:val="none"/>
              </w:rPr>
            </w:pPr>
            <w:r>
              <w:rPr>
                <w:rFonts w:hint="eastAsia" w:ascii="宋体" w:hAnsi="宋体" w:cs="宋体"/>
                <w:color w:val="auto"/>
                <w:kern w:val="0"/>
                <w:sz w:val="21"/>
                <w:szCs w:val="21"/>
                <w:highlight w:val="none"/>
              </w:rPr>
              <w:t>8、支持端口自动节能功能、G.8032 ERPS环网协议、端口隔离功能、电源、风扇、温度告警等；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24口交换机</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1、交换容量≥336Gbps，包转发率≥51Mpps，若存在双指标，以较低值为准；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2、提供千兆电接口≥24个，千兆光接口≥4个；</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3、设备MAC地址≥16K；</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4、支持IPv4/IPv6双栈，支持IPv4/IPv6静态路由，OSPF v2/v3；</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5、支持横向虚、纵向虚拟化等功能；</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6、支持SDN功能、10KV业务端口防雷能力；</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7、支持Telemetry技术；</w:t>
            </w:r>
          </w:p>
          <w:p>
            <w:pPr>
              <w:pStyle w:val="37"/>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8、支持端口自动节能功能、G.8032 ERPS环网协议、端口隔离功能、电源、风扇、温度告警等；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48口交换机</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1、交换容量≥432Gbps，包转发率≥87Mpps，若存在双指标，以较低值为准；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2、提供千兆电接口≥48个，千兆光接口≥4个；</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3、设备MAC地址≥16K；</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4、支持IPv4/IPv6双栈，支持IPv4/IPv6静态路由，OSPF v2/v3；</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5、支持横向虚、纵向虚拟化等功能；</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6、支持SDN功能、10KV业务端口防雷能力；</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7、支持Telemetry技术；</w:t>
            </w:r>
          </w:p>
          <w:p>
            <w:pPr>
              <w:pStyle w:val="37"/>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8、支持端口自动节能功能、G.8032 ERPS环网协议、端口隔离功能、电源、风扇、温度告警等；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接入交换机</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1、交换容量≥336Gbps，包转发率≥92Mpps；</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2、提供千兆电接口≥24个，千兆光接口≥4个；</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3、支持POE和POE+远程供电；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网线</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六类双绞线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数据中心万兆交换机</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1、交换容量≥4Tbps，转发性能≥2000Mpps，若存在双指标，以较低值为准；</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2、提供万兆光接口≥48个，40G/100G光接口≥6个；</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3、整机最大路由地址表≥64K，整机最大ARP地址表≥64K，整机最大MAC地址表≥128K；</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4、支持无损网络RoCE，支持PFC、ECN、ETS；</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5、端口转发时延小于2微秒；</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6、支持堆叠虚拟化技术；</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7、支持VxLAN二层、三层网关，支持EVPN VxLAN；</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8、支持M-LAG或DRNI跨设备链路聚合技术；</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9、支持MPLS、MCE、MPLS VPN；</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10、配置双电源，独立风扇模块，40G虚拟化线缆≥1；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存储万兆交换机</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1、交换容量≥2.5Tbps, 转发性能≥720Mpps，若存在双指标，以较低值为准；</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2、配置万兆光端口≥24，QSFP+端口≥2，扩展插槽≥2，可扩展40GE QSFP+，25G SFP28，10G/1GBase-T接口板卡；</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3、整机最大路由地址表≥64K；整机最大ARP地址表≥64K；整机最大MAC地址表≥128K；</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4、支持M-LAG或DRNI跨设备链路聚合技术；</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5、支持堆叠虚拟化技术；</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6、路由协议：支持静态路由、RIP v1/2、OSPF、BGP等动态路由协议，支持RIPng、OSPF V3、IS-IS V6、BGP+ FOR IPV6、IPV6策略路由；</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7、支持MPLS、MCE、MPLS VPN；</w:t>
            </w:r>
          </w:p>
          <w:p>
            <w:pPr>
              <w:pStyle w:val="37"/>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8、配置双电源，独立风扇模块，40G虚拟化线缆≥1；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万兆多模光模块</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SFP+ 万兆模块(850nm,300m,LC)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数据中心管理交换机</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1、交换容量≥2.4Tbps, 转发性能≥460Mpps,若存在双重指标，以最小值为准；</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2、配置千兆电端口≥28，其中千兆复用光端口≥4，万兆光端口≥8，扩展插槽≥1；</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3、支持堆叠虚拟化技术；</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4、支持M-LAG或DRNI跨设备链路聚合技术；</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5、路由协议：支持静态路由、RIP v1/2、OSPF、BGP等动态路由协议，支持RIPng、OSPF V3、IS-IS V6、BGP+ FOR IPV6、IPV6策略路由； </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6、支持Telemetry技术，可对实时数据进行分析，有助于网络质量分析，网络故障定位等；</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7、支持IEEE 802.1ae（Macsec）介质访问控制安全技术；</w:t>
            </w:r>
          </w:p>
          <w:p>
            <w:pPr>
              <w:widowControl/>
              <w:wordWrap w:val="0"/>
              <w:jc w:val="left"/>
              <w:rPr>
                <w:rFonts w:ascii="宋体" w:hAnsi="宋体" w:cs="宋体"/>
                <w:color w:val="auto"/>
                <w:sz w:val="21"/>
                <w:szCs w:val="21"/>
                <w:highlight w:val="none"/>
              </w:rPr>
            </w:pPr>
            <w:r>
              <w:rPr>
                <w:rFonts w:hint="eastAsia" w:ascii="宋体" w:hAnsi="宋体" w:cs="宋体"/>
                <w:color w:val="auto"/>
                <w:kern w:val="0"/>
                <w:sz w:val="21"/>
                <w:szCs w:val="21"/>
                <w:highlight w:val="none"/>
              </w:rPr>
              <w:t>8、配置双电源，独立风扇模块；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SDN一体机</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1、CPU：≥2*8核，2.1GHz，内存：≥4*32GB DDR4，系统盘：≥2*4TB HDD（RAID 1后4TB），数据盘：≥2*240GB SSD（RAID 1后240GB），网络接口：≥4端口GE电接口；</w:t>
            </w:r>
          </w:p>
          <w:p>
            <w:pPr>
              <w:widowControl/>
              <w:wordWrap w:val="0"/>
              <w:jc w:val="left"/>
              <w:rPr>
                <w:rFonts w:ascii="宋体" w:hAnsi="宋体" w:cs="宋体"/>
                <w:color w:val="auto"/>
                <w:sz w:val="21"/>
                <w:szCs w:val="21"/>
                <w:highlight w:val="none"/>
              </w:rPr>
            </w:pPr>
            <w:r>
              <w:rPr>
                <w:rFonts w:hint="eastAsia" w:ascii="宋体" w:hAnsi="宋体" w:cs="宋体"/>
                <w:color w:val="auto"/>
                <w:kern w:val="0"/>
                <w:sz w:val="21"/>
                <w:szCs w:val="21"/>
                <w:highlight w:val="none"/>
              </w:rPr>
              <w:t>2、三机集群部署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SDN软件</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1、SDN网络与传统网络统一运维:支持VXLAN网络与传统网络统一运维，统一拓扑呈现；</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2、有线无线一体化:要求一套软件实现SDN网络与无线网络一体化管理，包括统一管理，统一策略，统一转发，统一拓扑呈现；</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3、第三方设备兼容:支持兼容第三方交换机品牌，保护用户前期投资；</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4、自动化上线:基于角色自动化，至多3份配置模板实现全网设备配置自动上线，上线过程不需要U盘等任何介质；</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5、设备故障替换:支持故障设备替换即插即用，同时支持不同型号的设备替换能力；</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要求提供第三方测试报告及功能截图</w:t>
            </w:r>
            <w:r>
              <w:rPr>
                <w:rFonts w:hint="eastAsia" w:ascii="宋体" w:hAnsi="宋体" w:cs="宋体"/>
                <w:color w:val="auto"/>
                <w:kern w:val="0"/>
                <w:sz w:val="21"/>
                <w:szCs w:val="21"/>
                <w:highlight w:val="none"/>
                <w:lang w:eastAsia="zh-CN"/>
              </w:rPr>
              <w:t>）</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6、Access多级串联:接入交换机支持多级串联，并且仍然能够支持自动化上线，也支持终端业务随行的能力；</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7、支持VxLan组网架构:网络层面支持VxLan，通过VxLan实现业务解耦及业务隔离；</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8、IPv4、IPv6双栈部署:支持IPv4、IPv6双栈部署模型，支持V4认证，V6无感知放行，并同时支持V4/V6策略管控；</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9、虚拟专网随行:不同用户组，进入不同的虚拟专网，并可实现终端移动；</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10、名址绑定：用户认证后，支持用户名和IP地址绑定，且支持用户在任意位置（包括有线和无线）都可以正确接入并且获取的IP地址不变</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11、认证功能：支持802.1X认证、MAC Portal无感知认证、免认证等；</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12、物联网终端自动化上线：基于MAC地址、IP地址段、终端设别，自动识别哑终端，并实现自动开户自动上线的功能；</w:t>
            </w:r>
          </w:p>
          <w:p>
            <w:pPr>
              <w:pStyle w:val="37"/>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13、配置网络节点授权≥320个，无线AP节点授权≥560个，并发认证数≥1000；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Merge w:val="continue"/>
            <w:vAlign w:val="center"/>
          </w:tcPr>
          <w:p>
            <w:pPr>
              <w:widowControl/>
              <w:wordWrap w:val="0"/>
              <w:jc w:val="center"/>
              <w:rPr>
                <w:rFonts w:ascii="宋体" w:hAnsi="宋体" w:cs="宋体"/>
                <w:color w:val="auto"/>
                <w:kern w:val="0"/>
                <w:sz w:val="21"/>
                <w:szCs w:val="21"/>
                <w:highlight w:val="none"/>
              </w:rPr>
            </w:pPr>
          </w:p>
        </w:tc>
        <w:tc>
          <w:tcPr>
            <w:tcW w:w="695" w:type="pc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网络分析器</w:t>
            </w:r>
          </w:p>
        </w:tc>
        <w:tc>
          <w:tcPr>
            <w:tcW w:w="3760"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1、设备2U高度，CPU：≥2*12核，2.2GHz，内存：≥8*32GB DDR4，系统盘：≥2*4TB HDD（RAID 1后4TB），缓存盘：≥2*240GB SSD（RAID 1后240GB），数据盘：≥6*1.2TB HDD，网络接口：≥4端口GE电接口，≥2*2端口10Gb光口； </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2、健康度评估：支持整网健康度评估，支持有线、无线网络设备，有线、无线用户，以及设备360，用户360健康度评估；</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3、光模块诊断：支持查看整网光模块运行状态的健康度评估，以及光模块故障概率评估；</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4、链路带宽预测：系统支持整网链路带宽预测，支持运维人员自定义监测链路，为网络链路扩容提供数据支持；</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5、音视频质量分析：系统支持SIP、H323协议音视频会议终端质量分析，支持查看会议参与者音视频流质量，包括MOS、丢包率、时延、抖动等，并根据音视频流路径上交换机监测音视频质量快速确定故障点；</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无线用户在线体验：展示质差/质优用户历史分布变化趋势，展示影响健康度的6大指标不同区间的用户历史分布变化趋势，展示影响健康度的6大问题的历史分布变化趋势，以上功能可以针对某个AP下的用户进行统计；</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7、故障根因分析：基于“设备类、网络类、Overlay、协议类、业务类”进行故障根因分析，快速定位网络故障；</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8、问题闭环：网络故障提供故障恢复预案，一键确认，自动修复网络；</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9、VIP用户保障：系统支持将用户设置成VIP用户，重点保障VIP用户的接入体验，可设置非VIP用户限速；</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10、一键诊断：支持无线设备的一键诊断功能，共涉及覆盖设备配置、网络状态、设备运行情况等项目，对有问题的诊断项提供修复建议；</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11、无线网规调优：根据采集到的用户健康度信息以及连接或空口性能类故障，自动对无线体验不佳的AP进行信道、功率方面的调整，提升无线网络使用体验；</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12、分析器支持的网络节点授权≥320个，无线AP节点授权≥560个</w:t>
            </w:r>
          </w:p>
        </w:tc>
      </w:tr>
    </w:tbl>
    <w:p>
      <w:pPr>
        <w:pStyle w:val="37"/>
        <w:ind w:firstLine="21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2.3</w:t>
      </w:r>
      <w:r>
        <w:rPr>
          <w:rFonts w:ascii="宋体" w:hAnsi="宋体" w:cs="宋体"/>
          <w:b/>
          <w:bCs/>
          <w:color w:val="auto"/>
          <w:sz w:val="21"/>
          <w:szCs w:val="21"/>
          <w:highlight w:val="none"/>
        </w:rPr>
        <w:t xml:space="preserve"> </w:t>
      </w:r>
      <w:r>
        <w:rPr>
          <w:rFonts w:hint="eastAsia" w:ascii="宋体" w:hAnsi="宋体" w:cs="宋体"/>
          <w:b/>
          <w:bCs/>
          <w:color w:val="auto"/>
          <w:sz w:val="21"/>
          <w:szCs w:val="21"/>
          <w:highlight w:val="none"/>
        </w:rPr>
        <w:t>实验室监控配套设备</w:t>
      </w:r>
    </w:p>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2.3.1设备清单</w:t>
      </w:r>
    </w:p>
    <w:tbl>
      <w:tblPr>
        <w:tblStyle w:val="88"/>
        <w:tblW w:w="4998" w:type="pct"/>
        <w:tblInd w:w="0" w:type="dxa"/>
        <w:tblLayout w:type="autofit"/>
        <w:tblCellMar>
          <w:top w:w="0" w:type="dxa"/>
          <w:left w:w="108" w:type="dxa"/>
          <w:bottom w:w="0" w:type="dxa"/>
          <w:right w:w="108" w:type="dxa"/>
        </w:tblCellMar>
      </w:tblPr>
      <w:tblGrid>
        <w:gridCol w:w="1431"/>
        <w:gridCol w:w="6120"/>
        <w:gridCol w:w="852"/>
        <w:gridCol w:w="835"/>
      </w:tblGrid>
      <w:tr>
        <w:tblPrEx>
          <w:tblCellMar>
            <w:top w:w="0" w:type="dxa"/>
            <w:left w:w="108" w:type="dxa"/>
            <w:bottom w:w="0" w:type="dxa"/>
            <w:right w:w="108" w:type="dxa"/>
          </w:tblCellMar>
        </w:tblPrEx>
        <w:trPr>
          <w:trHeight w:val="23" w:hRule="atLeast"/>
        </w:trPr>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3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采购内容</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数量</w:t>
            </w:r>
          </w:p>
        </w:tc>
      </w:tr>
      <w:tr>
        <w:tblPrEx>
          <w:tblCellMar>
            <w:top w:w="0" w:type="dxa"/>
            <w:left w:w="108" w:type="dxa"/>
            <w:bottom w:w="0" w:type="dxa"/>
            <w:right w:w="108" w:type="dxa"/>
          </w:tblCellMar>
        </w:tblPrEx>
        <w:trPr>
          <w:trHeight w:val="23" w:hRule="atLeast"/>
        </w:trPr>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实验室监控配套设备</w:t>
            </w:r>
          </w:p>
        </w:tc>
        <w:tc>
          <w:tcPr>
            <w:tcW w:w="3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400万红外定焦网络摄像机</w:t>
            </w:r>
          </w:p>
        </w:tc>
        <w:tc>
          <w:tcPr>
            <w:tcW w:w="461"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285</w:t>
            </w:r>
          </w:p>
        </w:tc>
      </w:tr>
      <w:tr>
        <w:tblPrEx>
          <w:tblCellMar>
            <w:top w:w="0" w:type="dxa"/>
            <w:left w:w="108" w:type="dxa"/>
            <w:bottom w:w="0" w:type="dxa"/>
            <w:right w:w="108" w:type="dxa"/>
          </w:tblCellMar>
        </w:tblPrEx>
        <w:trPr>
          <w:trHeight w:val="23" w:hRule="atLeast"/>
        </w:trPr>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壁装支架</w:t>
            </w:r>
          </w:p>
        </w:tc>
        <w:tc>
          <w:tcPr>
            <w:tcW w:w="461"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285</w:t>
            </w:r>
          </w:p>
        </w:tc>
      </w:tr>
      <w:tr>
        <w:tblPrEx>
          <w:tblCellMar>
            <w:top w:w="0" w:type="dxa"/>
            <w:left w:w="108" w:type="dxa"/>
            <w:bottom w:w="0" w:type="dxa"/>
            <w:right w:w="108" w:type="dxa"/>
          </w:tblCellMar>
        </w:tblPrEx>
        <w:trPr>
          <w:trHeight w:val="23" w:hRule="atLeast"/>
        </w:trPr>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48盘位存储阵列</w:t>
            </w:r>
          </w:p>
        </w:tc>
        <w:tc>
          <w:tcPr>
            <w:tcW w:w="461" w:type="pct"/>
            <w:tcBorders>
              <w:top w:val="nil"/>
              <w:left w:val="nil"/>
              <w:bottom w:val="nil"/>
              <w:right w:val="nil"/>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r>
      <w:tr>
        <w:tblPrEx>
          <w:tblCellMar>
            <w:top w:w="0" w:type="dxa"/>
            <w:left w:w="108" w:type="dxa"/>
            <w:bottom w:w="0" w:type="dxa"/>
            <w:right w:w="108" w:type="dxa"/>
          </w:tblCellMar>
        </w:tblPrEx>
        <w:trPr>
          <w:trHeight w:val="23" w:hRule="atLeast"/>
        </w:trPr>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36盘位存储阵列</w:t>
            </w:r>
          </w:p>
        </w:tc>
        <w:tc>
          <w:tcPr>
            <w:tcW w:w="461"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r>
      <w:tr>
        <w:tblPrEx>
          <w:tblCellMar>
            <w:top w:w="0" w:type="dxa"/>
            <w:left w:w="108" w:type="dxa"/>
            <w:bottom w:w="0" w:type="dxa"/>
            <w:right w:w="108" w:type="dxa"/>
          </w:tblCellMar>
        </w:tblPrEx>
        <w:trPr>
          <w:trHeight w:val="23" w:hRule="atLeast"/>
        </w:trPr>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31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企业监控硬盘</w:t>
            </w:r>
          </w:p>
        </w:tc>
        <w:tc>
          <w:tcPr>
            <w:tcW w:w="461" w:type="pct"/>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块</w:t>
            </w:r>
          </w:p>
        </w:tc>
        <w:tc>
          <w:tcPr>
            <w:tcW w:w="45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65</w:t>
            </w:r>
          </w:p>
        </w:tc>
      </w:tr>
      <w:tr>
        <w:tblPrEx>
          <w:tblCellMar>
            <w:top w:w="0" w:type="dxa"/>
            <w:left w:w="108" w:type="dxa"/>
            <w:bottom w:w="0" w:type="dxa"/>
            <w:right w:w="108" w:type="dxa"/>
          </w:tblCellMar>
        </w:tblPrEx>
        <w:trPr>
          <w:trHeight w:val="23" w:hRule="atLeast"/>
        </w:trPr>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3311"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辅材</w:t>
            </w:r>
          </w:p>
        </w:tc>
        <w:tc>
          <w:tcPr>
            <w:tcW w:w="461" w:type="pct"/>
            <w:tcBorders>
              <w:top w:val="single" w:color="000000" w:sz="4" w:space="0"/>
              <w:left w:val="nil"/>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项</w:t>
            </w:r>
          </w:p>
        </w:tc>
        <w:tc>
          <w:tcPr>
            <w:tcW w:w="452"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r>
    </w:tbl>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2.3.2基本参数</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6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792"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产品</w:t>
            </w:r>
          </w:p>
        </w:tc>
        <w:tc>
          <w:tcPr>
            <w:tcW w:w="3822"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实验室监控配套设备</w:t>
            </w:r>
          </w:p>
        </w:tc>
        <w:tc>
          <w:tcPr>
            <w:tcW w:w="79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400万红外定焦网络摄像机</w:t>
            </w:r>
          </w:p>
        </w:tc>
        <w:tc>
          <w:tcPr>
            <w:tcW w:w="6515" w:type="dxa"/>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像素：400万；</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最大补光距离：50m（红外）；</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镜头类型：定焦；</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镜头焦距：6mm；</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视频压缩标准：H.265；H.264；H.264B；MJPEG；</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智能编码：H.264：支持H.265：支持；</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宽动态：120dB；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内置MIC：支持；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shd w:val="clear" w:color="auto" w:fill="auto"/>
            <w:vAlign w:val="center"/>
          </w:tcPr>
          <w:p>
            <w:pPr>
              <w:widowControl/>
              <w:jc w:val="center"/>
              <w:textAlignment w:val="center"/>
              <w:rPr>
                <w:rFonts w:ascii="宋体" w:hAnsi="宋体" w:cs="宋体"/>
                <w:color w:val="auto"/>
                <w:sz w:val="21"/>
                <w:szCs w:val="21"/>
                <w:highlight w:val="none"/>
              </w:rPr>
            </w:pPr>
          </w:p>
        </w:tc>
        <w:tc>
          <w:tcPr>
            <w:tcW w:w="79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壁装支架</w:t>
            </w:r>
          </w:p>
        </w:tc>
        <w:tc>
          <w:tcPr>
            <w:tcW w:w="6515" w:type="dxa"/>
            <w:shd w:val="clear" w:color="auto" w:fill="auto"/>
            <w:vAlign w:val="center"/>
          </w:tcPr>
          <w:p>
            <w:pPr>
              <w:jc w:val="left"/>
              <w:rPr>
                <w:rFonts w:ascii="宋体" w:hAnsi="宋体" w:cs="宋体"/>
                <w:color w:val="auto"/>
                <w:sz w:val="21"/>
                <w:szCs w:val="21"/>
                <w:highlight w:val="none"/>
              </w:rPr>
            </w:pPr>
            <w:r>
              <w:rPr>
                <w:rFonts w:hint="eastAsia" w:ascii="宋体" w:hAnsi="宋体" w:cs="宋体"/>
                <w:color w:val="auto"/>
                <w:sz w:val="21"/>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shd w:val="clear" w:color="auto" w:fill="auto"/>
            <w:vAlign w:val="center"/>
          </w:tcPr>
          <w:p>
            <w:pPr>
              <w:widowControl/>
              <w:jc w:val="center"/>
              <w:textAlignment w:val="center"/>
              <w:rPr>
                <w:rFonts w:ascii="宋体" w:hAnsi="宋体" w:cs="宋体"/>
                <w:color w:val="auto"/>
                <w:sz w:val="21"/>
                <w:szCs w:val="21"/>
                <w:highlight w:val="none"/>
              </w:rPr>
            </w:pPr>
          </w:p>
        </w:tc>
        <w:tc>
          <w:tcPr>
            <w:tcW w:w="79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48盘位存储阵列</w:t>
            </w:r>
          </w:p>
        </w:tc>
        <w:tc>
          <w:tcPr>
            <w:tcW w:w="6515" w:type="dxa"/>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主处理器：64位高性能多核处理器；</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控制器：单控制器；</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高速缓存：标配4G；</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电源冗余：2+1冗余电源；</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网络接口：1个千兆管理电口，4个千兆数据电口；</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硬盘个数：支持48块企业级硬盘；</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硬盘兼容性：1T、2T、3T、4T、5T、6T、8T、10T、12T、14T、16T；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shd w:val="clear" w:color="auto" w:fill="auto"/>
            <w:vAlign w:val="center"/>
          </w:tcPr>
          <w:p>
            <w:pPr>
              <w:widowControl/>
              <w:jc w:val="center"/>
              <w:textAlignment w:val="center"/>
              <w:rPr>
                <w:rFonts w:ascii="宋体" w:hAnsi="宋体" w:cs="宋体"/>
                <w:color w:val="auto"/>
                <w:sz w:val="21"/>
                <w:szCs w:val="21"/>
                <w:highlight w:val="none"/>
              </w:rPr>
            </w:pPr>
          </w:p>
        </w:tc>
        <w:tc>
          <w:tcPr>
            <w:tcW w:w="79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36盘位存储阵列</w:t>
            </w:r>
          </w:p>
        </w:tc>
        <w:tc>
          <w:tcPr>
            <w:tcW w:w="6515" w:type="dxa"/>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主处理器：64位高性能多核处理器；</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控制器：单控制器；</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高速缓存：标配4G；</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电源冗余：2+1冗余电源；</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网络接口：1个千兆管理电口，4个千兆数据电口；</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硬盘个数：支持36块企业级硬盘；</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硬盘兼容性：1T、2T、3T、4T、5T、6T、8T、10T、12T、14T、16T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shd w:val="clear" w:color="auto" w:fill="auto"/>
            <w:vAlign w:val="center"/>
          </w:tcPr>
          <w:p>
            <w:pPr>
              <w:widowControl/>
              <w:jc w:val="center"/>
              <w:textAlignment w:val="center"/>
              <w:rPr>
                <w:rFonts w:ascii="宋体" w:hAnsi="宋体" w:cs="宋体"/>
                <w:color w:val="auto"/>
                <w:sz w:val="21"/>
                <w:szCs w:val="21"/>
                <w:highlight w:val="none"/>
              </w:rPr>
            </w:pPr>
          </w:p>
        </w:tc>
        <w:tc>
          <w:tcPr>
            <w:tcW w:w="79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企业监控硬盘</w:t>
            </w:r>
          </w:p>
        </w:tc>
        <w:tc>
          <w:tcPr>
            <w:tcW w:w="6515" w:type="dxa"/>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6000G；7200RPM；256MB；SATA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shd w:val="clear" w:color="auto" w:fill="auto"/>
            <w:vAlign w:val="center"/>
          </w:tcPr>
          <w:p>
            <w:pPr>
              <w:widowControl/>
              <w:jc w:val="center"/>
              <w:textAlignment w:val="center"/>
              <w:rPr>
                <w:rFonts w:ascii="宋体" w:hAnsi="宋体" w:cs="宋体"/>
                <w:color w:val="auto"/>
                <w:sz w:val="21"/>
                <w:szCs w:val="21"/>
                <w:highlight w:val="none"/>
              </w:rPr>
            </w:pPr>
          </w:p>
        </w:tc>
        <w:tc>
          <w:tcPr>
            <w:tcW w:w="792"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辅材</w:t>
            </w:r>
          </w:p>
        </w:tc>
        <w:tc>
          <w:tcPr>
            <w:tcW w:w="6515" w:type="dxa"/>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线材、管材、线槽、配件等</w:t>
            </w:r>
          </w:p>
        </w:tc>
      </w:tr>
    </w:tbl>
    <w:p>
      <w:pPr>
        <w:pStyle w:val="37"/>
        <w:ind w:firstLine="210"/>
        <w:rPr>
          <w:rFonts w:ascii="宋体" w:hAnsi="宋体" w:eastAsia="宋体" w:cs="宋体"/>
          <w:color w:val="auto"/>
          <w:szCs w:val="21"/>
          <w:highlight w:val="none"/>
        </w:rPr>
      </w:pPr>
    </w:p>
    <w:p>
      <w:pPr>
        <w:pStyle w:val="37"/>
        <w:ind w:firstLine="21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2.4</w:t>
      </w:r>
      <w:r>
        <w:rPr>
          <w:rFonts w:ascii="宋体" w:hAnsi="宋体" w:cs="宋体"/>
          <w:b/>
          <w:bCs/>
          <w:color w:val="auto"/>
          <w:sz w:val="21"/>
          <w:szCs w:val="21"/>
          <w:highlight w:val="none"/>
        </w:rPr>
        <w:t xml:space="preserve"> </w:t>
      </w:r>
      <w:r>
        <w:rPr>
          <w:rFonts w:hint="eastAsia" w:ascii="宋体" w:hAnsi="宋体" w:cs="宋体"/>
          <w:b/>
          <w:bCs/>
          <w:color w:val="auto"/>
          <w:sz w:val="21"/>
          <w:szCs w:val="21"/>
          <w:highlight w:val="none"/>
        </w:rPr>
        <w:t>室外监控设备</w:t>
      </w:r>
    </w:p>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2.4.1设备清单</w:t>
      </w:r>
    </w:p>
    <w:tbl>
      <w:tblPr>
        <w:tblStyle w:val="88"/>
        <w:tblW w:w="4998" w:type="pct"/>
        <w:tblInd w:w="0" w:type="dxa"/>
        <w:tblLayout w:type="autofit"/>
        <w:tblCellMar>
          <w:top w:w="0" w:type="dxa"/>
          <w:left w:w="108" w:type="dxa"/>
          <w:bottom w:w="0" w:type="dxa"/>
          <w:right w:w="108" w:type="dxa"/>
        </w:tblCellMar>
      </w:tblPr>
      <w:tblGrid>
        <w:gridCol w:w="1207"/>
        <w:gridCol w:w="6228"/>
        <w:gridCol w:w="894"/>
        <w:gridCol w:w="909"/>
      </w:tblGrid>
      <w:tr>
        <w:tblPrEx>
          <w:tblCellMar>
            <w:top w:w="0" w:type="dxa"/>
            <w:left w:w="108" w:type="dxa"/>
            <w:bottom w:w="0" w:type="dxa"/>
            <w:right w:w="108" w:type="dxa"/>
          </w:tblCellMar>
        </w:tblPrEx>
        <w:trPr>
          <w:trHeight w:val="23"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3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采购内容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数量</w:t>
            </w:r>
          </w:p>
        </w:tc>
      </w:tr>
      <w:tr>
        <w:tblPrEx>
          <w:tblCellMar>
            <w:top w:w="0" w:type="dxa"/>
            <w:left w:w="108" w:type="dxa"/>
            <w:bottom w:w="0" w:type="dxa"/>
            <w:right w:w="108" w:type="dxa"/>
          </w:tblCellMar>
        </w:tblPrEx>
        <w:trPr>
          <w:trHeight w:val="23" w:hRule="atLeast"/>
        </w:trPr>
        <w:tc>
          <w:tcPr>
            <w:tcW w:w="6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室外监控设备</w:t>
            </w: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25钢管</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m</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980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6芯光缆</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m</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1100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六类网线</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m</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4550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室外监控箱</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8口POE交换机</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400万红外网络摄像机</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75</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千兆光模块</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LC-LC多模光跳线</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条</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双工LC耦合器</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LC多模尾纤</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光纤连接</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芯</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120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监控立杆</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避雷器</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只</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r>
      <w:tr>
        <w:tblPrEx>
          <w:tblCellMar>
            <w:top w:w="0" w:type="dxa"/>
            <w:left w:w="108" w:type="dxa"/>
            <w:bottom w:w="0" w:type="dxa"/>
            <w:right w:w="108" w:type="dxa"/>
          </w:tblCellMar>
        </w:tblPrEx>
        <w:trPr>
          <w:trHeight w:val="23"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1"/>
                <w:szCs w:val="21"/>
                <w:highlight w:val="none"/>
              </w:rPr>
            </w:pPr>
          </w:p>
        </w:tc>
        <w:tc>
          <w:tcPr>
            <w:tcW w:w="3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辅材</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项</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r>
    </w:tbl>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2.4.2基本参数</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89"/>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860"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产品</w:t>
            </w:r>
          </w:p>
        </w:tc>
        <w:tc>
          <w:tcPr>
            <w:tcW w:w="3670"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restar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室外监控设备</w:t>
            </w: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25钢管</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焊接钢管地埋敷设 RC25*2.5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6芯光缆</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管内穿放室外六芯多模光缆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六类网线</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管内穿放六类非屏蔽双绞线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室外监控箱</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室外监控设备箱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8口POE交换机</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1、8口POE交换机1、交换容量≥256Gbps，包转发率≥42Mpps，若存在双指标，以较低值为准；</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2、提供千兆电接口≥8个，千兆光口≥2个；</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3、支持静态路由、RIP、支持IPv6静态路由、双协议栈；</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 支持802.1Q (最大4K个VLAN)、支持基于协议的VLAN、IP子网的VLAN、MAC的VLAN；</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5、支持IP＋MAC+PORT+VLAN绑定、SAVI 源地址有效性验证、防Ddos攻击、CPU防攻击；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400万红外网络摄像机</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传感器类型：1/2.8英寸CMOS；</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像素：400万；</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最大补光距离：50m（红外）；</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镜头类型：定焦；</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镜头焦距：3.6mm；</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视频压缩标准：H.265;H.264;H.264H;H.264B;MJPEG（仅辅码流支持）；</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智能编码：H.264:支持;H.265:支持；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千兆光模块</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光模块-SFP-GE-多模模块-(850nm,0.55km,LC)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LC-LC多模光跳线</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LC-LC多模光跳线 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双工LC耦合器</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双工LC耦合器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LC多模尾纤</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LC多模尾纤 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光纤连接</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光纤连接熔接法多模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监控立杆</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1、φ75mm*3m高监控立杆安装 2、C20砼基础及预埋地笼；基础尺寸 600*600*600mm 3、铁构件制作安装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FFFFFF"/>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避雷器</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二合一防雷器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8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辅材</w:t>
            </w:r>
          </w:p>
        </w:tc>
        <w:tc>
          <w:tcPr>
            <w:tcW w:w="367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砂石混合料、地笼、PE管、PVC管、网络跳线、安装配件</w:t>
            </w:r>
          </w:p>
        </w:tc>
      </w:tr>
    </w:tbl>
    <w:p>
      <w:pPr>
        <w:pStyle w:val="73"/>
        <w:spacing w:line="240" w:lineRule="auto"/>
        <w:rPr>
          <w:rFonts w:ascii="宋体" w:hAnsi="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2.5</w:t>
      </w:r>
      <w:r>
        <w:rPr>
          <w:rFonts w:ascii="宋体" w:hAnsi="宋体" w:cs="宋体"/>
          <w:b/>
          <w:bCs/>
          <w:color w:val="auto"/>
          <w:sz w:val="21"/>
          <w:szCs w:val="21"/>
          <w:highlight w:val="none"/>
        </w:rPr>
        <w:t xml:space="preserve"> </w:t>
      </w:r>
      <w:r>
        <w:rPr>
          <w:rFonts w:hint="eastAsia" w:ascii="宋体" w:hAnsi="宋体" w:cs="宋体"/>
          <w:b/>
          <w:bCs/>
          <w:color w:val="auto"/>
          <w:sz w:val="21"/>
          <w:szCs w:val="21"/>
          <w:highlight w:val="none"/>
        </w:rPr>
        <w:t>智能网关</w:t>
      </w:r>
    </w:p>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2.5.1设备清单</w:t>
      </w:r>
    </w:p>
    <w:tbl>
      <w:tblPr>
        <w:tblStyle w:val="88"/>
        <w:tblW w:w="4998" w:type="pct"/>
        <w:tblInd w:w="0" w:type="dxa"/>
        <w:tblLayout w:type="autofit"/>
        <w:tblCellMar>
          <w:top w:w="0" w:type="dxa"/>
          <w:left w:w="108" w:type="dxa"/>
          <w:bottom w:w="0" w:type="dxa"/>
          <w:right w:w="108" w:type="dxa"/>
        </w:tblCellMar>
      </w:tblPr>
      <w:tblGrid>
        <w:gridCol w:w="1441"/>
        <w:gridCol w:w="5891"/>
        <w:gridCol w:w="982"/>
        <w:gridCol w:w="924"/>
      </w:tblGrid>
      <w:tr>
        <w:tblPrEx>
          <w:tblCellMar>
            <w:top w:w="0" w:type="dxa"/>
            <w:left w:w="108" w:type="dxa"/>
            <w:bottom w:w="0" w:type="dxa"/>
            <w:right w:w="108" w:type="dxa"/>
          </w:tblCellMar>
        </w:tblPrEx>
        <w:trPr>
          <w:trHeight w:val="23"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3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采购内容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数量</w:t>
            </w:r>
          </w:p>
        </w:tc>
      </w:tr>
      <w:tr>
        <w:tblPrEx>
          <w:tblCellMar>
            <w:top w:w="0" w:type="dxa"/>
            <w:left w:w="108" w:type="dxa"/>
            <w:bottom w:w="0" w:type="dxa"/>
            <w:right w:w="108" w:type="dxa"/>
          </w:tblCellMar>
        </w:tblPrEx>
        <w:trPr>
          <w:trHeight w:val="23"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智能网关</w:t>
            </w:r>
          </w:p>
        </w:tc>
        <w:tc>
          <w:tcPr>
            <w:tcW w:w="3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智能网关及辅材</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r>
    </w:tbl>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2.5.2基本参数</w:t>
      </w:r>
    </w:p>
    <w:tbl>
      <w:tblPr>
        <w:tblStyle w:val="88"/>
        <w:tblW w:w="4998" w:type="pct"/>
        <w:tblInd w:w="0" w:type="dxa"/>
        <w:tblLayout w:type="autofit"/>
        <w:tblCellMar>
          <w:top w:w="0" w:type="dxa"/>
          <w:left w:w="108" w:type="dxa"/>
          <w:bottom w:w="0" w:type="dxa"/>
          <w:right w:w="108" w:type="dxa"/>
        </w:tblCellMar>
      </w:tblPr>
      <w:tblGrid>
        <w:gridCol w:w="1462"/>
        <w:gridCol w:w="2543"/>
        <w:gridCol w:w="5233"/>
      </w:tblGrid>
      <w:tr>
        <w:tblPrEx>
          <w:tblCellMar>
            <w:top w:w="0" w:type="dxa"/>
            <w:left w:w="108" w:type="dxa"/>
            <w:bottom w:w="0" w:type="dxa"/>
            <w:right w:w="108" w:type="dxa"/>
          </w:tblCellMar>
        </w:tblPrEx>
        <w:trPr>
          <w:trHeight w:val="23"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产品</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基本参数</w:t>
            </w:r>
          </w:p>
        </w:tc>
      </w:tr>
      <w:tr>
        <w:tblPrEx>
          <w:tblCellMar>
            <w:top w:w="0" w:type="dxa"/>
            <w:left w:w="108" w:type="dxa"/>
            <w:bottom w:w="0" w:type="dxa"/>
            <w:right w:w="108" w:type="dxa"/>
          </w:tblCellMar>
        </w:tblPrEx>
        <w:trPr>
          <w:trHeight w:val="23"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智能网关</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智能网关及辅材</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支持rs232/485/modbus/bacnet/OPC/MQTT；</w:t>
            </w:r>
          </w:p>
        </w:tc>
      </w:tr>
    </w:tbl>
    <w:p>
      <w:pPr>
        <w:pStyle w:val="73"/>
        <w:spacing w:line="240" w:lineRule="auto"/>
        <w:rPr>
          <w:rFonts w:ascii="宋体" w:hAnsi="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2.6</w:t>
      </w:r>
      <w:r>
        <w:rPr>
          <w:rFonts w:ascii="宋体" w:hAnsi="宋体" w:cs="宋体"/>
          <w:b/>
          <w:bCs/>
          <w:color w:val="auto"/>
          <w:sz w:val="21"/>
          <w:szCs w:val="21"/>
          <w:highlight w:val="none"/>
        </w:rPr>
        <w:t xml:space="preserve"> </w:t>
      </w:r>
      <w:r>
        <w:rPr>
          <w:rFonts w:hint="eastAsia" w:ascii="宋体" w:hAnsi="宋体" w:cs="宋体"/>
          <w:b/>
          <w:bCs/>
          <w:color w:val="auto"/>
          <w:sz w:val="21"/>
          <w:szCs w:val="21"/>
          <w:highlight w:val="none"/>
        </w:rPr>
        <w:t>资产管理配套设备</w:t>
      </w:r>
    </w:p>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2.6.1设备清单</w:t>
      </w:r>
    </w:p>
    <w:tbl>
      <w:tblPr>
        <w:tblStyle w:val="88"/>
        <w:tblW w:w="4998" w:type="pct"/>
        <w:tblInd w:w="0" w:type="dxa"/>
        <w:tblLayout w:type="autofit"/>
        <w:tblCellMar>
          <w:top w:w="0" w:type="dxa"/>
          <w:left w:w="108" w:type="dxa"/>
          <w:bottom w:w="0" w:type="dxa"/>
          <w:right w:w="108" w:type="dxa"/>
        </w:tblCellMar>
      </w:tblPr>
      <w:tblGrid>
        <w:gridCol w:w="1441"/>
        <w:gridCol w:w="5891"/>
        <w:gridCol w:w="981"/>
        <w:gridCol w:w="925"/>
      </w:tblGrid>
      <w:tr>
        <w:tblPrEx>
          <w:tblCellMar>
            <w:top w:w="0" w:type="dxa"/>
            <w:left w:w="108" w:type="dxa"/>
            <w:bottom w:w="0" w:type="dxa"/>
            <w:right w:w="108" w:type="dxa"/>
          </w:tblCellMar>
        </w:tblPrEx>
        <w:trPr>
          <w:trHeight w:val="23"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采购内容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数量</w:t>
            </w:r>
          </w:p>
        </w:tc>
      </w:tr>
      <w:tr>
        <w:tblPrEx>
          <w:tblCellMar>
            <w:top w:w="0" w:type="dxa"/>
            <w:left w:w="108" w:type="dxa"/>
            <w:bottom w:w="0" w:type="dxa"/>
            <w:right w:w="108" w:type="dxa"/>
          </w:tblCellMar>
        </w:tblPrEx>
        <w:trPr>
          <w:trHeight w:val="23" w:hRule="atLeast"/>
        </w:trPr>
        <w:tc>
          <w:tcPr>
            <w:tcW w:w="78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资产管理配套设备</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IOT传感器</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50</w:t>
            </w:r>
          </w:p>
        </w:tc>
      </w:tr>
      <w:tr>
        <w:tblPrEx>
          <w:tblCellMar>
            <w:top w:w="0" w:type="dxa"/>
            <w:left w:w="108" w:type="dxa"/>
            <w:bottom w:w="0" w:type="dxa"/>
            <w:right w:w="108" w:type="dxa"/>
          </w:tblCellMar>
        </w:tblPrEx>
        <w:trPr>
          <w:trHeight w:val="23" w:hRule="atLeast"/>
        </w:trPr>
        <w:tc>
          <w:tcPr>
            <w:tcW w:w="780"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Pad</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r>
      <w:tr>
        <w:tblPrEx>
          <w:tblCellMar>
            <w:top w:w="0" w:type="dxa"/>
            <w:left w:w="108" w:type="dxa"/>
            <w:bottom w:w="0" w:type="dxa"/>
            <w:right w:w="108" w:type="dxa"/>
          </w:tblCellMar>
        </w:tblPrEx>
        <w:trPr>
          <w:trHeight w:val="23" w:hRule="atLeast"/>
        </w:trPr>
        <w:tc>
          <w:tcPr>
            <w:tcW w:w="780"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热敏热转印标签打印机</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r>
      <w:tr>
        <w:tblPrEx>
          <w:tblCellMar>
            <w:top w:w="0" w:type="dxa"/>
            <w:left w:w="108" w:type="dxa"/>
            <w:bottom w:w="0" w:type="dxa"/>
            <w:right w:w="108" w:type="dxa"/>
          </w:tblCellMar>
        </w:tblPrEx>
        <w:trPr>
          <w:trHeight w:val="23" w:hRule="atLeast"/>
        </w:trPr>
        <w:tc>
          <w:tcPr>
            <w:tcW w:w="780"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二维码标签贴纸</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卷</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50</w:t>
            </w:r>
          </w:p>
        </w:tc>
      </w:tr>
    </w:tbl>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2.6.2基本参数</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2543"/>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1376"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产品</w:t>
            </w:r>
          </w:p>
        </w:tc>
        <w:tc>
          <w:tcPr>
            <w:tcW w:w="2832"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资产管理配套设备</w:t>
            </w:r>
          </w:p>
        </w:tc>
        <w:tc>
          <w:tcPr>
            <w:tcW w:w="2345" w:type="dxa"/>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IOT传感器</w:t>
            </w:r>
          </w:p>
        </w:tc>
        <w:tc>
          <w:tcPr>
            <w:tcW w:w="4826" w:type="dxa"/>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IoT感知盒子，能检测设备运行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pct"/>
            <w:vMerge w:val="continue"/>
            <w:shd w:val="clear" w:color="auto" w:fill="auto"/>
            <w:vAlign w:val="center"/>
          </w:tcPr>
          <w:p>
            <w:pPr>
              <w:widowControl/>
              <w:jc w:val="center"/>
              <w:textAlignment w:val="center"/>
              <w:rPr>
                <w:rFonts w:ascii="宋体" w:hAnsi="宋体" w:cs="宋体"/>
                <w:color w:val="auto"/>
                <w:sz w:val="21"/>
                <w:szCs w:val="21"/>
                <w:highlight w:val="none"/>
              </w:rPr>
            </w:pPr>
          </w:p>
        </w:tc>
        <w:tc>
          <w:tcPr>
            <w:tcW w:w="2345" w:type="dxa"/>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Pad</w:t>
            </w:r>
          </w:p>
        </w:tc>
        <w:tc>
          <w:tcPr>
            <w:tcW w:w="4826" w:type="dxa"/>
            <w:shd w:val="clear" w:color="auto" w:fill="auto"/>
            <w:vAlign w:val="center"/>
          </w:tcPr>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内置原生系统，用于资产管理系统的资源二维码的专用扫码工具和一体化的资产管理移动设备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pct"/>
            <w:vMerge w:val="continue"/>
            <w:shd w:val="clear" w:color="auto" w:fill="auto"/>
            <w:vAlign w:val="center"/>
          </w:tcPr>
          <w:p>
            <w:pPr>
              <w:widowControl/>
              <w:jc w:val="center"/>
              <w:textAlignment w:val="center"/>
              <w:rPr>
                <w:rFonts w:ascii="宋体" w:hAnsi="宋体" w:cs="宋体"/>
                <w:color w:val="auto"/>
                <w:sz w:val="21"/>
                <w:szCs w:val="21"/>
                <w:highlight w:val="none"/>
              </w:rPr>
            </w:pPr>
          </w:p>
        </w:tc>
        <w:tc>
          <w:tcPr>
            <w:tcW w:w="2345" w:type="dxa"/>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热敏热转印标签打印机</w:t>
            </w:r>
          </w:p>
        </w:tc>
        <w:tc>
          <w:tcPr>
            <w:tcW w:w="4826" w:type="dxa"/>
            <w:shd w:val="clear" w:color="auto" w:fill="auto"/>
            <w:vAlign w:val="bottom"/>
          </w:tcPr>
          <w:p>
            <w:pPr>
              <w:widowControl/>
              <w:jc w:val="left"/>
              <w:textAlignment w:val="bottom"/>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打印方式:热敏/热转印模式</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打印速度:50~150mm/s</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接口:USB接口</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打印头:203点</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打印模式:碳带/热敏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pct"/>
            <w:vMerge w:val="continue"/>
            <w:shd w:val="clear" w:color="auto" w:fill="auto"/>
            <w:vAlign w:val="center"/>
          </w:tcPr>
          <w:p>
            <w:pPr>
              <w:widowControl/>
              <w:jc w:val="center"/>
              <w:textAlignment w:val="center"/>
              <w:rPr>
                <w:rFonts w:ascii="宋体" w:hAnsi="宋体" w:cs="宋体"/>
                <w:color w:val="auto"/>
                <w:sz w:val="21"/>
                <w:szCs w:val="21"/>
                <w:highlight w:val="none"/>
              </w:rPr>
            </w:pPr>
          </w:p>
        </w:tc>
        <w:tc>
          <w:tcPr>
            <w:tcW w:w="2345" w:type="dxa"/>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二维码标签贴纸</w:t>
            </w:r>
          </w:p>
        </w:tc>
        <w:tc>
          <w:tcPr>
            <w:tcW w:w="4826" w:type="dxa"/>
            <w:shd w:val="clear" w:color="auto" w:fill="auto"/>
            <w:vAlign w:val="bottom"/>
          </w:tcPr>
          <w:p>
            <w:pPr>
              <w:widowControl/>
              <w:jc w:val="left"/>
              <w:textAlignment w:val="bottom"/>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纸卷外径:127mm(5)OD</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纸张类型:连续纸，间隙纸，折叠纸，黑标纸</w:t>
            </w:r>
          </w:p>
        </w:tc>
      </w:tr>
    </w:tbl>
    <w:p>
      <w:pPr>
        <w:pStyle w:val="37"/>
        <w:ind w:firstLine="21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2.7 人行闸机</w:t>
      </w:r>
    </w:p>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2.7.1设备清单</w:t>
      </w:r>
    </w:p>
    <w:tbl>
      <w:tblPr>
        <w:tblStyle w:val="88"/>
        <w:tblW w:w="4998" w:type="pct"/>
        <w:tblInd w:w="0" w:type="dxa"/>
        <w:tblLayout w:type="autofit"/>
        <w:tblCellMar>
          <w:top w:w="0" w:type="dxa"/>
          <w:left w:w="108" w:type="dxa"/>
          <w:bottom w:w="0" w:type="dxa"/>
          <w:right w:w="108" w:type="dxa"/>
        </w:tblCellMar>
      </w:tblPr>
      <w:tblGrid>
        <w:gridCol w:w="1441"/>
        <w:gridCol w:w="5891"/>
        <w:gridCol w:w="981"/>
        <w:gridCol w:w="925"/>
      </w:tblGrid>
      <w:tr>
        <w:tblPrEx>
          <w:tblCellMar>
            <w:top w:w="0" w:type="dxa"/>
            <w:left w:w="108" w:type="dxa"/>
            <w:bottom w:w="0" w:type="dxa"/>
            <w:right w:w="108" w:type="dxa"/>
          </w:tblCellMar>
        </w:tblPrEx>
        <w:trPr>
          <w:trHeight w:val="23"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采购内容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数量</w:t>
            </w:r>
          </w:p>
        </w:tc>
      </w:tr>
      <w:tr>
        <w:tblPrEx>
          <w:tblCellMar>
            <w:top w:w="0" w:type="dxa"/>
            <w:left w:w="108" w:type="dxa"/>
            <w:bottom w:w="0" w:type="dxa"/>
            <w:right w:w="108" w:type="dxa"/>
          </w:tblCellMar>
        </w:tblPrEx>
        <w:trPr>
          <w:trHeight w:val="23" w:hRule="atLeast"/>
        </w:trPr>
        <w:tc>
          <w:tcPr>
            <w:tcW w:w="78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人行闸机</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室外摆闸(左，单开孔)</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r>
      <w:tr>
        <w:tblPrEx>
          <w:tblCellMar>
            <w:top w:w="0" w:type="dxa"/>
            <w:left w:w="108" w:type="dxa"/>
            <w:bottom w:w="0" w:type="dxa"/>
            <w:right w:w="108" w:type="dxa"/>
          </w:tblCellMar>
        </w:tblPrEx>
        <w:trPr>
          <w:trHeight w:val="23" w:hRule="atLeast"/>
        </w:trPr>
        <w:tc>
          <w:tcPr>
            <w:tcW w:w="780"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室外摆闸(右，单开孔)</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w:t>
            </w:r>
          </w:p>
        </w:tc>
      </w:tr>
      <w:tr>
        <w:tblPrEx>
          <w:tblCellMar>
            <w:top w:w="0" w:type="dxa"/>
            <w:left w:w="108" w:type="dxa"/>
            <w:bottom w:w="0" w:type="dxa"/>
            <w:right w:w="108" w:type="dxa"/>
          </w:tblCellMar>
        </w:tblPrEx>
        <w:trPr>
          <w:trHeight w:val="23" w:hRule="atLeast"/>
        </w:trPr>
        <w:tc>
          <w:tcPr>
            <w:tcW w:w="780"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室外摆闸(中，双开孔)</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w:t>
            </w:r>
          </w:p>
        </w:tc>
      </w:tr>
      <w:tr>
        <w:tblPrEx>
          <w:tblCellMar>
            <w:top w:w="0" w:type="dxa"/>
            <w:left w:w="108" w:type="dxa"/>
            <w:bottom w:w="0" w:type="dxa"/>
            <w:right w:w="108" w:type="dxa"/>
          </w:tblCellMar>
        </w:tblPrEx>
        <w:trPr>
          <w:trHeight w:val="23" w:hRule="atLeast"/>
        </w:trPr>
        <w:tc>
          <w:tcPr>
            <w:tcW w:w="780"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7寸室内人脸测温闸机组件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w:t>
            </w:r>
          </w:p>
        </w:tc>
      </w:tr>
    </w:tbl>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2.7.2基本参数</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2543"/>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1376"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产品</w:t>
            </w:r>
          </w:p>
        </w:tc>
        <w:tc>
          <w:tcPr>
            <w:tcW w:w="2832"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人行闸机</w:t>
            </w:r>
          </w:p>
        </w:tc>
        <w:tc>
          <w:tcPr>
            <w:tcW w:w="2345" w:type="dxa"/>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室外摆闸(左，单开孔)</w:t>
            </w:r>
          </w:p>
        </w:tc>
        <w:tc>
          <w:tcPr>
            <w:tcW w:w="4826" w:type="dxa"/>
            <w:shd w:val="clear" w:color="auto" w:fill="auto"/>
            <w:vAlign w:val="center"/>
          </w:tcPr>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摆闸；</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开门模式：刷卡/人脸识别；</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输入接口：RS232串口/RS485接口；</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功耗：≤20W（待机），≤130W（工作）；</w:t>
            </w:r>
          </w:p>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使用环境：室外;室内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pct"/>
            <w:vMerge w:val="continue"/>
            <w:shd w:val="clear" w:color="auto" w:fill="auto"/>
            <w:vAlign w:val="center"/>
          </w:tcPr>
          <w:p>
            <w:pPr>
              <w:widowControl/>
              <w:jc w:val="center"/>
              <w:textAlignment w:val="center"/>
              <w:rPr>
                <w:rFonts w:ascii="宋体" w:hAnsi="宋体" w:cs="宋体"/>
                <w:color w:val="auto"/>
                <w:sz w:val="21"/>
                <w:szCs w:val="21"/>
                <w:highlight w:val="none"/>
              </w:rPr>
            </w:pPr>
          </w:p>
        </w:tc>
        <w:tc>
          <w:tcPr>
            <w:tcW w:w="2345" w:type="dxa"/>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室外摆闸(右，单开孔)</w:t>
            </w:r>
          </w:p>
        </w:tc>
        <w:tc>
          <w:tcPr>
            <w:tcW w:w="4826" w:type="dxa"/>
            <w:shd w:val="clear" w:color="auto" w:fill="auto"/>
            <w:vAlign w:val="center"/>
          </w:tcPr>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摆闸；</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开门模式：刷卡/人脸识别；</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输入接口：RS232串口/RS485接口；</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功耗：≤20W（待机），≤130W（工作）；</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使用环境：室外;室内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791" w:type="pct"/>
            <w:vMerge w:val="continue"/>
            <w:shd w:val="clear" w:color="auto" w:fill="auto"/>
            <w:vAlign w:val="center"/>
          </w:tcPr>
          <w:p>
            <w:pPr>
              <w:widowControl/>
              <w:jc w:val="center"/>
              <w:textAlignment w:val="center"/>
              <w:rPr>
                <w:rFonts w:ascii="宋体" w:hAnsi="宋体" w:cs="宋体"/>
                <w:color w:val="auto"/>
                <w:sz w:val="21"/>
                <w:szCs w:val="21"/>
                <w:highlight w:val="none"/>
              </w:rPr>
            </w:pPr>
          </w:p>
        </w:tc>
        <w:tc>
          <w:tcPr>
            <w:tcW w:w="2345" w:type="dxa"/>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室外摆闸(中，双开孔)</w:t>
            </w:r>
          </w:p>
        </w:tc>
        <w:tc>
          <w:tcPr>
            <w:tcW w:w="4826" w:type="dxa"/>
            <w:shd w:val="clear" w:color="auto" w:fill="auto"/>
            <w:vAlign w:val="center"/>
          </w:tcPr>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产品类型：摆闸；</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驱动电机：直流无刷伺服电机；</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MCBF：≥600万次；</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通道宽度：不锈钢：600mm~1100mm亚克力：600mm~900mm；</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红外对射对数：12对；</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开门模式：刷卡/人脸识别；</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输入接口：RS232串口/RS485接口；</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功耗：≤40W（待机），≤260W（工作）；</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使用环境：室外;室内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pct"/>
            <w:vMerge w:val="continue"/>
            <w:shd w:val="clear" w:color="auto" w:fill="auto"/>
            <w:vAlign w:val="center"/>
          </w:tcPr>
          <w:p>
            <w:pPr>
              <w:widowControl/>
              <w:jc w:val="center"/>
              <w:textAlignment w:val="center"/>
              <w:rPr>
                <w:rFonts w:ascii="宋体" w:hAnsi="宋体" w:cs="宋体"/>
                <w:color w:val="auto"/>
                <w:sz w:val="21"/>
                <w:szCs w:val="21"/>
                <w:highlight w:val="none"/>
              </w:rPr>
            </w:pPr>
          </w:p>
        </w:tc>
        <w:tc>
          <w:tcPr>
            <w:tcW w:w="2345" w:type="dxa"/>
            <w:shd w:val="clear" w:color="auto" w:fill="auto"/>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7寸室内人脸测温闸机组件</w:t>
            </w:r>
          </w:p>
        </w:tc>
        <w:tc>
          <w:tcPr>
            <w:tcW w:w="4826" w:type="dxa"/>
            <w:shd w:val="clear" w:color="auto" w:fill="auto"/>
            <w:vAlign w:val="center"/>
          </w:tcPr>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主处理器：高性能嵌入式处理器；</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显示屏：7寸TFT液晶屏；</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屏幕类型：电容屏；</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屏幕分辩率：600×1024；</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使用环境：室内；</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Wi-Fi：支持；</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摄像头：2MP CMOS高清宽动态双摄像头；</w:t>
            </w:r>
          </w:p>
        </w:tc>
      </w:tr>
    </w:tbl>
    <w:p>
      <w:pPr>
        <w:pStyle w:val="37"/>
        <w:ind w:firstLine="210"/>
        <w:rPr>
          <w:rFonts w:ascii="宋体" w:hAnsi="宋体" w:eastAsia="宋体" w:cs="宋体"/>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2.8 会议室配套硬件</w:t>
      </w:r>
    </w:p>
    <w:p>
      <w:pPr>
        <w:pStyle w:val="37"/>
        <w:ind w:firstLine="21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2.8.1设备清单</w:t>
      </w:r>
    </w:p>
    <w:tbl>
      <w:tblPr>
        <w:tblStyle w:val="88"/>
        <w:tblW w:w="4916" w:type="pct"/>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5505"/>
        <w:gridCol w:w="116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Align w:val="center"/>
          </w:tcPr>
          <w:p>
            <w:pPr>
              <w:widowControl/>
              <w:wordWrap w:val="0"/>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模块</w:t>
            </w:r>
          </w:p>
        </w:tc>
        <w:tc>
          <w:tcPr>
            <w:tcW w:w="3028" w:type="pct"/>
            <w:vAlign w:val="center"/>
          </w:tcPr>
          <w:p>
            <w:pPr>
              <w:widowControl/>
              <w:wordWrap w:val="0"/>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采购内容</w:t>
            </w:r>
          </w:p>
        </w:tc>
        <w:tc>
          <w:tcPr>
            <w:tcW w:w="643" w:type="pct"/>
            <w:vAlign w:val="center"/>
          </w:tcPr>
          <w:p>
            <w:pPr>
              <w:widowControl/>
              <w:wordWrap w:val="0"/>
              <w:jc w:val="center"/>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单位</w:t>
            </w:r>
          </w:p>
        </w:tc>
        <w:tc>
          <w:tcPr>
            <w:tcW w:w="543" w:type="pct"/>
            <w:vAlign w:val="center"/>
          </w:tcPr>
          <w:p>
            <w:pPr>
              <w:widowControl/>
              <w:wordWrap w:val="0"/>
              <w:jc w:val="center"/>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restart"/>
            <w:shd w:val="clear" w:color="000000" w:fill="FFFFFF"/>
            <w:noWrap/>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普通会议室（1间）</w:t>
            </w: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智能会议平板</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智能触控笔</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只</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无线投屏器</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个</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移动支架</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线性阵列音箱</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只</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二通道功率放大器</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数字音频处理器</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无线会议话筒</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套</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机架式调音台</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时序电源器</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19英寸标准机柜</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机柜理线杆</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吊挂架</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付</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音箱线</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米</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信号连接线</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条</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音频连接线</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音箱插头</w:t>
            </w:r>
          </w:p>
        </w:tc>
        <w:tc>
          <w:tcPr>
            <w:tcW w:w="6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个</w:t>
            </w:r>
          </w:p>
        </w:tc>
        <w:tc>
          <w:tcPr>
            <w:tcW w:w="543"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restart"/>
            <w:shd w:val="clear" w:color="000000" w:fill="FFFFFF"/>
            <w:noWrap/>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智能会议室（表内为单间数量，共两间）</w:t>
            </w: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小间距LED屏（3200mm*1760mm）</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平方</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视频处理器</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接收卡</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张</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开关电源</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智能配电箱</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会议专用摄像头</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电脑</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线性阵列音箱</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只</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功率放大器</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数字音频矩阵</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无线会议讨论系统</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无线主席单元</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只</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无线代表单元</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只</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真分集手持无线话筒</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套</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数字反馈抑制器</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智能中控主机</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网络协作管理软件</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套</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8路网络电源控制接口</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5寸触摸屏</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套</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无线路由器</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32U机柜</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台</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机柜理线杆</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吊挂架</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付</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音箱线</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米</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信号连接线</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条</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音频连接线</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音箱插头</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个</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壁挂支架</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副</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钢结构框架</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平方</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220V护套线</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网线</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红黑5V线</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8" w:type="pct"/>
            <w:shd w:val="clear" w:color="000000" w:fill="FFFFFF"/>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六类网线</w:t>
            </w:r>
          </w:p>
        </w:tc>
        <w:tc>
          <w:tcPr>
            <w:tcW w:w="1079"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米</w:t>
            </w:r>
          </w:p>
        </w:tc>
        <w:tc>
          <w:tcPr>
            <w:tcW w:w="910"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300</w:t>
            </w:r>
          </w:p>
        </w:tc>
      </w:tr>
    </w:tbl>
    <w:p>
      <w:pPr>
        <w:pStyle w:val="37"/>
        <w:ind w:firstLine="21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2.8.2基本参数</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788"/>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1" w:type="pct"/>
            <w:vMerge w:val="restart"/>
            <w:vAlign w:val="center"/>
          </w:tcPr>
          <w:p>
            <w:pPr>
              <w:widowControl/>
              <w:wordWrap w:val="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模块</w:t>
            </w:r>
          </w:p>
        </w:tc>
        <w:tc>
          <w:tcPr>
            <w:tcW w:w="967" w:type="pct"/>
            <w:vMerge w:val="restart"/>
            <w:vAlign w:val="center"/>
          </w:tcPr>
          <w:p>
            <w:pPr>
              <w:widowControl/>
              <w:wordWrap w:val="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产品</w:t>
            </w:r>
          </w:p>
        </w:tc>
        <w:tc>
          <w:tcPr>
            <w:tcW w:w="3530" w:type="pct"/>
            <w:vMerge w:val="restart"/>
            <w:vAlign w:val="center"/>
          </w:tcPr>
          <w:p>
            <w:pPr>
              <w:widowControl/>
              <w:wordWrap w:val="0"/>
              <w:jc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1" w:type="pct"/>
            <w:vMerge w:val="continue"/>
            <w:vAlign w:val="center"/>
          </w:tcPr>
          <w:p>
            <w:pPr>
              <w:widowControl/>
              <w:wordWrap w:val="0"/>
              <w:jc w:val="left"/>
              <w:rPr>
                <w:rFonts w:ascii="宋体" w:hAnsi="宋体" w:cs="宋体"/>
                <w:b/>
                <w:bCs/>
                <w:color w:val="auto"/>
                <w:kern w:val="0"/>
                <w:sz w:val="21"/>
                <w:szCs w:val="21"/>
                <w:highlight w:val="none"/>
              </w:rPr>
            </w:pPr>
          </w:p>
        </w:tc>
        <w:tc>
          <w:tcPr>
            <w:tcW w:w="967" w:type="pct"/>
            <w:vMerge w:val="continue"/>
            <w:vAlign w:val="center"/>
          </w:tcPr>
          <w:p>
            <w:pPr>
              <w:widowControl/>
              <w:wordWrap w:val="0"/>
              <w:jc w:val="left"/>
              <w:rPr>
                <w:rFonts w:ascii="宋体" w:hAnsi="宋体" w:cs="宋体"/>
                <w:b/>
                <w:bCs/>
                <w:color w:val="auto"/>
                <w:kern w:val="0"/>
                <w:sz w:val="21"/>
                <w:szCs w:val="21"/>
                <w:highlight w:val="none"/>
              </w:rPr>
            </w:pPr>
          </w:p>
        </w:tc>
        <w:tc>
          <w:tcPr>
            <w:tcW w:w="3530" w:type="pct"/>
            <w:vMerge w:val="continue"/>
            <w:vAlign w:val="center"/>
          </w:tcPr>
          <w:p>
            <w:pPr>
              <w:widowControl/>
              <w:wordWrap w:val="0"/>
              <w:jc w:val="left"/>
              <w:rPr>
                <w:rFonts w:ascii="宋体" w:hAnsi="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restar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普通会议室</w:t>
            </w: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智能会议平板</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 尺寸：86英寸</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 显示比例：16:09</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 背光类型：DLED</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 分辨率：3840（H）×2160（V）</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5. 可视角度：水平 178°，垂直 178°</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6. 触摸屏材料：防眩钢化玻璃，表面硬度达莫氏七级</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7. 触摸技术：红外</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8. 触摸点数：20点</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9. 书写工具：手指 + 智能笔</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10. 响应时间：&lt;10ms</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11. 触摸精度：1mm</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12. 摄像头：外置</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13. 麦克风：内置 2 阵列，全向拾音器 8 米拾音</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14. 扩音：前置2*15W扬声器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智能触控笔</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配套智能平板使用，采用RF 2.4GHz遥控技术，4个物理按键，支持翻页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无线投屏器</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配套智能平板使用，支持1个USB2.0接口，支持一键传屏，支持支持触摸回传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移动支架</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输入电压/输入频率：88~264VAC/47~63HZ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浪涌电流：冷启动，40A/230VAC</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线性调整率：≤0.5%</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输出过载保护：110%-150%切断输出，输入重启后</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上升，保持时间：50ms，20ms额定满载</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绝缘强度：I/P-O/P：3KVAC,  I/P-FG：1.5KVAC, O/P-FG:0.5KVAC,1min</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工作温度：-30℃~+60℃</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储存温度：-40℃~+100℃，20~95%RH无冷凝</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安全标准：GB4943-2001，UL1012</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EMC标准：EN55022，Class A</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冷却方式：自冷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线性阵列音箱</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频率响应（±3dB）：≥110Hz-18kHz；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额定功率：≥120W/240W/480W（连续/节目/峰值）；</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低音单元：4*84mm（3.3英寸）碳纤低音扬声器；</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高音单元：1*34mm（1.3英寸）压缩驱动高音单元；</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额定阻抗：8ohms；</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输入连接器：2芯防水插座M22-2P；</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尺寸（H*W*D）：500*127*161mm（19.6*5*6.3inch）；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二通道功率放大器</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功率：立体声模式，8Ω-2×340W，4Ω-2×600W；桥接单声道8Ω-1×1000W，桥接单声道定压100V-1×600W</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频率响应：20Hz-20KHz,±0.5dB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总谐波失真：≤0.05%</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输入共模抑制比@1KHz：＞70dB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阻尼系数：＞200</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信噪比：＞100dB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通道分离度（串音）@1KHz：＞60dB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输入灵敏度：0.775V/1.4V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数字音频处理器</w:t>
            </w:r>
          </w:p>
        </w:tc>
        <w:tc>
          <w:tcPr>
            <w:tcW w:w="3530" w:type="pct"/>
            <w:vAlign w:val="center"/>
          </w:tcPr>
          <w:p>
            <w:pPr>
              <w:widowControl/>
              <w:numPr>
                <w:ilvl w:val="0"/>
                <w:numId w:val="6"/>
              </w:numPr>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额定电压： 110V/240V</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2．额定功率：≤25W</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3．额定频率：50/60Hz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4．电源性质：单相交流</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5．基本绝缘或附加绝缘：≥0.4mm</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6．加强绝缘：≥0.4mm</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7．接地电阻：≤0.1Ω，25A</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8．频率响应：20Hz-20KHz(0~-0.5dB)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9．信噪比：＞110dB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10．失真度：＜0.01%  （Output=0dBu/1KHz）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11．分离度：＞80dB(1KHz)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12．输入阻抗平衡：20KΩ Balance 20 KΩ</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13．输出阻抗平衡：100Ω  Balance 100 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无线会议话筒</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1．信噪比S/N：&gt;90dB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2．假象干扰比：&gt;100dB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3．邻道干扰比：&gt;80dB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4．接收灵敏度：&gt;7uV</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5．频率响应：40Hz-20KHz±2dB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6．失真率：&lt;0.5%</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7．动态范围：90dB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8．频率切换：红外同步</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9．发射功率：20mW</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10．调制方式：FM</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11．调制度：30KHz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12．高次谐波：低于主波基准40bB以上</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13．使用电源电压：3.7V 18500锂电池</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14．连续使用时间：8小时</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固定式接收机参数</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15．使用电源适配器电压：DC12V-18V</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16．消耗功率：7W1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机架式调音台</w:t>
            </w:r>
          </w:p>
        </w:tc>
        <w:tc>
          <w:tcPr>
            <w:tcW w:w="3530" w:type="pct"/>
            <w:vAlign w:val="center"/>
          </w:tcPr>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频率响应：20Hz－20KHz ；±0.5dB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总谐波失真和噪声：30dB，&lt;0.007%</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通道之间串音：通道哑音: &gt;96dB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辅助发送端口：&gt;86dB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输入和输出阻抗：</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 xml:space="preserve">话筒输入: 2.4KΩ，线路输入: 11KΩ，立体声输入: 100KΩ，输出: 75Ω </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输入和输出电平：话筒最大输入: +17dBu   线路最大输入: +30dBu  立体声最大输入: +30dBu   最大混音输出: +20dBu   耳机最大输出: 300mw/200Ω</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EQ(单声道输入): </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 xml:space="preserve">HF（高频）: 12KHz±15dB     </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 xml:space="preserve">LF（低频）: 80Hz，±15dB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工作条件:</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 xml:space="preserve">温度范围 －10℃～+30℃       </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相对湿度  0%～80%</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供电：:100v-240v; 50/60Hz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电源消耗：&gt;30W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时序电源器</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供电电源：交流220V/50Hz 30A</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额定输出电压：交流220V/50Hz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每路动作延时时间：</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19英寸标准机柜</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1）尺寸：600*600*1200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2）机柜预留对地安装孔和接地柱，满足现场使用需求。</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3）立柱1.5mm，门框1.0mm，侧门1.0mm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机柜理线杆</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长度：485mm 孔距：465mm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吊挂架</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采用吊筋膨胀螺丝配合专业吊挂件 安装方式：壁挂过吊挂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音箱线</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音箱护套线  根据现场实际所需定制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信号连接线</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各设备接 信号连接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音频连接线</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3.5mm转双莲花2RCA音频线用于手机或笔记本的音频连接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音箱插头</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用于音箱与功放功率连接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restar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智能会议室</w:t>
            </w: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小间距LED屏（3200mm*1760mm）</w:t>
            </w:r>
          </w:p>
        </w:tc>
        <w:tc>
          <w:tcPr>
            <w:tcW w:w="3530" w:type="pct"/>
            <w:vAlign w:val="center"/>
          </w:tcPr>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1）点间距≤1.25mm</w:t>
            </w:r>
          </w:p>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2）模组尺寸：宽度320mm*高度160mm，分辨率：3200*1408</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szCs w:val="21"/>
                <w:highlight w:val="none"/>
              </w:rPr>
              <w:t>3</w:t>
            </w:r>
            <w:r>
              <w:rPr>
                <w:rFonts w:hint="eastAsia" w:ascii="宋体" w:hAnsi="宋体" w:cs="宋体"/>
                <w:color w:val="auto"/>
                <w:kern w:val="0"/>
                <w:sz w:val="21"/>
                <w:szCs w:val="21"/>
                <w:highlight w:val="none"/>
                <w:lang w:bidi="ar"/>
              </w:rPr>
              <w:t>、所投LED显示屏和LED模块的销售服务提供中的履约保障能力及相应体系符合GB/T33718-2017、GB/T 31863-2015 及 CTSHXSC01 1003-2020标准，依据认证规则审核评定为五A级。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视频处理器</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1.支持常见的视频接口，包括2 路 HDMI1.4，1 路 DVI，1路选配3G-SDI。</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2.支持音频输入输出，支持HDMI伴随音频输入；支持3.5mm独立音频输入；支持3.5mm独立音频输出；支持通过多功能卡进行音频输出。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3.支持 3 个窗口。</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4.支持 HDMI、DVI 输入分辨率自定义调节。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5.支持设备间备份设置。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6.视频输出最大带载高达 650 万像素。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接收卡</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1.灵活带载，单卡支持8组、16、24组数据输出模式</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2.无需转接板，单卡自带6个HUB320 16P接口，更加稳定</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3.单卡带载像素256*512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开关电源</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输入电压/输入频率：88~264VAC/47~63HZ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浪涌电流：冷启动，40A/230VAC</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线性调整率：≤0.5%</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输出过载保护：110%-150%切断输出，输入重启后</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上升，保持时间：50ms，20ms额定满载</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绝缘强度：I/P-O/P：3KVAC,  I/P-FG：1.5KVAC, O/P-FG:0.5KVAC,1min</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工作温度：-30℃~+60℃</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储存温度：-40℃~+100℃，20~95%RH无冷凝</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安全标准：GB4943-2001，UL1012</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EMC标准：EN55022，Class A</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冷却方式：自冷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智能配电箱</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1、控制器采用高可靠的PLC控制器，即使电脑损坏或通讯中断，整套系统也能独立运行，确保整套系统的万无一失</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2、多样的控制模式 远程触摸屏图形终端控制、远程客户端软件控制、现场手动应急控制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会议专用摄像头</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采用1/2.8英寸，210万有效像素的高品质HDCMOS传感器，可实现1080P30超高分辨率的优质图像。输出帧频最高可达30帧/秒。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电脑</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CPU ：I5 10400    6核12线程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内存：8G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固态：128G</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显示器：AOC 2280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线性阵列音箱</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低音单元：4*84mm（3.3英寸）碳纤低音扬声器；</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高音单元：1*34mm（1.3英寸）压缩驱动高音单元；</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额定阻抗：8ohms；</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箱体结构：全铝合金外壳，黑色粉末涂层；</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铁网：黑色粉末涂层，4*4mm六角网孔背贴，声学透声网布，防水透声网布；</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输入连接器：2芯防水插座M22-2P；</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尺寸（H*W*D）：500*127*161mm（19.6*5*6.3inch）；</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净重：6.3KG（13.8lbs）；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功率放大器</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功率：立体声模式，8Ω-2×340W，4Ω-2×600W；桥接单声道8Ω-1×1000W，桥接单声道定压100V-1×600W</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频率响应：20Hz-20KHz,±0.5dB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总谐波失真：≤0.05%</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输入共模抑制比@1KHz：＞70dB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阻尼系数：＞200</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信噪比：＞100dB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通道分离度（串音）@1KHz：＞60dB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输入灵敏度：0.775V/1.4V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数字音频矩阵</w:t>
            </w:r>
          </w:p>
        </w:tc>
        <w:tc>
          <w:tcPr>
            <w:tcW w:w="3530" w:type="pct"/>
            <w:vAlign w:val="center"/>
          </w:tcPr>
          <w:p>
            <w:pPr>
              <w:widowControl/>
              <w:spacing w:after="19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1．多级灵敏度输入功能，可选0dB，-10dB，-20dB，-30dB，-40dB；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2．输出灵敏度：0dBu/-10dBu/；</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3．输入阻抗：≥4.7K欧姆；</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4．输出阻抗：≤100欧姆；</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5．最大输出电平：≥20dBu；</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6．频率响应:20Hz-20kHz±0.5dB；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7．失真度：≤0.01% @1kHz，0dBu；</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8．分离度：≥80dB@1kHz；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无线会议讨论系统</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1．系统信号覆盖范围内：支持N个单元连接使用可1-4个单元同时发言，主席单元可任意搭配；</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2．双向接收信号，CPU多级纠错、加密扰码；抗电磁、手机干扰。</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3．四种会议模式可选：会议模式、演讲模式和两种自定义模式；</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4．三种发言模式：主席专用、先进先出、限制发言；同时发言人数：1-4人（可选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5．液晶屏显示内容：发言模式、发言人数、通道顺序、信道数与单元电量百分比；轻触式六键控制按键，分级菜单并支持中/英文切换和总输出音量调节等功能。</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6．系统状态检测功能：当主机与会议单元连接不正常时，灯环会闪烁提示；连接正常的情况下，会议单元灯环是长亮状态；</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7．IP与ID编码设计（ID:001-160、IP:001-008）；</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8．会议单元使用数量无上限，且无需繁琐的线缆连接；若关闭主机电源所有会议单元也随即关闭。</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9．使用距离：80-100米；</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10．通讯距离：100-150米；</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11．可安装于19英寸标准机柜中。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无线主席单元</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1．开放模式（FREE）：就是所有的参会代表都可以自由发言，主席优先按键对所有代表机起作用。操作员可以随时指定任何代表机开启或关闭任何代表机。</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2．先进先出（FIFO）：就是设定大会的同时发言人数，当达到大会指定的发言人数后，以后要发言的人将自动关闭最先打开的话筒，以保持会场的发言人数的限制。（可以自由设定1-12支）</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3．限制模式（LIMIT）：就是限制大会同时发言的人数，但是当话筒开启支数达到大会指定的发言人数后，以后要发言的人必须等到前一个人退出发言才可以发言。（可以自由设定1-12支）</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主席模式可选：可以选择主席专有和主席普通模式。主席专有(C.only)：即是当主席麦克风按下优先键以后，所有的代表麦克风被关闭再也不能开启，除非主席麦克风关闭后代表麦克风才能开启。主席普通模式：主席麦克风按下优先键以后，所有的代表麦克风被关闭但还能自由开启。</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自动关机(A. Off)：即是可以选择麦克风发言完毕后是否在45秒内自动关闭。</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5．主席音乐提示音可选：可以选择有或无。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无线代表单元</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1．频率响应:40HZ～16KHZ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2．总谐波失真:小于0.1%                                              3．消耗功耗:415W</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4．交流供电：220V-240V～ 50Hz-60Hz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5．主控机与会议系统单体连接之数位控制及声音信号采用同一电缆传送（八芯）</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6．可独立运作或是外接电脑结合软体同步联动操作，实现多种会务管理功能(会议模式或操作：指定发言、自由发言、申请发言及先进先出发言等)</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7．单机可实现下列几个会议功能：开放式会议、限制发言、先进先出</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8．系统具有较好音质声音通道效果</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9．具三种会务管理模式:开放模式(Open )、先进先出(FIFO)、限制模式（LIMIT）</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10．可选择同时发言之麦克风数1-9支(含)或全开放式发言。</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11．面板具有LCD液晶显示，122x32点阵显示会议模式。面板上具有功能键、旋钮供系统设定及调节之用。</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12．具音频讯号输出端子，可外接录音或音响设备。</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13．具与电话偶合器连接端子，可外接电话偶合器进行电话会议。</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14．符合国际会议设备及国际安规标准UL，CE认证</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15．可水平放置于台面或安装于19英寸标准机柜中。</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16．本系统可外接自动跟踪视像系统及表决系统。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真分集手持无线话筒</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1．信噪比S/N：&gt;90dB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2．假象干扰比：&gt;100dB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3．邻道干扰比：&gt;80dB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4．接收灵敏度：&gt;7uV</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5．频率响应：40Hz-20KHz±2dB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6．失真率：&lt;0.5%</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7．动态范围：90dB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8．频率切换：红外同步</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9．发射功率：20mW</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10．调制方式：FM</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11．调制度：30KHz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12．高次谐波：低于主波基准40bB以上</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13．使用电源电压：3.7V 18500锂电池</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14．连续使用时间：</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8小时</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固定式接收机参数</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15．使用电源适配器电压：DC12V-18V</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16．消耗功率：7W1</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17．功能：自动扫频，红外线对频。</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18．心型指向音头，电子音量，数字显示。</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19．独有的ID码导频技术，解决同频串音。</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20．TFY显示：音频动态、频道频率等。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数字反馈抑制器</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1．信噪比：＞105dB（A）</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2．动态范围：＞103dB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3．频率响应：20Hz-20KHz，±0.3dB</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4．总谐波失真＋噪声0.005%，1KHz；20Hz-10KH，＜0.01%；10KHz-20KHz，＜0.025%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智能中控主机</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2寸液晶显示屏、可选配5寸墙板触摸显示屏，中文菜单显示；</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4路串口,输入对应中控码支持直接选用第三方设备，支持对无纸化升降器、投影、效果器、编解码器、音视频矩阵、功放、时序器、点歌机等带RS232接口的设备进行控制；</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2路RS485接口，支持对电动窗帘、电动幕布等带RS485协议的设备控制；</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1路墙板接口，可实现墙面板并联使用，支持外接控制面板实际功能控制；</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3路RF接口，可实现散射式红外发射，对接红外发射器延长线进行红外转发，支持对红外设备进行控制；</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10位干触点开关控制，支持对2组电动门窗、电动幕布、新风机控制等设备控制；</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1路LAN口，通过APP对主机进行操作控制及中控参数设置；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网络协作管理软件</w:t>
            </w:r>
          </w:p>
        </w:tc>
        <w:tc>
          <w:tcPr>
            <w:tcW w:w="3530" w:type="pct"/>
            <w:vAlign w:val="center"/>
          </w:tcPr>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1．可编辑逻辑电路；                                                                    2．可自定义通道；                                                                                           3．模块化管理软件；</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4．配套无纸化、音视频设备、电源设备、窗帘设备、市场主流投影设备的中控协议代码免编辑。                              </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5．配合墙控面板同步场景管理，实现一键场景切换。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8路网络电源控制接口</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1．额定输出电压：AC100V-240V.50-60HZ ；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2．单路额定输出电流：13A；</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3．额定总输出电流：30A。</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4．10路输出可控制电源，可自由设置延时开启和关闭时间，带独立滤波隔离器；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5．双2寸TFT显示窗，电流及电压实时显示；                                                                   6．配置RS232串口；支持RJ45，可实现跨网段（局域网）进行远程控制，每台设备对接网端，在设备上可设定固定的IP地址，可在集中控制中心通过一台电脑PC端预设设备固定IP地址，实现控制开关机模式调用，每个ID名称可自定义（16台）；</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7．自带ID设置和检测；</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8．支持多台设备级联控制，级联状态可自动检测及设置，并设有触发功能。</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9．欠压、超压、过流检测及报警；</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10．内置时钟芯片，定时设置自动开关机；</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11．支持延时断电保护功能；</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12．支持Android,IOS及Windows操作系统无线控制调试，实现一键开关机及模式调用。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5寸触摸屏</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1．搭配中控主机实现应用场景自定义；                                                                          2．电容全触摸屏显示≥5寸65.5K色；</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3．分辨率≥800*480</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4．中文菜单显示；</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5．RS485通讯,与智能控制主机连接；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6．功能：可实现对智能控制主机,受控音视频源,电源管理器,电动窗帘,电动投影幕,灯光及红外设备等场景进行控制。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无线路由器</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1800M双频全千兆Wi-Fi6无线路由器，企业级芯片方案，千兆宽带接入能力，双核4线程CPU，推荐带机64台终端，整机最大接入速率1800Mbps，支持802.11ax和802.11b/g/n/a/ac。共5个千兆网口，特有自研多台Mesh技术，支持Wi-Fi无缝漫游，可支持IPTV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32U机柜</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1）尺寸：600*600*1600                                                                              2）所有冷轧钢板酸洗硅烷化环保处理。</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3）预留各种走线通道，根据需要可关闭和打开，框架特别设计走线孔，走线隐蔽美观，典雅高贵。</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4）可拆卸的左右侧门和前后门，操作方便。</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5）高强度承重角规，深度方向可前后调整。</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6）风扇单元从顶部安装，使用过程中拆卸维护方便。</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7）机柜预留对地安装孔和接地柱，满足现场使用需求。</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8）塑扣采用模具成型，更加精致有型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9）为响应国家环保要求产品需为节能环保产品、绿色环保产品，并提供相应证明文件。                                                                                           10）立柱1.5mm，门框1.0mm，侧门1.0mm                                              11）钢印品牌LOGO，更显档次                                                                                                                        12）风扇、托盘、螺丝等附件齐全                                                             13）符合标准：ANSI/EIA RS-310-D IEC60297-2 DIN41494：PART1 DIN41494：PART7 ; GB/T3047.2- 92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机柜理线杆</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碳钢型材 轻盈坚韧 不生锈 使用寿命长 圆柱钢管造型 施工方便不伤线 长度：485mm 孔距：465mm 材质：碳钢 颜色：黑色 净重：0.12KG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吊挂架</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采用吊筋膨胀螺丝配合专业吊挂件 安装方式：壁挂过吊挂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音箱线</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音箱护套线  根据现场实际所需定制  另购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信号连接线</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各设备接 信号连接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音频连接线</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3.5mm转双莲花2RCA音频线用于手机或笔记本的音频连接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音箱插头</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用于音箱与功放功率连接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壁挂支架</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德天21.5寸门显配套使用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钢结构框架</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按照实际要求和现场需求定制采用镀锌方管定制式安装框架,不锈钢黑色拉丝或型材包边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220V护套线</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箱体内电源连接线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网线</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接收卡间连接线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红黑5V线</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接收卡电源线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pct"/>
            <w:vMerge w:val="continue"/>
            <w:vAlign w:val="center"/>
          </w:tcPr>
          <w:p>
            <w:pPr>
              <w:widowControl/>
              <w:wordWrap w:val="0"/>
              <w:jc w:val="center"/>
              <w:rPr>
                <w:rFonts w:ascii="宋体" w:hAnsi="宋体" w:cs="宋体"/>
                <w:color w:val="auto"/>
                <w:kern w:val="0"/>
                <w:sz w:val="21"/>
                <w:szCs w:val="21"/>
                <w:highlight w:val="none"/>
              </w:rPr>
            </w:pPr>
          </w:p>
        </w:tc>
        <w:tc>
          <w:tcPr>
            <w:tcW w:w="967" w:type="pct"/>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六类网线</w:t>
            </w:r>
          </w:p>
        </w:tc>
        <w:tc>
          <w:tcPr>
            <w:tcW w:w="3530" w:type="pct"/>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1）采用4对六类23AWG非屏蔽双绞线（UTP）, 采用通用圆形外护套结构。</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 双绞线护套采用PVC材料，放射性有害金属控制在国际最严格标准内。</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3) 须提供具有25项以上检测内容的第三方检测报告，并提供证明文件； 4）须提供第三方信道以及永久链路检测报告，并提供证明文件 5）须提供第三方六节点信道及永久链路检测报告，并提供证明文件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6) 须通过CE、ROHS、FCC、REACH等认证，并提供证明文件 7）护套上有清楚的品牌、公司、长度标记，方便确认和施工 8）阻抗： (f=1-100MHz)100±15%Ω</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9）物理带宽： 250MHz</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10）电缆直径 ：6.2±0.2mm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11）绝缘电阻 ：≥ 5000MΩ/km (+20℃ DC (100-500)</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12）操作温度 ：-20~60℃ </w:t>
            </w:r>
          </w:p>
        </w:tc>
      </w:tr>
    </w:tbl>
    <w:p>
      <w:pPr>
        <w:pStyle w:val="37"/>
        <w:ind w:firstLine="211"/>
        <w:rPr>
          <w:rFonts w:ascii="宋体" w:hAnsi="宋体" w:eastAsia="宋体" w:cs="宋体"/>
          <w:b/>
          <w:bCs/>
          <w:color w:val="auto"/>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2.9 电磁门锁</w:t>
      </w:r>
    </w:p>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2.9.1设备清单</w:t>
      </w:r>
    </w:p>
    <w:tbl>
      <w:tblPr>
        <w:tblStyle w:val="88"/>
        <w:tblW w:w="4998" w:type="pct"/>
        <w:tblInd w:w="0" w:type="dxa"/>
        <w:tblLayout w:type="autofit"/>
        <w:tblCellMar>
          <w:top w:w="0" w:type="dxa"/>
          <w:left w:w="108" w:type="dxa"/>
          <w:bottom w:w="0" w:type="dxa"/>
          <w:right w:w="108" w:type="dxa"/>
        </w:tblCellMar>
      </w:tblPr>
      <w:tblGrid>
        <w:gridCol w:w="1649"/>
        <w:gridCol w:w="5280"/>
        <w:gridCol w:w="1096"/>
        <w:gridCol w:w="1213"/>
      </w:tblGrid>
      <w:tr>
        <w:tblPrEx>
          <w:tblCellMar>
            <w:top w:w="0" w:type="dxa"/>
            <w:left w:w="108" w:type="dxa"/>
            <w:bottom w:w="0" w:type="dxa"/>
            <w:right w:w="108" w:type="dxa"/>
          </w:tblCellMar>
        </w:tblPrEx>
        <w:trPr>
          <w:trHeight w:val="23" w:hRule="atLeast"/>
        </w:trPr>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28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采购内容</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数量</w:t>
            </w:r>
          </w:p>
        </w:tc>
      </w:tr>
      <w:tr>
        <w:tblPrEx>
          <w:tblCellMar>
            <w:top w:w="0" w:type="dxa"/>
            <w:left w:w="108" w:type="dxa"/>
            <w:bottom w:w="0" w:type="dxa"/>
            <w:right w:w="108" w:type="dxa"/>
          </w:tblCellMar>
        </w:tblPrEx>
        <w:trPr>
          <w:trHeight w:val="23" w:hRule="atLeast"/>
        </w:trPr>
        <w:tc>
          <w:tcPr>
            <w:tcW w:w="8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电磁门锁</w:t>
            </w:r>
          </w:p>
        </w:tc>
        <w:tc>
          <w:tcPr>
            <w:tcW w:w="2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aps/>
                <w:color w:val="auto"/>
                <w:sz w:val="21"/>
                <w:szCs w:val="21"/>
                <w:highlight w:val="none"/>
              </w:rPr>
            </w:pPr>
            <w:r>
              <w:rPr>
                <w:rFonts w:hint="eastAsia" w:ascii="宋体" w:hAnsi="宋体" w:cs="宋体"/>
                <w:caps/>
                <w:color w:val="auto"/>
                <w:kern w:val="0"/>
                <w:sz w:val="21"/>
                <w:szCs w:val="21"/>
                <w:highlight w:val="none"/>
                <w:lang w:bidi="ar"/>
              </w:rPr>
              <w:t>智能面板</w:t>
            </w:r>
          </w:p>
        </w:tc>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aps/>
                <w:color w:val="auto"/>
                <w:sz w:val="21"/>
                <w:szCs w:val="21"/>
                <w:highlight w:val="none"/>
              </w:rPr>
            </w:pPr>
            <w:r>
              <w:rPr>
                <w:rFonts w:hint="eastAsia" w:ascii="宋体" w:hAnsi="宋体" w:cs="宋体"/>
                <w:caps/>
                <w:color w:val="auto"/>
                <w:kern w:val="0"/>
                <w:sz w:val="21"/>
                <w:szCs w:val="21"/>
                <w:highlight w:val="none"/>
                <w:lang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aps/>
                <w:color w:val="auto"/>
                <w:sz w:val="21"/>
                <w:szCs w:val="21"/>
                <w:highlight w:val="none"/>
              </w:rPr>
            </w:pPr>
            <w:r>
              <w:rPr>
                <w:rFonts w:hint="eastAsia" w:ascii="宋体" w:hAnsi="宋体" w:cs="宋体"/>
                <w:caps/>
                <w:color w:val="auto"/>
                <w:kern w:val="0"/>
                <w:sz w:val="21"/>
                <w:szCs w:val="21"/>
                <w:highlight w:val="none"/>
                <w:lang w:bidi="ar"/>
              </w:rPr>
              <w:t>750</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双门磁力锁</w:t>
            </w:r>
          </w:p>
        </w:tc>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375</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出门开关</w:t>
            </w:r>
          </w:p>
        </w:tc>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750</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门禁电源</w:t>
            </w:r>
          </w:p>
        </w:tc>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750</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UPS电源</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1 </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蓄电池</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只</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64 </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电池柜</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架</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2 </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电池连接线</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2 </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电池断路器</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1 </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ups配电箱</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1 </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电缆敷设</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1800 </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电源线</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15600</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信号线</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15600</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信号线</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15600</w:t>
            </w:r>
          </w:p>
        </w:tc>
      </w:tr>
      <w:tr>
        <w:tblPrEx>
          <w:tblCellMar>
            <w:top w:w="0" w:type="dxa"/>
            <w:left w:w="108" w:type="dxa"/>
            <w:bottom w:w="0" w:type="dxa"/>
            <w:right w:w="108" w:type="dxa"/>
          </w:tblCellMar>
        </w:tblPrEx>
        <w:trPr>
          <w:trHeight w:val="23"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1"/>
                <w:szCs w:val="21"/>
                <w:highlight w:val="none"/>
              </w:rPr>
            </w:pPr>
          </w:p>
        </w:tc>
        <w:tc>
          <w:tcPr>
            <w:tcW w:w="2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PVC线槽</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7980</w:t>
            </w:r>
          </w:p>
        </w:tc>
      </w:tr>
    </w:tbl>
    <w:p>
      <w:pPr>
        <w:pStyle w:val="71"/>
        <w:rPr>
          <w:rFonts w:ascii="宋体" w:hAnsi="宋体" w:cs="宋体"/>
          <w:color w:val="auto"/>
          <w:szCs w:val="21"/>
          <w:highlight w:val="none"/>
        </w:rPr>
      </w:pPr>
    </w:p>
    <w:p>
      <w:pPr>
        <w:pStyle w:val="37"/>
        <w:ind w:firstLine="0" w:firstLineChars="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2.9.2基本参数</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373"/>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743"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产品</w:t>
            </w:r>
          </w:p>
        </w:tc>
        <w:tc>
          <w:tcPr>
            <w:tcW w:w="3660"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restar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电磁门锁</w:t>
            </w:r>
          </w:p>
        </w:tc>
        <w:tc>
          <w:tcPr>
            <w:tcW w:w="743"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智能面板</w:t>
            </w:r>
          </w:p>
        </w:tc>
        <w:tc>
          <w:tcPr>
            <w:tcW w:w="3660" w:type="pct"/>
            <w:shd w:val="clear" w:color="auto" w:fill="FFFFFF"/>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主处理器：高性能嵌入式处理器；</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屏幕类型：电容屏；</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使用环境：室内室外；</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Wi-Fi：支持；</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摄像头：2MP CMOS 高清宽动态双摄像头；</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开门模式：支持刷卡/远程/密码/二维码/人脸识别开门模式支持组合开门模式设置；</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RS-485接口：1个；</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韦根接口：1路输入/输出；</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USB接口：1个USB2.0接口；</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网络接口：1个10Mbps/100Mbps以太网口；</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报警输入：1路；</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报警联动：支持；</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开门按钮：1路；</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门状态检测：1路；</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门锁控制：1路，默认常开；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双门磁力锁</w:t>
            </w:r>
          </w:p>
        </w:tc>
        <w:tc>
          <w:tcPr>
            <w:tcW w:w="3660"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出门开关</w:t>
            </w:r>
          </w:p>
        </w:tc>
        <w:tc>
          <w:tcPr>
            <w:tcW w:w="3660"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86信号开关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门禁电源</w:t>
            </w:r>
          </w:p>
        </w:tc>
        <w:tc>
          <w:tcPr>
            <w:tcW w:w="3660" w:type="pct"/>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12V/15A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UPS电源</w:t>
            </w:r>
          </w:p>
        </w:tc>
        <w:tc>
          <w:tcPr>
            <w:tcW w:w="366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额定容量 40KVA/36KW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 40KS输入参数</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整流器类型 /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额定电压 380Vac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输入电压范围 210VAC-475VAC 3P4W+G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输入频率范围 40~60Hz(50Hz)/50~70Hz(60Hz)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输入功率因数 &gt;0.99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 40KS输出参数</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额定输出功率 40KVA / 36K W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额定输出电压 380Vac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输出电压 220VAC（1±1%）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输出频率 市电：46-54Hz同步市电；50Hz（市电40-46Hz或54-60Hz）; 电池：50Hz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输出功率因数 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蓄电池</w:t>
            </w:r>
          </w:p>
        </w:tc>
        <w:tc>
          <w:tcPr>
            <w:tcW w:w="366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设计浮充寿命（25℃） </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 xml:space="preserve">7年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容量（25℃） 20HR（5.0A，1.8V）；100AH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外形尺寸（长*宽*高）mm 329*172*217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重量（KG） 25.2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充电饱和状态内阻（25℃） 6.1mΩ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自放电（25℃） 约3%/月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容量与温度的关系（20HR） 0℃，85%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补充电要求 浮充使用；13.6-13.8V（-20mv/℃） </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 xml:space="preserve">最大补充电电流 15.0A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电池柜</w:t>
            </w:r>
          </w:p>
        </w:tc>
        <w:tc>
          <w:tcPr>
            <w:tcW w:w="366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电池连接线</w:t>
            </w:r>
          </w:p>
        </w:tc>
        <w:tc>
          <w:tcPr>
            <w:tcW w:w="366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电池断路器</w:t>
            </w:r>
          </w:p>
        </w:tc>
        <w:tc>
          <w:tcPr>
            <w:tcW w:w="366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ups配电箱</w:t>
            </w:r>
          </w:p>
        </w:tc>
        <w:tc>
          <w:tcPr>
            <w:tcW w:w="366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电缆敷设</w:t>
            </w:r>
          </w:p>
        </w:tc>
        <w:tc>
          <w:tcPr>
            <w:tcW w:w="366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电源线</w:t>
            </w:r>
          </w:p>
        </w:tc>
        <w:tc>
          <w:tcPr>
            <w:tcW w:w="3660"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rvv2*1.0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信号线</w:t>
            </w:r>
          </w:p>
        </w:tc>
        <w:tc>
          <w:tcPr>
            <w:tcW w:w="3660"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rvv4*1.0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信号线</w:t>
            </w:r>
          </w:p>
        </w:tc>
        <w:tc>
          <w:tcPr>
            <w:tcW w:w="3660"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rvv6*1.0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pct"/>
            <w:vMerge w:val="continue"/>
            <w:shd w:val="clear" w:color="auto" w:fill="auto"/>
            <w:noWrap/>
            <w:vAlign w:val="center"/>
          </w:tcPr>
          <w:p>
            <w:pPr>
              <w:widowControl/>
              <w:jc w:val="center"/>
              <w:textAlignment w:val="center"/>
              <w:rPr>
                <w:rFonts w:ascii="宋体" w:hAnsi="宋体" w:cs="宋体"/>
                <w:color w:val="auto"/>
                <w:sz w:val="21"/>
                <w:szCs w:val="21"/>
                <w:highlight w:val="none"/>
              </w:rPr>
            </w:pPr>
          </w:p>
        </w:tc>
        <w:tc>
          <w:tcPr>
            <w:tcW w:w="743"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PVC线槽</w:t>
            </w:r>
          </w:p>
        </w:tc>
        <w:tc>
          <w:tcPr>
            <w:tcW w:w="3660" w:type="pct"/>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4CM</w:t>
            </w:r>
          </w:p>
        </w:tc>
      </w:tr>
    </w:tbl>
    <w:p>
      <w:pPr>
        <w:pStyle w:val="34"/>
        <w:rPr>
          <w:rFonts w:ascii="宋体" w:hAnsi="宋体" w:cs="宋体"/>
          <w:color w:val="auto"/>
          <w:sz w:val="21"/>
          <w:szCs w:val="21"/>
          <w:highlight w:val="none"/>
        </w:rPr>
      </w:pPr>
    </w:p>
    <w:p>
      <w:pPr>
        <w:keepNext/>
        <w:keepLines/>
        <w:wordWrap w:val="0"/>
        <w:spacing w:before="200" w:after="20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2.10 网络安全设备</w:t>
      </w:r>
    </w:p>
    <w:p>
      <w:pPr>
        <w:pStyle w:val="34"/>
        <w:rPr>
          <w:rFonts w:ascii="宋体" w:hAnsi="宋体" w:cs="宋体"/>
          <w:color w:val="auto"/>
          <w:sz w:val="21"/>
          <w:szCs w:val="21"/>
          <w:highlight w:val="none"/>
        </w:rPr>
      </w:pPr>
      <w:r>
        <w:rPr>
          <w:rFonts w:hint="eastAsia" w:ascii="宋体" w:hAnsi="宋体" w:cs="宋体"/>
          <w:b/>
          <w:bCs/>
          <w:color w:val="auto"/>
          <w:sz w:val="21"/>
          <w:szCs w:val="21"/>
          <w:highlight w:val="none"/>
        </w:rPr>
        <w:t>2.10.1设备清单</w:t>
      </w:r>
    </w:p>
    <w:tbl>
      <w:tblPr>
        <w:tblStyle w:val="88"/>
        <w:tblW w:w="4916" w:type="pct"/>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5504"/>
        <w:gridCol w:w="116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shd w:val="clear" w:color="000000" w:fill="FFFFFF"/>
            <w:noWrap/>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lang w:bidi="ar"/>
              </w:rPr>
              <w:t>模块</w:t>
            </w:r>
          </w:p>
        </w:tc>
        <w:tc>
          <w:tcPr>
            <w:tcW w:w="5076" w:type="dxa"/>
            <w:shd w:val="clear" w:color="000000" w:fill="FFFFFF"/>
            <w:vAlign w:val="center"/>
          </w:tcPr>
          <w:p>
            <w:pPr>
              <w:widowControl/>
              <w:jc w:val="center"/>
              <w:textAlignment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lang w:bidi="ar"/>
              </w:rPr>
              <w:t>采购内容</w:t>
            </w:r>
          </w:p>
        </w:tc>
        <w:tc>
          <w:tcPr>
            <w:tcW w:w="1078" w:type="dxa"/>
            <w:shd w:val="clear" w:color="000000"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b/>
                <w:bCs/>
                <w:color w:val="auto"/>
                <w:kern w:val="0"/>
                <w:sz w:val="21"/>
                <w:szCs w:val="21"/>
                <w:highlight w:val="none"/>
                <w:lang w:bidi="ar"/>
              </w:rPr>
              <w:t>单位</w:t>
            </w:r>
          </w:p>
        </w:tc>
        <w:tc>
          <w:tcPr>
            <w:tcW w:w="910" w:type="dxa"/>
            <w:shd w:val="clear" w:color="000000"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b/>
                <w:bCs/>
                <w:color w:val="auto"/>
                <w:kern w:val="0"/>
                <w:sz w:val="21"/>
                <w:szCs w:val="21"/>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restart"/>
            <w:shd w:val="clear" w:color="000000" w:fill="FFFFFF"/>
            <w:noWrap/>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网络安全设备</w:t>
            </w: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数据库审计</w:t>
            </w:r>
          </w:p>
        </w:tc>
        <w:tc>
          <w:tcPr>
            <w:tcW w:w="643" w:type="pct"/>
            <w:shd w:val="clear" w:color="000000" w:fill="FFFFFF"/>
            <w:vAlign w:val="center"/>
          </w:tcPr>
          <w:p>
            <w:pPr>
              <w:widowControl/>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日志审计</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堡垒机</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防火墙SSL VPN</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份</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数据中心防火墙</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shd w:val="clear" w:color="000000" w:fill="FFFFFF"/>
            <w:noWrap/>
            <w:vAlign w:val="center"/>
          </w:tcPr>
          <w:p>
            <w:pPr>
              <w:widowControl/>
              <w:wordWrap w:val="0"/>
              <w:jc w:val="center"/>
              <w:rPr>
                <w:rFonts w:ascii="宋体" w:hAnsi="宋体" w:cs="宋体"/>
                <w:color w:val="auto"/>
                <w:kern w:val="0"/>
                <w:sz w:val="21"/>
                <w:szCs w:val="21"/>
                <w:highlight w:val="none"/>
              </w:rPr>
            </w:pPr>
          </w:p>
        </w:tc>
        <w:tc>
          <w:tcPr>
            <w:tcW w:w="3029" w:type="pct"/>
            <w:shd w:val="clear" w:color="000000" w:fill="FFFFFF"/>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杀毒软件</w:t>
            </w:r>
          </w:p>
        </w:tc>
        <w:tc>
          <w:tcPr>
            <w:tcW w:w="6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套</w:t>
            </w:r>
          </w:p>
        </w:tc>
        <w:tc>
          <w:tcPr>
            <w:tcW w:w="543" w:type="pct"/>
            <w:shd w:val="clear" w:color="000000"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r>
    </w:tbl>
    <w:p>
      <w:pPr>
        <w:pStyle w:val="34"/>
        <w:rPr>
          <w:rFonts w:ascii="宋体" w:hAnsi="宋体" w:cs="宋体"/>
          <w:b/>
          <w:bCs/>
          <w:color w:val="auto"/>
          <w:sz w:val="21"/>
          <w:szCs w:val="21"/>
          <w:highlight w:val="none"/>
        </w:rPr>
      </w:pPr>
      <w:r>
        <w:rPr>
          <w:rFonts w:hint="eastAsia" w:ascii="宋体" w:hAnsi="宋体" w:cs="宋体"/>
          <w:b/>
          <w:bCs/>
          <w:color w:val="auto"/>
          <w:sz w:val="21"/>
          <w:szCs w:val="21"/>
          <w:highlight w:val="none"/>
        </w:rPr>
        <w:t>2.10.2 基本参数</w:t>
      </w:r>
    </w:p>
    <w:tbl>
      <w:tblPr>
        <w:tblStyle w:val="88"/>
        <w:tblW w:w="4910"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176"/>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4" w:type="pct"/>
            <w:vMerge w:val="restart"/>
            <w:vAlign w:val="center"/>
          </w:tcPr>
          <w:p>
            <w:pPr>
              <w:widowControl/>
              <w:wordWrap w:val="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模块</w:t>
            </w:r>
          </w:p>
        </w:tc>
        <w:tc>
          <w:tcPr>
            <w:tcW w:w="648" w:type="pct"/>
            <w:vMerge w:val="restart"/>
            <w:vAlign w:val="center"/>
          </w:tcPr>
          <w:p>
            <w:pPr>
              <w:widowControl/>
              <w:wordWrap w:val="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产品</w:t>
            </w:r>
          </w:p>
        </w:tc>
        <w:tc>
          <w:tcPr>
            <w:tcW w:w="3848" w:type="pct"/>
            <w:vMerge w:val="restart"/>
            <w:vAlign w:val="center"/>
          </w:tcPr>
          <w:p>
            <w:pPr>
              <w:widowControl/>
              <w:wordWrap w:val="0"/>
              <w:jc w:val="center"/>
              <w:rPr>
                <w:rFonts w:ascii="宋体" w:hAnsi="宋体" w:cs="宋体"/>
                <w:b/>
                <w:bCs/>
                <w:color w:val="auto"/>
                <w:kern w:val="0"/>
                <w:sz w:val="21"/>
                <w:szCs w:val="21"/>
                <w:highlight w:val="none"/>
              </w:rPr>
            </w:pPr>
            <w:r>
              <w:rPr>
                <w:rFonts w:hint="eastAsia" w:ascii="宋体" w:hAnsi="宋体" w:cs="宋体"/>
                <w:b/>
                <w:bCs/>
                <w:color w:val="auto"/>
                <w:sz w:val="21"/>
                <w:szCs w:val="21"/>
                <w:highlight w:val="none"/>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4" w:type="pct"/>
            <w:vMerge w:val="continue"/>
            <w:vAlign w:val="center"/>
          </w:tcPr>
          <w:p>
            <w:pPr>
              <w:widowControl/>
              <w:wordWrap w:val="0"/>
              <w:jc w:val="left"/>
              <w:rPr>
                <w:rFonts w:ascii="宋体" w:hAnsi="宋体" w:cs="宋体"/>
                <w:b/>
                <w:bCs/>
                <w:color w:val="auto"/>
                <w:kern w:val="0"/>
                <w:sz w:val="21"/>
                <w:szCs w:val="21"/>
                <w:highlight w:val="none"/>
              </w:rPr>
            </w:pPr>
          </w:p>
        </w:tc>
        <w:tc>
          <w:tcPr>
            <w:tcW w:w="648" w:type="pct"/>
            <w:vMerge w:val="continue"/>
            <w:vAlign w:val="center"/>
          </w:tcPr>
          <w:p>
            <w:pPr>
              <w:widowControl/>
              <w:wordWrap w:val="0"/>
              <w:jc w:val="left"/>
              <w:rPr>
                <w:rFonts w:ascii="宋体" w:hAnsi="宋体" w:cs="宋体"/>
                <w:b/>
                <w:bCs/>
                <w:color w:val="auto"/>
                <w:kern w:val="0"/>
                <w:sz w:val="21"/>
                <w:szCs w:val="21"/>
                <w:highlight w:val="none"/>
              </w:rPr>
            </w:pPr>
          </w:p>
        </w:tc>
        <w:tc>
          <w:tcPr>
            <w:tcW w:w="3848" w:type="pct"/>
            <w:vMerge w:val="continue"/>
            <w:vAlign w:val="center"/>
          </w:tcPr>
          <w:p>
            <w:pPr>
              <w:widowControl/>
              <w:wordWrap w:val="0"/>
              <w:jc w:val="left"/>
              <w:rPr>
                <w:rFonts w:ascii="宋体" w:hAnsi="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4" w:type="pct"/>
            <w:vMerge w:val="restart"/>
            <w:vAlign w:val="center"/>
          </w:tcPr>
          <w:p>
            <w:pPr>
              <w:widowControl/>
              <w:wordWrap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网络安全设备</w:t>
            </w:r>
          </w:p>
        </w:tc>
        <w:tc>
          <w:tcPr>
            <w:tcW w:w="6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数据库审计</w:t>
            </w:r>
          </w:p>
        </w:tc>
        <w:tc>
          <w:tcPr>
            <w:tcW w:w="38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1、硬件规格：1U高机架式硬件架构，单电源，≥4G内存，≥2T硬盘，支持≥2个管理接口，业务接口≥4个以太网千兆电口，支持≥1个接口扩展槽位，具备≥4个万兆接口的扩展能力；</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2、设备性能：SQL峰值处理能力不低于3万条/秒，日志存储数量不低于4亿条；不限制数据库实例数，每业务挂载数据库数量不限；</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数据库类型：支持主流数据库审计功能，支持的数据库类型包括：Oracle、SQlServer、Sybase、mysql、db2、informix等；支持国产数据库审计功能，支持的数据库类型包括：达梦、人大金仓、神通、南大通用等；支持专用数据库审计功能，支持的数据库类型包括：postgresql、mongo、Teradata、redis、cache等；</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4、管理部署：支持将多个数据库IP绑定为一个业务系统，后期的数据分析如流量、用户数和操作行为等，均以业务视角的方式分析展示；</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5、支持对不同的数据库采用不同的编码格式解析，同时能对数据库实现自动的编码识别；</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6、支持在IPV6环境下部署和管理，且支持在纯IPV4环境、纯IPV6环境及IPV4与IPV6混杂环境下对数据库进行审计；</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7、数据分析：支持对以下内容实现完全审计，包括超长语句、注释内容、多嵌套语句、绑定变量、RPC等；</w:t>
            </w:r>
            <w:r>
              <w:rPr>
                <w:rFonts w:hint="eastAsia" w:ascii="宋体" w:hAnsi="宋体" w:cs="宋体"/>
                <w:color w:val="auto"/>
                <w:kern w:val="0"/>
                <w:sz w:val="21"/>
                <w:szCs w:val="21"/>
                <w:highlight w:val="none"/>
              </w:rPr>
              <w:tab/>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支持事件告警，发现异常或非法行为。提供事件追踪页面，通过事件关联追踪排查事件，多维度定位事件状态，包括地点追踪、屏幕录像，且屏幕录像与该事件一样对应。支持快捷规则配置；同时，支持对审计数据的多种响应方式，包含过滤、记录、windows消息、邮件、syslog、SNMP、屏幕录像 、网关联动等多种事件告警和提示方式，第一时间向负责人发送告警信息；</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9、支持因子监测功能，对数据库中突发增加的内容提供独立展示页面。因子内容包括：IP地址、应用程序名、计算机名、存储过程、数据库用户名、数据名、数据库主机；</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数据安全：产品拥有强大的数据库入侵检测规则库，能够对数十种针对数据库的常见漏洞和攻击手法进行检测，比如SQL注入，存储过程攻击，版本检测攻击，缓冲区溢出攻击，目录遍历攻击，拒绝服务攻击，权限绕过攻击，文件异常攻击等；</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报表与查询：支持对审计数据结果进行多条件组合查询，所支持的查询条件包括时间范围、源IP地址、操作方式、规则名、操作内容、排序方式、查询方式、排除内容、操作对象、计算机名、目标IP、应用程序名、数据库用户名、数据名、协议类型、会话流水号、语句流水号、长语句总耗时、长语句平均耗时、会话语句种类数、会话重复程度、最大单条耗时、会话语句数量、会话重复程度；支持对审计数据按关键词进行模糊查询，支持查询结果的二次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4" w:type="pct"/>
            <w:vMerge w:val="continue"/>
            <w:vAlign w:val="center"/>
          </w:tcPr>
          <w:p>
            <w:pPr>
              <w:widowControl/>
              <w:wordWrap w:val="0"/>
              <w:jc w:val="center"/>
              <w:rPr>
                <w:rFonts w:ascii="宋体" w:hAnsi="宋体" w:cs="宋体"/>
                <w:color w:val="auto"/>
                <w:kern w:val="0"/>
                <w:sz w:val="21"/>
                <w:szCs w:val="21"/>
                <w:highlight w:val="none"/>
              </w:rPr>
            </w:pPr>
          </w:p>
        </w:tc>
        <w:tc>
          <w:tcPr>
            <w:tcW w:w="6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日志审计</w:t>
            </w:r>
          </w:p>
        </w:tc>
        <w:tc>
          <w:tcPr>
            <w:tcW w:w="38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1、硬件规格：1U机架设备，单电源，配置≥6个千兆电口，不少于2T存储，≥1个接口扩展槽，支持≥4个万兆接口的扩展能力；</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2、日志采集性能：配置≥120个日志源设备授权，可扩展至180个；日志处理速率≥2000EPS，日志容量≥6亿条；</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采集类型及方式：支持市面主流安全设备、网络设备、中间件、服务器、数据库、操作系统等设备对象的日志数据采集；支持主动、被动相结合的数据采集方式；支持日志转发；支持Syslog、SNMP、JDBC、WMI、FTP、文件等进行数据采集；支持通过Agent采集日志数据；</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4、采集内容：支持日志监控、文件监控（文件监控无需开启ftp、sftp协议）、网络包监控；</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5、支持采集网络流量，解析协议不少于ICMP、AMQP、Cassandra、DNS、HTTP、Memcache、MySQL、PgSQL、TNS、Redis、Thrift、MongoDB、NFS、TDS、Sybase、Drda、Dameng、POP、SMTP、达梦等；</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6、采集展示及处理：支持标准化日志描述语言快速扩展兼容特殊日志；支持将不同设备所产生的不同格式的难以理解的日志数据进行统一格式化处理；</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7、系统监控： 提供TOP10资产事件趋势，支持实时告警数、资产总数、日志事件总数、系统健康状况的图表显示，并支持资产总数、日志事件总数、系统健康状况四项的下钻查看详情，提供首页“进入/退出全屏”显示按键；</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8、关联分析：支持基于策略的多资产海量日志关联分析，发现安全事件进行关联通知；系统内置不少于50种常见安全事件关联分析规则；</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9、提供可视化关联分析规则编辑视图，可根据实际业务编辑关联分析规则，关联内容支持不少于资产、源地址、源端口、目的地址、目的端口、事件级别、原始日志、关键词等信息；</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10、支持所有日志事件按照通用模板进行多维日志类型、多设备类型日志进行因果性关联分析，支持三个因果关联，实现日志的多维异常分析；</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11、关系图谱：支持自动生成主机访问关系图谱，关系图谱支持无限级延伸，支持点击业务主机节点自动绘制访问关系；</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12、对单位服务器开放端口关系、服务器端口连接关系、服务代理关系、P2P模型关系等，通过关系图谱，可以提高对于未知威胁发现的能力；</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13、图表可视化分析：满足单位根据等级保护中关于网络安全、主机安全、风险管理等相关事件统计要求；</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14、满足单位萨班斯法案（SOX）中关于认证管理、账号管理、权限管理、操作管理、攻击管理、风险管理等相关要求事件统计；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4" w:type="pct"/>
            <w:vMerge w:val="continue"/>
            <w:vAlign w:val="center"/>
          </w:tcPr>
          <w:p>
            <w:pPr>
              <w:widowControl/>
              <w:wordWrap w:val="0"/>
              <w:jc w:val="center"/>
              <w:rPr>
                <w:rFonts w:ascii="宋体" w:hAnsi="宋体" w:cs="宋体"/>
                <w:color w:val="auto"/>
                <w:kern w:val="0"/>
                <w:sz w:val="21"/>
                <w:szCs w:val="21"/>
                <w:highlight w:val="none"/>
              </w:rPr>
            </w:pPr>
          </w:p>
        </w:tc>
        <w:tc>
          <w:tcPr>
            <w:tcW w:w="6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堡垒机</w:t>
            </w:r>
          </w:p>
        </w:tc>
        <w:tc>
          <w:tcPr>
            <w:tcW w:w="38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1、硬件规格：机架式硬件架构，单电源，≥8GB内存，≥1TB硬盘容量，配置≥6个以太网千兆电口，支持≥1个接口扩展槽位，支持≥4个万兆接口的扩展能力；</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2、性能要求：最大图形并发连接数≥50个，最大字符并发连接数≥200个；支持≥100个资产的管理能力，应用发布中心2019 RDS授权；</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3、浏览器：支持Chrome、Firefox、IE、Safrai等主流浏览器，产品应用不依赖JAVA及Flash</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用户管理：角色管理：系统支持账号分权管理，包括超级管理员、配置管理员、操作员、审计员及自动化人员等多种角色，并可根据功能自定义用户角色；</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4、身份认证：支持基于动态令牌、国密动态令牌、USBKEY、手机软令牌的双因素认证功能，支持双因素组合认证，可以将两种认证方式自定义组合为全新的认证方式；</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5、协议类型：支持SSH、Telnet、RDP、SFTP、XDMCP、VNC等多种协议，支持通过应用发布方式实现对BS、CS应用的纳管；</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6、IPv6资产管理与审计：支持对IPv6资产进行统一管理，同时可完整记录用户对IPv6资产的运维操作行为；</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7、应用发布：支持使用Windows Server 2008、2012、2016及2019操作系统作为应用发布服务器；</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权限管控：支持以用户（用户组）、目标设备（设备组、程序）、系统账号、服务等维度灵活设置访问策略；支持资源访问工单：用户填写包含工单标题、工单描述、需要访问的设备、需要使用的系统账号、需要访问的时间段的电子工单，经审批通过后可自动生成时效性的访问权限；</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密码管理：支持资源账号密码托管，实现资源单点登录功能；支持系统账号密码触发式校验功能，对托管的口令进行验证；支持自动改密功能，管理员可自定义密码策略、改密周期、密码备份方式，支持密码分段保管功能</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10、资源访问：支持文件分享操作，且在系统web界面即可完成，无需通过第三方存储介质（如U盘）进行转储，文件分享功能以URL链接的方式将文件分享给其他用户；</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操作审计：支持图形化操作智能审计，可在审计回放界面上，同步显示关键的键盘操作、标题栏操作、剪贴板操作等文字信息，并能在点击任意文字信息，可直接定位到相关画面；支持以录像方式完整展示用户的指令操作，同时支持命令输入、输出分层管理；支持文件传输审计；支持sqlserver、mysql、oracle等数据库操作行为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4" w:type="pct"/>
            <w:vMerge w:val="continue"/>
            <w:vAlign w:val="center"/>
          </w:tcPr>
          <w:p>
            <w:pPr>
              <w:widowControl/>
              <w:wordWrap w:val="0"/>
              <w:jc w:val="center"/>
              <w:rPr>
                <w:rFonts w:ascii="宋体" w:hAnsi="宋体" w:cs="宋体"/>
                <w:color w:val="auto"/>
                <w:kern w:val="0"/>
                <w:sz w:val="21"/>
                <w:szCs w:val="21"/>
                <w:highlight w:val="none"/>
              </w:rPr>
            </w:pPr>
          </w:p>
        </w:tc>
        <w:tc>
          <w:tcPr>
            <w:tcW w:w="6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防火墙SSL VPN</w:t>
            </w:r>
          </w:p>
        </w:tc>
        <w:tc>
          <w:tcPr>
            <w:tcW w:w="38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原出口防火墙扩容SSL VPN用户并发授权≥125个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4" w:type="pct"/>
            <w:vMerge w:val="continue"/>
            <w:vAlign w:val="center"/>
          </w:tcPr>
          <w:p>
            <w:pPr>
              <w:widowControl/>
              <w:wordWrap w:val="0"/>
              <w:jc w:val="center"/>
              <w:rPr>
                <w:rFonts w:ascii="宋体" w:hAnsi="宋体" w:cs="宋体"/>
                <w:color w:val="auto"/>
                <w:kern w:val="0"/>
                <w:sz w:val="21"/>
                <w:szCs w:val="21"/>
                <w:highlight w:val="none"/>
              </w:rPr>
            </w:pPr>
          </w:p>
        </w:tc>
        <w:tc>
          <w:tcPr>
            <w:tcW w:w="6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数据中心防火墙</w:t>
            </w:r>
          </w:p>
        </w:tc>
        <w:tc>
          <w:tcPr>
            <w:tcW w:w="38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1、配置要求：千兆电口≥16，千兆光口≥12，万兆光口≥4，配置≥三年的AV、IPS特征库升级</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2、硬件架构：采用非X86多核架构，配置双交流电源，接口扩展插槽≥2个；</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3、性能要求：三层吞吐量8Gbps；并发连接数500万，每秒新建连接数（HTTP）8万。</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5、部署模式：实现路由模式、透明（网桥）模式、混合模式；</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4、安全策略：支持一体化安全策略，能够基于时间、用户/用户组、应用层协议、地理位置、五元组、内容安全统一界面进行安全策略配置；</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入侵防御：支持基于对包括但不限于操作系统、网络设备、办公软件、网页服务等保护对象的入侵防御策略，支持基于对漏洞、恶意文件、信息收集类攻击等的攻击分类的防护策略，支持基于服务器、客户端的防护策略，缺省动作支持重置和黑名单；</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6、防病毒：支持超过37000条病毒规则；可基于病毒特征进行检测，实现病毒库手动和自动升级，报文流处理模式，实现病毒日志和报表；</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7、诊断中心：支持报文示踪功能，可对原始报文进行回放，支持丢包统计，提供详细分析丢包原因，支持网页诊断功能，用于当内网用户访问网页出现故障时，对网络进行基本的诊断，并给出故障原因；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4" w:type="pct"/>
            <w:vMerge w:val="continue"/>
            <w:vAlign w:val="center"/>
          </w:tcPr>
          <w:p>
            <w:pPr>
              <w:widowControl/>
              <w:wordWrap w:val="0"/>
              <w:jc w:val="center"/>
              <w:rPr>
                <w:rFonts w:ascii="宋体" w:hAnsi="宋体" w:cs="宋体"/>
                <w:color w:val="auto"/>
                <w:kern w:val="0"/>
                <w:sz w:val="21"/>
                <w:szCs w:val="21"/>
                <w:highlight w:val="none"/>
              </w:rPr>
            </w:pPr>
          </w:p>
        </w:tc>
        <w:tc>
          <w:tcPr>
            <w:tcW w:w="6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杀毒软件</w:t>
            </w:r>
          </w:p>
        </w:tc>
        <w:tc>
          <w:tcPr>
            <w:tcW w:w="3848" w:type="pct"/>
            <w:vAlign w:val="center"/>
          </w:tcPr>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1、配套授权：≥200点Windows PC端授权、≥40点Linux服务器端授权，提供三年免费软件升级服务。</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2、Windows桌面支持：Windows XP（32位）、Windows 7、Windows 8/8.1、Windows 10；Windows服务器：Windows Server 2003（32位）/2008/2012/2016/2019；</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3、支持Redhat6/7/8/9、CentOS6/7/8、Ubuntu12/14/16/18/19/20、Oralce Linux7/8；</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4、国产化操作系统支持但不仅限于如下操作系统，DEEPIN V20、中标麒麟7.0桌面版、银河麒麟V10桌面版、中科方德3.1桌面版、统信UOS-20桌面版；</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5、具备基因特征引擎，支持对引导区、内存、脚本、压缩包、宏病毒等进行威胁检测；</w:t>
            </w:r>
          </w:p>
          <w:p>
            <w:pPr>
              <w:widowControl/>
              <w:wordWrap w:val="0"/>
              <w:jc w:val="left"/>
              <w:rPr>
                <w:rFonts w:ascii="宋体" w:hAnsi="宋体" w:cs="宋体"/>
                <w:color w:val="auto"/>
                <w:kern w:val="0"/>
                <w:sz w:val="21"/>
                <w:szCs w:val="21"/>
                <w:highlight w:val="cyan"/>
              </w:rPr>
            </w:pPr>
            <w:r>
              <w:rPr>
                <w:rFonts w:hint="eastAsia" w:ascii="宋体" w:hAnsi="宋体" w:cs="宋体"/>
                <w:color w:val="auto"/>
                <w:kern w:val="0"/>
                <w:sz w:val="21"/>
                <w:szCs w:val="21"/>
                <w:highlight w:val="none"/>
              </w:rPr>
              <w:t>6、</w:t>
            </w:r>
            <w:r>
              <w:rPr>
                <w:rFonts w:hint="eastAsia" w:ascii="宋体" w:hAnsi="宋体" w:cs="宋体"/>
                <w:color w:val="auto"/>
                <w:kern w:val="0"/>
                <w:sz w:val="21"/>
                <w:szCs w:val="21"/>
                <w:highlight w:val="cyan"/>
              </w:rPr>
              <w:t xml:space="preserve">人工智能引擎支持Windows/Linux/国产操作系统，支持X86/ARM硬件平台；(提供功能截图) </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7、人工智能引擎支持PE/OFFICE/PDF常见文件类型威胁检测；</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8、实时防护支持高、中、低三种防护级别，引擎工作模式支持设置积极、均衡和谨慎三种工作模式；</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9、支持采集终端基础信息，包括终端名称、IP地址（私有）、IP地址（公网）、MAC地址、健康状态、硬件架构、操作系统、组件等信息；</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10、具备外设管控能力，支持USB移动存储、光驱、手机/平板等外设；</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11、产品须拥有完全国产自主知识产权杀毒引擎，防止产品后门和用户敏感信息外泄等隐患；</w:t>
            </w:r>
          </w:p>
          <w:p>
            <w:pPr>
              <w:widowControl/>
              <w:wordWrap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12、管理平台支持统一的客户端病毒查杀、基线核查、漏洞修复、终端资产发现；</w:t>
            </w:r>
          </w:p>
        </w:tc>
      </w:tr>
    </w:tbl>
    <w:p>
      <w:pPr>
        <w:adjustRightInd w:val="0"/>
        <w:snapToGrid w:val="0"/>
        <w:spacing w:line="360" w:lineRule="auto"/>
        <w:jc w:val="left"/>
        <w:outlineLvl w:val="1"/>
        <w:rPr>
          <w:rFonts w:hint="eastAsia" w:ascii="宋体" w:hAnsi="宋体" w:cs="宋体"/>
          <w:b/>
          <w:color w:val="auto"/>
          <w:sz w:val="32"/>
          <w:highlight w:val="none"/>
        </w:rPr>
      </w:pPr>
      <w:bookmarkStart w:id="85" w:name="_Toc122014965"/>
      <w:bookmarkStart w:id="86" w:name="_Toc126886001"/>
    </w:p>
    <w:p>
      <w:pPr>
        <w:adjustRightInd w:val="0"/>
        <w:snapToGrid w:val="0"/>
        <w:spacing w:line="360" w:lineRule="auto"/>
        <w:jc w:val="left"/>
        <w:outlineLvl w:val="1"/>
        <w:rPr>
          <w:rFonts w:hint="eastAsia" w:ascii="宋体" w:hAnsi="宋体" w:cs="宋体"/>
          <w:color w:val="auto"/>
          <w:sz w:val="21"/>
          <w:szCs w:val="21"/>
          <w:highlight w:val="none"/>
        </w:rPr>
      </w:pPr>
      <w:r>
        <w:rPr>
          <w:rFonts w:hint="eastAsia" w:ascii="宋体" w:hAnsi="宋体" w:cs="宋体"/>
          <w:b/>
          <w:color w:val="auto"/>
          <w:sz w:val="32"/>
          <w:highlight w:val="none"/>
        </w:rPr>
        <w:t>3、集成对接部分技术参数要求</w:t>
      </w:r>
      <w:bookmarkEnd w:id="85"/>
      <w:r>
        <w:rPr>
          <w:rStyle w:val="102"/>
          <w:color w:val="auto"/>
          <w:highlight w:val="none"/>
        </w:rPr>
        <w:br w:type="textWrapping"/>
      </w:r>
      <w:r>
        <w:rPr>
          <w:rFonts w:hint="eastAsia" w:ascii="宋体" w:hAnsi="宋体" w:cs="宋体"/>
          <w:color w:val="auto"/>
          <w:sz w:val="21"/>
          <w:szCs w:val="21"/>
          <w:highlight w:val="none"/>
        </w:rPr>
        <w:t xml:space="preserve">  投标人需提供完整的安装、部署、集成、对接、调试等实施服务，确保本次智慧化项目体系各软硬件平台的完整可用，达到“交钥匙”目标。本次项目需实现一体化、智能化建设，同时各项系统承建厂商要保证项目建设符合衢州市数字化改革的相关要求，满足政府投资数字化项目相关的核心指标。</w:t>
      </w:r>
    </w:p>
    <w:p>
      <w:pPr>
        <w:adjustRightInd w:val="0"/>
        <w:snapToGrid w:val="0"/>
        <w:spacing w:line="360" w:lineRule="auto"/>
        <w:jc w:val="center"/>
        <w:outlineLvl w:val="1"/>
        <w:rPr>
          <w:rFonts w:ascii="宋体" w:hAnsi="宋体" w:cs="宋体"/>
          <w:color w:val="auto"/>
          <w:sz w:val="32"/>
          <w:szCs w:val="21"/>
          <w:highlight w:val="none"/>
        </w:rPr>
      </w:pPr>
      <w:r>
        <w:rPr>
          <w:rFonts w:hint="eastAsia" w:ascii="宋体" w:hAnsi="宋体" w:cs="宋体"/>
          <w:b/>
          <w:color w:val="auto"/>
          <w:sz w:val="32"/>
          <w:highlight w:val="none"/>
        </w:rPr>
        <w:t>三</w:t>
      </w:r>
      <w:r>
        <w:rPr>
          <w:rFonts w:hint="eastAsia" w:ascii="宋体" w:hAnsi="宋体" w:cs="宋体"/>
          <w:b/>
          <w:color w:val="auto"/>
          <w:sz w:val="32"/>
          <w:szCs w:val="21"/>
          <w:highlight w:val="none"/>
        </w:rPr>
        <w:t>、商务条款</w:t>
      </w:r>
      <w:bookmarkEnd w:id="86"/>
    </w:p>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1、交货期及交货地点</w:t>
      </w:r>
    </w:p>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▲（1）交货期：合同签订后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270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日内完成安装调试。  </w:t>
      </w:r>
    </w:p>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（2）交货地点：采购人指定地点。</w:t>
      </w:r>
    </w:p>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（3）中标人将设备（材料）送到采购单位指定地点，并完成安装调试等工作，所产生的相关费用由中标人负责。中标人须提前7日通知采购人送货时间。</w:t>
      </w:r>
    </w:p>
    <w:p>
      <w:pPr>
        <w:spacing w:line="360" w:lineRule="auto"/>
        <w:jc w:val="left"/>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、验收标准、规范及方式</w:t>
      </w:r>
    </w:p>
    <w:p>
      <w:pPr>
        <w:spacing w:line="360" w:lineRule="auto"/>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）验收标准、规范：按照</w:t>
      </w:r>
      <w:r>
        <w:rPr>
          <w:rFonts w:hint="eastAsia" w:ascii="宋体" w:hAnsi="宋体" w:cs="宋体"/>
          <w:color w:val="auto"/>
          <w:sz w:val="21"/>
          <w:szCs w:val="21"/>
          <w:highlight w:val="none"/>
        </w:rPr>
        <w:t>政府采购合同、招标文件要求、投标文件承诺的设备质量、服务标准进行验收。</w:t>
      </w:r>
    </w:p>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）验收方式：一般程序验收。</w:t>
      </w:r>
    </w:p>
    <w:p>
      <w:pPr>
        <w:spacing w:line="360" w:lineRule="auto"/>
        <w:jc w:val="left"/>
        <w:rPr>
          <w:rFonts w:ascii="宋体" w:hAnsi="宋体" w:cs="宋体"/>
          <w:color w:val="auto"/>
          <w:sz w:val="21"/>
          <w:szCs w:val="21"/>
          <w:highlight w:val="none"/>
          <w:lang w:val="zh-CN"/>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售后服务</w:t>
      </w:r>
    </w:p>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（1）硬件免费质保期限：提供三年免费质保，设备参数中有特殊要求的，以设备参数为准。软件整体提供一年免费质保，详细参数中有特殊要求的，以参数为准。</w:t>
      </w:r>
    </w:p>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质保期内提供7x24小时故障申告热线电话服务，24小时内到达现场，上门维护；48小时内修复，无法修复的，供应商应提供备用设备或部件替换，不能因此影响学校教育科研活动。提供电话及远程服务，一般问题一天内解决，重大问题七天内解决。</w:t>
      </w:r>
    </w:p>
    <w:p>
      <w:pPr>
        <w:spacing w:line="360" w:lineRule="auto"/>
        <w:ind w:firstLine="420" w:firstLineChars="200"/>
        <w:jc w:val="left"/>
        <w:rPr>
          <w:rFonts w:ascii="宋体" w:hAnsi="宋体" w:cs="宋体"/>
          <w:color w:val="auto"/>
          <w:sz w:val="21"/>
          <w:szCs w:val="21"/>
          <w:highlight w:val="none"/>
        </w:rPr>
      </w:pPr>
    </w:p>
    <w:p>
      <w:pPr>
        <w:pStyle w:val="34"/>
        <w:rPr>
          <w:color w:val="auto"/>
          <w:highlight w:val="none"/>
          <w:lang w:val="zh-CN"/>
        </w:rPr>
      </w:pPr>
    </w:p>
    <w:p>
      <w:pPr>
        <w:pStyle w:val="37"/>
        <w:ind w:firstLine="210"/>
        <w:rPr>
          <w:color w:val="auto"/>
          <w:highlight w:val="none"/>
          <w:lang w:val="zh-CN"/>
        </w:rPr>
      </w:pPr>
    </w:p>
    <w:p>
      <w:pPr>
        <w:rPr>
          <w:color w:val="auto"/>
          <w:highlight w:val="none"/>
          <w:lang w:val="zh-CN"/>
        </w:rPr>
      </w:pPr>
    </w:p>
    <w:p>
      <w:pPr>
        <w:pStyle w:val="2"/>
        <w:rPr>
          <w:color w:val="auto"/>
          <w:highlight w:val="none"/>
          <w:lang w:val="zh-CN"/>
        </w:rPr>
      </w:pPr>
    </w:p>
    <w:p>
      <w:pPr>
        <w:rPr>
          <w:color w:val="auto"/>
          <w:highlight w:val="none"/>
          <w:lang w:val="zh-CN"/>
        </w:rPr>
      </w:pPr>
    </w:p>
    <w:p>
      <w:pPr>
        <w:pStyle w:val="2"/>
        <w:rPr>
          <w:color w:val="auto"/>
          <w:highlight w:val="none"/>
          <w:lang w:val="zh-CN"/>
        </w:rPr>
      </w:pPr>
    </w:p>
    <w:p>
      <w:pPr>
        <w:rPr>
          <w:color w:val="auto"/>
          <w:highlight w:val="none"/>
          <w:lang w:val="zh-CN"/>
        </w:rPr>
      </w:pPr>
    </w:p>
    <w:p>
      <w:pPr>
        <w:pStyle w:val="2"/>
        <w:rPr>
          <w:color w:val="auto"/>
          <w:highlight w:val="none"/>
          <w:lang w:val="zh-CN"/>
        </w:rPr>
      </w:pPr>
    </w:p>
    <w:p>
      <w:pPr>
        <w:rPr>
          <w:color w:val="auto"/>
          <w:highlight w:val="none"/>
          <w:lang w:val="zh-CN"/>
        </w:rPr>
      </w:pPr>
    </w:p>
    <w:p>
      <w:pPr>
        <w:pStyle w:val="2"/>
        <w:rPr>
          <w:color w:val="auto"/>
          <w:highlight w:val="none"/>
          <w:lang w:val="zh-CN"/>
        </w:rPr>
      </w:pPr>
    </w:p>
    <w:p>
      <w:pPr>
        <w:rPr>
          <w:color w:val="auto"/>
          <w:highlight w:val="none"/>
          <w:lang w:val="zh-CN"/>
        </w:rPr>
      </w:pPr>
    </w:p>
    <w:p>
      <w:pPr>
        <w:pStyle w:val="2"/>
        <w:rPr>
          <w:color w:val="auto"/>
          <w:highlight w:val="none"/>
          <w:lang w:val="zh-CN"/>
        </w:rPr>
      </w:pPr>
    </w:p>
    <w:p>
      <w:pPr>
        <w:rPr>
          <w:lang w:val="zh-CN"/>
        </w:rPr>
      </w:pPr>
    </w:p>
    <w:p>
      <w:pPr>
        <w:pStyle w:val="246"/>
        <w:numPr>
          <w:ilvl w:val="0"/>
          <w:numId w:val="4"/>
        </w:numPr>
        <w:snapToGrid w:val="0"/>
        <w:spacing w:before="0" w:line="276" w:lineRule="auto"/>
        <w:ind w:firstLine="0" w:firstLineChars="0"/>
        <w:jc w:val="center"/>
        <w:outlineLvl w:val="0"/>
        <w:rPr>
          <w:rFonts w:hAnsi="宋体" w:cs="宋体"/>
          <w:b/>
          <w:color w:val="auto"/>
          <w:sz w:val="36"/>
          <w:highlight w:val="none"/>
        </w:rPr>
      </w:pPr>
      <w:bookmarkStart w:id="87" w:name="_Toc126886002"/>
      <w:r>
        <w:rPr>
          <w:rFonts w:hint="eastAsia" w:ascii="宋体" w:hAnsi="宋体" w:cs="宋体"/>
          <w:b/>
          <w:color w:val="auto"/>
          <w:sz w:val="36"/>
          <w:highlight w:val="none"/>
        </w:rPr>
        <w:t>合同文本</w:t>
      </w:r>
      <w:bookmarkEnd w:id="78"/>
      <w:bookmarkEnd w:id="87"/>
    </w:p>
    <w:p>
      <w:pPr>
        <w:spacing w:line="400" w:lineRule="exact"/>
        <w:ind w:firstLine="480" w:firstLineChars="200"/>
        <w:jc w:val="center"/>
        <w:rPr>
          <w:rFonts w:ascii="宋体" w:hAnsi="宋体" w:cs="宋体"/>
          <w:color w:val="auto"/>
          <w:sz w:val="24"/>
          <w:highlight w:val="none"/>
        </w:rPr>
      </w:pPr>
      <w:r>
        <w:rPr>
          <w:rFonts w:hint="eastAsia" w:ascii="宋体" w:hAnsi="宋体" w:cs="宋体"/>
          <w:bCs/>
          <w:color w:val="auto"/>
          <w:sz w:val="24"/>
          <w:szCs w:val="24"/>
          <w:highlight w:val="none"/>
        </w:rPr>
        <w:t>（最终以双</w:t>
      </w:r>
      <w:r>
        <w:rPr>
          <w:rFonts w:hint="eastAsia" w:ascii="宋体" w:hAnsi="宋体" w:cs="宋体"/>
          <w:color w:val="auto"/>
          <w:sz w:val="24"/>
          <w:highlight w:val="none"/>
        </w:rPr>
        <w:t>方实际签订合同条款为准）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保证合同的正确履行，维护合同双方的合法权益，依照《中华人民共和国合同法》及相关法律规定，根据招投标文件有关条款，甲、乙双方本着责任共担，利益共享的原则，经协商一致，达成以下条款，双方共同遵守。</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第一条  组成本合同的有关文件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下列文件及有关附件是本合同不可分割的组成部分，与本合同具有同等法律效力，这些文件包括：</w:t>
      </w:r>
    </w:p>
    <w:p>
      <w:pPr>
        <w:spacing w:line="400" w:lineRule="exact"/>
        <w:rPr>
          <w:rFonts w:ascii="宋体" w:hAnsi="宋体" w:cs="宋体"/>
          <w:color w:val="auto"/>
          <w:sz w:val="24"/>
          <w:highlight w:val="none"/>
        </w:rPr>
      </w:pPr>
      <w:r>
        <w:rPr>
          <w:rFonts w:hint="eastAsia" w:ascii="宋体" w:hAnsi="宋体" w:cs="宋体"/>
          <w:color w:val="auto"/>
          <w:sz w:val="24"/>
          <w:highlight w:val="none"/>
        </w:rPr>
        <w:t>（1）招标文件；</w:t>
      </w:r>
    </w:p>
    <w:p>
      <w:pPr>
        <w:spacing w:line="400" w:lineRule="exact"/>
        <w:rPr>
          <w:rFonts w:ascii="宋体" w:hAnsi="宋体" w:cs="宋体"/>
          <w:color w:val="auto"/>
          <w:sz w:val="24"/>
          <w:highlight w:val="none"/>
        </w:rPr>
      </w:pPr>
      <w:r>
        <w:rPr>
          <w:rFonts w:hint="eastAsia" w:ascii="宋体" w:hAnsi="宋体" w:cs="宋体"/>
          <w:color w:val="auto"/>
          <w:sz w:val="24"/>
          <w:highlight w:val="none"/>
        </w:rPr>
        <w:t>（2）乙方提供的投标文件；</w:t>
      </w:r>
    </w:p>
    <w:p>
      <w:pPr>
        <w:spacing w:line="400" w:lineRule="exact"/>
        <w:rPr>
          <w:rFonts w:ascii="宋体" w:hAnsi="宋体" w:cs="宋体"/>
          <w:color w:val="auto"/>
          <w:sz w:val="24"/>
          <w:highlight w:val="none"/>
        </w:rPr>
      </w:pPr>
      <w:r>
        <w:rPr>
          <w:rFonts w:hint="eastAsia" w:ascii="宋体" w:hAnsi="宋体" w:cs="宋体"/>
          <w:color w:val="auto"/>
          <w:sz w:val="24"/>
          <w:highlight w:val="none"/>
        </w:rPr>
        <w:t>（3）甲、乙双方商定的其他文件：</w:t>
      </w:r>
    </w:p>
    <w:p>
      <w:pPr>
        <w:spacing w:line="400" w:lineRule="exact"/>
        <w:jc w:val="left"/>
        <w:rPr>
          <w:rFonts w:ascii="宋体" w:hAnsi="宋体" w:cs="宋体"/>
          <w:color w:val="auto"/>
          <w:highlight w:val="none"/>
        </w:rPr>
      </w:pPr>
      <w:r>
        <w:rPr>
          <w:rFonts w:hint="eastAsia" w:ascii="宋体" w:hAnsi="宋体" w:cs="宋体"/>
          <w:color w:val="auto"/>
          <w:sz w:val="24"/>
          <w:highlight w:val="none"/>
        </w:rPr>
        <w:t>第二条 合同标的</w:t>
      </w:r>
    </w:p>
    <w:tbl>
      <w:tblPr>
        <w:tblStyle w:val="88"/>
        <w:tblW w:w="95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1260"/>
        <w:gridCol w:w="900"/>
        <w:gridCol w:w="1478"/>
        <w:gridCol w:w="1611"/>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80"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名称</w:t>
            </w:r>
          </w:p>
        </w:tc>
        <w:tc>
          <w:tcPr>
            <w:tcW w:w="1260"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900"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478"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611"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612"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tcPr>
          <w:p>
            <w:pPr>
              <w:spacing w:line="340" w:lineRule="exact"/>
              <w:ind w:firstLine="480" w:firstLineChars="200"/>
              <w:rPr>
                <w:rFonts w:ascii="宋体" w:hAnsi="宋体" w:cs="宋体"/>
                <w:color w:val="auto"/>
                <w:sz w:val="24"/>
                <w:highlight w:val="none"/>
              </w:rPr>
            </w:pPr>
          </w:p>
        </w:tc>
        <w:tc>
          <w:tcPr>
            <w:tcW w:w="1980" w:type="dxa"/>
          </w:tcPr>
          <w:p>
            <w:pPr>
              <w:spacing w:line="340" w:lineRule="exact"/>
              <w:ind w:firstLine="480" w:firstLineChars="200"/>
              <w:rPr>
                <w:rFonts w:ascii="宋体" w:hAnsi="宋体" w:cs="宋体"/>
                <w:color w:val="auto"/>
                <w:sz w:val="24"/>
                <w:highlight w:val="none"/>
              </w:rPr>
            </w:pPr>
          </w:p>
        </w:tc>
        <w:tc>
          <w:tcPr>
            <w:tcW w:w="1260" w:type="dxa"/>
          </w:tcPr>
          <w:p>
            <w:pPr>
              <w:spacing w:line="340" w:lineRule="exact"/>
              <w:ind w:firstLine="480" w:firstLineChars="200"/>
              <w:rPr>
                <w:rFonts w:ascii="宋体" w:hAnsi="宋体" w:cs="宋体"/>
                <w:color w:val="auto"/>
                <w:sz w:val="24"/>
                <w:highlight w:val="none"/>
              </w:rPr>
            </w:pPr>
          </w:p>
        </w:tc>
        <w:tc>
          <w:tcPr>
            <w:tcW w:w="900" w:type="dxa"/>
          </w:tcPr>
          <w:p>
            <w:pPr>
              <w:ind w:firstLine="480" w:firstLineChars="200"/>
              <w:rPr>
                <w:rFonts w:ascii="宋体" w:hAnsi="宋体" w:cs="宋体"/>
                <w:color w:val="auto"/>
                <w:sz w:val="24"/>
                <w:highlight w:val="none"/>
              </w:rPr>
            </w:pPr>
          </w:p>
        </w:tc>
        <w:tc>
          <w:tcPr>
            <w:tcW w:w="1478" w:type="dxa"/>
          </w:tcPr>
          <w:p>
            <w:pPr>
              <w:spacing w:line="340" w:lineRule="exact"/>
              <w:ind w:firstLine="480" w:firstLineChars="200"/>
              <w:rPr>
                <w:rFonts w:ascii="宋体" w:hAnsi="宋体" w:cs="宋体"/>
                <w:color w:val="auto"/>
                <w:sz w:val="24"/>
                <w:highlight w:val="none"/>
              </w:rPr>
            </w:pPr>
          </w:p>
        </w:tc>
        <w:tc>
          <w:tcPr>
            <w:tcW w:w="1611" w:type="dxa"/>
          </w:tcPr>
          <w:p>
            <w:pPr>
              <w:spacing w:line="340" w:lineRule="exact"/>
              <w:ind w:firstLine="480" w:firstLineChars="200"/>
              <w:rPr>
                <w:rFonts w:ascii="宋体" w:hAnsi="宋体" w:cs="宋体"/>
                <w:color w:val="auto"/>
                <w:sz w:val="24"/>
                <w:highlight w:val="none"/>
              </w:rPr>
            </w:pPr>
          </w:p>
        </w:tc>
        <w:tc>
          <w:tcPr>
            <w:tcW w:w="1612" w:type="dxa"/>
          </w:tcPr>
          <w:p>
            <w:pPr>
              <w:spacing w:line="340" w:lineRule="exact"/>
              <w:ind w:firstLine="480" w:firstLineChars="20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tcPr>
          <w:p>
            <w:pPr>
              <w:spacing w:line="340" w:lineRule="exact"/>
              <w:ind w:firstLine="480" w:firstLineChars="200"/>
              <w:rPr>
                <w:rFonts w:ascii="宋体" w:hAnsi="宋体" w:cs="宋体"/>
                <w:color w:val="auto"/>
                <w:sz w:val="24"/>
                <w:highlight w:val="none"/>
              </w:rPr>
            </w:pPr>
          </w:p>
        </w:tc>
        <w:tc>
          <w:tcPr>
            <w:tcW w:w="1980" w:type="dxa"/>
          </w:tcPr>
          <w:p>
            <w:pPr>
              <w:spacing w:line="340" w:lineRule="exact"/>
              <w:ind w:firstLine="480" w:firstLineChars="200"/>
              <w:rPr>
                <w:rFonts w:ascii="宋体" w:hAnsi="宋体" w:cs="宋体"/>
                <w:color w:val="auto"/>
                <w:sz w:val="24"/>
                <w:highlight w:val="none"/>
              </w:rPr>
            </w:pPr>
          </w:p>
        </w:tc>
        <w:tc>
          <w:tcPr>
            <w:tcW w:w="1260" w:type="dxa"/>
          </w:tcPr>
          <w:p>
            <w:pPr>
              <w:spacing w:line="340" w:lineRule="exact"/>
              <w:ind w:firstLine="480" w:firstLineChars="200"/>
              <w:rPr>
                <w:rFonts w:ascii="宋体" w:hAnsi="宋体" w:cs="宋体"/>
                <w:color w:val="auto"/>
                <w:sz w:val="24"/>
                <w:highlight w:val="none"/>
              </w:rPr>
            </w:pPr>
          </w:p>
        </w:tc>
        <w:tc>
          <w:tcPr>
            <w:tcW w:w="900" w:type="dxa"/>
          </w:tcPr>
          <w:p>
            <w:pPr>
              <w:ind w:firstLine="480" w:firstLineChars="200"/>
              <w:rPr>
                <w:rFonts w:ascii="宋体" w:hAnsi="宋体" w:cs="宋体"/>
                <w:color w:val="auto"/>
                <w:sz w:val="24"/>
                <w:highlight w:val="none"/>
              </w:rPr>
            </w:pPr>
          </w:p>
        </w:tc>
        <w:tc>
          <w:tcPr>
            <w:tcW w:w="1478" w:type="dxa"/>
          </w:tcPr>
          <w:p>
            <w:pPr>
              <w:spacing w:line="340" w:lineRule="exact"/>
              <w:ind w:firstLine="480" w:firstLineChars="200"/>
              <w:rPr>
                <w:rFonts w:ascii="宋体" w:hAnsi="宋体" w:cs="宋体"/>
                <w:color w:val="auto"/>
                <w:sz w:val="24"/>
                <w:highlight w:val="none"/>
              </w:rPr>
            </w:pPr>
          </w:p>
        </w:tc>
        <w:tc>
          <w:tcPr>
            <w:tcW w:w="1611" w:type="dxa"/>
          </w:tcPr>
          <w:p>
            <w:pPr>
              <w:spacing w:line="340" w:lineRule="exact"/>
              <w:ind w:firstLine="480" w:firstLineChars="200"/>
              <w:rPr>
                <w:rFonts w:ascii="宋体" w:hAnsi="宋体" w:cs="宋体"/>
                <w:color w:val="auto"/>
                <w:sz w:val="24"/>
                <w:highlight w:val="none"/>
              </w:rPr>
            </w:pPr>
          </w:p>
        </w:tc>
        <w:tc>
          <w:tcPr>
            <w:tcW w:w="1612" w:type="dxa"/>
          </w:tcPr>
          <w:p>
            <w:pPr>
              <w:spacing w:line="340" w:lineRule="exact"/>
              <w:ind w:firstLine="480" w:firstLineChars="20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tcPr>
          <w:p>
            <w:pPr>
              <w:spacing w:line="340" w:lineRule="exact"/>
              <w:ind w:firstLine="480" w:firstLineChars="200"/>
              <w:rPr>
                <w:rFonts w:ascii="宋体" w:hAnsi="宋体" w:cs="宋体"/>
                <w:color w:val="auto"/>
                <w:sz w:val="24"/>
                <w:highlight w:val="none"/>
              </w:rPr>
            </w:pPr>
          </w:p>
        </w:tc>
        <w:tc>
          <w:tcPr>
            <w:tcW w:w="1980" w:type="dxa"/>
          </w:tcPr>
          <w:p>
            <w:pPr>
              <w:spacing w:line="340" w:lineRule="exact"/>
              <w:ind w:firstLine="480" w:firstLineChars="200"/>
              <w:rPr>
                <w:rFonts w:ascii="宋体" w:hAnsi="宋体" w:cs="宋体"/>
                <w:color w:val="auto"/>
                <w:sz w:val="24"/>
                <w:highlight w:val="none"/>
              </w:rPr>
            </w:pPr>
          </w:p>
        </w:tc>
        <w:tc>
          <w:tcPr>
            <w:tcW w:w="1260" w:type="dxa"/>
          </w:tcPr>
          <w:p>
            <w:pPr>
              <w:spacing w:line="340" w:lineRule="exact"/>
              <w:ind w:firstLine="480" w:firstLineChars="200"/>
              <w:rPr>
                <w:rFonts w:ascii="宋体" w:hAnsi="宋体" w:cs="宋体"/>
                <w:color w:val="auto"/>
                <w:sz w:val="24"/>
                <w:highlight w:val="none"/>
              </w:rPr>
            </w:pPr>
          </w:p>
        </w:tc>
        <w:tc>
          <w:tcPr>
            <w:tcW w:w="900" w:type="dxa"/>
          </w:tcPr>
          <w:p>
            <w:pPr>
              <w:ind w:firstLine="480" w:firstLineChars="200"/>
              <w:rPr>
                <w:rFonts w:ascii="宋体" w:hAnsi="宋体" w:cs="宋体"/>
                <w:color w:val="auto"/>
                <w:sz w:val="24"/>
                <w:highlight w:val="none"/>
              </w:rPr>
            </w:pPr>
          </w:p>
        </w:tc>
        <w:tc>
          <w:tcPr>
            <w:tcW w:w="1478" w:type="dxa"/>
          </w:tcPr>
          <w:p>
            <w:pPr>
              <w:spacing w:line="340" w:lineRule="exact"/>
              <w:ind w:firstLine="480" w:firstLineChars="200"/>
              <w:rPr>
                <w:rFonts w:ascii="宋体" w:hAnsi="宋体" w:cs="宋体"/>
                <w:color w:val="auto"/>
                <w:sz w:val="24"/>
                <w:highlight w:val="none"/>
              </w:rPr>
            </w:pPr>
          </w:p>
        </w:tc>
        <w:tc>
          <w:tcPr>
            <w:tcW w:w="1611" w:type="dxa"/>
          </w:tcPr>
          <w:p>
            <w:pPr>
              <w:spacing w:line="340" w:lineRule="exact"/>
              <w:ind w:firstLine="480" w:firstLineChars="200"/>
              <w:rPr>
                <w:rFonts w:ascii="宋体" w:hAnsi="宋体" w:cs="宋体"/>
                <w:color w:val="auto"/>
                <w:sz w:val="24"/>
                <w:highlight w:val="none"/>
              </w:rPr>
            </w:pPr>
          </w:p>
        </w:tc>
        <w:tc>
          <w:tcPr>
            <w:tcW w:w="1612" w:type="dxa"/>
          </w:tcPr>
          <w:p>
            <w:pPr>
              <w:spacing w:line="340" w:lineRule="exact"/>
              <w:ind w:firstLine="480" w:firstLineChars="20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00" w:type="dxa"/>
            <w:gridSpan w:val="2"/>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货物总价款（大写）</w:t>
            </w:r>
          </w:p>
        </w:tc>
        <w:tc>
          <w:tcPr>
            <w:tcW w:w="5249" w:type="dxa"/>
            <w:gridSpan w:val="4"/>
          </w:tcPr>
          <w:p>
            <w:pPr>
              <w:spacing w:line="340" w:lineRule="exact"/>
              <w:ind w:firstLine="480" w:firstLineChars="200"/>
              <w:rPr>
                <w:rFonts w:ascii="宋体" w:hAnsi="宋体" w:cs="宋体"/>
                <w:color w:val="auto"/>
                <w:sz w:val="24"/>
                <w:highlight w:val="none"/>
              </w:rPr>
            </w:pPr>
          </w:p>
        </w:tc>
        <w:tc>
          <w:tcPr>
            <w:tcW w:w="1612" w:type="dxa"/>
          </w:tcPr>
          <w:p>
            <w:pPr>
              <w:spacing w:line="340" w:lineRule="exact"/>
              <w:ind w:firstLine="480" w:firstLineChars="200"/>
              <w:rPr>
                <w:rFonts w:ascii="宋体" w:hAnsi="宋体" w:cs="宋体"/>
                <w:color w:val="auto"/>
                <w:sz w:val="24"/>
                <w:highlight w:val="none"/>
              </w:rPr>
            </w:pPr>
          </w:p>
        </w:tc>
      </w:tr>
    </w:tbl>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以上货物价款以人民币进行结算，乙方应随货物向甲方交付货物的使用说明书及随货物相关的资料。</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第三条 合同总价款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合同总价款（大写）：人民币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本合同总价款是材料采购、生产制造、运输、安装、相应的零配件、相关税费及验收合格之前和保修期内备品备件发生的等一切所有含税费用。</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第四条 质量保证</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1、技术标准应符合要求。并有质量检验中心的检验报告</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2、乙方提供的必须是全新、原包装、正宗（包括零部件）的货物，主要货物必须符合国家检测标准以及该产品的出厂标准。</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第五条 进度要求：</w:t>
      </w:r>
    </w:p>
    <w:p>
      <w:pPr>
        <w:spacing w:line="4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1、乙方应按照招投标文件要求或按施工进度进行。</w:t>
      </w:r>
    </w:p>
    <w:p>
      <w:pPr>
        <w:spacing w:line="4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2、乙方交付的材料应当完全符合招投标文件或者本合同所规定的材料、数量和规格要求。</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第六条 验收时间、地点、标准、结算方式</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1、验收时间：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2、验收地点：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3、验收标准：</w:t>
      </w:r>
    </w:p>
    <w:p>
      <w:pPr>
        <w:spacing w:line="400" w:lineRule="exact"/>
        <w:ind w:firstLine="573"/>
        <w:rPr>
          <w:rFonts w:ascii="宋体" w:hAnsi="宋体" w:cs="宋体"/>
          <w:color w:val="auto"/>
          <w:sz w:val="24"/>
          <w:highlight w:val="none"/>
        </w:rPr>
      </w:pPr>
      <w:r>
        <w:rPr>
          <w:rFonts w:hint="eastAsia" w:ascii="宋体" w:hAnsi="宋体" w:cs="宋体"/>
          <w:color w:val="auto"/>
          <w:sz w:val="24"/>
          <w:highlight w:val="none"/>
        </w:rPr>
        <w:t>乙方安装完毕后，由甲方对质量进行验收。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4、结算方式： </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第七条 付款时间及方式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付款前乙方应提交以下资料：乙方出具的发票；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付款时间、方式：</w:t>
      </w:r>
    </w:p>
    <w:p>
      <w:pPr>
        <w:shd w:val="clear" w:color="auto" w:fill="FFFFFF"/>
        <w:snapToGrid w:val="0"/>
        <w:spacing w:line="380"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签订合同后7日内，乙方须向甲方交纳中标价1%的履约保证金，履约保证金缴纳形式包括支票/汇票/电汇/银行保函/保险公司保函，以保证乙方遵守本合同的一切条款、条件和承诺，该保证金在甲方的规定存续期间不计息。履约保证金待合同期满（投标人没有违约情形）后退还履约保证金（无息），如有违约则扣除相应违约金后，余额退还。</w:t>
      </w:r>
    </w:p>
    <w:p>
      <w:pPr>
        <w:shd w:val="clear" w:color="auto" w:fill="FFFFFF"/>
        <w:snapToGrid w:val="0"/>
        <w:spacing w:line="3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合同生效以及具备实施条件后 7个工作日内启动支付流程，支付至合同总价的40%作为预付款（在签订合同时，乙方明确表示无需预付款或者主动要求降低预付款比例的，甲方可不支付该预付款）</w:t>
      </w:r>
      <w:r>
        <w:rPr>
          <w:rFonts w:hint="eastAsia" w:ascii="宋体" w:hAnsi="宋体" w:cs="宋体"/>
          <w:color w:val="auto"/>
          <w:sz w:val="22"/>
          <w:szCs w:val="22"/>
          <w:highlight w:val="none"/>
          <w:lang w:eastAsia="zh-CN"/>
        </w:rPr>
        <w:t>；</w:t>
      </w:r>
    </w:p>
    <w:p>
      <w:pPr>
        <w:shd w:val="clear" w:color="auto" w:fill="FFFFFF"/>
        <w:snapToGrid w:val="0"/>
        <w:spacing w:line="3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硬件设备到货完成安装调试</w:t>
      </w:r>
      <w:r>
        <w:rPr>
          <w:rFonts w:hint="eastAsia" w:ascii="宋体" w:hAnsi="宋体" w:cs="宋体"/>
          <w:color w:val="auto"/>
          <w:sz w:val="22"/>
          <w:szCs w:val="22"/>
          <w:highlight w:val="none"/>
          <w:lang w:eastAsia="zh-CN"/>
        </w:rPr>
        <w:t>，且甲方在收到乙方发票后15个工作日内</w:t>
      </w:r>
      <w:r>
        <w:rPr>
          <w:rFonts w:hint="eastAsia" w:ascii="宋体" w:hAnsi="宋体" w:cs="宋体"/>
          <w:color w:val="auto"/>
          <w:sz w:val="22"/>
          <w:szCs w:val="22"/>
          <w:highlight w:val="none"/>
        </w:rPr>
        <w:t>支付合同总价的</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0%</w:t>
      </w:r>
      <w:r>
        <w:rPr>
          <w:rFonts w:hint="eastAsia" w:ascii="宋体" w:hAnsi="宋体" w:cs="宋体"/>
          <w:color w:val="auto"/>
          <w:sz w:val="22"/>
          <w:szCs w:val="22"/>
          <w:highlight w:val="none"/>
          <w:lang w:eastAsia="zh-CN"/>
        </w:rPr>
        <w:t>，</w:t>
      </w:r>
      <w:r>
        <w:rPr>
          <w:rFonts w:hint="eastAsia" w:ascii="宋体" w:hAnsi="宋体" w:cs="宋体"/>
          <w:color w:val="auto"/>
          <w:sz w:val="24"/>
          <w:highlight w:val="none"/>
        </w:rPr>
        <w:t>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2"/>
          <w:szCs w:val="22"/>
          <w:highlight w:val="none"/>
        </w:rPr>
        <w:t>；</w:t>
      </w:r>
    </w:p>
    <w:p>
      <w:pPr>
        <w:shd w:val="clear" w:color="auto" w:fill="FFFFFF"/>
        <w:snapToGrid w:val="0"/>
        <w:spacing w:line="380" w:lineRule="exact"/>
        <w:ind w:firstLine="440" w:firstLineChars="200"/>
        <w:rPr>
          <w:rFonts w:hint="eastAsia" w:ascii="宋体" w:hAnsi="宋体" w:cs="宋体"/>
          <w:color w:val="auto"/>
          <w:sz w:val="22"/>
          <w:szCs w:val="22"/>
          <w:highlight w:val="none"/>
        </w:rPr>
      </w:pPr>
      <w:r>
        <w:rPr>
          <w:rFonts w:ascii="宋体" w:hAnsi="宋体" w:cs="宋体"/>
          <w:color w:val="auto"/>
          <w:sz w:val="22"/>
          <w:szCs w:val="22"/>
          <w:highlight w:val="none"/>
        </w:rPr>
        <w:t>（</w:t>
      </w:r>
      <w:r>
        <w:rPr>
          <w:rFonts w:hint="eastAsia" w:ascii="宋体" w:hAnsi="宋体" w:cs="宋体"/>
          <w:color w:val="auto"/>
          <w:sz w:val="22"/>
          <w:szCs w:val="22"/>
          <w:highlight w:val="none"/>
          <w:lang w:val="en-US" w:eastAsia="zh-CN"/>
        </w:rPr>
        <w:t>4</w:t>
      </w:r>
      <w:r>
        <w:rPr>
          <w:rFonts w:ascii="宋体" w:hAnsi="宋体" w:cs="宋体"/>
          <w:color w:val="auto"/>
          <w:sz w:val="22"/>
          <w:szCs w:val="22"/>
          <w:highlight w:val="none"/>
        </w:rPr>
        <w:t>）项目经采购人组织专家通过初步验收</w:t>
      </w:r>
      <w:r>
        <w:rPr>
          <w:rFonts w:hint="eastAsia" w:ascii="宋体" w:hAnsi="宋体" w:cs="宋体"/>
          <w:color w:val="auto"/>
          <w:sz w:val="22"/>
          <w:szCs w:val="22"/>
          <w:highlight w:val="none"/>
          <w:lang w:eastAsia="zh-CN"/>
        </w:rPr>
        <w:t>，且甲方在收到乙方发票后15个工作日内</w:t>
      </w:r>
      <w:r>
        <w:rPr>
          <w:rFonts w:ascii="宋体" w:hAnsi="宋体" w:cs="宋体"/>
          <w:color w:val="auto"/>
          <w:sz w:val="22"/>
          <w:szCs w:val="22"/>
          <w:highlight w:val="none"/>
        </w:rPr>
        <w:t>支付</w:t>
      </w:r>
      <w:r>
        <w:rPr>
          <w:rFonts w:hint="eastAsia" w:ascii="宋体" w:hAnsi="宋体" w:cs="宋体"/>
          <w:color w:val="auto"/>
          <w:sz w:val="22"/>
          <w:szCs w:val="22"/>
          <w:highlight w:val="none"/>
        </w:rPr>
        <w:t>合同总价的</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w:t>
      </w:r>
      <w:r>
        <w:rPr>
          <w:rFonts w:hint="eastAsia" w:ascii="宋体" w:hAnsi="宋体" w:cs="宋体"/>
          <w:color w:val="auto"/>
          <w:sz w:val="22"/>
          <w:szCs w:val="22"/>
          <w:highlight w:val="none"/>
          <w:lang w:eastAsia="zh-CN"/>
        </w:rPr>
        <w:t>，</w:t>
      </w:r>
      <w:r>
        <w:rPr>
          <w:rFonts w:hint="eastAsia" w:ascii="宋体" w:hAnsi="宋体" w:cs="宋体"/>
          <w:color w:val="auto"/>
          <w:sz w:val="24"/>
          <w:highlight w:val="none"/>
        </w:rPr>
        <w:t>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2"/>
          <w:szCs w:val="22"/>
          <w:highlight w:val="none"/>
        </w:rPr>
        <w:t>；</w:t>
      </w:r>
    </w:p>
    <w:p>
      <w:pPr>
        <w:spacing w:line="400" w:lineRule="exact"/>
        <w:ind w:firstLine="440" w:firstLineChars="200"/>
        <w:rPr>
          <w:rFonts w:ascii="宋体" w:hAnsi="宋体" w:cs="宋体"/>
          <w:color w:val="auto"/>
          <w:sz w:val="24"/>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）项目通过最终验收</w:t>
      </w:r>
      <w:r>
        <w:rPr>
          <w:rFonts w:hint="eastAsia" w:ascii="宋体" w:hAnsi="宋体" w:cs="宋体"/>
          <w:color w:val="auto"/>
          <w:sz w:val="22"/>
          <w:szCs w:val="22"/>
          <w:highlight w:val="none"/>
          <w:lang w:eastAsia="zh-CN"/>
        </w:rPr>
        <w:t>，且甲方在收到乙方发票后15个工作日内</w:t>
      </w:r>
      <w:r>
        <w:rPr>
          <w:rFonts w:hint="eastAsia" w:ascii="宋体" w:hAnsi="宋体" w:cs="宋体"/>
          <w:color w:val="auto"/>
          <w:sz w:val="22"/>
          <w:szCs w:val="22"/>
          <w:highlight w:val="none"/>
        </w:rPr>
        <w:t>支付</w:t>
      </w:r>
      <w:r>
        <w:rPr>
          <w:rFonts w:hint="eastAsia" w:ascii="宋体" w:hAnsi="宋体" w:cs="宋体"/>
          <w:color w:val="auto"/>
          <w:sz w:val="22"/>
          <w:szCs w:val="22"/>
          <w:highlight w:val="none"/>
          <w:lang w:eastAsia="zh-CN"/>
        </w:rPr>
        <w:t>剩余合同价款，</w:t>
      </w:r>
      <w:r>
        <w:rPr>
          <w:rFonts w:hint="eastAsia" w:ascii="宋体" w:hAnsi="宋体" w:cs="宋体"/>
          <w:color w:val="auto"/>
          <w:sz w:val="24"/>
          <w:highlight w:val="none"/>
        </w:rPr>
        <w:t>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2"/>
          <w:szCs w:val="22"/>
          <w:highlight w:val="none"/>
        </w:rPr>
        <w:t>。</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）乙方向甲方出具相对应金额的增值税专用发票（包括预付款）。</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第八条 成品保护</w:t>
      </w:r>
    </w:p>
    <w:p>
      <w:pPr>
        <w:spacing w:line="4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在安装完毕验收前要认真做好成品保护。因失窃或失火造成的损失由中标人负责，凡由此而损及总承包单位或招标人利益时，由中标人赔偿。</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第九条 保修约定</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1、乙方对货物（包括零配件）提供</w:t>
      </w:r>
      <w:r>
        <w:rPr>
          <w:rFonts w:hint="eastAsia" w:ascii="宋体" w:hAnsi="宋体" w:cs="宋体"/>
          <w:color w:val="auto"/>
          <w:sz w:val="24"/>
          <w:highlight w:val="none"/>
          <w:u w:val="single"/>
        </w:rPr>
        <w:t>至少3年的免费质保期（若乙方投标承诺超过</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年的，以承诺为准）</w:t>
      </w:r>
      <w:r>
        <w:rPr>
          <w:rFonts w:hint="eastAsia" w:ascii="宋体" w:hAnsi="宋体" w:cs="宋体"/>
          <w:color w:val="auto"/>
          <w:sz w:val="24"/>
          <w:highlight w:val="none"/>
        </w:rPr>
        <w:t>，免费质保期时间从验收之日起计算。质保期内非因甲方的人为原因而出现货物的质量问题，由</w:t>
      </w:r>
      <w:r>
        <w:rPr>
          <w:rFonts w:hint="eastAsia" w:ascii="宋体" w:hAnsi="宋体" w:cs="宋体"/>
          <w:color w:val="auto"/>
          <w:sz w:val="24"/>
          <w:szCs w:val="24"/>
          <w:highlight w:val="none"/>
        </w:rPr>
        <w:t>乙方负责包修、包换、包退，并承担修理的实际费用。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质保期内乙方提供7x24小时故障申告热线电话服务，接到故障报修后24小时内到达现场，上门维护；48小时内修复，无法修复的，乙方应提供备用设备或部件替换，不能因此影响学校教育科研活动。提供电话及远程服务，一般问题一天内解决，重大问题七天内解决。</w:t>
      </w:r>
    </w:p>
    <w:p>
      <w:pPr>
        <w:spacing w:line="400" w:lineRule="exact"/>
        <w:ind w:firstLine="360" w:firstLineChars="150"/>
        <w:rPr>
          <w:rFonts w:ascii="宋体" w:hAnsi="宋体" w:cs="宋体"/>
          <w:color w:val="auto"/>
          <w:sz w:val="24"/>
          <w:highlight w:val="none"/>
        </w:rPr>
      </w:pPr>
      <w:r>
        <w:rPr>
          <w:rFonts w:hint="eastAsia" w:ascii="宋体" w:hAnsi="宋体" w:cs="宋体"/>
          <w:color w:val="auto"/>
          <w:sz w:val="24"/>
          <w:szCs w:val="24"/>
          <w:highlight w:val="none"/>
        </w:rPr>
        <w:t>3、乙方对软件提供</w:t>
      </w:r>
      <w:r>
        <w:rPr>
          <w:rFonts w:hint="eastAsia" w:ascii="宋体" w:hAnsi="宋体" w:cs="宋体"/>
          <w:color w:val="auto"/>
          <w:sz w:val="24"/>
          <w:highlight w:val="none"/>
          <w:u w:val="single"/>
        </w:rPr>
        <w:t>至少1年的免费升级服务（若乙方投标承诺超过1年的，以承诺为准）</w:t>
      </w:r>
      <w:r>
        <w:rPr>
          <w:rFonts w:hint="eastAsia" w:ascii="宋体" w:hAnsi="宋体" w:cs="宋体"/>
          <w:color w:val="auto"/>
          <w:sz w:val="24"/>
          <w:highlight w:val="none"/>
        </w:rPr>
        <w:t>。</w:t>
      </w:r>
    </w:p>
    <w:p>
      <w:pPr>
        <w:spacing w:line="400" w:lineRule="exact"/>
        <w:rPr>
          <w:rFonts w:ascii="宋体" w:hAnsi="宋体" w:cs="宋体"/>
          <w:color w:val="auto"/>
          <w:sz w:val="24"/>
          <w:highlight w:val="none"/>
        </w:rPr>
      </w:pPr>
      <w:r>
        <w:rPr>
          <w:rFonts w:hint="eastAsia" w:ascii="宋体" w:hAnsi="宋体" w:cs="宋体"/>
          <w:color w:val="auto"/>
          <w:sz w:val="24"/>
          <w:highlight w:val="none"/>
        </w:rPr>
        <w:t>第十条 违约责任</w:t>
      </w:r>
    </w:p>
    <w:p>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1、合同的权利</w:t>
      </w:r>
      <w:r>
        <w:rPr>
          <w:rFonts w:ascii="宋体" w:hAnsi="宋体" w:cs="宋体"/>
          <w:color w:val="auto"/>
          <w:sz w:val="24"/>
          <w:szCs w:val="24"/>
          <w:highlight w:val="none"/>
        </w:rPr>
        <w:t>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0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2、乙方采取分包方式履行合同的，甲方可直接向分包供应商支付款项。</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第十一条 违约责任</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1、甲方无正当理由拒收货物、拒绝出具验收报告的，甲方向乙方偿付货款总值的30%违约金。</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2、乙方所交的货物品种、型号、质量不符合合同规定标准的，甲方有权拒收货物；或者乙方在中标后不能交货；上述情况之一者，乙方均向甲方偿付货款总值30%的违约金。</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3、乙方逾期未交付货物的，乙方向甲方每日偿付货款总额0.5‰的违约金。</w:t>
      </w:r>
    </w:p>
    <w:p>
      <w:pPr>
        <w:spacing w:line="400" w:lineRule="exact"/>
        <w:jc w:val="left"/>
        <w:rPr>
          <w:rFonts w:ascii="宋体" w:hAnsi="宋体" w:cs="宋体"/>
          <w:color w:val="auto"/>
          <w:highlight w:val="none"/>
        </w:rPr>
      </w:pPr>
      <w:r>
        <w:rPr>
          <w:rFonts w:hint="eastAsia" w:ascii="宋体" w:hAnsi="宋体" w:cs="宋体"/>
          <w:color w:val="auto"/>
          <w:sz w:val="24"/>
          <w:highlight w:val="none"/>
        </w:rPr>
        <w:t xml:space="preserve">第十二条 不可抗力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如发生不可抗力事件，受不可抗力事件影响的一方应取得公证机关的不能履行或不能全部履行合同的证明，并在事件发生后 7 个工作日内，及时通知另一方。双方同意，可据此免除全部或部分责任。</w:t>
      </w:r>
    </w:p>
    <w:p>
      <w:pPr>
        <w:spacing w:line="400" w:lineRule="exact"/>
        <w:jc w:val="left"/>
        <w:rPr>
          <w:rFonts w:ascii="宋体" w:hAnsi="宋体" w:cs="宋体"/>
          <w:color w:val="auto"/>
          <w:highlight w:val="none"/>
        </w:rPr>
      </w:pPr>
      <w:r>
        <w:rPr>
          <w:rFonts w:hint="eastAsia" w:ascii="宋体" w:hAnsi="宋体" w:cs="宋体"/>
          <w:color w:val="auto"/>
          <w:sz w:val="24"/>
          <w:highlight w:val="none"/>
        </w:rPr>
        <w:t>第十三条 争议解决方式</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1、因材料的质量问题发生争议的，应当请国家认可的质量检测机构对质量进行鉴定。符合标准的，鉴定费由甲方承担；不符合质量标准的，鉴定费由乙方承担，并按本合同第九条规定处理。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双方如发生争议，应协商解决；如协商不成，经人民法院提出诉讼方式解决。</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第十四条 合同生效、终止及其他</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合同自双方签字并盖章后生效，双方权利义务履行完毕后，合同终止。 合同一式陆份，双方各叁份，具有同等法律效力。</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未尽事宜，双方协商解决；合同的变更及修改须经双方同意，以书面形式变更。</w:t>
      </w:r>
    </w:p>
    <w:p>
      <w:pPr>
        <w:spacing w:line="400" w:lineRule="exact"/>
        <w:rPr>
          <w:rFonts w:ascii="宋体" w:hAnsi="宋体" w:cs="宋体"/>
          <w:color w:val="auto"/>
          <w:sz w:val="24"/>
          <w:highlight w:val="none"/>
        </w:rPr>
      </w:pPr>
      <w:r>
        <w:rPr>
          <w:rFonts w:hint="eastAsia" w:ascii="宋体" w:hAnsi="宋体" w:cs="宋体"/>
          <w:color w:val="auto"/>
          <w:sz w:val="24"/>
          <w:highlight w:val="none"/>
        </w:rPr>
        <w:t>第十五条  补充条款</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1、乙方将设备（材料）送到甲方指定地点，并完成安装调试等工作，所产生的相关费用由乙方负责。乙方须提前7日通知甲方送货时间。</w:t>
      </w:r>
    </w:p>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 xml:space="preserve">甲方：（盖章）                                   乙方：（盖章）              </w:t>
      </w:r>
    </w:p>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 xml:space="preserve">法人代表：                                      法人代表：               </w:t>
      </w:r>
    </w:p>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 xml:space="preserve">代 理 人：                                      代 理 人：                </w:t>
      </w:r>
    </w:p>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 xml:space="preserve">地    址：                                      地    址：                </w:t>
      </w:r>
    </w:p>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 xml:space="preserve">帐    号：                                      帐    号：                </w:t>
      </w:r>
    </w:p>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 xml:space="preserve">电    话：                                      电    话：                </w:t>
      </w:r>
    </w:p>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 xml:space="preserve">电子邮箱：                                      电子邮箱：                </w:t>
      </w:r>
    </w:p>
    <w:p>
      <w:pPr>
        <w:adjustRightIn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年  月  日                                      年  月  日</w:t>
      </w:r>
    </w:p>
    <w:p>
      <w:pPr>
        <w:pStyle w:val="34"/>
        <w:rPr>
          <w:rFonts w:ascii="宋体" w:hAnsi="宋体" w:cs="宋体"/>
          <w:color w:val="auto"/>
          <w:sz w:val="24"/>
          <w:szCs w:val="24"/>
          <w:highlight w:val="none"/>
        </w:rPr>
      </w:pPr>
    </w:p>
    <w:p>
      <w:pPr>
        <w:rPr>
          <w:rFonts w:ascii="宋体" w:hAnsi="宋体" w:cs="宋体"/>
          <w:color w:val="auto"/>
          <w:sz w:val="24"/>
          <w:szCs w:val="24"/>
          <w:highlight w:val="none"/>
        </w:rPr>
      </w:pPr>
    </w:p>
    <w:p>
      <w:pPr>
        <w:pStyle w:val="37"/>
        <w:ind w:firstLine="210"/>
        <w:rPr>
          <w:rFonts w:ascii="宋体" w:hAnsi="宋体" w:eastAsia="宋体" w:cs="宋体"/>
          <w:color w:val="auto"/>
          <w:szCs w:val="24"/>
          <w:highlight w:val="none"/>
        </w:rPr>
      </w:pPr>
    </w:p>
    <w:bookmarkEnd w:id="79"/>
    <w:bookmarkEnd w:id="80"/>
    <w:p>
      <w:pPr>
        <w:pStyle w:val="246"/>
        <w:numPr>
          <w:ilvl w:val="0"/>
          <w:numId w:val="4"/>
        </w:numPr>
        <w:snapToGrid w:val="0"/>
        <w:spacing w:before="0" w:line="276" w:lineRule="auto"/>
        <w:ind w:firstLine="0" w:firstLineChars="0"/>
        <w:jc w:val="center"/>
        <w:outlineLvl w:val="0"/>
        <w:rPr>
          <w:rFonts w:hAnsi="宋体" w:cs="宋体"/>
          <w:b/>
          <w:color w:val="auto"/>
          <w:sz w:val="36"/>
          <w:highlight w:val="none"/>
        </w:rPr>
      </w:pPr>
      <w:bookmarkStart w:id="88" w:name="_Toc126886003"/>
      <w:r>
        <w:rPr>
          <w:rFonts w:hint="eastAsia" w:ascii="宋体" w:hAnsi="宋体" w:cs="宋体"/>
          <w:b/>
          <w:color w:val="auto"/>
          <w:sz w:val="36"/>
          <w:highlight w:val="none"/>
        </w:rPr>
        <w:t>投标文件部分格式文件</w:t>
      </w:r>
      <w:bookmarkEnd w:id="88"/>
    </w:p>
    <w:p>
      <w:pPr>
        <w:pStyle w:val="625"/>
        <w:ind w:firstLine="560"/>
        <w:rPr>
          <w:color w:val="auto"/>
          <w:highlight w:val="none"/>
          <w:lang w:val="zh-CN"/>
        </w:rPr>
      </w:pPr>
      <w:bookmarkStart w:id="89" w:name="_Toc519670202"/>
      <w:bookmarkStart w:id="90" w:name="_Toc522530052"/>
      <w:bookmarkStart w:id="91" w:name="_Toc233618990"/>
      <w:bookmarkStart w:id="92" w:name="_Toc233618989"/>
    </w:p>
    <w:p>
      <w:pPr>
        <w:pStyle w:val="47"/>
        <w:adjustRightInd w:val="0"/>
        <w:snapToGrid w:val="0"/>
        <w:spacing w:line="360" w:lineRule="auto"/>
        <w:jc w:val="center"/>
        <w:outlineLvl w:val="1"/>
        <w:rPr>
          <w:rFonts w:hAnsi="宋体" w:cs="宋体"/>
          <w:b/>
          <w:color w:val="auto"/>
          <w:sz w:val="28"/>
          <w:highlight w:val="none"/>
        </w:rPr>
      </w:pPr>
      <w:bookmarkStart w:id="93" w:name="_Toc126886004"/>
      <w:r>
        <w:rPr>
          <w:rFonts w:hint="eastAsia" w:hAnsi="宋体" w:cs="宋体"/>
          <w:b/>
          <w:color w:val="auto"/>
          <w:sz w:val="28"/>
          <w:highlight w:val="none"/>
          <w:lang w:val="zh-CN"/>
        </w:rPr>
        <w:t>格式</w:t>
      </w:r>
      <w:r>
        <w:rPr>
          <w:rFonts w:hint="eastAsia" w:hAnsi="宋体" w:cs="宋体"/>
          <w:b/>
          <w:color w:val="auto"/>
          <w:sz w:val="28"/>
          <w:highlight w:val="none"/>
        </w:rPr>
        <w:t>一：资格审查资料</w:t>
      </w:r>
      <w:bookmarkEnd w:id="93"/>
    </w:p>
    <w:p>
      <w:pPr>
        <w:spacing w:line="5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资格审查资料</w:t>
      </w:r>
    </w:p>
    <w:p>
      <w:pPr>
        <w:autoSpaceDE w:val="0"/>
        <w:autoSpaceDN w:val="0"/>
        <w:adjustRightInd w:val="0"/>
        <w:snapToGrid w:val="0"/>
        <w:spacing w:line="300" w:lineRule="auto"/>
        <w:ind w:firstLine="560" w:firstLineChars="200"/>
        <w:jc w:val="left"/>
        <w:rPr>
          <w:rFonts w:ascii="宋体" w:hAnsi="宋体" w:cs="宋体"/>
          <w:color w:val="auto"/>
          <w:kern w:val="0"/>
          <w:szCs w:val="21"/>
          <w:highlight w:val="none"/>
        </w:rPr>
      </w:pPr>
    </w:p>
    <w:p>
      <w:pPr>
        <w:pStyle w:val="47"/>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（一）资格审查须知</w:t>
      </w:r>
    </w:p>
    <w:p>
      <w:pPr>
        <w:pStyle w:val="47"/>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1、投标人必须认真填写招标文件规定的所有表格，并对其真实性负责，采购人有权对其进行调查核实和要求澄清。</w:t>
      </w:r>
    </w:p>
    <w:p>
      <w:pPr>
        <w:pStyle w:val="47"/>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7"/>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（二）资格审查资料格式</w:t>
      </w:r>
    </w:p>
    <w:p>
      <w:pPr>
        <w:pStyle w:val="47"/>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表1 强制性资格条件</w:t>
      </w:r>
    </w:p>
    <w:p>
      <w:pPr>
        <w:pStyle w:val="47"/>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表</w:t>
      </w:r>
      <w:bookmarkEnd w:id="89"/>
      <w:r>
        <w:rPr>
          <w:rFonts w:hint="eastAsia" w:hAnsi="宋体" w:cs="宋体"/>
          <w:color w:val="auto"/>
          <w:sz w:val="24"/>
          <w:szCs w:val="24"/>
          <w:highlight w:val="none"/>
        </w:rPr>
        <w:t>附件</w:t>
      </w: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spacing w:line="300" w:lineRule="exact"/>
        <w:rPr>
          <w:rFonts w:ascii="宋体" w:hAnsi="宋体" w:cs="宋体"/>
          <w:b/>
          <w:color w:val="auto"/>
          <w:sz w:val="30"/>
          <w:szCs w:val="30"/>
          <w:highlight w:val="none"/>
        </w:rPr>
      </w:pPr>
      <w:r>
        <w:rPr>
          <w:rFonts w:hint="eastAsia" w:ascii="宋体" w:hAnsi="宋体" w:cs="宋体"/>
          <w:b/>
          <w:color w:val="auto"/>
          <w:sz w:val="30"/>
          <w:szCs w:val="30"/>
          <w:highlight w:val="none"/>
        </w:rPr>
        <w:t>表1：强制性资格条件</w:t>
      </w:r>
    </w:p>
    <w:p>
      <w:pPr>
        <w:spacing w:line="340" w:lineRule="exact"/>
        <w:jc w:val="center"/>
        <w:rPr>
          <w:rFonts w:ascii="宋体" w:hAnsi="宋体" w:cs="宋体"/>
          <w:color w:val="auto"/>
          <w:kern w:val="0"/>
          <w:highlight w:val="none"/>
        </w:rPr>
      </w:pPr>
      <w:r>
        <w:rPr>
          <w:rFonts w:hint="eastAsia" w:ascii="宋体" w:hAnsi="宋体" w:cs="宋体"/>
          <w:b/>
          <w:color w:val="auto"/>
          <w:sz w:val="30"/>
          <w:szCs w:val="30"/>
          <w:highlight w:val="none"/>
        </w:rPr>
        <w:t>强制性资格条件表</w:t>
      </w:r>
    </w:p>
    <w:tbl>
      <w:tblPr>
        <w:tblStyle w:val="88"/>
        <w:tblW w:w="9709" w:type="dxa"/>
        <w:tblInd w:w="-205"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682"/>
        <w:gridCol w:w="5050"/>
        <w:gridCol w:w="3977"/>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682"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5050"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资格条件要求</w:t>
            </w:r>
          </w:p>
        </w:tc>
        <w:tc>
          <w:tcPr>
            <w:tcW w:w="3977"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682" w:type="dxa"/>
            <w:vAlign w:val="center"/>
          </w:tcPr>
          <w:p>
            <w:pPr>
              <w:jc w:val="center"/>
              <w:rPr>
                <w:rFonts w:ascii="宋体" w:hAnsi="宋体" w:cs="宋体"/>
                <w:b/>
                <w:color w:val="auto"/>
                <w:sz w:val="22"/>
                <w:szCs w:val="22"/>
                <w:highlight w:val="none"/>
              </w:rPr>
            </w:pPr>
            <w:r>
              <w:rPr>
                <w:rFonts w:hint="eastAsia" w:ascii="宋体" w:hAnsi="宋体" w:cs="宋体"/>
                <w:color w:val="auto"/>
                <w:sz w:val="22"/>
                <w:szCs w:val="22"/>
                <w:highlight w:val="none"/>
              </w:rPr>
              <w:t>1</w:t>
            </w:r>
          </w:p>
        </w:tc>
        <w:tc>
          <w:tcPr>
            <w:tcW w:w="5050" w:type="dxa"/>
            <w:vAlign w:val="center"/>
          </w:tcPr>
          <w:p>
            <w:pPr>
              <w:rPr>
                <w:rFonts w:ascii="宋体" w:hAnsi="宋体" w:cs="宋体"/>
                <w:b/>
                <w:color w:val="auto"/>
                <w:sz w:val="22"/>
                <w:szCs w:val="22"/>
                <w:highlight w:val="none"/>
              </w:rPr>
            </w:pPr>
            <w:r>
              <w:rPr>
                <w:rFonts w:hint="eastAsia" w:ascii="宋体" w:hAnsi="宋体" w:cs="宋体"/>
                <w:b/>
                <w:bCs/>
                <w:color w:val="auto"/>
                <w:sz w:val="22"/>
                <w:szCs w:val="22"/>
                <w:highlight w:val="none"/>
              </w:rPr>
              <w:t>基本资格要求：</w:t>
            </w:r>
          </w:p>
        </w:tc>
        <w:tc>
          <w:tcPr>
            <w:tcW w:w="3977" w:type="dxa"/>
            <w:vAlign w:val="center"/>
          </w:tcPr>
          <w:p>
            <w:pPr>
              <w:jc w:val="center"/>
              <w:rPr>
                <w:rFonts w:ascii="宋体" w:hAnsi="宋体" w:cs="宋体"/>
                <w:b/>
                <w:color w:val="auto"/>
                <w:sz w:val="22"/>
                <w:szCs w:val="22"/>
                <w:highlight w:val="none"/>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421" w:hRule="atLeast"/>
        </w:trPr>
        <w:tc>
          <w:tcPr>
            <w:tcW w:w="68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5050"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tc>
        <w:tc>
          <w:tcPr>
            <w:tcW w:w="3977" w:type="dxa"/>
            <w:vAlign w:val="center"/>
          </w:tcPr>
          <w:p>
            <w:pP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（1）营业执照（或事业法人登记证或其他工商等登记证明材料）复印件（供应商为自然人的，提供自然人的身份证明）。</w:t>
            </w:r>
          </w:p>
          <w:p>
            <w:pP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（2）符合资格条件的声明函。【声明函 1】</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5" w:hRule="atLeast"/>
        </w:trPr>
        <w:tc>
          <w:tcPr>
            <w:tcW w:w="68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5050" w:type="dxa"/>
            <w:vAlign w:val="center"/>
          </w:tcPr>
          <w:p>
            <w:pPr>
              <w:rPr>
                <w:rFonts w:ascii="宋体" w:hAnsi="宋体" w:cs="宋体"/>
                <w:color w:val="auto"/>
                <w:sz w:val="22"/>
                <w:szCs w:val="22"/>
                <w:highlight w:val="none"/>
              </w:rPr>
            </w:pPr>
            <w:r>
              <w:rPr>
                <w:rFonts w:hint="eastAsia" w:ascii="宋体" w:hAnsi="宋体" w:cs="宋体"/>
                <w:b/>
                <w:bCs/>
                <w:color w:val="auto"/>
                <w:sz w:val="22"/>
                <w:szCs w:val="22"/>
                <w:highlight w:val="none"/>
              </w:rPr>
              <w:t>落实政府采购政策需满足的资格要求：</w:t>
            </w:r>
          </w:p>
        </w:tc>
        <w:tc>
          <w:tcPr>
            <w:tcW w:w="3977" w:type="dxa"/>
            <w:vAlign w:val="center"/>
          </w:tcPr>
          <w:p>
            <w:pPr>
              <w:rPr>
                <w:rFonts w:ascii="宋体" w:hAnsi="宋体" w:cs="宋体"/>
                <w:color w:val="auto"/>
                <w:sz w:val="22"/>
                <w:szCs w:val="22"/>
                <w:highlight w:val="none"/>
                <w:lang w:val="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426" w:hRule="atLeast"/>
        </w:trPr>
        <w:tc>
          <w:tcPr>
            <w:tcW w:w="68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5050"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本项目属于【软件和信息技术服务业】行业，要求供应商为中小微企业。中小企业是指满足《政府采购促进中小企业发展管理办法》（财库〔2020〕46 号）第二条规定的企业。监狱企业、残疾人福利性单位视为中小企业。供应商需上传《中小企业声明函》等。</w:t>
            </w:r>
          </w:p>
        </w:tc>
        <w:tc>
          <w:tcPr>
            <w:tcW w:w="3977" w:type="dxa"/>
            <w:vAlign w:val="center"/>
          </w:tcPr>
          <w:p>
            <w:pP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中小企业声明函/监狱企业声明函及其相关的充分的证明材料/残疾人福利性单位声明函。【声明函 2】</w:t>
            </w:r>
            <w:r>
              <w:rPr>
                <w:rFonts w:hint="eastAsia" w:ascii="宋体" w:hAnsi="宋体" w:cs="宋体"/>
                <w:color w:val="auto"/>
                <w:sz w:val="22"/>
                <w:szCs w:val="22"/>
                <w:highlight w:val="none"/>
                <w:lang w:val="zh-CN"/>
              </w:rPr>
              <w:br w:type="textWrapping"/>
            </w:r>
            <w:r>
              <w:rPr>
                <w:rFonts w:hint="eastAsia" w:ascii="宋体" w:hAnsi="宋体" w:cs="宋体"/>
                <w:color w:val="auto"/>
                <w:sz w:val="22"/>
                <w:szCs w:val="22"/>
                <w:highlight w:val="none"/>
                <w:lang w:val="zh-CN"/>
              </w:rPr>
              <w:t>如有分包，须提供分包意向协议书【附件1】。</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68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5050" w:type="dxa"/>
            <w:vAlign w:val="center"/>
          </w:tcPr>
          <w:p>
            <w:pPr>
              <w:rPr>
                <w:rFonts w:ascii="宋体" w:hAnsi="宋体" w:cs="宋体"/>
                <w:color w:val="auto"/>
                <w:sz w:val="22"/>
                <w:szCs w:val="22"/>
                <w:highlight w:val="none"/>
              </w:rPr>
            </w:pPr>
            <w:r>
              <w:rPr>
                <w:rFonts w:hint="eastAsia" w:ascii="宋体" w:hAnsi="宋体" w:cs="宋体"/>
                <w:b/>
                <w:bCs/>
                <w:color w:val="auto"/>
                <w:sz w:val="22"/>
                <w:szCs w:val="22"/>
                <w:highlight w:val="none"/>
                <w:lang w:val="zh-CN"/>
              </w:rPr>
              <w:t>特定资格要求：</w:t>
            </w:r>
          </w:p>
        </w:tc>
        <w:tc>
          <w:tcPr>
            <w:tcW w:w="3977" w:type="dxa"/>
            <w:vAlign w:val="center"/>
          </w:tcPr>
          <w:p>
            <w:pPr>
              <w:rPr>
                <w:rFonts w:ascii="宋体" w:hAnsi="宋体" w:cs="宋体"/>
                <w:color w:val="auto"/>
                <w:sz w:val="22"/>
                <w:szCs w:val="22"/>
                <w:highlight w:val="none"/>
                <w:lang w:val="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723" w:hRule="atLeast"/>
        </w:trPr>
        <w:tc>
          <w:tcPr>
            <w:tcW w:w="68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5050"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单位负责人为同一人或者存在直接控股、管理关系的不同投标人，不得参加同一合同项下的政府采购活动；</w:t>
            </w:r>
          </w:p>
        </w:tc>
        <w:tc>
          <w:tcPr>
            <w:tcW w:w="3977" w:type="dxa"/>
            <w:vAlign w:val="center"/>
          </w:tcPr>
          <w:p>
            <w:pP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与其他供应商无利害关系的声明函。【声明函</w:t>
            </w: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858" w:hRule="atLeast"/>
        </w:trPr>
        <w:tc>
          <w:tcPr>
            <w:tcW w:w="68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3.2</w:t>
            </w:r>
          </w:p>
        </w:tc>
        <w:tc>
          <w:tcPr>
            <w:tcW w:w="5050"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lang w:val="zh-CN"/>
              </w:rPr>
              <w:t>根据《关于规范政府采购供应商资格设定及资格 审查的通知》（浙财采监[2013]24 号）第 6 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77"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◇属于此种情形的供应商除基本资格要求应提供资料外。还应提供以下资料：</w:t>
            </w:r>
          </w:p>
          <w:p>
            <w:pPr>
              <w:rPr>
                <w:rFonts w:ascii="宋体" w:hAnsi="宋体" w:cs="宋体"/>
                <w:color w:val="auto"/>
                <w:sz w:val="22"/>
                <w:szCs w:val="22"/>
                <w:highlight w:val="none"/>
              </w:rPr>
            </w:pPr>
            <w:r>
              <w:rPr>
                <w:rFonts w:hint="eastAsia" w:ascii="宋体" w:hAnsi="宋体" w:cs="宋体"/>
                <w:color w:val="auto"/>
                <w:sz w:val="22"/>
                <w:szCs w:val="22"/>
                <w:highlight w:val="none"/>
              </w:rPr>
              <w:t>（1）金融、保险、通讯等特定行业的全国性企业所设立的区域性分支机构提供总公司（总机构）授权；</w:t>
            </w:r>
          </w:p>
          <w:p>
            <w:pPr>
              <w:rPr>
                <w:rFonts w:ascii="宋体" w:hAnsi="宋体" w:cs="宋体"/>
                <w:color w:val="auto"/>
                <w:sz w:val="22"/>
                <w:szCs w:val="22"/>
                <w:highlight w:val="none"/>
              </w:rPr>
            </w:pPr>
            <w:r>
              <w:rPr>
                <w:rFonts w:hint="eastAsia" w:ascii="宋体" w:hAnsi="宋体" w:cs="宋体"/>
                <w:color w:val="auto"/>
                <w:sz w:val="22"/>
                <w:szCs w:val="22"/>
                <w:highlight w:val="none"/>
              </w:rPr>
              <w:t>（2）个体工商户、个人独资企业、合伙企业应提供房产权证或其他有效财产证明材料。</w:t>
            </w:r>
          </w:p>
          <w:p>
            <w:pPr>
              <w:rPr>
                <w:rFonts w:ascii="宋体" w:hAnsi="宋体" w:cs="宋体"/>
                <w:color w:val="auto"/>
                <w:sz w:val="22"/>
                <w:szCs w:val="22"/>
                <w:highlight w:val="none"/>
              </w:rPr>
            </w:pPr>
            <w:r>
              <w:rPr>
                <w:rFonts w:hint="eastAsia" w:ascii="宋体" w:hAnsi="宋体" w:cs="宋体"/>
                <w:color w:val="auto"/>
                <w:sz w:val="22"/>
                <w:szCs w:val="22"/>
                <w:highlight w:val="none"/>
              </w:rPr>
              <w:t>◇不属于此种情况的供应商提供以下资料：</w:t>
            </w:r>
          </w:p>
          <w:p>
            <w:pPr>
              <w:rPr>
                <w:rFonts w:ascii="宋体" w:hAnsi="宋体" w:cs="宋体"/>
                <w:color w:val="auto"/>
                <w:sz w:val="22"/>
                <w:szCs w:val="22"/>
                <w:highlight w:val="none"/>
                <w:lang w:val="zh-CN"/>
              </w:rPr>
            </w:pPr>
            <w:r>
              <w:rPr>
                <w:rFonts w:hint="eastAsia" w:ascii="宋体" w:hAnsi="宋体" w:cs="宋体"/>
                <w:color w:val="auto"/>
                <w:sz w:val="22"/>
                <w:szCs w:val="22"/>
                <w:highlight w:val="none"/>
              </w:rPr>
              <w:t>（3）企业类型的声明函。【声明函 4】</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546" w:hRule="atLeast"/>
        </w:trPr>
        <w:tc>
          <w:tcPr>
            <w:tcW w:w="68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3.3</w:t>
            </w:r>
          </w:p>
        </w:tc>
        <w:tc>
          <w:tcPr>
            <w:tcW w:w="5050"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根据《政府购买服务管理办法》（中华人民共和国财政部令第102号）规定，公益一类事业单位、使用事业编制且由财政拨款保障的群团组织，不作为政府购买服务的购买主体和承接主体,本项目不接受该类供应商的投标。</w:t>
            </w:r>
          </w:p>
        </w:tc>
        <w:tc>
          <w:tcPr>
            <w:tcW w:w="3977" w:type="dxa"/>
            <w:vAlign w:val="center"/>
          </w:tcPr>
          <w:p>
            <w:pPr>
              <w:rPr>
                <w:rFonts w:ascii="宋体" w:hAnsi="宋体" w:cs="宋体"/>
                <w:color w:val="auto"/>
                <w:sz w:val="22"/>
                <w:szCs w:val="22"/>
                <w:highlight w:val="none"/>
                <w:lang w:val="zh-CN"/>
              </w:rPr>
            </w:pPr>
            <w:r>
              <w:rPr>
                <w:rFonts w:hint="eastAsia" w:ascii="宋体" w:hAnsi="宋体" w:cs="宋体"/>
                <w:color w:val="auto"/>
                <w:kern w:val="0"/>
                <w:sz w:val="22"/>
                <w:szCs w:val="22"/>
                <w:highlight w:val="none"/>
              </w:rPr>
              <w:t>单位组织形式声明函。【声明函 5】</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03" w:hRule="atLeast"/>
        </w:trPr>
        <w:tc>
          <w:tcPr>
            <w:tcW w:w="68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3.4</w:t>
            </w:r>
          </w:p>
        </w:tc>
        <w:tc>
          <w:tcPr>
            <w:tcW w:w="5050" w:type="dxa"/>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非联合体。</w:t>
            </w:r>
          </w:p>
        </w:tc>
        <w:tc>
          <w:tcPr>
            <w:tcW w:w="3977" w:type="dxa"/>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非联合体的声明函，【声明函6】</w:t>
            </w:r>
          </w:p>
        </w:tc>
      </w:tr>
    </w:tbl>
    <w:p>
      <w:pPr>
        <w:rPr>
          <w:rFonts w:ascii="宋体" w:hAnsi="宋体" w:cs="宋体"/>
          <w:color w:val="auto"/>
          <w:sz w:val="22"/>
          <w:szCs w:val="22"/>
          <w:highlight w:val="none"/>
        </w:rPr>
      </w:pPr>
      <w:r>
        <w:rPr>
          <w:rFonts w:hint="eastAsia" w:ascii="宋体" w:hAnsi="宋体" w:cs="宋体"/>
          <w:color w:val="auto"/>
          <w:sz w:val="22"/>
          <w:szCs w:val="22"/>
          <w:highlight w:val="none"/>
        </w:rPr>
        <w:t>表附件：证明资料</w:t>
      </w:r>
    </w:p>
    <w:p>
      <w:pPr>
        <w:rPr>
          <w:rFonts w:ascii="宋体" w:hAnsi="宋体" w:cs="宋体"/>
          <w:color w:val="auto"/>
          <w:sz w:val="22"/>
          <w:szCs w:val="22"/>
          <w:highlight w:val="none"/>
        </w:rPr>
      </w:pPr>
      <w:r>
        <w:rPr>
          <w:rFonts w:hint="eastAsia" w:ascii="宋体" w:hAnsi="宋体" w:cs="宋体"/>
          <w:color w:val="auto"/>
          <w:sz w:val="22"/>
          <w:szCs w:val="22"/>
          <w:highlight w:val="none"/>
        </w:rPr>
        <w:t>（1）营业执照（或事业法人登记证或其他工商等登记证明材料）扫描件（供应商为自然人的，提供自然人的身份证明）。</w:t>
      </w:r>
    </w:p>
    <w:p>
      <w:pPr>
        <w:rPr>
          <w:rFonts w:ascii="宋体" w:hAnsi="宋体" w:cs="宋体"/>
          <w:color w:val="auto"/>
          <w:sz w:val="22"/>
          <w:szCs w:val="22"/>
          <w:highlight w:val="none"/>
        </w:rPr>
      </w:pPr>
      <w:r>
        <w:rPr>
          <w:rFonts w:hint="eastAsia" w:ascii="宋体" w:hAnsi="宋体" w:cs="宋体"/>
          <w:color w:val="auto"/>
          <w:sz w:val="22"/>
          <w:szCs w:val="22"/>
          <w:highlight w:val="none"/>
        </w:rPr>
        <w:t>相关附件格式附后。</w:t>
      </w:r>
    </w:p>
    <w:p>
      <w:pPr>
        <w:pStyle w:val="625"/>
        <w:ind w:firstLine="560"/>
        <w:rPr>
          <w:color w:val="auto"/>
          <w:highlight w:val="none"/>
        </w:rPr>
      </w:pPr>
    </w:p>
    <w:p>
      <w:pPr>
        <w:pStyle w:val="9"/>
        <w:tabs>
          <w:tab w:val="left" w:pos="-839"/>
        </w:tabs>
        <w:rPr>
          <w:rFonts w:ascii="宋体" w:hAnsi="宋体" w:eastAsia="宋体" w:cs="宋体"/>
          <w:b w:val="0"/>
          <w:color w:val="auto"/>
          <w:highlight w:val="none"/>
        </w:rPr>
      </w:pPr>
      <w:r>
        <w:rPr>
          <w:rFonts w:hint="eastAsia" w:ascii="宋体" w:hAnsi="宋体" w:eastAsia="宋体" w:cs="宋体"/>
          <w:b w:val="0"/>
          <w:color w:val="auto"/>
          <w:highlight w:val="none"/>
        </w:rPr>
        <w:t>【声明函 1】符合资格条件的声明函</w:t>
      </w:r>
    </w:p>
    <w:p>
      <w:pPr>
        <w:pStyle w:val="9"/>
        <w:tabs>
          <w:tab w:val="left" w:pos="-839"/>
        </w:tabs>
        <w:jc w:val="center"/>
        <w:rPr>
          <w:rFonts w:ascii="宋体" w:hAnsi="宋体" w:eastAsia="宋体" w:cs="宋体"/>
          <w:color w:val="auto"/>
          <w:highlight w:val="none"/>
        </w:rPr>
      </w:pPr>
      <w:r>
        <w:rPr>
          <w:rFonts w:hint="eastAsia" w:ascii="宋体" w:hAnsi="宋体" w:eastAsia="宋体" w:cs="宋体"/>
          <w:color w:val="auto"/>
          <w:highlight w:val="none"/>
        </w:rPr>
        <w:t>符合资格条件的声明函</w:t>
      </w:r>
    </w:p>
    <w:p>
      <w:pPr>
        <w:pStyle w:val="9"/>
        <w:tabs>
          <w:tab w:val="left" w:pos="-839"/>
        </w:tabs>
        <w:spacing w:line="240" w:lineRule="auto"/>
        <w:rPr>
          <w:rFonts w:ascii="宋体" w:hAnsi="宋体" w:eastAsia="宋体" w:cs="宋体"/>
          <w:b w:val="0"/>
          <w:color w:val="auto"/>
          <w:highlight w:val="none"/>
        </w:rPr>
      </w:pPr>
      <w:r>
        <w:rPr>
          <w:rFonts w:hint="eastAsia" w:ascii="宋体" w:hAnsi="宋体" w:eastAsia="宋体" w:cs="宋体"/>
          <w:b w:val="0"/>
          <w:color w:val="auto"/>
          <w:highlight w:val="none"/>
        </w:rPr>
        <w:t>浙江大学衢州研究院：</w:t>
      </w:r>
    </w:p>
    <w:p>
      <w:pPr>
        <w:pStyle w:val="9"/>
        <w:tabs>
          <w:tab w:val="left" w:pos="-839"/>
        </w:tabs>
        <w:spacing w:line="240" w:lineRule="auto"/>
        <w:rPr>
          <w:rFonts w:ascii="宋体" w:hAnsi="宋体" w:eastAsia="宋体" w:cs="宋体"/>
          <w:b w:val="0"/>
          <w:color w:val="auto"/>
          <w:highlight w:val="none"/>
        </w:rPr>
      </w:pPr>
      <w:r>
        <w:rPr>
          <w:rFonts w:hint="eastAsia" w:ascii="宋体" w:hAnsi="宋体" w:eastAsia="宋体" w:cs="宋体"/>
          <w:b w:val="0"/>
          <w:color w:val="auto"/>
          <w:highlight w:val="none"/>
        </w:rPr>
        <w:t>浙江中正工程项目管理有限公司：</w:t>
      </w:r>
    </w:p>
    <w:p>
      <w:pPr>
        <w:pStyle w:val="9"/>
        <w:tabs>
          <w:tab w:val="left" w:pos="-839"/>
        </w:tabs>
        <w:ind w:left="13" w:firstLine="655" w:firstLineChars="273"/>
        <w:rPr>
          <w:rFonts w:ascii="宋体" w:hAnsi="宋体" w:eastAsia="宋体" w:cs="宋体"/>
          <w:b w:val="0"/>
          <w:color w:val="auto"/>
          <w:highlight w:val="none"/>
        </w:rPr>
      </w:pPr>
      <w:r>
        <w:rPr>
          <w:rFonts w:hint="eastAsia" w:ascii="宋体" w:hAnsi="宋体" w:eastAsia="宋体" w:cs="宋体"/>
          <w:b w:val="0"/>
          <w:color w:val="auto"/>
          <w:highlight w:val="none"/>
        </w:rPr>
        <w:t>截至浙江大学衢州研究院（采购人）组织实施的浙江大学衢州研究院智慧化建设项目（项目编号:</w:t>
      </w:r>
      <w:r>
        <w:rPr>
          <w:rFonts w:hint="eastAsia" w:ascii="宋体" w:hAnsi="宋体" w:eastAsia="宋体" w:cs="宋体"/>
          <w:b w:val="0"/>
          <w:color w:val="auto"/>
          <w:highlight w:val="none"/>
          <w:lang w:eastAsia="zh-CN"/>
        </w:rPr>
        <w:t>ZZCG2023011</w:t>
      </w:r>
      <w:r>
        <w:rPr>
          <w:rFonts w:hint="eastAsia" w:ascii="宋体" w:hAnsi="宋体" w:eastAsia="宋体" w:cs="宋体"/>
          <w:b w:val="0"/>
          <w:color w:val="auto"/>
          <w:highlight w:val="none"/>
        </w:rPr>
        <w:t>）投标截止时间，我方具有良好的商业信誉和健全的财务会计制度，具有履行合同所必需的设备和专业技术能力，有依法缴纳税收和社会保障资金的良好记录，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我方对上述声明的真实性负责。如有虚假，愿意承担相应责任，对此无任何异议。</w:t>
      </w:r>
    </w:p>
    <w:p>
      <w:pPr>
        <w:pStyle w:val="9"/>
        <w:tabs>
          <w:tab w:val="left" w:pos="-839"/>
        </w:tabs>
        <w:rPr>
          <w:rFonts w:ascii="宋体" w:hAnsi="宋体" w:eastAsia="宋体" w:cs="宋体"/>
          <w:b w:val="0"/>
          <w:color w:val="auto"/>
          <w:highlight w:val="none"/>
        </w:rPr>
      </w:pPr>
      <w:r>
        <w:rPr>
          <w:rFonts w:hint="eastAsia" w:ascii="宋体" w:hAnsi="宋体" w:eastAsia="宋体" w:cs="宋体"/>
          <w:b w:val="0"/>
          <w:color w:val="auto"/>
          <w:highlight w:val="none"/>
        </w:rPr>
        <w:t>特此声明！</w:t>
      </w:r>
    </w:p>
    <w:p>
      <w:pPr>
        <w:pStyle w:val="9"/>
        <w:tabs>
          <w:tab w:val="left" w:pos="-839"/>
        </w:tabs>
        <w:rPr>
          <w:rFonts w:ascii="宋体" w:hAnsi="宋体" w:eastAsia="宋体" w:cs="宋体"/>
          <w:b w:val="0"/>
          <w:color w:val="auto"/>
          <w:highlight w:val="none"/>
        </w:rPr>
      </w:pPr>
      <w:r>
        <w:rPr>
          <w:rFonts w:hint="eastAsia" w:ascii="宋体" w:hAnsi="宋体" w:eastAsia="宋体" w:cs="宋体"/>
          <w:b w:val="0"/>
          <w:color w:val="auto"/>
          <w:highlight w:val="none"/>
        </w:rPr>
        <w:t>供应商全称： （盖单位公章）</w:t>
      </w:r>
    </w:p>
    <w:p>
      <w:pPr>
        <w:pStyle w:val="9"/>
        <w:tabs>
          <w:tab w:val="left" w:pos="-839"/>
        </w:tabs>
        <w:rPr>
          <w:rFonts w:ascii="宋体" w:hAnsi="宋体" w:eastAsia="宋体" w:cs="宋体"/>
          <w:b w:val="0"/>
          <w:color w:val="auto"/>
          <w:highlight w:val="none"/>
        </w:rPr>
      </w:pPr>
      <w:r>
        <w:rPr>
          <w:rFonts w:hint="eastAsia" w:ascii="宋体" w:hAnsi="宋体" w:eastAsia="宋体" w:cs="宋体"/>
          <w:b w:val="0"/>
          <w:color w:val="auto"/>
          <w:highlight w:val="none"/>
        </w:rPr>
        <w:t>日期：202</w:t>
      </w:r>
      <w:r>
        <w:rPr>
          <w:rFonts w:hint="eastAsia" w:ascii="宋体" w:hAnsi="宋体" w:eastAsia="宋体" w:cs="宋体"/>
          <w:b w:val="0"/>
          <w:color w:val="auto"/>
          <w:highlight w:val="none"/>
          <w:lang w:val="en-US" w:eastAsia="zh-CN"/>
        </w:rPr>
        <w:t>3</w:t>
      </w:r>
      <w:r>
        <w:rPr>
          <w:rFonts w:hint="eastAsia" w:ascii="宋体" w:hAnsi="宋体" w:eastAsia="宋体" w:cs="宋体"/>
          <w:b w:val="0"/>
          <w:color w:val="auto"/>
          <w:highlight w:val="none"/>
        </w:rPr>
        <w:t xml:space="preserve"> 年  月  日</w:t>
      </w:r>
    </w:p>
    <w:p>
      <w:pPr>
        <w:pStyle w:val="37"/>
        <w:ind w:firstLine="210"/>
        <w:rPr>
          <w:rFonts w:ascii="宋体" w:hAnsi="宋体" w:eastAsia="宋体" w:cs="宋体"/>
          <w:color w:val="auto"/>
          <w:highlight w:val="none"/>
        </w:rPr>
      </w:pPr>
    </w:p>
    <w:p>
      <w:pPr>
        <w:pStyle w:val="37"/>
        <w:ind w:firstLine="210"/>
        <w:rPr>
          <w:rFonts w:ascii="宋体" w:hAnsi="宋体" w:eastAsia="宋体" w:cs="宋体"/>
          <w:color w:val="auto"/>
          <w:highlight w:val="none"/>
        </w:rPr>
      </w:pPr>
    </w:p>
    <w:p>
      <w:pPr>
        <w:pStyle w:val="37"/>
        <w:ind w:firstLine="210"/>
        <w:rPr>
          <w:rFonts w:ascii="宋体" w:hAnsi="宋体" w:eastAsia="宋体" w:cs="宋体"/>
          <w:color w:val="auto"/>
          <w:highlight w:val="none"/>
        </w:rPr>
      </w:pPr>
    </w:p>
    <w:p>
      <w:pPr>
        <w:pStyle w:val="37"/>
        <w:ind w:firstLine="210"/>
        <w:rPr>
          <w:rFonts w:ascii="宋体" w:hAnsi="宋体" w:eastAsia="宋体" w:cs="宋体"/>
          <w:color w:val="auto"/>
          <w:highlight w:val="none"/>
        </w:rPr>
      </w:pPr>
    </w:p>
    <w:p>
      <w:pPr>
        <w:pStyle w:val="37"/>
        <w:ind w:firstLine="210"/>
        <w:rPr>
          <w:rFonts w:ascii="宋体" w:hAnsi="宋体" w:eastAsia="宋体" w:cs="宋体"/>
          <w:color w:val="auto"/>
          <w:highlight w:val="none"/>
        </w:rPr>
      </w:pPr>
    </w:p>
    <w:p>
      <w:pPr>
        <w:pStyle w:val="37"/>
        <w:ind w:firstLine="210"/>
        <w:rPr>
          <w:rFonts w:ascii="宋体" w:hAnsi="宋体" w:eastAsia="宋体" w:cs="宋体"/>
          <w:color w:val="auto"/>
          <w:highlight w:val="none"/>
        </w:rPr>
      </w:pPr>
    </w:p>
    <w:p>
      <w:pPr>
        <w:pStyle w:val="37"/>
        <w:ind w:firstLine="210"/>
        <w:rPr>
          <w:rFonts w:ascii="宋体" w:hAnsi="宋体" w:eastAsia="宋体" w:cs="宋体"/>
          <w:color w:val="auto"/>
          <w:highlight w:val="none"/>
        </w:rPr>
      </w:pPr>
    </w:p>
    <w:p>
      <w:pPr>
        <w:pStyle w:val="37"/>
        <w:ind w:firstLine="210"/>
        <w:rPr>
          <w:rFonts w:ascii="宋体" w:hAnsi="宋体" w:eastAsia="宋体" w:cs="宋体"/>
          <w:color w:val="auto"/>
          <w:highlight w:val="none"/>
        </w:rPr>
      </w:pPr>
    </w:p>
    <w:p>
      <w:pPr>
        <w:pStyle w:val="37"/>
        <w:ind w:firstLine="210"/>
        <w:rPr>
          <w:rFonts w:ascii="宋体" w:hAnsi="宋体" w:eastAsia="宋体" w:cs="宋体"/>
          <w:color w:val="auto"/>
          <w:highlight w:val="none"/>
        </w:rPr>
      </w:pPr>
    </w:p>
    <w:p>
      <w:pPr>
        <w:pStyle w:val="37"/>
        <w:ind w:firstLine="210"/>
        <w:rPr>
          <w:rFonts w:ascii="宋体" w:hAnsi="宋体" w:eastAsia="宋体" w:cs="宋体"/>
          <w:color w:val="auto"/>
          <w:highlight w:val="none"/>
        </w:rPr>
      </w:pPr>
    </w:p>
    <w:p>
      <w:pPr>
        <w:pStyle w:val="37"/>
        <w:ind w:firstLine="210"/>
        <w:rPr>
          <w:rFonts w:ascii="宋体" w:hAnsi="宋体" w:eastAsia="宋体" w:cs="宋体"/>
          <w:color w:val="auto"/>
          <w:highlight w:val="none"/>
        </w:rPr>
      </w:pPr>
    </w:p>
    <w:p>
      <w:pPr>
        <w:rPr>
          <w:rFonts w:ascii="宋体" w:hAnsi="宋体" w:cs="宋体"/>
          <w:color w:val="auto"/>
          <w:highlight w:val="none"/>
        </w:rPr>
      </w:pPr>
    </w:p>
    <w:p>
      <w:pPr>
        <w:pStyle w:val="625"/>
        <w:ind w:firstLine="560"/>
        <w:rPr>
          <w:color w:val="auto"/>
          <w:highlight w:val="none"/>
          <w:lang w:val="zh-CN"/>
        </w:rPr>
      </w:pPr>
    </w:p>
    <w:p>
      <w:pPr>
        <w:pStyle w:val="9"/>
        <w:tabs>
          <w:tab w:val="left" w:pos="-839"/>
        </w:tabs>
        <w:rPr>
          <w:rFonts w:hint="eastAsia" w:ascii="宋体" w:hAnsi="宋体" w:eastAsia="宋体" w:cs="宋体"/>
          <w:b w:val="0"/>
          <w:color w:val="auto"/>
          <w:highlight w:val="none"/>
          <w:lang w:val="zh-CN"/>
        </w:rPr>
      </w:pPr>
    </w:p>
    <w:p>
      <w:pPr>
        <w:pStyle w:val="9"/>
        <w:tabs>
          <w:tab w:val="left" w:pos="-839"/>
        </w:tabs>
        <w:rPr>
          <w:rFonts w:ascii="宋体" w:hAnsi="宋体" w:eastAsia="宋体" w:cs="宋体"/>
          <w:b w:val="0"/>
          <w:color w:val="auto"/>
          <w:highlight w:val="none"/>
        </w:rPr>
      </w:pPr>
      <w:r>
        <w:rPr>
          <w:rFonts w:hint="eastAsia" w:ascii="宋体" w:hAnsi="宋体" w:eastAsia="宋体" w:cs="宋体"/>
          <w:b w:val="0"/>
          <w:color w:val="auto"/>
          <w:highlight w:val="none"/>
          <w:lang w:val="zh-CN"/>
        </w:rPr>
        <w:t>【声明函 2】中小企业、监狱企业、残疾人福利性单位声明函</w:t>
      </w:r>
    </w:p>
    <w:p>
      <w:pPr>
        <w:pStyle w:val="575"/>
        <w:jc w:val="center"/>
        <w:rPr>
          <w:rStyle w:val="258"/>
          <w:rFonts w:ascii="宋体" w:hAnsi="宋体" w:eastAsia="宋体" w:cs="宋体"/>
          <w:b/>
          <w:bCs/>
          <w:color w:val="auto"/>
          <w:szCs w:val="24"/>
          <w:highlight w:val="none"/>
          <w:lang w:val="zh-TW" w:eastAsia="zh-TW"/>
        </w:rPr>
      </w:pPr>
      <w:r>
        <w:rPr>
          <w:rStyle w:val="258"/>
          <w:rFonts w:hint="eastAsia" w:ascii="宋体" w:hAnsi="宋体" w:eastAsia="宋体" w:cs="宋体"/>
          <w:b/>
          <w:bCs/>
          <w:color w:val="auto"/>
          <w:szCs w:val="24"/>
          <w:highlight w:val="none"/>
        </w:rPr>
        <w:t>1、</w:t>
      </w:r>
      <w:r>
        <w:rPr>
          <w:rStyle w:val="258"/>
          <w:rFonts w:hint="eastAsia" w:ascii="宋体" w:hAnsi="宋体" w:eastAsia="宋体" w:cs="宋体"/>
          <w:b/>
          <w:bCs/>
          <w:color w:val="auto"/>
          <w:szCs w:val="24"/>
          <w:highlight w:val="none"/>
          <w:lang w:val="zh-TW" w:eastAsia="zh-TW"/>
        </w:rPr>
        <w:t>中小企业声明函</w:t>
      </w:r>
    </w:p>
    <w:p>
      <w:pPr>
        <w:pStyle w:val="575"/>
        <w:rPr>
          <w:rStyle w:val="258"/>
          <w:rFonts w:ascii="宋体" w:hAnsi="宋体" w:eastAsia="宋体" w:cs="宋体"/>
          <w:b/>
          <w:bCs/>
          <w:color w:val="auto"/>
          <w:szCs w:val="24"/>
          <w:highlight w:val="none"/>
        </w:rPr>
      </w:pP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号）的规定，本公司（联合体）参加浙江大学衢州研究院</w:t>
      </w:r>
      <w:r>
        <w:rPr>
          <w:rFonts w:ascii="宋体" w:hAnsi="宋体" w:cs="宋体"/>
          <w:color w:val="auto"/>
          <w:sz w:val="24"/>
          <w:highlight w:val="none"/>
        </w:rPr>
        <w:t>组织实施的</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采购活动，服务全部由符合政策要求的中小企业承接。</w:t>
      </w:r>
      <w:r>
        <w:rPr>
          <w:rFonts w:ascii="宋体" w:hAnsi="宋体" w:cs="宋体"/>
          <w:color w:val="auto"/>
          <w:sz w:val="24"/>
          <w:highlight w:val="none"/>
        </w:rPr>
        <w:t>相关企业（含联合体中的中小企业、签订分包意向协议的中小企业）的具体情况如下</w:t>
      </w:r>
      <w:r>
        <w:rPr>
          <w:rFonts w:hint="eastAsia" w:ascii="宋体" w:hAnsi="宋体" w:cs="宋体"/>
          <w:color w:val="auto"/>
          <w:kern w:val="0"/>
          <w:sz w:val="24"/>
          <w:highlight w:val="none"/>
        </w:rPr>
        <w:t>：</w:t>
      </w:r>
    </w:p>
    <w:p>
      <w:pPr>
        <w:numPr>
          <w:ilvl w:val="0"/>
          <w:numId w:val="7"/>
        </w:num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ascii="宋体" w:hAnsi="宋体"/>
          <w:color w:val="auto"/>
          <w:sz w:val="24"/>
          <w:szCs w:val="22"/>
          <w:highlight w:val="none"/>
          <w:u w:val="single"/>
        </w:rPr>
        <w:t>软件和信息技术服务业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 xml:space="preserve">       （请填写：中型企业、小型企业、微型企业）</w:t>
      </w:r>
      <w:r>
        <w:rPr>
          <w:rFonts w:hint="eastAsia" w:ascii="宋体" w:hAnsi="宋体" w:cs="宋体"/>
          <w:color w:val="auto"/>
          <w:kern w:val="0"/>
          <w:sz w:val="24"/>
          <w:highlight w:val="none"/>
        </w:rPr>
        <w:t>；</w:t>
      </w:r>
    </w:p>
    <w:p>
      <w:pPr>
        <w:pStyle w:val="36"/>
        <w:numPr>
          <w:ilvl w:val="0"/>
          <w:numId w:val="7"/>
        </w:numPr>
        <w:spacing w:line="360" w:lineRule="auto"/>
        <w:ind w:left="0" w:leftChars="0"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软件和信息技术服务业 </w:t>
      </w:r>
      <w:r>
        <w:rPr>
          <w:rFonts w:hint="eastAsia" w:ascii="宋体" w:hAnsi="宋体" w:eastAsia="宋体" w:cs="宋体"/>
          <w:color w:val="auto"/>
          <w:kern w:val="0"/>
          <w:sz w:val="24"/>
          <w:highlight w:val="none"/>
        </w:rPr>
        <w:t>；承建（承接）企业为</w:t>
      </w:r>
      <w:r>
        <w:rPr>
          <w:rFonts w:hint="eastAsia" w:ascii="宋体" w:hAnsi="宋体" w:eastAsia="宋体" w:cs="宋体"/>
          <w:color w:val="auto"/>
          <w:kern w:val="0"/>
          <w:sz w:val="24"/>
          <w:highlight w:val="none"/>
          <w:u w:val="single"/>
        </w:rPr>
        <w:t xml:space="preserve">（企业名称）  </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 xml:space="preserve">     （请填写：中型企业、小型企业、微型企业）</w:t>
      </w:r>
      <w:r>
        <w:rPr>
          <w:rFonts w:hint="eastAsia" w:ascii="宋体" w:hAnsi="宋体" w:eastAsia="宋体" w:cs="宋体"/>
          <w:color w:val="auto"/>
          <w:kern w:val="0"/>
          <w:sz w:val="24"/>
          <w:highlight w:val="none"/>
        </w:rPr>
        <w:t>；</w:t>
      </w:r>
    </w:p>
    <w:p>
      <w:pPr>
        <w:pStyle w:val="37"/>
        <w:ind w:left="560" w:leftChars="200" w:firstLine="0" w:firstLineChars="0"/>
        <w:rPr>
          <w:rFonts w:ascii="宋体" w:hAnsi="宋体" w:eastAsia="宋体" w:cs="宋体"/>
          <w:color w:val="auto"/>
          <w:highlight w:val="none"/>
        </w:rPr>
      </w:pPr>
      <w:r>
        <w:rPr>
          <w:rFonts w:hint="eastAsia" w:ascii="宋体" w:hAnsi="宋体" w:eastAsia="宋体" w:cs="宋体"/>
          <w:color w:val="auto"/>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autoSpaceDE w:val="0"/>
        <w:autoSpaceDN w:val="0"/>
        <w:adjustRightInd w:val="0"/>
        <w:spacing w:line="360" w:lineRule="auto"/>
        <w:ind w:left="2520" w:leftChars="900"/>
        <w:jc w:val="left"/>
        <w:rPr>
          <w:rFonts w:ascii="宋体" w:hAnsi="宋体" w:cs="宋体"/>
          <w:color w:val="auto"/>
          <w:kern w:val="0"/>
          <w:sz w:val="24"/>
          <w:highlight w:val="none"/>
        </w:rPr>
      </w:pPr>
    </w:p>
    <w:p>
      <w:pPr>
        <w:autoSpaceDE w:val="0"/>
        <w:autoSpaceDN w:val="0"/>
        <w:adjustRightInd w:val="0"/>
        <w:spacing w:line="360" w:lineRule="auto"/>
        <w:ind w:left="2520" w:leftChars="9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投标人名称（盖章）：__________________________</w:t>
      </w:r>
    </w:p>
    <w:p>
      <w:pPr>
        <w:autoSpaceDE w:val="0"/>
        <w:autoSpaceDN w:val="0"/>
        <w:adjustRightInd w:val="0"/>
        <w:spacing w:line="360" w:lineRule="auto"/>
        <w:ind w:left="2520" w:leftChars="900"/>
        <w:jc w:val="left"/>
        <w:rPr>
          <w:rFonts w:ascii="宋体" w:hAnsi="宋体" w:cs="宋体"/>
          <w:b/>
          <w:color w:val="auto"/>
          <w:kern w:val="0"/>
          <w:szCs w:val="22"/>
          <w:highlight w:val="none"/>
        </w:rPr>
      </w:pPr>
      <w:r>
        <w:rPr>
          <w:rFonts w:hint="eastAsia" w:ascii="宋体" w:hAnsi="宋体" w:cs="宋体"/>
          <w:color w:val="auto"/>
          <w:kern w:val="0"/>
          <w:sz w:val="24"/>
          <w:highlight w:val="none"/>
        </w:rPr>
        <w:t>日期：________年____月____日</w:t>
      </w:r>
    </w:p>
    <w:p>
      <w:pPr>
        <w:pStyle w:val="625"/>
        <w:ind w:firstLine="560"/>
        <w:rPr>
          <w:color w:val="auto"/>
          <w:highlight w:val="none"/>
        </w:rPr>
      </w:pPr>
    </w:p>
    <w:p>
      <w:pPr>
        <w:pStyle w:val="480"/>
        <w:wordWrap w:val="0"/>
        <w:spacing w:line="240" w:lineRule="auto"/>
        <w:ind w:firstLine="496"/>
        <w:rPr>
          <w:rFonts w:ascii="宋体" w:hAnsi="宋体" w:cs="宋体"/>
          <w:b/>
          <w:bCs/>
          <w:color w:val="auto"/>
          <w:sz w:val="24"/>
          <w:szCs w:val="24"/>
          <w:highlight w:val="none"/>
        </w:rPr>
      </w:pPr>
      <w:r>
        <w:rPr>
          <w:rFonts w:hint="eastAsia" w:ascii="宋体" w:hAnsi="宋体" w:cs="宋体"/>
          <w:b/>
          <w:bCs/>
          <w:color w:val="auto"/>
          <w:sz w:val="24"/>
          <w:szCs w:val="24"/>
          <w:highlight w:val="none"/>
        </w:rPr>
        <w:t>说明：</w:t>
      </w:r>
    </w:p>
    <w:p>
      <w:pPr>
        <w:pStyle w:val="480"/>
        <w:wordWrap w:val="0"/>
        <w:spacing w:line="240" w:lineRule="auto"/>
        <w:ind w:firstLine="496"/>
        <w:rPr>
          <w:rFonts w:ascii="宋体" w:hAnsi="宋体" w:cs="宋体"/>
          <w:b/>
          <w:bCs/>
          <w:color w:val="auto"/>
          <w:sz w:val="24"/>
          <w:szCs w:val="24"/>
          <w:highlight w:val="none"/>
        </w:rPr>
      </w:pPr>
      <w:r>
        <w:rPr>
          <w:rFonts w:hint="eastAsia" w:ascii="宋体" w:hAnsi="宋体" w:cs="宋体"/>
          <w:b/>
          <w:bCs/>
          <w:color w:val="auto"/>
          <w:sz w:val="24"/>
          <w:szCs w:val="24"/>
          <w:highlight w:val="none"/>
        </w:rPr>
        <w:t>（1）从业人员、营业收入、资产总额填报上一年度数据，无上一年度数据的新成</w:t>
      </w:r>
    </w:p>
    <w:p>
      <w:pPr>
        <w:pStyle w:val="480"/>
        <w:wordWrap w:val="0"/>
        <w:spacing w:line="240" w:lineRule="auto"/>
        <w:ind w:firstLine="496"/>
        <w:rPr>
          <w:rFonts w:ascii="宋体" w:hAnsi="宋体" w:cs="宋体"/>
          <w:b/>
          <w:bCs/>
          <w:color w:val="auto"/>
          <w:sz w:val="24"/>
          <w:szCs w:val="24"/>
          <w:highlight w:val="none"/>
        </w:rPr>
      </w:pPr>
      <w:r>
        <w:rPr>
          <w:rFonts w:hint="eastAsia" w:ascii="宋体" w:hAnsi="宋体" w:cs="宋体"/>
          <w:b/>
          <w:bCs/>
          <w:color w:val="auto"/>
          <w:sz w:val="24"/>
          <w:szCs w:val="24"/>
          <w:highlight w:val="none"/>
        </w:rPr>
        <w:t>立企业可不填报。</w:t>
      </w:r>
    </w:p>
    <w:p>
      <w:pPr>
        <w:pStyle w:val="480"/>
        <w:wordWrap w:val="0"/>
        <w:spacing w:line="240" w:lineRule="auto"/>
        <w:ind w:firstLine="496"/>
        <w:rPr>
          <w:rFonts w:ascii="宋体" w:hAnsi="宋体" w:cs="宋体"/>
          <w:b/>
          <w:bCs/>
          <w:color w:val="auto"/>
          <w:sz w:val="24"/>
          <w:szCs w:val="24"/>
          <w:highlight w:val="none"/>
        </w:rPr>
      </w:pPr>
      <w:r>
        <w:rPr>
          <w:rFonts w:hint="eastAsia" w:ascii="宋体" w:hAnsi="宋体" w:cs="宋体"/>
          <w:b/>
          <w:bCs/>
          <w:color w:val="auto"/>
          <w:sz w:val="24"/>
          <w:szCs w:val="24"/>
          <w:highlight w:val="none"/>
        </w:rPr>
        <w:t>（2）不属于中型、小型、微型企业，不用提供此函。</w:t>
      </w:r>
    </w:p>
    <w:p>
      <w:pPr>
        <w:pStyle w:val="480"/>
        <w:wordWrap w:val="0"/>
        <w:spacing w:line="240" w:lineRule="auto"/>
        <w:ind w:firstLine="496"/>
        <w:rPr>
          <w:rFonts w:ascii="宋体" w:hAnsi="宋体" w:cs="宋体"/>
          <w:b/>
          <w:bCs/>
          <w:color w:val="auto"/>
          <w:sz w:val="24"/>
          <w:szCs w:val="24"/>
          <w:highlight w:val="none"/>
        </w:rPr>
      </w:pPr>
      <w:r>
        <w:rPr>
          <w:rFonts w:hint="eastAsia" w:ascii="宋体" w:hAnsi="宋体" w:cs="宋体"/>
          <w:b/>
          <w:bCs/>
          <w:color w:val="auto"/>
          <w:sz w:val="24"/>
          <w:szCs w:val="24"/>
          <w:highlight w:val="none"/>
        </w:rPr>
        <w:t>（3）可采用工业和信息化部网站（https://www.miit.gov.cn/）中小企业规模类型自测小程序进行自测后填写。</w:t>
      </w:r>
    </w:p>
    <w:p>
      <w:pPr>
        <w:pStyle w:val="480"/>
        <w:wordWrap w:val="0"/>
        <w:spacing w:line="240" w:lineRule="auto"/>
        <w:ind w:firstLine="496"/>
        <w:rPr>
          <w:rFonts w:ascii="宋体" w:hAnsi="宋体" w:cs="宋体"/>
          <w:b/>
          <w:bCs/>
          <w:color w:val="auto"/>
          <w:sz w:val="24"/>
          <w:szCs w:val="24"/>
          <w:highlight w:val="none"/>
        </w:rPr>
      </w:pPr>
      <w:r>
        <w:rPr>
          <w:rFonts w:hint="eastAsia" w:ascii="宋体" w:hAnsi="宋体" w:cs="宋体"/>
          <w:b/>
          <w:bCs/>
          <w:color w:val="auto"/>
          <w:sz w:val="24"/>
          <w:szCs w:val="24"/>
          <w:highlight w:val="none"/>
        </w:rPr>
        <w:t>（4）空格部分由供应商填写，企业类型按实际情况填写。</w:t>
      </w:r>
    </w:p>
    <w:p>
      <w:pPr>
        <w:pStyle w:val="480"/>
        <w:wordWrap w:val="0"/>
        <w:spacing w:line="240" w:lineRule="auto"/>
        <w:ind w:firstLine="496"/>
        <w:rPr>
          <w:rFonts w:ascii="宋体" w:hAnsi="宋体" w:cs="宋体"/>
          <w:b/>
          <w:bCs/>
          <w:color w:val="auto"/>
          <w:sz w:val="24"/>
          <w:szCs w:val="24"/>
          <w:highlight w:val="none"/>
        </w:rPr>
      </w:pPr>
      <w:r>
        <w:rPr>
          <w:rFonts w:hint="eastAsia" w:ascii="宋体" w:hAnsi="宋体" w:cs="宋体"/>
          <w:b/>
          <w:bCs/>
          <w:color w:val="auto"/>
          <w:sz w:val="24"/>
          <w:szCs w:val="24"/>
          <w:highlight w:val="none"/>
        </w:rPr>
        <w:t>（5）如为分包，分包意向协议书附后。</w:t>
      </w:r>
    </w:p>
    <w:p>
      <w:pPr>
        <w:pStyle w:val="480"/>
        <w:wordWrap w:val="0"/>
        <w:spacing w:line="240" w:lineRule="auto"/>
        <w:ind w:firstLine="496"/>
        <w:rPr>
          <w:rFonts w:ascii="宋体" w:hAnsi="宋体" w:cs="宋体"/>
          <w:b/>
          <w:bCs/>
          <w:color w:val="auto"/>
          <w:sz w:val="24"/>
          <w:szCs w:val="24"/>
          <w:highlight w:val="none"/>
        </w:rPr>
      </w:pPr>
    </w:p>
    <w:p>
      <w:pPr>
        <w:pStyle w:val="480"/>
        <w:wordWrap w:val="0"/>
        <w:spacing w:line="240" w:lineRule="auto"/>
        <w:ind w:firstLine="496"/>
        <w:rPr>
          <w:rFonts w:ascii="宋体" w:cs="宋体"/>
          <w:b/>
          <w:bCs/>
          <w:color w:val="auto"/>
          <w:sz w:val="24"/>
          <w:szCs w:val="24"/>
          <w:highlight w:val="none"/>
        </w:rPr>
      </w:pPr>
    </w:p>
    <w:p>
      <w:pPr>
        <w:pStyle w:val="480"/>
        <w:wordWrap w:val="0"/>
        <w:spacing w:line="240" w:lineRule="auto"/>
        <w:ind w:firstLine="496"/>
        <w:rPr>
          <w:rFonts w:ascii="宋体" w:cs="宋体"/>
          <w:b/>
          <w:bCs/>
          <w:color w:val="auto"/>
          <w:sz w:val="24"/>
          <w:szCs w:val="24"/>
          <w:highlight w:val="none"/>
        </w:rPr>
      </w:pPr>
    </w:p>
    <w:p>
      <w:pPr>
        <w:spacing w:line="588" w:lineRule="exact"/>
        <w:jc w:val="center"/>
        <w:rPr>
          <w:rFonts w:ascii="宋体" w:hAnsi="宋体" w:cs="宋体"/>
          <w:b/>
          <w:color w:val="auto"/>
          <w:spacing w:val="6"/>
          <w:sz w:val="24"/>
          <w:szCs w:val="24"/>
          <w:highlight w:val="none"/>
        </w:rPr>
      </w:pPr>
      <w:r>
        <w:rPr>
          <w:rFonts w:hint="eastAsia" w:ascii="宋体" w:hAnsi="宋体" w:cs="宋体"/>
          <w:b/>
          <w:color w:val="auto"/>
          <w:sz w:val="24"/>
          <w:szCs w:val="24"/>
          <w:highlight w:val="none"/>
        </w:rPr>
        <w:t>2、</w:t>
      </w:r>
      <w:r>
        <w:rPr>
          <w:rFonts w:hint="eastAsia" w:ascii="宋体" w:hAnsi="宋体" w:cs="宋体"/>
          <w:b/>
          <w:color w:val="auto"/>
          <w:spacing w:val="6"/>
          <w:sz w:val="24"/>
          <w:szCs w:val="24"/>
          <w:highlight w:val="none"/>
        </w:rPr>
        <w:t>监狱企业声明函</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本企业郑重声明，根据《关于政府采购支持监狱企业发展有关问题的通知》（财库[2014]68 号）的规定，本企业为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根据上述标准，我企业属于监狱企业的理由为：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本企业为参加浙江大学衢州研究院（采购人）</w:t>
      </w:r>
      <w:r>
        <w:rPr>
          <w:rFonts w:ascii="宋体" w:hAnsi="宋体" w:cs="宋体"/>
          <w:color w:val="auto"/>
          <w:sz w:val="24"/>
          <w:highlight w:val="none"/>
        </w:rPr>
        <w:t>组织实施的</w:t>
      </w:r>
      <w:r>
        <w:rPr>
          <w:rFonts w:hint="eastAsia" w:ascii="宋体" w:hAnsi="宋体" w:cs="宋体"/>
          <w:color w:val="auto"/>
          <w:kern w:val="0"/>
          <w:sz w:val="24"/>
          <w:highlight w:val="none"/>
        </w:rPr>
        <w:t>浙江大学衢州研究院智慧化建设项目（项目名称）</w:t>
      </w:r>
      <w:r>
        <w:rPr>
          <w:rFonts w:hint="eastAsia" w:ascii="宋体" w:hAnsi="宋体" w:cs="宋体"/>
          <w:color w:val="auto"/>
          <w:kern w:val="0"/>
          <w:sz w:val="24"/>
          <w:highlight w:val="none"/>
          <w:lang w:eastAsia="zh-CN"/>
        </w:rPr>
        <w:t>ZZCG2023011</w:t>
      </w:r>
      <w:r>
        <w:rPr>
          <w:rFonts w:hint="eastAsia" w:ascii="宋体" w:hAnsi="宋体" w:cs="宋体"/>
          <w:color w:val="auto"/>
          <w:kern w:val="0"/>
          <w:sz w:val="24"/>
          <w:highlight w:val="none"/>
        </w:rPr>
        <w:t>（项目编号）采购活动提供本企业的服务。</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本企业对上述声明的真实性负责。如有虚假，将依法承担相应责任。</w:t>
      </w:r>
    </w:p>
    <w:p>
      <w:pPr>
        <w:spacing w:line="360" w:lineRule="auto"/>
        <w:ind w:firstLine="480" w:firstLineChars="200"/>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投标人名称： （盖单位公章）</w:t>
      </w:r>
    </w:p>
    <w:p>
      <w:pPr>
        <w:spacing w:line="360" w:lineRule="auto"/>
        <w:ind w:firstLine="480" w:firstLineChars="200"/>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日期：202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年 月 日</w:t>
      </w:r>
    </w:p>
    <w:p>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说明：</w:t>
      </w:r>
    </w:p>
    <w:p>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（1）监狱企业参加政府采购活动时，应当提供由省级以上监狱管理局、戒毒管理局（含新疆生产建设兵团）出具的属于监狱企业的证明文件。</w:t>
      </w:r>
    </w:p>
    <w:p>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2" w:firstLineChars="200"/>
        <w:rPr>
          <w:rFonts w:ascii="宋体" w:hAnsi="宋体" w:cs="宋体"/>
          <w:color w:val="auto"/>
          <w:kern w:val="0"/>
          <w:sz w:val="24"/>
          <w:highlight w:val="none"/>
        </w:rPr>
      </w:pPr>
      <w:r>
        <w:rPr>
          <w:rFonts w:hint="eastAsia" w:ascii="宋体" w:hAnsi="宋体" w:cs="宋体"/>
          <w:b/>
          <w:bCs/>
          <w:color w:val="auto"/>
          <w:sz w:val="24"/>
          <w:szCs w:val="24"/>
          <w:highlight w:val="none"/>
        </w:rPr>
        <w:t>（3）本声明函为监狱企业填写。不属于监狱企业，不用提供此函。</w:t>
      </w:r>
    </w:p>
    <w:p>
      <w:pPr>
        <w:rPr>
          <w:rFonts w:ascii="宋体" w:hAnsi="宋体" w:cs="宋体"/>
          <w:color w:val="auto"/>
          <w:sz w:val="24"/>
          <w:szCs w:val="24"/>
          <w:highlight w:val="none"/>
        </w:rPr>
      </w:pPr>
    </w:p>
    <w:p>
      <w:pPr>
        <w:pStyle w:val="482"/>
        <w:jc w:val="center"/>
        <w:rPr>
          <w:rFonts w:ascii="宋体" w:hAnsi="宋体" w:cs="宋体"/>
          <w:b/>
          <w:color w:val="auto"/>
          <w:spacing w:val="6"/>
          <w:sz w:val="24"/>
          <w:highlight w:val="none"/>
        </w:rPr>
      </w:pPr>
    </w:p>
    <w:p>
      <w:pPr>
        <w:pStyle w:val="482"/>
        <w:jc w:val="center"/>
        <w:rPr>
          <w:rFonts w:ascii="宋体" w:hAnsi="宋体" w:cs="宋体"/>
          <w:b/>
          <w:color w:val="auto"/>
          <w:spacing w:val="6"/>
          <w:sz w:val="24"/>
          <w:highlight w:val="none"/>
        </w:rPr>
      </w:pPr>
    </w:p>
    <w:p>
      <w:pPr>
        <w:pStyle w:val="482"/>
        <w:jc w:val="center"/>
        <w:rPr>
          <w:rFonts w:ascii="宋体" w:hAnsi="宋体" w:cs="宋体"/>
          <w:b/>
          <w:color w:val="auto"/>
          <w:spacing w:val="6"/>
          <w:sz w:val="24"/>
          <w:highlight w:val="none"/>
        </w:rPr>
      </w:pPr>
      <w:r>
        <w:rPr>
          <w:rFonts w:hint="eastAsia" w:ascii="宋体" w:hAnsi="宋体" w:cs="宋体"/>
          <w:b/>
          <w:color w:val="auto"/>
          <w:spacing w:val="6"/>
          <w:sz w:val="24"/>
          <w:highlight w:val="none"/>
        </w:rPr>
        <w:t>3、残疾人福利性单位声明函</w:t>
      </w:r>
    </w:p>
    <w:p>
      <w:pPr>
        <w:pStyle w:val="482"/>
        <w:jc w:val="center"/>
        <w:rPr>
          <w:rFonts w:ascii="宋体" w:hAnsi="宋体" w:cs="宋体"/>
          <w:b/>
          <w:color w:val="auto"/>
          <w:spacing w:val="6"/>
          <w:sz w:val="24"/>
          <w:highlight w:val="none"/>
        </w:rPr>
      </w:pP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spacing w:line="360" w:lineRule="auto"/>
        <w:ind w:firstLine="480" w:firstLineChars="200"/>
        <w:jc w:val="center"/>
        <w:rPr>
          <w:rFonts w:ascii="宋体" w:hAnsi="宋体" w:cs="宋体"/>
          <w:color w:val="auto"/>
          <w:kern w:val="0"/>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kern w:val="0"/>
          <w:sz w:val="24"/>
          <w:highlight w:val="none"/>
        </w:rPr>
        <w:t>投标人名称： （盖单位公章）</w:t>
      </w:r>
    </w:p>
    <w:p>
      <w:pPr>
        <w:pStyle w:val="480"/>
        <w:snapToGrid w:val="0"/>
        <w:spacing w:line="360" w:lineRule="auto"/>
        <w:ind w:firstLine="494"/>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日期：202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年 月 日</w:t>
      </w:r>
    </w:p>
    <w:p>
      <w:pPr>
        <w:pStyle w:val="480"/>
        <w:snapToGrid w:val="0"/>
        <w:spacing w:line="360" w:lineRule="auto"/>
        <w:ind w:firstLine="494"/>
        <w:rPr>
          <w:rFonts w:ascii="宋体" w:hAnsi="宋体" w:cs="宋体"/>
          <w:color w:val="auto"/>
          <w:sz w:val="24"/>
          <w:highlight w:val="none"/>
        </w:rPr>
      </w:pPr>
      <w:r>
        <w:rPr>
          <w:rFonts w:hint="eastAsia" w:ascii="宋体" w:hAnsi="宋体" w:cs="宋体"/>
          <w:b/>
          <w:bCs/>
          <w:color w:val="auto"/>
          <w:sz w:val="24"/>
          <w:szCs w:val="24"/>
          <w:highlight w:val="none"/>
          <w:lang w:val="zh-CN"/>
        </w:rPr>
        <w:t>说明：（1）本声明函为残疾人福利企业填写。不属于残疾人福利性单位，不用提供此函。</w:t>
      </w:r>
    </w:p>
    <w:p>
      <w:pPr>
        <w:pStyle w:val="73"/>
        <w:rPr>
          <w:color w:val="auto"/>
          <w:highlight w:val="none"/>
          <w:lang w:val="zh-CN"/>
        </w:rPr>
      </w:pPr>
      <w:bookmarkStart w:id="94" w:name="_Toc8165"/>
    </w:p>
    <w:p>
      <w:pPr>
        <w:pStyle w:val="73"/>
        <w:rPr>
          <w:color w:val="auto"/>
          <w:highlight w:val="none"/>
          <w:lang w:val="zh-CN"/>
        </w:rPr>
      </w:pPr>
    </w:p>
    <w:p>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【声明函</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】与其他供应商无利害关系的声明函</w:t>
      </w:r>
    </w:p>
    <w:p>
      <w:pPr>
        <w:jc w:val="center"/>
        <w:rPr>
          <w:color w:val="auto"/>
          <w:highlight w:val="none"/>
        </w:rPr>
      </w:pPr>
    </w:p>
    <w:p>
      <w:pPr>
        <w:jc w:val="center"/>
        <w:rPr>
          <w:rFonts w:ascii="宋体" w:hAnsi="宋体" w:cs="宋体"/>
          <w:color w:val="auto"/>
          <w:sz w:val="24"/>
          <w:szCs w:val="24"/>
          <w:highlight w:val="none"/>
        </w:rPr>
      </w:pPr>
      <w:r>
        <w:rPr>
          <w:rFonts w:hint="eastAsia" w:ascii="宋体" w:hAnsi="宋体" w:cs="宋体"/>
          <w:b/>
          <w:color w:val="auto"/>
          <w:sz w:val="32"/>
          <w:highlight w:val="none"/>
        </w:rPr>
        <w:t>与其他供应商无利害关系的声明函</w:t>
      </w:r>
    </w:p>
    <w:p>
      <w:pPr>
        <w:pStyle w:val="36"/>
        <w:ind w:left="0" w:leftChars="0" w:firstLine="0" w:firstLineChars="0"/>
        <w:rPr>
          <w:rFonts w:ascii="宋体" w:hAnsi="宋体" w:eastAsia="宋体" w:cs="宋体"/>
          <w:color w:val="auto"/>
          <w:sz w:val="24"/>
          <w:szCs w:val="24"/>
          <w:highlight w:val="none"/>
        </w:rPr>
      </w:pPr>
    </w:p>
    <w:p>
      <w:pPr>
        <w:pStyle w:val="36"/>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浙江大学衢州研究院：</w:t>
      </w:r>
    </w:p>
    <w:p>
      <w:pPr>
        <w:pStyle w:val="36"/>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浙江中正工程项目管理有限公司：</w:t>
      </w:r>
    </w:p>
    <w:p>
      <w:pPr>
        <w:pStyle w:val="36"/>
        <w:ind w:left="0" w:leftChars="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我方参加浙江大学衢州研究院（采购人）组织实施的浙江大学衢州研究院智慧化建设项目（项目编号:</w:t>
      </w:r>
      <w:r>
        <w:rPr>
          <w:rFonts w:hint="eastAsia" w:ascii="宋体" w:hAnsi="宋体" w:eastAsia="宋体" w:cs="宋体"/>
          <w:color w:val="auto"/>
          <w:sz w:val="24"/>
          <w:szCs w:val="24"/>
          <w:highlight w:val="none"/>
          <w:lang w:eastAsia="zh-CN"/>
        </w:rPr>
        <w:t>ZZCG2023011</w:t>
      </w:r>
      <w:r>
        <w:rPr>
          <w:rFonts w:hint="eastAsia" w:ascii="宋体" w:hAnsi="宋体" w:eastAsia="宋体" w:cs="宋体"/>
          <w:color w:val="auto"/>
          <w:sz w:val="24"/>
          <w:szCs w:val="24"/>
          <w:highlight w:val="none"/>
        </w:rPr>
        <w:t>）政府采购活动，与同一标项的其他供应商不存在单位负责人为同一人或存在直接控股、管理关系。</w:t>
      </w:r>
    </w:p>
    <w:p>
      <w:pPr>
        <w:pStyle w:val="36"/>
        <w:ind w:left="0" w:leftChars="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我方对上述声明的真实性负责。如有虚假，愿意承担相应责任，对此无任何异议。 </w:t>
      </w:r>
    </w:p>
    <w:p>
      <w:pPr>
        <w:pStyle w:val="36"/>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36"/>
        <w:ind w:left="0" w:leftChars="0" w:firstLine="0" w:firstLineChars="0"/>
        <w:rPr>
          <w:rFonts w:ascii="宋体" w:hAnsi="宋体" w:eastAsia="宋体" w:cs="宋体"/>
          <w:color w:val="auto"/>
          <w:sz w:val="24"/>
          <w:szCs w:val="24"/>
          <w:highlight w:val="none"/>
        </w:rPr>
      </w:pPr>
    </w:p>
    <w:p>
      <w:pPr>
        <w:pStyle w:val="36"/>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 （盖单位公章）</w:t>
      </w:r>
    </w:p>
    <w:p>
      <w:pPr>
        <w:pStyle w:val="36"/>
        <w:ind w:left="0" w:leftChars="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年 月 日</w:t>
      </w:r>
    </w:p>
    <w:p>
      <w:pPr>
        <w:pStyle w:val="34"/>
        <w:rPr>
          <w:rFonts w:ascii="宋体" w:hAnsi="宋体" w:cs="宋体"/>
          <w:color w:val="auto"/>
          <w:sz w:val="24"/>
          <w:szCs w:val="24"/>
          <w:highlight w:val="none"/>
        </w:rPr>
      </w:pPr>
    </w:p>
    <w:p>
      <w:pPr>
        <w:rPr>
          <w:color w:val="auto"/>
          <w:highlight w:val="none"/>
        </w:rPr>
      </w:pPr>
    </w:p>
    <w:p>
      <w:pPr>
        <w:pStyle w:val="37"/>
        <w:ind w:firstLine="210"/>
        <w:rPr>
          <w:rFonts w:eastAsia="宋体"/>
          <w:color w:val="auto"/>
          <w:highlight w:val="none"/>
        </w:rPr>
      </w:pPr>
    </w:p>
    <w:p>
      <w:pPr>
        <w:pStyle w:val="73"/>
        <w:ind w:firstLine="0"/>
        <w:rPr>
          <w:color w:val="auto"/>
          <w:highlight w:val="none"/>
        </w:rPr>
      </w:pPr>
    </w:p>
    <w:p>
      <w:pPr>
        <w:rPr>
          <w:color w:val="auto"/>
          <w:highlight w:val="none"/>
        </w:rPr>
      </w:pPr>
    </w:p>
    <w:p>
      <w:pPr>
        <w:rPr>
          <w:rFonts w:ascii="宋体" w:hAnsi="宋体" w:cs="宋体"/>
          <w:b/>
          <w:color w:val="auto"/>
          <w:sz w:val="32"/>
          <w:highlight w:val="none"/>
        </w:rPr>
      </w:pPr>
      <w:r>
        <w:rPr>
          <w:rFonts w:hint="eastAsia" w:ascii="宋体" w:hAnsi="宋体" w:cs="宋体"/>
          <w:color w:val="auto"/>
          <w:kern w:val="0"/>
          <w:sz w:val="24"/>
          <w:highlight w:val="none"/>
        </w:rPr>
        <w:t>【声明函 4】：企业类型的声明函</w:t>
      </w:r>
      <w:r>
        <w:rPr>
          <w:rFonts w:hint="eastAsia" w:ascii="宋体" w:hAnsi="宋体" w:cs="宋体"/>
          <w:color w:val="auto"/>
          <w:sz w:val="24"/>
          <w:highlight w:val="none"/>
        </w:rPr>
        <w:t xml:space="preserve"> </w:t>
      </w:r>
    </w:p>
    <w:p>
      <w:pPr>
        <w:widowControl/>
        <w:spacing w:line="312" w:lineRule="auto"/>
        <w:jc w:val="center"/>
        <w:rPr>
          <w:rFonts w:ascii="宋体" w:hAnsi="宋体" w:cs="宋体"/>
          <w:color w:val="auto"/>
          <w:kern w:val="0"/>
          <w:sz w:val="24"/>
          <w:highlight w:val="none"/>
          <w:lang w:val="zh-CN"/>
        </w:rPr>
      </w:pPr>
      <w:r>
        <w:rPr>
          <w:rFonts w:hint="eastAsia" w:ascii="宋体" w:hAnsi="宋体" w:cs="宋体"/>
          <w:b/>
          <w:color w:val="auto"/>
          <w:sz w:val="32"/>
          <w:highlight w:val="none"/>
        </w:rPr>
        <w:t>企业类型的声明函</w:t>
      </w:r>
    </w:p>
    <w:p>
      <w:pPr>
        <w:pStyle w:val="36"/>
        <w:ind w:left="0" w:leftChars="0" w:firstLine="0" w:firstLineChars="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浙江大学衢州研究院：</w:t>
      </w:r>
    </w:p>
    <w:p>
      <w:pPr>
        <w:pStyle w:val="36"/>
        <w:ind w:left="0" w:leftChars="0" w:firstLine="0" w:firstLineChars="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浙江中正工程项目管理有限公司：</w:t>
      </w:r>
    </w:p>
    <w:p>
      <w:pPr>
        <w:pStyle w:val="36"/>
        <w:ind w:left="0" w:leftChars="0"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我方不属于金融、保险、通讯等特定行业的全国性企业所设立的区域性分支机构、个体工商户、 个人独资企业、合伙企业。</w:t>
      </w:r>
    </w:p>
    <w:p>
      <w:pPr>
        <w:pStyle w:val="36"/>
        <w:ind w:left="0" w:leftChars="0"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我方对上述声明的真实性负责。如有虚假，愿意承担相应责任，对此无任何异议。</w:t>
      </w:r>
    </w:p>
    <w:p>
      <w:pPr>
        <w:pStyle w:val="36"/>
        <w:ind w:left="0" w:leftChars="0" w:firstLine="0" w:firstLineChars="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特此声明！</w:t>
      </w:r>
    </w:p>
    <w:p>
      <w:pPr>
        <w:pStyle w:val="36"/>
        <w:ind w:left="0" w:leftChars="0" w:firstLine="0" w:firstLineChars="0"/>
        <w:rPr>
          <w:rFonts w:ascii="宋体" w:hAnsi="宋体" w:eastAsia="宋体" w:cs="宋体"/>
          <w:color w:val="auto"/>
          <w:sz w:val="24"/>
          <w:szCs w:val="24"/>
          <w:highlight w:val="none"/>
          <w:lang w:val="zh-CN"/>
        </w:rPr>
      </w:pPr>
    </w:p>
    <w:p>
      <w:pPr>
        <w:pStyle w:val="36"/>
        <w:ind w:left="0" w:leftChars="0" w:firstLine="0" w:firstLineChars="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供应商全称： （盖单位公章）</w:t>
      </w:r>
    </w:p>
    <w:p>
      <w:pPr>
        <w:pStyle w:val="36"/>
        <w:ind w:left="0" w:leftChars="0" w:firstLine="0" w:firstLineChars="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 xml:space="preserve"> 年 月 日</w:t>
      </w:r>
    </w:p>
    <w:p>
      <w:pPr>
        <w:widowControl/>
        <w:jc w:val="left"/>
        <w:rPr>
          <w:rFonts w:ascii="宋体" w:hAnsi="宋体" w:cs="宋体"/>
          <w:color w:val="auto"/>
          <w:sz w:val="21"/>
          <w:szCs w:val="21"/>
          <w:highlight w:val="none"/>
        </w:rPr>
      </w:pPr>
    </w:p>
    <w:p>
      <w:pPr>
        <w:widowControl/>
        <w:jc w:val="left"/>
        <w:rPr>
          <w:rFonts w:ascii="宋体" w:hAnsi="宋体" w:cs="宋体"/>
          <w:color w:val="auto"/>
          <w:sz w:val="21"/>
          <w:szCs w:val="21"/>
          <w:highlight w:val="none"/>
        </w:rPr>
      </w:pPr>
    </w:p>
    <w:p>
      <w:pPr>
        <w:pStyle w:val="36"/>
        <w:ind w:left="560"/>
        <w:rPr>
          <w:rFonts w:ascii="宋体" w:hAnsi="宋体" w:eastAsia="宋体" w:cs="宋体"/>
          <w:color w:val="auto"/>
          <w:szCs w:val="21"/>
          <w:highlight w:val="none"/>
        </w:rPr>
      </w:pPr>
    </w:p>
    <w:p>
      <w:pPr>
        <w:pStyle w:val="34"/>
        <w:rPr>
          <w:color w:val="auto"/>
          <w:highlight w:val="none"/>
        </w:rPr>
      </w:pPr>
    </w:p>
    <w:p>
      <w:pPr>
        <w:widowControl/>
        <w:spacing w:line="312" w:lineRule="auto"/>
        <w:jc w:val="left"/>
        <w:rPr>
          <w:rFonts w:ascii="宋体" w:hAnsi="宋体" w:cs="宋体"/>
          <w:color w:val="auto"/>
          <w:sz w:val="24"/>
          <w:highlight w:val="none"/>
        </w:rPr>
      </w:pPr>
    </w:p>
    <w:p>
      <w:pPr>
        <w:widowControl/>
        <w:spacing w:line="312" w:lineRule="auto"/>
        <w:jc w:val="left"/>
        <w:rPr>
          <w:rFonts w:ascii="宋体" w:hAnsi="宋体" w:cs="宋体"/>
          <w:color w:val="auto"/>
          <w:sz w:val="24"/>
          <w:szCs w:val="22"/>
          <w:highlight w:val="none"/>
        </w:rPr>
      </w:pPr>
      <w:r>
        <w:rPr>
          <w:rFonts w:hint="eastAsia" w:ascii="宋体" w:hAnsi="宋体" w:cs="宋体"/>
          <w:color w:val="auto"/>
          <w:sz w:val="24"/>
          <w:highlight w:val="none"/>
        </w:rPr>
        <w:t>【声明函 5】：</w:t>
      </w:r>
      <w:r>
        <w:rPr>
          <w:rFonts w:hint="eastAsia" w:ascii="宋体" w:hAnsi="宋体" w:cs="宋体"/>
          <w:color w:val="auto"/>
          <w:sz w:val="24"/>
          <w:szCs w:val="22"/>
          <w:highlight w:val="none"/>
        </w:rPr>
        <w:t>单位组织形式声明函</w:t>
      </w:r>
    </w:p>
    <w:p>
      <w:pPr>
        <w:widowControl/>
        <w:spacing w:line="312" w:lineRule="auto"/>
        <w:jc w:val="center"/>
        <w:rPr>
          <w:rFonts w:ascii="宋体" w:hAnsi="宋体" w:cs="宋体"/>
          <w:color w:val="auto"/>
          <w:sz w:val="24"/>
          <w:szCs w:val="24"/>
          <w:highlight w:val="none"/>
          <w:lang w:val="zh-CN"/>
        </w:rPr>
      </w:pPr>
      <w:r>
        <w:rPr>
          <w:rFonts w:hint="eastAsia" w:ascii="宋体" w:hAnsi="宋体" w:cs="宋体"/>
          <w:b/>
          <w:color w:val="auto"/>
          <w:sz w:val="32"/>
          <w:szCs w:val="22"/>
          <w:highlight w:val="none"/>
          <w:u w:val="single"/>
        </w:rPr>
        <w:t>单位组织形式声明函</w:t>
      </w:r>
    </w:p>
    <w:p>
      <w:pPr>
        <w:pStyle w:val="36"/>
        <w:ind w:left="0" w:leftChars="0" w:firstLine="0" w:firstLineChars="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浙江大学衢州研究院：</w:t>
      </w:r>
    </w:p>
    <w:p>
      <w:pPr>
        <w:pStyle w:val="36"/>
        <w:ind w:left="0" w:leftChars="0" w:firstLine="0" w:firstLineChars="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浙江中正工程项目管理有限公司：</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我方 </w:t>
      </w:r>
      <w:r>
        <w:rPr>
          <w:rFonts w:hint="eastAsia" w:ascii="宋体" w:hAnsi="宋体" w:cs="宋体"/>
          <w:color w:val="auto"/>
          <w:sz w:val="24"/>
          <w:szCs w:val="24"/>
          <w:highlight w:val="none"/>
          <w:u w:val="single"/>
        </w:rPr>
        <w:t>（供应商）</w:t>
      </w:r>
      <w:r>
        <w:rPr>
          <w:rFonts w:hint="eastAsia" w:ascii="宋体" w:hAnsi="宋体" w:cs="宋体"/>
          <w:color w:val="auto"/>
          <w:sz w:val="24"/>
          <w:szCs w:val="24"/>
          <w:highlight w:val="none"/>
        </w:rPr>
        <w:t xml:space="preserve"> 不是公益一类事业单位、使用事业编制且由财政拨款保障的群团组织。 </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我方对上述声明的真实性负责。如有虚假，将依法承担相应责任。 </w:t>
      </w:r>
    </w:p>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特此声明！ </w:t>
      </w:r>
    </w:p>
    <w:p>
      <w:pPr>
        <w:spacing w:line="312" w:lineRule="auto"/>
        <w:rPr>
          <w:rFonts w:ascii="宋体" w:hAnsi="宋体" w:cs="宋体"/>
          <w:color w:val="auto"/>
          <w:sz w:val="24"/>
          <w:szCs w:val="24"/>
          <w:highlight w:val="none"/>
        </w:rPr>
      </w:pPr>
    </w:p>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供应商全称：（盖单位公章） </w:t>
      </w:r>
    </w:p>
    <w:p>
      <w:pPr>
        <w:spacing w:line="312" w:lineRule="auto"/>
        <w:rPr>
          <w:rFonts w:ascii="宋体" w:hAnsi="宋体" w:cs="宋体"/>
          <w:color w:val="auto"/>
          <w:highlight w:val="none"/>
        </w:rPr>
      </w:pPr>
      <w:r>
        <w:rPr>
          <w:rFonts w:hint="eastAsia" w:ascii="宋体" w:hAnsi="宋体" w:cs="宋体"/>
          <w:color w:val="auto"/>
          <w:sz w:val="24"/>
          <w:szCs w:val="24"/>
          <w:highlight w:val="none"/>
        </w:rPr>
        <w:t>日期：202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年 月 日 </w:t>
      </w:r>
    </w:p>
    <w:p>
      <w:pPr>
        <w:widowControl/>
        <w:jc w:val="left"/>
        <w:rPr>
          <w:rFonts w:ascii="宋体" w:hAnsi="宋体" w:cs="宋体"/>
          <w:color w:val="auto"/>
          <w:sz w:val="21"/>
          <w:szCs w:val="21"/>
          <w:highlight w:val="none"/>
        </w:rPr>
      </w:pPr>
    </w:p>
    <w:p>
      <w:pPr>
        <w:pStyle w:val="36"/>
        <w:ind w:left="560"/>
        <w:rPr>
          <w:color w:val="auto"/>
          <w:highlight w:val="none"/>
        </w:rPr>
      </w:pPr>
    </w:p>
    <w:p>
      <w:pPr>
        <w:pStyle w:val="34"/>
        <w:rPr>
          <w:color w:val="auto"/>
          <w:highlight w:val="none"/>
        </w:rPr>
      </w:pPr>
    </w:p>
    <w:p>
      <w:pPr>
        <w:pStyle w:val="37"/>
        <w:ind w:firstLine="210"/>
        <w:rPr>
          <w:color w:val="auto"/>
          <w:highlight w:val="none"/>
        </w:rPr>
      </w:pPr>
    </w:p>
    <w:p>
      <w:pPr>
        <w:widowControl/>
        <w:jc w:val="left"/>
        <w:rPr>
          <w:rFonts w:ascii="宋体" w:hAnsi="宋体" w:cs="宋体"/>
          <w:color w:val="auto"/>
          <w:sz w:val="21"/>
          <w:szCs w:val="21"/>
          <w:highlight w:val="none"/>
        </w:rPr>
      </w:pPr>
    </w:p>
    <w:p>
      <w:pPr>
        <w:widowControl/>
        <w:spacing w:line="312" w:lineRule="auto"/>
        <w:jc w:val="left"/>
        <w:rPr>
          <w:rFonts w:ascii="宋体" w:hAnsi="宋体" w:cs="宋体"/>
          <w:color w:val="auto"/>
          <w:sz w:val="24"/>
          <w:szCs w:val="22"/>
          <w:highlight w:val="none"/>
        </w:rPr>
      </w:pPr>
      <w:r>
        <w:rPr>
          <w:rFonts w:hint="eastAsia" w:ascii="宋体" w:hAnsi="宋体" w:cs="宋体"/>
          <w:color w:val="auto"/>
          <w:sz w:val="24"/>
          <w:highlight w:val="none"/>
        </w:rPr>
        <w:t>【声明函 6】非联合体的声明函</w:t>
      </w:r>
    </w:p>
    <w:p>
      <w:pPr>
        <w:spacing w:line="312" w:lineRule="auto"/>
        <w:jc w:val="center"/>
        <w:rPr>
          <w:rFonts w:ascii="宋体" w:hAnsi="宋体" w:cs="宋体"/>
          <w:b/>
          <w:color w:val="auto"/>
          <w:sz w:val="32"/>
          <w:szCs w:val="22"/>
          <w:highlight w:val="none"/>
        </w:rPr>
      </w:pPr>
      <w:r>
        <w:rPr>
          <w:rFonts w:hint="eastAsia" w:ascii="宋体" w:hAnsi="宋体" w:cs="宋体"/>
          <w:b/>
          <w:color w:val="auto"/>
          <w:sz w:val="32"/>
          <w:szCs w:val="22"/>
          <w:highlight w:val="none"/>
        </w:rPr>
        <w:t xml:space="preserve">非联合体的声明函 </w:t>
      </w:r>
    </w:p>
    <w:p>
      <w:pPr>
        <w:pStyle w:val="36"/>
        <w:ind w:left="0" w:leftChars="0" w:firstLine="0" w:firstLineChars="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浙江大学衢州研究院：</w:t>
      </w:r>
    </w:p>
    <w:p>
      <w:pPr>
        <w:pStyle w:val="36"/>
        <w:ind w:left="0" w:leftChars="0" w:firstLine="0" w:firstLineChars="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浙江中正工程项目管理有限公司：</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 xml:space="preserve"> （供应商） </w:t>
      </w:r>
      <w:r>
        <w:rPr>
          <w:rFonts w:hint="eastAsia" w:ascii="宋体" w:hAnsi="宋体" w:cs="宋体"/>
          <w:color w:val="auto"/>
          <w:sz w:val="24"/>
          <w:szCs w:val="24"/>
          <w:highlight w:val="none"/>
        </w:rPr>
        <w:t>独立参加浙江大学衢州研究院智慧化建设项目（项目编号:</w:t>
      </w:r>
      <w:r>
        <w:rPr>
          <w:rFonts w:hint="eastAsia" w:ascii="宋体" w:hAnsi="宋体" w:cs="宋体"/>
          <w:color w:val="auto"/>
          <w:sz w:val="24"/>
          <w:szCs w:val="24"/>
          <w:highlight w:val="none"/>
          <w:lang w:eastAsia="zh-CN"/>
        </w:rPr>
        <w:t>ZZCG2023011</w:t>
      </w:r>
      <w:r>
        <w:rPr>
          <w:rFonts w:hint="eastAsia" w:ascii="宋体" w:hAnsi="宋体" w:cs="宋体"/>
          <w:color w:val="auto"/>
          <w:sz w:val="24"/>
          <w:szCs w:val="24"/>
          <w:highlight w:val="none"/>
        </w:rPr>
        <w:t xml:space="preserve">）政府采购活动，未与其他单位组成联合体。 </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本公司对上述声明的真实性负责。如有虚假，将依法承担相应责任。 </w:t>
      </w:r>
    </w:p>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特此声明！ </w:t>
      </w:r>
    </w:p>
    <w:p>
      <w:pPr>
        <w:spacing w:line="312" w:lineRule="auto"/>
        <w:rPr>
          <w:rFonts w:ascii="宋体" w:hAnsi="宋体" w:cs="宋体"/>
          <w:color w:val="auto"/>
          <w:sz w:val="24"/>
          <w:szCs w:val="24"/>
          <w:highlight w:val="none"/>
        </w:rPr>
      </w:pPr>
    </w:p>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供应商全称： （盖单位公章） </w:t>
      </w:r>
    </w:p>
    <w:p>
      <w:pPr>
        <w:spacing w:line="312" w:lineRule="auto"/>
        <w:rPr>
          <w:rFonts w:ascii="宋体" w:hAnsi="宋体" w:cs="宋体"/>
          <w:color w:val="auto"/>
          <w:sz w:val="24"/>
          <w:highlight w:val="none"/>
        </w:rPr>
      </w:pPr>
      <w:r>
        <w:rPr>
          <w:rFonts w:hint="eastAsia" w:ascii="宋体" w:hAnsi="宋体" w:cs="宋体"/>
          <w:color w:val="auto"/>
          <w:sz w:val="24"/>
          <w:szCs w:val="24"/>
          <w:highlight w:val="none"/>
        </w:rPr>
        <w:t>日期：202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年 月 日</w:t>
      </w:r>
    </w:p>
    <w:p>
      <w:pPr>
        <w:rPr>
          <w:rFonts w:ascii="宋体" w:hAnsi="宋体" w:cs="宋体"/>
          <w:b/>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spacing w:line="312" w:lineRule="auto"/>
        <w:jc w:val="left"/>
        <w:rPr>
          <w:rFonts w:ascii="宋体" w:hAnsi="宋体" w:cs="宋体"/>
          <w:b/>
          <w:color w:val="auto"/>
          <w:sz w:val="32"/>
          <w:szCs w:val="22"/>
          <w:highlight w:val="none"/>
        </w:rPr>
      </w:pPr>
      <w:r>
        <w:rPr>
          <w:rFonts w:hint="eastAsia" w:ascii="宋体" w:hAnsi="宋体" w:cs="宋体"/>
          <w:b/>
          <w:color w:val="auto"/>
          <w:sz w:val="32"/>
          <w:szCs w:val="22"/>
          <w:highlight w:val="none"/>
        </w:rPr>
        <w:t>【附件1】</w:t>
      </w:r>
    </w:p>
    <w:p>
      <w:pPr>
        <w:spacing w:line="312" w:lineRule="auto"/>
        <w:jc w:val="center"/>
        <w:rPr>
          <w:rFonts w:ascii="宋体" w:hAnsi="宋体" w:cs="宋体"/>
          <w:b/>
          <w:color w:val="auto"/>
          <w:sz w:val="32"/>
          <w:szCs w:val="22"/>
          <w:highlight w:val="none"/>
        </w:rPr>
      </w:pPr>
      <w:r>
        <w:rPr>
          <w:rFonts w:hint="eastAsia" w:ascii="宋体" w:hAnsi="宋体" w:cs="宋体"/>
          <w:b/>
          <w:color w:val="auto"/>
          <w:sz w:val="32"/>
          <w:szCs w:val="22"/>
          <w:highlight w:val="none"/>
        </w:rPr>
        <w:t>分包意向协议书</w:t>
      </w:r>
    </w:p>
    <w:p>
      <w:pPr>
        <w:spacing w:line="360" w:lineRule="auto"/>
        <w:rPr>
          <w:rFonts w:ascii="宋体" w:hAnsi="宋体" w:cs="宋体"/>
          <w:color w:val="auto"/>
          <w:sz w:val="24"/>
          <w:highlight w:val="none"/>
        </w:rPr>
      </w:pPr>
      <w:r>
        <w:rPr>
          <w:rFonts w:ascii="宋体" w:hAnsi="宋体" w:cs="宋体"/>
          <w:color w:val="auto"/>
          <w:sz w:val="24"/>
          <w:highlight w:val="none"/>
        </w:rPr>
        <w:t>甲方（投标人）：</w:t>
      </w:r>
      <w:r>
        <w:rPr>
          <w:rFonts w:ascii="宋体" w:hAnsi="宋体" w:cs="宋体"/>
          <w:color w:val="auto"/>
          <w:sz w:val="24"/>
          <w:highlight w:val="none"/>
          <w:u w:val="single"/>
        </w:rPr>
        <w:t>【            】</w:t>
      </w:r>
    </w:p>
    <w:p>
      <w:pPr>
        <w:spacing w:line="360" w:lineRule="auto"/>
        <w:rPr>
          <w:rFonts w:ascii="宋体" w:hAnsi="宋体" w:cs="宋体"/>
          <w:color w:val="auto"/>
          <w:sz w:val="24"/>
          <w:highlight w:val="none"/>
        </w:rPr>
      </w:pPr>
      <w:r>
        <w:rPr>
          <w:rFonts w:ascii="宋体" w:hAnsi="宋体" w:cs="宋体"/>
          <w:color w:val="auto"/>
          <w:sz w:val="24"/>
          <w:highlight w:val="none"/>
        </w:rPr>
        <w:t>乙方（分包供应商）：</w:t>
      </w:r>
      <w:r>
        <w:rPr>
          <w:rFonts w:ascii="宋体" w:hAnsi="宋体" w:cs="宋体"/>
          <w:color w:val="auto"/>
          <w:sz w:val="24"/>
          <w:highlight w:val="none"/>
          <w:u w:val="single"/>
        </w:rPr>
        <w:t>【            】</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各方经协商，就响应</w:t>
      </w:r>
      <w:r>
        <w:rPr>
          <w:rFonts w:hint="eastAsia" w:ascii="宋体" w:hAnsi="宋体" w:cs="宋体"/>
          <w:color w:val="auto"/>
          <w:sz w:val="24"/>
          <w:highlight w:val="none"/>
          <w:u w:val="single"/>
        </w:rPr>
        <w:t>浙江大学衢州研究院</w:t>
      </w:r>
      <w:r>
        <w:rPr>
          <w:rFonts w:ascii="宋体" w:hAnsi="宋体" w:cs="宋体"/>
          <w:color w:val="auto"/>
          <w:sz w:val="24"/>
          <w:highlight w:val="none"/>
        </w:rPr>
        <w:t>组织实施的</w:t>
      </w:r>
      <w:r>
        <w:rPr>
          <w:rFonts w:hint="eastAsia" w:ascii="宋体" w:hAnsi="宋体" w:cs="宋体"/>
          <w:color w:val="auto"/>
          <w:sz w:val="24"/>
          <w:highlight w:val="none"/>
          <w:u w:val="single"/>
        </w:rPr>
        <w:t>浙江大学衢州研究院智慧化建设项目</w:t>
      </w:r>
      <w:r>
        <w:rPr>
          <w:rFonts w:ascii="宋体" w:hAnsi="宋体" w:cs="宋体"/>
          <w:color w:val="auto"/>
          <w:sz w:val="24"/>
          <w:highlight w:val="none"/>
        </w:rPr>
        <w:t>（项目名称）</w:t>
      </w:r>
      <w:r>
        <w:rPr>
          <w:rFonts w:hint="eastAsia" w:ascii="宋体" w:hAnsi="宋体" w:cs="宋体"/>
          <w:color w:val="auto"/>
          <w:sz w:val="24"/>
          <w:highlight w:val="none"/>
          <w:u w:val="single"/>
          <w:lang w:eastAsia="zh-CN"/>
        </w:rPr>
        <w:t>ZZCG2023011</w:t>
      </w:r>
      <w:r>
        <w:rPr>
          <w:rFonts w:hint="eastAsia" w:ascii="宋体" w:hAnsi="宋体" w:cs="宋体"/>
          <w:color w:val="auto"/>
          <w:sz w:val="24"/>
          <w:highlight w:val="none"/>
          <w:u w:val="single"/>
        </w:rPr>
        <w:t xml:space="preserve"> </w:t>
      </w:r>
      <w:r>
        <w:rPr>
          <w:rFonts w:ascii="宋体" w:hAnsi="宋体" w:cs="宋体"/>
          <w:color w:val="auto"/>
          <w:sz w:val="24"/>
          <w:highlight w:val="none"/>
        </w:rPr>
        <w:t>（项目编号）的采购活动，达成如下分包意向协议：</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一、【</w:t>
      </w:r>
      <w:r>
        <w:rPr>
          <w:rFonts w:ascii="宋体" w:hAnsi="宋体" w:cs="宋体"/>
          <w:color w:val="auto"/>
          <w:sz w:val="24"/>
          <w:highlight w:val="none"/>
          <w:u w:val="single"/>
        </w:rPr>
        <w:t xml:space="preserve"> 甲方名称 </w:t>
      </w:r>
      <w:r>
        <w:rPr>
          <w:rFonts w:ascii="宋体" w:hAnsi="宋体" w:cs="宋体"/>
          <w:color w:val="auto"/>
          <w:sz w:val="24"/>
          <w:highlight w:val="none"/>
        </w:rPr>
        <w:t>】为</w:t>
      </w:r>
      <w:r>
        <w:rPr>
          <w:rFonts w:hint="eastAsia" w:ascii="宋体" w:hAnsi="宋体" w:cs="宋体"/>
          <w:color w:val="auto"/>
          <w:sz w:val="24"/>
          <w:highlight w:val="none"/>
          <w:u w:val="single"/>
        </w:rPr>
        <w:t>浙江大学衢州研究院智慧化建设项目</w:t>
      </w:r>
      <w:r>
        <w:rPr>
          <w:rFonts w:ascii="宋体" w:hAnsi="宋体" w:cs="宋体"/>
          <w:color w:val="auto"/>
          <w:sz w:val="24"/>
          <w:highlight w:val="none"/>
        </w:rPr>
        <w:t>（项目名称）</w:t>
      </w:r>
      <w:r>
        <w:rPr>
          <w:rFonts w:hint="eastAsia" w:ascii="宋体" w:hAnsi="宋体" w:cs="宋体"/>
          <w:color w:val="auto"/>
          <w:sz w:val="24"/>
          <w:highlight w:val="none"/>
          <w:u w:val="single"/>
          <w:lang w:eastAsia="zh-CN"/>
        </w:rPr>
        <w:t>ZZCG2023011</w:t>
      </w:r>
      <w:r>
        <w:rPr>
          <w:rFonts w:hint="eastAsia" w:ascii="宋体" w:hAnsi="宋体" w:cs="宋体"/>
          <w:color w:val="auto"/>
          <w:sz w:val="24"/>
          <w:highlight w:val="none"/>
          <w:u w:val="single"/>
        </w:rPr>
        <w:t xml:space="preserve"> </w:t>
      </w:r>
      <w:r>
        <w:rPr>
          <w:rFonts w:ascii="宋体" w:hAnsi="宋体" w:cs="宋体"/>
          <w:color w:val="auto"/>
          <w:sz w:val="24"/>
          <w:highlight w:val="none"/>
        </w:rPr>
        <w:t>（项目编号）的投标人，参与项目的投标并签订合同。</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二、根据招标文件规定，甲方有意向将本项目中的非主体、非关键性工作分包给乙方实施。乙方有意向承接此部分分包内容。</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三、甲方就采购项目和分包内容向采购人负责，乙方就分包内容承担责任。</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四、甲方要求乙方承担分包内容，不得再分包给其他单位。</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五、乙方承担的工作和义务为：</w:t>
      </w:r>
      <w:r>
        <w:rPr>
          <w:rFonts w:ascii="宋体" w:hAnsi="宋体" w:cs="宋体"/>
          <w:color w:val="auto"/>
          <w:sz w:val="24"/>
          <w:highlight w:val="none"/>
          <w:u w:val="single"/>
        </w:rPr>
        <w:t>【            】</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六、中小企业承接金额比例如下：</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u w:val="single"/>
        </w:rPr>
        <w:t>【其中之一分包供应商名称】</w:t>
      </w:r>
      <w:r>
        <w:rPr>
          <w:rFonts w:ascii="宋体" w:hAnsi="宋体" w:cs="宋体"/>
          <w:color w:val="auto"/>
          <w:sz w:val="24"/>
          <w:highlight w:val="none"/>
        </w:rPr>
        <w:t>属于【□小型企业/□微型企业】，承担本项目合同金额的【 %】，我与承担本项目的其他供应商（大中型企业）之间【□是/□否】存在直接控股、管理关系。</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七、本协议提交采购人后，协议各方不得以任何形式对上述实质内容进行修改或撤销。</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甲方（投标人）：</w:t>
      </w:r>
      <w:r>
        <w:rPr>
          <w:rFonts w:ascii="宋体" w:hAnsi="宋体" w:cs="宋体"/>
          <w:color w:val="auto"/>
          <w:sz w:val="24"/>
          <w:highlight w:val="none"/>
          <w:u w:val="single"/>
        </w:rPr>
        <w:t xml:space="preserve">                </w:t>
      </w:r>
      <w:r>
        <w:rPr>
          <w:rFonts w:ascii="宋体" w:hAnsi="宋体" w:cs="宋体"/>
          <w:color w:val="auto"/>
          <w:sz w:val="24"/>
          <w:highlight w:val="none"/>
        </w:rPr>
        <w:t>（单位公章）</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签署日期：202</w:t>
      </w:r>
      <w:r>
        <w:rPr>
          <w:rFonts w:hint="eastAsia" w:ascii="宋体" w:hAnsi="宋体" w:cs="宋体"/>
          <w:color w:val="auto"/>
          <w:sz w:val="24"/>
          <w:highlight w:val="none"/>
          <w:lang w:val="en-US" w:eastAsia="zh-CN"/>
        </w:rPr>
        <w:t>3</w:t>
      </w:r>
      <w:r>
        <w:rPr>
          <w:rFonts w:ascii="宋体" w:hAnsi="宋体" w:cs="宋体"/>
          <w:color w:val="auto"/>
          <w:sz w:val="24"/>
          <w:highlight w:val="none"/>
        </w:rPr>
        <w:t>年   月   日</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乙方（分包供应商）：</w:t>
      </w:r>
      <w:r>
        <w:rPr>
          <w:rFonts w:ascii="宋体" w:hAnsi="宋体" w:cs="宋体"/>
          <w:color w:val="auto"/>
          <w:sz w:val="24"/>
          <w:highlight w:val="none"/>
          <w:u w:val="single"/>
        </w:rPr>
        <w:t xml:space="preserve">                </w:t>
      </w:r>
      <w:r>
        <w:rPr>
          <w:rFonts w:ascii="宋体" w:hAnsi="宋体" w:cs="宋体"/>
          <w:color w:val="auto"/>
          <w:sz w:val="24"/>
          <w:highlight w:val="none"/>
        </w:rPr>
        <w:t>（单位公章）</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签署日期：202</w:t>
      </w:r>
      <w:r>
        <w:rPr>
          <w:rFonts w:hint="eastAsia" w:ascii="宋体" w:hAnsi="宋体" w:cs="宋体"/>
          <w:color w:val="auto"/>
          <w:sz w:val="24"/>
          <w:highlight w:val="none"/>
          <w:lang w:val="en-US" w:eastAsia="zh-CN"/>
        </w:rPr>
        <w:t>3</w:t>
      </w:r>
      <w:r>
        <w:rPr>
          <w:rFonts w:ascii="宋体" w:hAnsi="宋体" w:cs="宋体"/>
          <w:color w:val="auto"/>
          <w:sz w:val="24"/>
          <w:highlight w:val="none"/>
        </w:rPr>
        <w:t>年   月   日</w:t>
      </w:r>
    </w:p>
    <w:p>
      <w:pPr>
        <w:spacing w:line="360" w:lineRule="auto"/>
        <w:rPr>
          <w:rFonts w:ascii="宋体" w:hAnsi="宋体" w:cs="宋体"/>
          <w:color w:val="auto"/>
          <w:sz w:val="24"/>
          <w:highlight w:val="none"/>
        </w:rPr>
      </w:pPr>
      <w:r>
        <w:rPr>
          <w:rFonts w:ascii="宋体" w:hAnsi="宋体" w:cs="宋体"/>
          <w:color w:val="auto"/>
          <w:sz w:val="24"/>
          <w:highlight w:val="none"/>
        </w:rPr>
        <w:t>说明：</w:t>
      </w:r>
    </w:p>
    <w:p>
      <w:pPr>
        <w:spacing w:line="360" w:lineRule="auto"/>
        <w:rPr>
          <w:rFonts w:ascii="宋体" w:hAnsi="宋体" w:cs="宋体"/>
          <w:color w:val="auto"/>
          <w:sz w:val="24"/>
          <w:highlight w:val="none"/>
        </w:rPr>
      </w:pPr>
      <w:r>
        <w:rPr>
          <w:rFonts w:ascii="宋体" w:hAnsi="宋体" w:cs="宋体"/>
          <w:color w:val="auto"/>
          <w:sz w:val="24"/>
          <w:highlight w:val="none"/>
        </w:rPr>
        <w:t>（1）如需享受政府采购扶持政策，分包意向协议书应对政策要求的内容进行声明。</w:t>
      </w:r>
    </w:p>
    <w:p>
      <w:pPr>
        <w:spacing w:line="360" w:lineRule="auto"/>
        <w:rPr>
          <w:rFonts w:ascii="宋体" w:hAnsi="宋体" w:cs="宋体"/>
          <w:color w:val="auto"/>
          <w:sz w:val="24"/>
          <w:highlight w:val="none"/>
        </w:rPr>
      </w:pPr>
      <w:r>
        <w:rPr>
          <w:rFonts w:ascii="宋体" w:hAnsi="宋体" w:cs="宋体"/>
          <w:color w:val="auto"/>
          <w:sz w:val="24"/>
          <w:highlight w:val="none"/>
        </w:rPr>
        <w:t>（2）本协议格式供参考。</w:t>
      </w:r>
    </w:p>
    <w:p>
      <w:pPr>
        <w:spacing w:line="360" w:lineRule="auto"/>
        <w:rPr>
          <w:rFonts w:ascii="宋体" w:hAnsi="宋体" w:cs="宋体"/>
          <w:color w:val="auto"/>
          <w:sz w:val="24"/>
          <w:highlight w:val="none"/>
        </w:rPr>
      </w:pPr>
      <w:r>
        <w:rPr>
          <w:rFonts w:ascii="宋体" w:hAnsi="宋体" w:cs="宋体"/>
          <w:color w:val="auto"/>
          <w:sz w:val="24"/>
          <w:highlight w:val="none"/>
        </w:rPr>
        <w:t>（3）不分包不需提供此协议书。</w:t>
      </w:r>
    </w:p>
    <w:p>
      <w:pPr>
        <w:spacing w:line="360" w:lineRule="auto"/>
        <w:rPr>
          <w:rFonts w:ascii="宋体" w:hAnsi="宋体" w:cs="宋体"/>
          <w:color w:val="auto"/>
          <w:sz w:val="24"/>
          <w:highlight w:val="none"/>
        </w:rPr>
      </w:pPr>
      <w:r>
        <w:rPr>
          <w:rFonts w:ascii="宋体" w:hAnsi="宋体" w:cs="宋体"/>
          <w:color w:val="auto"/>
          <w:sz w:val="24"/>
          <w:highlight w:val="none"/>
        </w:rPr>
        <w:t>（4）如投标人为联合体，应由所有联合体各成员方签署本协议。</w:t>
      </w:r>
    </w:p>
    <w:p>
      <w:pPr>
        <w:spacing w:line="360" w:lineRule="auto"/>
        <w:rPr>
          <w:rFonts w:ascii="宋体" w:hAnsi="宋体" w:cs="宋体"/>
          <w:color w:val="auto"/>
          <w:sz w:val="24"/>
          <w:highlight w:val="none"/>
        </w:rPr>
      </w:pPr>
      <w:r>
        <w:rPr>
          <w:rFonts w:ascii="宋体" w:hAnsi="宋体" w:cs="宋体"/>
          <w:color w:val="auto"/>
          <w:sz w:val="24"/>
          <w:highlight w:val="none"/>
        </w:rPr>
        <w:t>（5）涉及分包供应商情况资料。</w:t>
      </w:r>
    </w:p>
    <w:p>
      <w:pPr>
        <w:spacing w:line="360" w:lineRule="auto"/>
        <w:rPr>
          <w:rFonts w:ascii="宋体" w:hAnsi="宋体" w:cs="宋体"/>
          <w:color w:val="auto"/>
          <w:sz w:val="24"/>
          <w:highlight w:val="none"/>
        </w:rPr>
      </w:pPr>
      <w:r>
        <w:rPr>
          <w:rFonts w:ascii="宋体" w:hAnsi="宋体" w:cs="宋体"/>
          <w:color w:val="auto"/>
          <w:sz w:val="24"/>
          <w:highlight w:val="none"/>
        </w:rPr>
        <w:t>◇资质文件（如招标文件规定要提供）；</w:t>
      </w:r>
    </w:p>
    <w:p>
      <w:pPr>
        <w:spacing w:line="360" w:lineRule="auto"/>
        <w:rPr>
          <w:rFonts w:ascii="宋体" w:hAnsi="宋体" w:cs="宋体"/>
          <w:b/>
          <w:bCs/>
          <w:color w:val="auto"/>
          <w:sz w:val="24"/>
          <w:highlight w:val="none"/>
        </w:rPr>
      </w:pPr>
      <w:r>
        <w:rPr>
          <w:rFonts w:ascii="宋体" w:hAnsi="宋体" w:cs="宋体"/>
          <w:b/>
          <w:bCs/>
          <w:color w:val="auto"/>
          <w:sz w:val="24"/>
          <w:highlight w:val="none"/>
        </w:rPr>
        <w:t>◇</w:t>
      </w:r>
      <w:r>
        <w:rPr>
          <w:rFonts w:hint="eastAsia" w:ascii="宋体" w:hAnsi="宋体" w:cs="宋体"/>
          <w:b/>
          <w:bCs/>
          <w:color w:val="auto"/>
          <w:sz w:val="24"/>
          <w:highlight w:val="none"/>
        </w:rPr>
        <w:t>分包供应商</w:t>
      </w:r>
      <w:r>
        <w:rPr>
          <w:rFonts w:ascii="宋体" w:hAnsi="宋体" w:cs="宋体"/>
          <w:b/>
          <w:bCs/>
          <w:color w:val="auto"/>
          <w:sz w:val="24"/>
          <w:highlight w:val="none"/>
        </w:rPr>
        <w:t>符合资格条件的声明函</w:t>
      </w:r>
    </w:p>
    <w:p>
      <w:pPr>
        <w:rPr>
          <w:rFonts w:ascii="宋体" w:hAnsi="宋体" w:cs="宋体"/>
          <w:color w:val="auto"/>
          <w:sz w:val="24"/>
          <w:highlight w:val="none"/>
        </w:rPr>
      </w:pPr>
    </w:p>
    <w:p>
      <w:pPr>
        <w:pStyle w:val="36"/>
        <w:ind w:left="560"/>
        <w:rPr>
          <w:color w:val="auto"/>
          <w:highlight w:val="none"/>
        </w:rPr>
      </w:pPr>
    </w:p>
    <w:p>
      <w:pPr>
        <w:spacing w:line="312" w:lineRule="auto"/>
        <w:jc w:val="center"/>
        <w:rPr>
          <w:rFonts w:ascii="宋体" w:hAnsi="宋体" w:cs="宋体"/>
          <w:b/>
          <w:color w:val="auto"/>
          <w:sz w:val="32"/>
          <w:szCs w:val="22"/>
          <w:highlight w:val="none"/>
        </w:rPr>
      </w:pPr>
      <w:r>
        <w:rPr>
          <w:rFonts w:hint="eastAsia" w:ascii="宋体" w:hAnsi="宋体" w:cs="宋体"/>
          <w:b/>
          <w:color w:val="auto"/>
          <w:sz w:val="32"/>
          <w:szCs w:val="22"/>
          <w:highlight w:val="none"/>
        </w:rPr>
        <w:t>分包供应商符合资格条件的声明函</w:t>
      </w:r>
    </w:p>
    <w:p>
      <w:pPr>
        <w:pStyle w:val="9"/>
        <w:tabs>
          <w:tab w:val="left" w:pos="-839"/>
        </w:tabs>
        <w:spacing w:line="240" w:lineRule="auto"/>
        <w:rPr>
          <w:rFonts w:ascii="宋体" w:hAnsi="宋体" w:eastAsia="宋体" w:cs="宋体"/>
          <w:b w:val="0"/>
          <w:color w:val="auto"/>
          <w:highlight w:val="none"/>
        </w:rPr>
      </w:pPr>
      <w:r>
        <w:rPr>
          <w:rFonts w:hint="eastAsia" w:ascii="宋体" w:hAnsi="宋体" w:eastAsia="宋体" w:cs="宋体"/>
          <w:b w:val="0"/>
          <w:color w:val="auto"/>
          <w:highlight w:val="none"/>
        </w:rPr>
        <w:t>浙江大学衢州研究院：</w:t>
      </w:r>
    </w:p>
    <w:p>
      <w:pPr>
        <w:pStyle w:val="9"/>
        <w:tabs>
          <w:tab w:val="left" w:pos="-839"/>
        </w:tabs>
        <w:spacing w:line="240" w:lineRule="auto"/>
        <w:rPr>
          <w:rFonts w:ascii="宋体" w:hAnsi="宋体" w:eastAsia="宋体" w:cs="宋体"/>
          <w:b w:val="0"/>
          <w:color w:val="auto"/>
          <w:highlight w:val="none"/>
        </w:rPr>
      </w:pPr>
      <w:r>
        <w:rPr>
          <w:rFonts w:hint="eastAsia" w:ascii="宋体" w:hAnsi="宋体" w:eastAsia="宋体" w:cs="宋体"/>
          <w:b w:val="0"/>
          <w:color w:val="auto"/>
          <w:highlight w:val="none"/>
        </w:rPr>
        <w:t>浙江中正工程项目管理有限公司：</w:t>
      </w:r>
    </w:p>
    <w:p>
      <w:pPr>
        <w:pStyle w:val="9"/>
        <w:tabs>
          <w:tab w:val="left" w:pos="-839"/>
        </w:tabs>
        <w:ind w:left="13" w:firstLine="655" w:firstLineChars="273"/>
        <w:rPr>
          <w:rFonts w:ascii="宋体" w:hAnsi="宋体" w:eastAsia="宋体" w:cs="宋体"/>
          <w:b w:val="0"/>
          <w:color w:val="auto"/>
          <w:highlight w:val="none"/>
        </w:rPr>
      </w:pPr>
      <w:r>
        <w:rPr>
          <w:rFonts w:hint="eastAsia" w:ascii="宋体" w:hAnsi="宋体" w:eastAsia="宋体" w:cs="宋体"/>
          <w:b w:val="0"/>
          <w:color w:val="auto"/>
          <w:highlight w:val="none"/>
        </w:rPr>
        <w:t>截至浙江大学衢州研究院（采购人）组织实施的浙江大学衢州研究院智慧化建设项目（项目编号:</w:t>
      </w:r>
      <w:r>
        <w:rPr>
          <w:rFonts w:hint="eastAsia" w:ascii="宋体" w:hAnsi="宋体" w:eastAsia="宋体" w:cs="宋体"/>
          <w:b w:val="0"/>
          <w:color w:val="auto"/>
          <w:highlight w:val="none"/>
          <w:lang w:eastAsia="zh-CN"/>
        </w:rPr>
        <w:t>ZZCG2023011</w:t>
      </w:r>
      <w:r>
        <w:rPr>
          <w:rFonts w:hint="eastAsia" w:ascii="宋体" w:hAnsi="宋体" w:eastAsia="宋体" w:cs="宋体"/>
          <w:b w:val="0"/>
          <w:color w:val="auto"/>
          <w:highlight w:val="none"/>
        </w:rPr>
        <w:t>）投标截止时间，我方具有良好的商业信誉和健全的财务会计制度，具有履行合同所必需的设备和专业技术能力，有依法缴纳税收和社会保障资金的良好记录，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pPr>
        <w:pStyle w:val="9"/>
        <w:tabs>
          <w:tab w:val="left" w:pos="-839"/>
        </w:tabs>
        <w:ind w:left="13" w:firstLine="655" w:firstLineChars="273"/>
        <w:rPr>
          <w:rFonts w:ascii="宋体" w:hAnsi="宋体" w:eastAsia="宋体" w:cs="宋体"/>
          <w:b w:val="0"/>
          <w:color w:val="auto"/>
          <w:highlight w:val="none"/>
        </w:rPr>
      </w:pPr>
      <w:r>
        <w:rPr>
          <w:rFonts w:hint="eastAsia" w:ascii="宋体" w:hAnsi="宋体" w:eastAsia="宋体" w:cs="宋体"/>
          <w:b w:val="0"/>
          <w:color w:val="auto"/>
          <w:highlight w:val="none"/>
        </w:rPr>
        <w:t>我方对上述声明的真实性负责。如有虚假，愿意承担相应责任，对此无任何异议。</w:t>
      </w:r>
    </w:p>
    <w:p>
      <w:pPr>
        <w:pStyle w:val="9"/>
        <w:tabs>
          <w:tab w:val="left" w:pos="-839"/>
        </w:tabs>
        <w:rPr>
          <w:rFonts w:ascii="宋体" w:hAnsi="宋体" w:eastAsia="宋体" w:cs="宋体"/>
          <w:b w:val="0"/>
          <w:color w:val="auto"/>
          <w:highlight w:val="none"/>
        </w:rPr>
      </w:pPr>
      <w:r>
        <w:rPr>
          <w:rFonts w:hint="eastAsia" w:ascii="宋体" w:hAnsi="宋体" w:eastAsia="宋体" w:cs="宋体"/>
          <w:b w:val="0"/>
          <w:color w:val="auto"/>
          <w:highlight w:val="none"/>
        </w:rPr>
        <w:t>特此声明！</w:t>
      </w:r>
    </w:p>
    <w:p>
      <w:pPr>
        <w:pStyle w:val="9"/>
        <w:tabs>
          <w:tab w:val="left" w:pos="-839"/>
        </w:tabs>
        <w:rPr>
          <w:rFonts w:ascii="宋体" w:hAnsi="宋体" w:eastAsia="宋体" w:cs="宋体"/>
          <w:b w:val="0"/>
          <w:bCs/>
          <w:color w:val="auto"/>
          <w:highlight w:val="none"/>
        </w:rPr>
      </w:pPr>
      <w:r>
        <w:rPr>
          <w:rFonts w:hint="eastAsia" w:ascii="宋体" w:hAnsi="宋体" w:eastAsia="宋体" w:cs="宋体"/>
          <w:b w:val="0"/>
          <w:bCs/>
          <w:color w:val="auto"/>
          <w:highlight w:val="none"/>
        </w:rPr>
        <w:t>分包供应商全称：</w:t>
      </w:r>
      <w:r>
        <w:rPr>
          <w:rFonts w:hint="eastAsia" w:ascii="宋体" w:hAnsi="宋体" w:eastAsia="宋体" w:cs="宋体"/>
          <w:b w:val="0"/>
          <w:bCs/>
          <w:color w:val="auto"/>
          <w:highlight w:val="none"/>
          <w:u w:val="single"/>
        </w:rPr>
        <w:t xml:space="preserve">                       </w:t>
      </w:r>
      <w:r>
        <w:rPr>
          <w:rFonts w:hint="eastAsia" w:ascii="宋体" w:hAnsi="宋体" w:eastAsia="宋体" w:cs="宋体"/>
          <w:b w:val="0"/>
          <w:bCs/>
          <w:color w:val="auto"/>
          <w:highlight w:val="none"/>
        </w:rPr>
        <w:t>（盖单位公章）</w:t>
      </w:r>
    </w:p>
    <w:p>
      <w:pPr>
        <w:pStyle w:val="628"/>
        <w:widowControl w:val="0"/>
        <w:snapToGrid w:val="0"/>
        <w:spacing w:line="500" w:lineRule="exact"/>
        <w:jc w:val="center"/>
        <w:rPr>
          <w:rFonts w:hint="default" w:hAnsi="宋体" w:cs="方正小标宋简体"/>
          <w:b/>
          <w:color w:val="auto"/>
          <w:szCs w:val="28"/>
          <w:highlight w:val="none"/>
        </w:rPr>
      </w:pPr>
      <w:r>
        <w:rPr>
          <w:rFonts w:hAnsi="宋体" w:cs="宋体"/>
          <w:color w:val="auto"/>
          <w:highlight w:val="none"/>
        </w:rPr>
        <w:t>日期：202</w:t>
      </w:r>
      <w:r>
        <w:rPr>
          <w:rFonts w:hint="eastAsia" w:hAnsi="宋体" w:cs="宋体"/>
          <w:color w:val="auto"/>
          <w:highlight w:val="none"/>
          <w:lang w:val="en-US" w:eastAsia="zh-CN"/>
        </w:rPr>
        <w:t>3</w:t>
      </w:r>
      <w:r>
        <w:rPr>
          <w:rFonts w:hAnsi="宋体" w:cs="宋体"/>
          <w:color w:val="auto"/>
          <w:highlight w:val="none"/>
        </w:rPr>
        <w:t xml:space="preserve"> 年  月  日</w:t>
      </w: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pStyle w:val="625"/>
        <w:ind w:firstLine="560"/>
        <w:rPr>
          <w:color w:val="auto"/>
          <w:highlight w:val="none"/>
        </w:rPr>
      </w:pPr>
    </w:p>
    <w:p>
      <w:pPr>
        <w:rPr>
          <w:rFonts w:hAnsi="宋体" w:cs="宋体"/>
          <w:b/>
          <w:color w:val="auto"/>
          <w:highlight w:val="none"/>
        </w:rPr>
      </w:pPr>
    </w:p>
    <w:p>
      <w:pPr>
        <w:pStyle w:val="47"/>
        <w:adjustRightInd w:val="0"/>
        <w:snapToGrid w:val="0"/>
        <w:spacing w:line="360" w:lineRule="auto"/>
        <w:jc w:val="center"/>
        <w:outlineLvl w:val="1"/>
        <w:rPr>
          <w:rFonts w:hAnsi="宋体" w:cs="宋体"/>
          <w:b/>
          <w:color w:val="auto"/>
          <w:sz w:val="28"/>
          <w:highlight w:val="none"/>
        </w:rPr>
      </w:pPr>
      <w:bookmarkStart w:id="95" w:name="_Toc126886005"/>
      <w:r>
        <w:rPr>
          <w:rFonts w:hint="eastAsia" w:hAnsi="宋体" w:cs="宋体"/>
          <w:b/>
          <w:color w:val="auto"/>
          <w:sz w:val="28"/>
          <w:highlight w:val="none"/>
        </w:rPr>
        <w:t>格式二：投标声明函</w:t>
      </w:r>
      <w:bookmarkEnd w:id="90"/>
      <w:bookmarkEnd w:id="94"/>
      <w:bookmarkEnd w:id="95"/>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浙江大学衢州研究院：</w:t>
      </w:r>
    </w:p>
    <w:p>
      <w:pPr>
        <w:adjustRightInd w:val="0"/>
        <w:snapToGrid w:val="0"/>
        <w:spacing w:line="360" w:lineRule="auto"/>
        <w:rPr>
          <w:rFonts w:ascii="宋体" w:hAnsi="宋体" w:cs="宋体"/>
          <w:b/>
          <w:color w:val="auto"/>
          <w:sz w:val="30"/>
          <w:highlight w:val="none"/>
        </w:rPr>
      </w:pPr>
      <w:r>
        <w:rPr>
          <w:rFonts w:hint="eastAsia" w:ascii="宋体" w:hAnsi="宋体" w:cs="宋体"/>
          <w:color w:val="auto"/>
          <w:sz w:val="24"/>
          <w:highlight w:val="none"/>
        </w:rPr>
        <w:t>浙江中正工程项目管理有限公司：</w:t>
      </w:r>
    </w:p>
    <w:p>
      <w:pPr>
        <w:pStyle w:val="47"/>
        <w:adjustRightInd w:val="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本单位自愿参加</w:t>
      </w:r>
      <w:r>
        <w:rPr>
          <w:rFonts w:hint="eastAsia" w:hAnsi="宋体" w:cs="宋体"/>
          <w:color w:val="auto"/>
          <w:sz w:val="24"/>
          <w:highlight w:val="none"/>
          <w:u w:val="single"/>
        </w:rPr>
        <w:t xml:space="preserve">              （项目名称）</w:t>
      </w:r>
      <w:r>
        <w:rPr>
          <w:rFonts w:hint="eastAsia" w:hAnsi="宋体" w:cs="宋体"/>
          <w:color w:val="auto"/>
          <w:spacing w:val="-3"/>
          <w:sz w:val="24"/>
          <w:szCs w:val="24"/>
          <w:highlight w:val="none"/>
          <w:u w:val="single"/>
        </w:rPr>
        <w:t xml:space="preserve">        </w:t>
      </w:r>
      <w:r>
        <w:rPr>
          <w:rFonts w:hint="eastAsia" w:hAnsi="宋体" w:cs="宋体"/>
          <w:color w:val="auto"/>
          <w:sz w:val="24"/>
          <w:highlight w:val="none"/>
          <w:u w:val="single"/>
        </w:rPr>
        <w:t xml:space="preserve"> (项目编号：</w:t>
      </w:r>
      <w:r>
        <w:rPr>
          <w:rFonts w:hint="eastAsia" w:hAnsi="宋体" w:cs="宋体"/>
          <w:color w:val="auto"/>
          <w:sz w:val="24"/>
          <w:highlight w:val="none"/>
          <w:u w:val="single"/>
          <w:lang w:eastAsia="zh-CN"/>
        </w:rPr>
        <w:t>ZZCG2023011</w:t>
      </w:r>
      <w:r>
        <w:rPr>
          <w:rFonts w:hint="eastAsia" w:hAnsi="宋体" w:cs="宋体"/>
          <w:color w:val="auto"/>
          <w:sz w:val="24"/>
          <w:highlight w:val="none"/>
          <w:u w:val="single"/>
        </w:rPr>
        <w:t>)</w:t>
      </w:r>
      <w:r>
        <w:rPr>
          <w:rFonts w:hint="eastAsia" w:hAnsi="宋体" w:cs="宋体"/>
          <w:color w:val="auto"/>
          <w:sz w:val="24"/>
          <w:highlight w:val="none"/>
        </w:rPr>
        <w:t>的投标，并保证投标文件中所列举的投报价文件及相关资料和公司基本情况资料是真实的、合法的，我方：</w:t>
      </w:r>
    </w:p>
    <w:p>
      <w:pPr>
        <w:adjustRightInd w:val="0"/>
        <w:snapToGrid w:val="0"/>
        <w:spacing w:line="360" w:lineRule="auto"/>
        <w:ind w:firstLine="480"/>
        <w:rPr>
          <w:rFonts w:ascii="宋体" w:hAnsi="宋体" w:cs="宋体"/>
          <w:color w:val="auto"/>
          <w:kern w:val="0"/>
          <w:sz w:val="24"/>
          <w:highlight w:val="none"/>
        </w:rPr>
      </w:pPr>
      <w:bookmarkStart w:id="96" w:name="_Toc522530053"/>
      <w:r>
        <w:rPr>
          <w:rFonts w:hint="eastAsia" w:ascii="宋体" w:hAnsi="宋体" w:cs="宋体"/>
          <w:color w:val="auto"/>
          <w:kern w:val="0"/>
          <w:sz w:val="24"/>
          <w:highlight w:val="none"/>
        </w:rPr>
        <w:t>1、已详细阅读全部招标文件，包括招标文件补充文件（如果有，包括相关的补充、更正、澄清公告和文件）、参考资料及有关附件，确认无误。我方完全理解并接受招标文件的各项规定和要求。</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2、同意提供按照贵方可能要求的与投标有关的一切数据或资料等。若贵方需要，我方愿意提供我方作出的一切承诺的证明材料。</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3、中标或者成交后，按采购文件规定与采购人签订合同。拒绝签订合同的，承诺按采购预算金额的2%对采购人进行赔偿；赔偿金额不足以弥补采购人损失的，承诺继续承担超过部分的损失。</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4、同意在招标文件中投标人须知规定的开标日期起遵守本投标书中的承诺且在投标有效期满之前均具有约束力。</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5、投标有效期内不撤销投标文件；强行撤销的，承诺按采购预算金额的2%赔偿对采购组织机构造成损失；</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6、中标或者成交后，按采购文件规定的采购代理服务费标准，承诺在签订合同前向采购代理机构支付采购代理服务费。</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7、完全理解贵方不一定要接受最低价的投标。</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8、单位、法定代表人、本项目授权代表及本项目负责人在参加本项目前三年内（以法院判决书生效日期为准）均无行贿犯罪记录。</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9、如有</w:t>
      </w:r>
      <w:r>
        <w:rPr>
          <w:rFonts w:hint="eastAsia" w:ascii="宋体" w:hAnsi="宋体" w:cs="宋体"/>
          <w:color w:val="auto"/>
          <w:kern w:val="0"/>
          <w:sz w:val="24"/>
          <w:highlight w:val="none"/>
          <w:lang w:eastAsia="zh-CN"/>
        </w:rPr>
        <w:t>下</w:t>
      </w:r>
      <w:r>
        <w:rPr>
          <w:rFonts w:hint="eastAsia" w:ascii="宋体" w:hAnsi="宋体" w:cs="宋体"/>
          <w:color w:val="auto"/>
          <w:kern w:val="0"/>
          <w:sz w:val="24"/>
          <w:highlight w:val="none"/>
        </w:rPr>
        <w:t>列情形之一的，我方愿意被取消中标资格（如中标），同时继续承担其他一切法律后果，并不再寻求任何旨在减轻或免除法律责任的解释：</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(1)提供虚假材料（承诺）谋取中标、成交的；</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(2)采取不正当手段诋毁、排挤其他投标人的；</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(3)与招标人、其它投标人或者招标代理机构恶意串通的；</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(4)向招标人、招标代理机构行贿或者提供其他不正当利益的；</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(5)在招标采购过程中与招标人进行协商谈判的；</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(6)拒绝有关部门监督检查或提供虚假情况的。</w:t>
      </w:r>
    </w:p>
    <w:p>
      <w:pPr>
        <w:adjustRightInd w:val="0"/>
        <w:snapToGrid w:val="0"/>
        <w:spacing w:line="360" w:lineRule="auto"/>
        <w:ind w:firstLine="480"/>
        <w:rPr>
          <w:rFonts w:ascii="宋体" w:hAnsi="宋体" w:cs="宋体"/>
          <w:color w:val="auto"/>
          <w:kern w:val="0"/>
          <w:sz w:val="24"/>
          <w:highlight w:val="none"/>
        </w:rPr>
      </w:pP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法定（授权）代表人（签字或盖章）：                      </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投标人盖章：                            </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联系电话（手机及座机）：           </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传真：              </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电子邮件：              </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纳税人识别号：                                                </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开户银行：                                                    </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银行账号：                                                    </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联系地址：                                                    </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邮政编码：                     </w:t>
      </w:r>
    </w:p>
    <w:p>
      <w:pPr>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日    期：        年  </w:t>
      </w:r>
      <w:r>
        <w:rPr>
          <w:rFonts w:hint="eastAsia" w:ascii="宋体" w:hAnsi="宋体" w:cs="宋体"/>
          <w:color w:val="auto"/>
          <w:kern w:val="0"/>
          <w:sz w:val="24"/>
          <w:highlight w:val="none"/>
        </w:rPr>
        <w:tab/>
      </w:r>
      <w:r>
        <w:rPr>
          <w:rFonts w:hint="eastAsia" w:ascii="宋体" w:hAnsi="宋体" w:cs="宋体"/>
          <w:color w:val="auto"/>
          <w:kern w:val="0"/>
          <w:sz w:val="24"/>
          <w:highlight w:val="none"/>
        </w:rPr>
        <w:t xml:space="preserve"> 月    日</w:t>
      </w:r>
    </w:p>
    <w:p>
      <w:pPr>
        <w:adjustRightInd w:val="0"/>
        <w:snapToGrid w:val="0"/>
        <w:spacing w:line="360" w:lineRule="auto"/>
        <w:ind w:firstLine="480"/>
        <w:rPr>
          <w:rFonts w:ascii="宋体" w:hAnsi="宋体" w:cs="宋体"/>
          <w:color w:val="auto"/>
          <w:kern w:val="0"/>
          <w:sz w:val="24"/>
          <w:highlight w:val="none"/>
        </w:rPr>
      </w:pPr>
    </w:p>
    <w:p>
      <w:pPr>
        <w:adjustRightInd w:val="0"/>
        <w:snapToGrid w:val="0"/>
        <w:spacing w:line="360" w:lineRule="auto"/>
        <w:ind w:firstLine="480"/>
        <w:rPr>
          <w:rFonts w:ascii="宋体" w:hAnsi="宋体" w:cs="宋体"/>
          <w:color w:val="auto"/>
          <w:kern w:val="0"/>
          <w:sz w:val="24"/>
          <w:highlight w:val="none"/>
        </w:rPr>
      </w:pPr>
    </w:p>
    <w:p>
      <w:pPr>
        <w:adjustRightInd w:val="0"/>
        <w:snapToGrid w:val="0"/>
        <w:spacing w:line="360" w:lineRule="auto"/>
        <w:rPr>
          <w:rFonts w:ascii="宋体" w:hAnsi="宋体" w:cs="宋体"/>
          <w:color w:val="auto"/>
          <w:highlight w:val="none"/>
        </w:rPr>
        <w:sectPr>
          <w:headerReference r:id="rId8" w:type="default"/>
          <w:footerReference r:id="rId9" w:type="default"/>
          <w:pgSz w:w="11906" w:h="16838"/>
          <w:pgMar w:top="1440" w:right="1440" w:bottom="1440" w:left="1440" w:header="851" w:footer="851" w:gutter="0"/>
          <w:cols w:space="720" w:num="1"/>
          <w:titlePg/>
          <w:docGrid w:linePitch="381" w:charSpace="0"/>
        </w:sectPr>
      </w:pPr>
      <w:r>
        <w:rPr>
          <w:rFonts w:hint="eastAsia" w:ascii="宋体" w:hAnsi="宋体" w:cs="宋体"/>
          <w:b/>
          <w:color w:val="auto"/>
          <w:kern w:val="0"/>
          <w:sz w:val="24"/>
          <w:highlight w:val="none"/>
          <w:lang w:val="zh-CN"/>
        </w:rPr>
        <w:t>注：未按照本投标声明函要求填报的将被视为非实质性响应，从而可能导致该投标文件被拒绝。</w:t>
      </w:r>
    </w:p>
    <w:p>
      <w:pPr>
        <w:pStyle w:val="47"/>
        <w:adjustRightInd w:val="0"/>
        <w:snapToGrid w:val="0"/>
        <w:spacing w:line="360" w:lineRule="auto"/>
        <w:outlineLvl w:val="1"/>
        <w:rPr>
          <w:rFonts w:hAnsi="宋体" w:cs="宋体"/>
          <w:b/>
          <w:color w:val="auto"/>
          <w:sz w:val="28"/>
          <w:highlight w:val="none"/>
        </w:rPr>
      </w:pPr>
      <w:bookmarkStart w:id="97" w:name="_Toc126886006"/>
      <w:bookmarkStart w:id="98" w:name="_Toc15127"/>
      <w:r>
        <w:rPr>
          <w:rFonts w:hint="eastAsia" w:hAnsi="宋体" w:cs="宋体"/>
          <w:b/>
          <w:color w:val="auto"/>
          <w:kern w:val="0"/>
          <w:sz w:val="30"/>
          <w:highlight w:val="none"/>
          <w:lang w:val="zh-CN"/>
        </w:rPr>
        <w:t>格式三：</w:t>
      </w:r>
      <w:r>
        <w:rPr>
          <w:rFonts w:hint="eastAsia" w:hAnsi="宋体" w:cs="宋体"/>
          <w:b/>
          <w:color w:val="auto"/>
          <w:sz w:val="28"/>
          <w:highlight w:val="none"/>
        </w:rPr>
        <w:t>法定代表人身份证明或法定代表人身份证明及授权委托书</w:t>
      </w:r>
      <w:bookmarkEnd w:id="96"/>
      <w:bookmarkEnd w:id="97"/>
      <w:bookmarkEnd w:id="98"/>
    </w:p>
    <w:p>
      <w:pPr>
        <w:pStyle w:val="47"/>
        <w:adjustRightInd w:val="0"/>
        <w:snapToGrid w:val="0"/>
        <w:spacing w:line="360" w:lineRule="auto"/>
        <w:jc w:val="center"/>
        <w:rPr>
          <w:rFonts w:hAnsi="宋体" w:cs="宋体"/>
          <w:b/>
          <w:color w:val="auto"/>
          <w:sz w:val="28"/>
          <w:highlight w:val="none"/>
        </w:rPr>
      </w:pPr>
    </w:p>
    <w:p>
      <w:pPr>
        <w:pStyle w:val="47"/>
        <w:adjustRightInd w:val="0"/>
        <w:snapToGrid w:val="0"/>
        <w:spacing w:line="360" w:lineRule="auto"/>
        <w:jc w:val="center"/>
        <w:rPr>
          <w:rFonts w:hAnsi="宋体" w:cs="宋体"/>
          <w:b/>
          <w:color w:val="auto"/>
          <w:kern w:val="0"/>
          <w:sz w:val="30"/>
          <w:highlight w:val="none"/>
          <w:lang w:val="zh-CN"/>
        </w:rPr>
      </w:pPr>
      <w:r>
        <w:rPr>
          <w:rFonts w:hint="eastAsia" w:hAnsi="宋体" w:cs="宋体"/>
          <w:b/>
          <w:color w:val="auto"/>
          <w:sz w:val="28"/>
          <w:highlight w:val="none"/>
        </w:rPr>
        <w:t>3-1法定代表人身份证明</w:t>
      </w:r>
    </w:p>
    <w:p>
      <w:pPr>
        <w:adjustRightInd w:val="0"/>
        <w:snapToGrid w:val="0"/>
        <w:spacing w:line="360" w:lineRule="auto"/>
        <w:rPr>
          <w:rFonts w:ascii="宋体" w:hAnsi="宋体" w:cs="宋体"/>
          <w:color w:val="auto"/>
          <w:sz w:val="24"/>
          <w:highlight w:val="none"/>
        </w:rPr>
      </w:pPr>
    </w:p>
    <w:p>
      <w:pPr>
        <w:adjustRightInd w:val="0"/>
        <w:snapToGrid w:val="0"/>
        <w:spacing w:line="324"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姓名：  性别：  年龄：  职务：</w:t>
      </w:r>
    </w:p>
    <w:p>
      <w:pPr>
        <w:adjustRightInd w:val="0"/>
        <w:snapToGrid w:val="0"/>
        <w:spacing w:line="324"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w:t>
      </w:r>
    </w:p>
    <w:p>
      <w:pPr>
        <w:adjustRightInd w:val="0"/>
        <w:snapToGrid w:val="0"/>
        <w:spacing w:line="324" w:lineRule="auto"/>
        <w:ind w:firstLine="560"/>
        <w:rPr>
          <w:rFonts w:ascii="宋体" w:hAnsi="宋体" w:cs="宋体"/>
          <w:color w:val="auto"/>
          <w:sz w:val="24"/>
          <w:highlight w:val="none"/>
        </w:rPr>
      </w:pPr>
    </w:p>
    <w:p>
      <w:pPr>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pPr>
        <w:adjustRightInd w:val="0"/>
        <w:snapToGrid w:val="0"/>
        <w:spacing w:line="324" w:lineRule="auto"/>
        <w:rPr>
          <w:rFonts w:ascii="宋体" w:hAnsi="宋体" w:cs="宋体"/>
          <w:color w:val="auto"/>
          <w:sz w:val="24"/>
          <w:highlight w:val="none"/>
        </w:rPr>
      </w:pPr>
      <w:r>
        <w:rPr>
          <w:rFonts w:hint="eastAsia" w:ascii="宋体" w:hAnsi="宋体" w:cs="宋体"/>
          <w:color w:val="auto"/>
          <w:sz w:val="24"/>
          <w:highlight w:val="none"/>
        </w:rPr>
        <w:t>附：法定代表人身份证复印件</w:t>
      </w:r>
    </w:p>
    <w:p>
      <w:pPr>
        <w:adjustRightInd w:val="0"/>
        <w:snapToGrid w:val="0"/>
        <w:spacing w:line="324" w:lineRule="auto"/>
        <w:rPr>
          <w:rFonts w:ascii="宋体" w:hAnsi="宋体" w:cs="宋体"/>
          <w:color w:val="auto"/>
          <w:sz w:val="24"/>
          <w:highlight w:val="none"/>
        </w:rPr>
      </w:pPr>
    </w:p>
    <w:p>
      <w:pPr>
        <w:adjustRightInd w:val="0"/>
        <w:snapToGrid w:val="0"/>
        <w:spacing w:line="324" w:lineRule="auto"/>
        <w:ind w:right="1200"/>
        <w:rPr>
          <w:rFonts w:ascii="宋体" w:hAnsi="宋体" w:cs="宋体"/>
          <w:color w:val="auto"/>
          <w:sz w:val="24"/>
          <w:highlight w:val="none"/>
        </w:rPr>
      </w:pPr>
      <w:r>
        <w:rPr>
          <w:rFonts w:hint="eastAsia" w:ascii="宋体" w:hAnsi="宋体" w:cs="宋体"/>
          <w:color w:val="auto"/>
          <w:sz w:val="24"/>
          <w:highlight w:val="none"/>
        </w:rPr>
        <w:t xml:space="preserve">投标人：（全称加盖公章） </w:t>
      </w:r>
    </w:p>
    <w:p>
      <w:pPr>
        <w:adjustRightInd w:val="0"/>
        <w:snapToGrid w:val="0"/>
        <w:spacing w:line="324" w:lineRule="auto"/>
        <w:ind w:right="1200"/>
        <w:rPr>
          <w:rFonts w:ascii="宋体" w:hAnsi="宋体" w:cs="宋体"/>
          <w:b/>
          <w:color w:val="auto"/>
          <w:sz w:val="24"/>
          <w:highlight w:val="none"/>
        </w:rPr>
      </w:pPr>
      <w:r>
        <w:rPr>
          <w:rFonts w:hint="eastAsia" w:ascii="宋体" w:hAnsi="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pPr>
              <w:adjustRightInd w:val="0"/>
              <w:snapToGrid w:val="0"/>
              <w:spacing w:line="360" w:lineRule="auto"/>
              <w:jc w:val="center"/>
              <w:rPr>
                <w:rFonts w:ascii="宋体" w:hAnsi="宋体" w:cs="宋体"/>
                <w:color w:val="auto"/>
                <w:highlight w:val="none"/>
              </w:rPr>
            </w:pPr>
            <w:r>
              <w:rPr>
                <w:rFonts w:hint="eastAsia" w:ascii="宋体" w:hAnsi="宋体" w:cs="宋体"/>
                <w:color w:val="auto"/>
                <w:highlight w:val="none"/>
              </w:rPr>
              <w:t>法定代表人身份证复印件粘贴处（正、反面）</w:t>
            </w:r>
          </w:p>
        </w:tc>
      </w:tr>
    </w:tbl>
    <w:p>
      <w:pPr>
        <w:spacing w:before="120" w:beforeLines="50" w:line="360" w:lineRule="auto"/>
        <w:jc w:val="center"/>
        <w:rPr>
          <w:rFonts w:ascii="宋体" w:hAnsi="宋体" w:cs="宋体"/>
          <w:b/>
          <w:color w:val="auto"/>
          <w:highlight w:val="none"/>
        </w:rPr>
      </w:pPr>
    </w:p>
    <w:p>
      <w:pPr>
        <w:spacing w:before="120" w:beforeLines="50" w:line="360" w:lineRule="auto"/>
        <w:jc w:val="center"/>
        <w:rPr>
          <w:rFonts w:ascii="宋体" w:hAnsi="宋体" w:cs="宋体"/>
          <w:b/>
          <w:color w:val="auto"/>
          <w:highlight w:val="none"/>
        </w:rPr>
      </w:pPr>
    </w:p>
    <w:p>
      <w:pPr>
        <w:spacing w:before="120" w:beforeLines="50" w:line="360" w:lineRule="auto"/>
        <w:jc w:val="center"/>
        <w:rPr>
          <w:rFonts w:ascii="宋体" w:hAnsi="宋体" w:cs="宋体"/>
          <w:b/>
          <w:color w:val="auto"/>
          <w:highlight w:val="none"/>
        </w:rPr>
      </w:pPr>
    </w:p>
    <w:p>
      <w:pPr>
        <w:pStyle w:val="36"/>
        <w:ind w:left="560"/>
        <w:rPr>
          <w:rFonts w:ascii="宋体" w:hAnsi="宋体" w:eastAsia="宋体" w:cs="宋体"/>
          <w:color w:val="auto"/>
          <w:highlight w:val="none"/>
        </w:rPr>
      </w:pPr>
    </w:p>
    <w:p>
      <w:pPr>
        <w:spacing w:before="120" w:beforeLines="50" w:line="360" w:lineRule="auto"/>
        <w:jc w:val="center"/>
        <w:rPr>
          <w:rFonts w:ascii="宋体" w:hAnsi="宋体" w:cs="宋体"/>
          <w:b/>
          <w:color w:val="auto"/>
          <w:highlight w:val="none"/>
        </w:rPr>
      </w:pPr>
      <w:r>
        <w:rPr>
          <w:rFonts w:hint="eastAsia" w:ascii="宋体" w:hAnsi="宋体" w:cs="宋体"/>
          <w:b/>
          <w:color w:val="auto"/>
          <w:highlight w:val="none"/>
        </w:rPr>
        <w:t>3-2法定代表人授权委托书</w:t>
      </w:r>
    </w:p>
    <w:p>
      <w:pPr>
        <w:spacing w:line="324" w:lineRule="auto"/>
        <w:rPr>
          <w:rFonts w:ascii="宋体" w:hAnsi="宋体" w:cs="宋体"/>
          <w:color w:val="auto"/>
          <w:kern w:val="0"/>
          <w:sz w:val="24"/>
          <w:highlight w:val="none"/>
        </w:rPr>
      </w:pPr>
      <w:r>
        <w:rPr>
          <w:rFonts w:hint="eastAsia" w:ascii="宋体" w:hAnsi="宋体" w:cs="宋体"/>
          <w:color w:val="auto"/>
          <w:sz w:val="24"/>
          <w:highlight w:val="none"/>
        </w:rPr>
        <w:t>浙江大学衢州研究院</w:t>
      </w:r>
      <w:r>
        <w:rPr>
          <w:rFonts w:hint="eastAsia" w:ascii="宋体" w:hAnsi="宋体" w:cs="宋体"/>
          <w:color w:val="auto"/>
          <w:kern w:val="0"/>
          <w:sz w:val="24"/>
          <w:highlight w:val="none"/>
        </w:rPr>
        <w:t>：</w:t>
      </w:r>
    </w:p>
    <w:p>
      <w:pPr>
        <w:adjustRightInd w:val="0"/>
        <w:snapToGrid w:val="0"/>
        <w:spacing w:line="324" w:lineRule="auto"/>
        <w:rPr>
          <w:rFonts w:ascii="宋体" w:hAnsi="宋体" w:cs="宋体"/>
          <w:color w:val="auto"/>
          <w:sz w:val="24"/>
          <w:highlight w:val="none"/>
        </w:rPr>
      </w:pPr>
      <w:r>
        <w:rPr>
          <w:rFonts w:hint="eastAsia" w:ascii="宋体" w:hAnsi="宋体" w:cs="宋体"/>
          <w:color w:val="auto"/>
          <w:kern w:val="0"/>
          <w:sz w:val="24"/>
          <w:highlight w:val="none"/>
          <w:lang w:val="zh-CN"/>
        </w:rPr>
        <w:t>浙江中正工程项目管理有限公司：</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w:t>
      </w:r>
      <w:r>
        <w:rPr>
          <w:rFonts w:hint="eastAsia" w:ascii="宋体" w:hAnsi="宋体" w:cs="宋体"/>
          <w:color w:val="auto"/>
          <w:sz w:val="24"/>
          <w:highlight w:val="none"/>
        </w:rPr>
        <w:t>的法定代表人，现委托</w:t>
      </w:r>
      <w:r>
        <w:rPr>
          <w:rFonts w:hint="eastAsia" w:ascii="宋体" w:hAnsi="宋体" w:cs="宋体"/>
          <w:color w:val="auto"/>
          <w:sz w:val="24"/>
          <w:highlight w:val="none"/>
          <w:u w:val="single"/>
        </w:rPr>
        <w:t xml:space="preserve">      （姓名）  （职务）</w:t>
      </w:r>
      <w:r>
        <w:rPr>
          <w:rFonts w:hint="eastAsia" w:ascii="宋体" w:hAnsi="宋体" w:cs="宋体"/>
          <w:color w:val="auto"/>
          <w:sz w:val="24"/>
          <w:highlight w:val="none"/>
        </w:rPr>
        <w:t>为我方授权代表，以我方名义签署、澄清、说明、补正、递交、撤回、修改</w:t>
      </w:r>
      <w:r>
        <w:rPr>
          <w:rFonts w:hint="eastAsia" w:ascii="宋体" w:hAnsi="宋体" w:cs="宋体"/>
          <w:color w:val="auto"/>
          <w:sz w:val="24"/>
          <w:highlight w:val="none"/>
          <w:u w:val="single"/>
        </w:rPr>
        <w:t>（项目名称）</w:t>
      </w:r>
      <w:r>
        <w:rPr>
          <w:rFonts w:hint="eastAsia" w:ascii="宋体" w:hAnsi="宋体" w:cs="宋体"/>
          <w:color w:val="auto"/>
          <w:spacing w:val="-3"/>
          <w:sz w:val="24"/>
          <w:szCs w:val="24"/>
          <w:highlight w:val="none"/>
          <w:u w:val="single"/>
        </w:rPr>
        <w:t xml:space="preserve">                    （标项名称）</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ZZCG2023011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投标文件、签订合同和处理有关事宜，其法律后果由我方承担。</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该授权代表无转委托权，特此委托</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1、委托代理人身份证复印件</w:t>
      </w:r>
    </w:p>
    <w:p>
      <w:pPr>
        <w:adjustRightInd w:val="0"/>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2、授权代表为投标人在职员工的证明文件（投标人为其缴纳的社保记录或劳务合同等）。</w:t>
      </w:r>
    </w:p>
    <w:p>
      <w:pPr>
        <w:adjustRightInd w:val="0"/>
        <w:snapToGrid w:val="0"/>
        <w:spacing w:line="312" w:lineRule="auto"/>
        <w:rPr>
          <w:rFonts w:ascii="宋体" w:hAnsi="宋体" w:cs="宋体"/>
          <w:color w:val="auto"/>
          <w:sz w:val="24"/>
          <w:highlight w:val="none"/>
        </w:rPr>
      </w:pPr>
    </w:p>
    <w:p>
      <w:pPr>
        <w:adjustRightInd w:val="0"/>
        <w:snapToGrid w:val="0"/>
        <w:spacing w:line="312" w:lineRule="auto"/>
        <w:rPr>
          <w:rFonts w:ascii="宋体" w:hAnsi="宋体" w:cs="宋体"/>
          <w:color w:val="auto"/>
          <w:sz w:val="24"/>
          <w:highlight w:val="none"/>
        </w:rPr>
      </w:pPr>
      <w:r>
        <w:rPr>
          <w:rFonts w:hint="eastAsia" w:ascii="宋体" w:hAnsi="宋体" w:cs="宋体"/>
          <w:color w:val="auto"/>
          <w:sz w:val="24"/>
          <w:highlight w:val="none"/>
        </w:rPr>
        <w:t>投标人：（全称加盖公章）</w:t>
      </w:r>
    </w:p>
    <w:p>
      <w:pPr>
        <w:adjustRightInd w:val="0"/>
        <w:snapToGrid w:val="0"/>
        <w:spacing w:line="312" w:lineRule="auto"/>
        <w:rPr>
          <w:rFonts w:ascii="宋体" w:hAnsi="宋体" w:cs="宋体"/>
          <w:color w:val="auto"/>
          <w:sz w:val="24"/>
          <w:highlight w:val="none"/>
        </w:rPr>
      </w:pPr>
      <w:r>
        <w:rPr>
          <w:rFonts w:hint="eastAsia" w:ascii="宋体" w:hAnsi="宋体" w:cs="宋体"/>
          <w:color w:val="auto"/>
          <w:sz w:val="24"/>
          <w:highlight w:val="none"/>
        </w:rPr>
        <w:t>法定代表：（签字或盖章）                        授权代表：（签字或盖章）</w:t>
      </w:r>
    </w:p>
    <w:p>
      <w:pPr>
        <w:adjustRightInd w:val="0"/>
        <w:snapToGrid w:val="0"/>
        <w:spacing w:line="360" w:lineRule="auto"/>
        <w:ind w:firstLine="5160" w:firstLineChars="2150"/>
        <w:rPr>
          <w:rFonts w:ascii="宋体" w:hAnsi="宋体" w:cs="宋体"/>
          <w:color w:val="auto"/>
          <w:sz w:val="24"/>
          <w:highlight w:val="none"/>
        </w:rPr>
      </w:pPr>
      <w:r>
        <w:rPr>
          <w:rFonts w:hint="eastAsia" w:ascii="宋体" w:hAnsi="宋体" w:cs="宋体"/>
          <w:color w:val="auto"/>
          <w:sz w:val="24"/>
          <w:highlight w:val="none"/>
        </w:rPr>
        <w:t>日期：年月日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pPr>
              <w:adjustRightInd w:val="0"/>
              <w:snapToGrid w:val="0"/>
              <w:spacing w:line="360" w:lineRule="auto"/>
              <w:jc w:val="center"/>
              <w:rPr>
                <w:rFonts w:ascii="宋体" w:hAnsi="宋体" w:cs="宋体"/>
                <w:color w:val="auto"/>
                <w:highlight w:val="none"/>
              </w:rPr>
            </w:pPr>
            <w:r>
              <w:rPr>
                <w:rFonts w:hint="eastAsia" w:ascii="宋体" w:hAnsi="宋体" w:cs="宋体"/>
                <w:color w:val="auto"/>
                <w:highlight w:val="none"/>
              </w:rPr>
              <w:t>授权代表身份证复印件粘贴处（正、反面）</w:t>
            </w:r>
          </w:p>
        </w:tc>
      </w:tr>
    </w:tbl>
    <w:p>
      <w:pPr>
        <w:adjustRightInd w:val="0"/>
        <w:snapToGrid w:val="0"/>
        <w:spacing w:line="312" w:lineRule="auto"/>
        <w:rPr>
          <w:rFonts w:ascii="宋体" w:hAnsi="宋体" w:cs="宋体"/>
          <w:b/>
          <w:color w:val="auto"/>
          <w:sz w:val="24"/>
          <w:highlight w:val="none"/>
        </w:rPr>
      </w:pPr>
      <w:r>
        <w:rPr>
          <w:rFonts w:hint="eastAsia" w:ascii="宋体" w:hAnsi="宋体" w:cs="宋体"/>
          <w:b/>
          <w:color w:val="auto"/>
          <w:sz w:val="24"/>
          <w:highlight w:val="none"/>
        </w:rPr>
        <w:t>注：如投标文件由授权代表签字或盖章的，投标文件必须附此授权委托书，否则视为无效投标文件。</w:t>
      </w:r>
    </w:p>
    <w:bookmarkEnd w:id="91"/>
    <w:p>
      <w:pPr>
        <w:pStyle w:val="625"/>
        <w:ind w:firstLine="560"/>
        <w:rPr>
          <w:color w:val="auto"/>
          <w:highlight w:val="none"/>
          <w:lang w:val="zh-CN"/>
        </w:rPr>
      </w:pPr>
      <w:bookmarkStart w:id="99" w:name="_Toc522530054"/>
      <w:bookmarkStart w:id="100" w:name="_Toc354859551"/>
      <w:bookmarkStart w:id="101" w:name="_Toc233618991"/>
      <w:bookmarkStart w:id="102" w:name="_Toc354859475"/>
      <w:bookmarkStart w:id="103" w:name="_Toc354859632"/>
      <w:bookmarkStart w:id="104" w:name="_Toc391277571"/>
    </w:p>
    <w:p>
      <w:pPr>
        <w:pStyle w:val="625"/>
        <w:ind w:firstLine="560"/>
        <w:rPr>
          <w:color w:val="auto"/>
          <w:highlight w:val="none"/>
          <w:lang w:val="zh-CN"/>
        </w:rPr>
      </w:pPr>
    </w:p>
    <w:p>
      <w:pPr>
        <w:pStyle w:val="625"/>
        <w:ind w:firstLine="560"/>
        <w:rPr>
          <w:color w:val="auto"/>
          <w:highlight w:val="none"/>
          <w:lang w:val="zh-CN"/>
        </w:rPr>
      </w:pPr>
    </w:p>
    <w:p>
      <w:pPr>
        <w:pStyle w:val="625"/>
        <w:ind w:firstLine="560"/>
        <w:rPr>
          <w:color w:val="auto"/>
          <w:highlight w:val="none"/>
          <w:lang w:val="zh-CN"/>
        </w:rPr>
      </w:pPr>
    </w:p>
    <w:p>
      <w:pPr>
        <w:pStyle w:val="625"/>
        <w:ind w:firstLine="560"/>
        <w:rPr>
          <w:color w:val="auto"/>
          <w:highlight w:val="none"/>
          <w:lang w:val="zh-CN"/>
        </w:rPr>
      </w:pPr>
    </w:p>
    <w:p>
      <w:pPr>
        <w:pStyle w:val="625"/>
        <w:ind w:firstLine="560"/>
        <w:rPr>
          <w:color w:val="auto"/>
          <w:highlight w:val="none"/>
          <w:lang w:val="zh-CN"/>
        </w:rPr>
      </w:pPr>
    </w:p>
    <w:p>
      <w:pPr>
        <w:pStyle w:val="625"/>
        <w:ind w:firstLine="560"/>
        <w:rPr>
          <w:rFonts w:ascii="宋体"/>
          <w:color w:val="auto"/>
          <w:highlight w:val="none"/>
          <w:lang w:val="zh-CN"/>
        </w:rPr>
      </w:pPr>
    </w:p>
    <w:p>
      <w:pPr>
        <w:pStyle w:val="625"/>
        <w:ind w:firstLine="560"/>
        <w:rPr>
          <w:color w:val="auto"/>
          <w:highlight w:val="none"/>
          <w:lang w:val="zh-CN"/>
        </w:rPr>
      </w:pPr>
    </w:p>
    <w:p>
      <w:pPr>
        <w:pStyle w:val="47"/>
        <w:adjustRightInd w:val="0"/>
        <w:snapToGrid w:val="0"/>
        <w:spacing w:line="360" w:lineRule="auto"/>
        <w:jc w:val="center"/>
        <w:outlineLvl w:val="1"/>
        <w:rPr>
          <w:rFonts w:hAnsi="宋体" w:cs="宋体"/>
          <w:b/>
          <w:color w:val="auto"/>
          <w:kern w:val="0"/>
          <w:sz w:val="30"/>
          <w:highlight w:val="none"/>
          <w:lang w:val="zh-CN"/>
        </w:rPr>
      </w:pPr>
      <w:bookmarkStart w:id="105" w:name="_Toc126886007"/>
      <w:bookmarkStart w:id="106" w:name="_Toc10253"/>
      <w:r>
        <w:rPr>
          <w:rFonts w:hint="eastAsia" w:hAnsi="宋体" w:cs="宋体"/>
          <w:b/>
          <w:color w:val="auto"/>
          <w:kern w:val="0"/>
          <w:sz w:val="30"/>
          <w:highlight w:val="none"/>
          <w:lang w:val="zh-CN"/>
        </w:rPr>
        <w:t>格式四：以往业绩情况表</w:t>
      </w:r>
      <w:bookmarkEnd w:id="99"/>
      <w:bookmarkEnd w:id="105"/>
      <w:bookmarkEnd w:id="106"/>
    </w:p>
    <w:p>
      <w:pPr>
        <w:adjustRightInd w:val="0"/>
        <w:snapToGrid w:val="0"/>
        <w:spacing w:line="360" w:lineRule="auto"/>
        <w:jc w:val="center"/>
        <w:rPr>
          <w:rFonts w:ascii="宋体" w:hAnsi="宋体" w:cs="宋体"/>
          <w:b/>
          <w:color w:val="auto"/>
          <w:sz w:val="24"/>
          <w:highlight w:val="none"/>
        </w:rPr>
      </w:pPr>
      <w:bookmarkStart w:id="107" w:name="_Toc522530055"/>
      <w:bookmarkStart w:id="108" w:name="_Toc25910"/>
      <w:r>
        <w:rPr>
          <w:rFonts w:hint="eastAsia" w:ascii="宋体" w:hAnsi="宋体" w:cs="宋体"/>
          <w:b/>
          <w:color w:val="auto"/>
          <w:sz w:val="24"/>
          <w:highlight w:val="none"/>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年</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月</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日以来企业业绩情况汇总表</w:t>
      </w:r>
    </w:p>
    <w:tbl>
      <w:tblPr>
        <w:tblStyle w:val="88"/>
        <w:tblW w:w="924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984"/>
        <w:gridCol w:w="2123"/>
        <w:gridCol w:w="1109"/>
        <w:gridCol w:w="1568"/>
        <w:gridCol w:w="90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18"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2984"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项目名称</w:t>
            </w:r>
          </w:p>
        </w:tc>
        <w:tc>
          <w:tcPr>
            <w:tcW w:w="2123"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kern w:val="0"/>
                <w:sz w:val="24"/>
                <w:szCs w:val="24"/>
                <w:highlight w:val="none"/>
              </w:rPr>
            </w:pPr>
            <w:r>
              <w:rPr>
                <w:rFonts w:hint="eastAsia" w:ascii="宋体" w:hAnsi="宋体" w:cs="宋体"/>
                <w:b/>
                <w:color w:val="auto"/>
                <w:sz w:val="24"/>
                <w:szCs w:val="24"/>
                <w:highlight w:val="none"/>
              </w:rPr>
              <w:t>合同内容</w:t>
            </w:r>
          </w:p>
        </w:tc>
        <w:tc>
          <w:tcPr>
            <w:tcW w:w="1109"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合同价</w:t>
            </w:r>
          </w:p>
        </w:tc>
        <w:tc>
          <w:tcPr>
            <w:tcW w:w="1568"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合同签订日期</w:t>
            </w:r>
          </w:p>
        </w:tc>
        <w:tc>
          <w:tcPr>
            <w:tcW w:w="904" w:type="dxa"/>
            <w:tcBorders>
              <w:top w:val="single" w:color="auto" w:sz="18" w:space="0"/>
              <w:left w:val="single" w:color="auto" w:sz="4" w:space="0"/>
              <w:bottom w:val="single" w:color="auto" w:sz="4" w:space="0"/>
              <w:right w:val="single" w:color="auto" w:sz="18" w:space="0"/>
            </w:tcBorders>
            <w:vAlign w:val="center"/>
          </w:tcPr>
          <w:p>
            <w:pPr>
              <w:autoSpaceDE w:val="0"/>
              <w:autoSpaceDN w:val="0"/>
              <w:adjustRightInd w:val="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18" w:space="0"/>
              <w:right w:val="single" w:color="auto" w:sz="4" w:space="0"/>
            </w:tcBorders>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984"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2123"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109"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1568"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ascii="宋体" w:hAnsi="宋体" w:cs="宋体"/>
                <w:color w:val="auto"/>
                <w:kern w:val="0"/>
                <w:sz w:val="24"/>
                <w:szCs w:val="24"/>
                <w:highlight w:val="none"/>
              </w:rPr>
            </w:pPr>
          </w:p>
        </w:tc>
        <w:tc>
          <w:tcPr>
            <w:tcW w:w="904" w:type="dxa"/>
            <w:tcBorders>
              <w:top w:val="single" w:color="auto" w:sz="4" w:space="0"/>
              <w:left w:val="single" w:color="auto" w:sz="4" w:space="0"/>
              <w:bottom w:val="single" w:color="auto" w:sz="18" w:space="0"/>
              <w:right w:val="single" w:color="auto" w:sz="18" w:space="0"/>
            </w:tcBorders>
            <w:vAlign w:val="center"/>
          </w:tcPr>
          <w:p>
            <w:pPr>
              <w:autoSpaceDE w:val="0"/>
              <w:autoSpaceDN w:val="0"/>
              <w:adjustRightInd w:val="0"/>
              <w:rPr>
                <w:rFonts w:ascii="宋体" w:hAnsi="宋体" w:cs="宋体"/>
                <w:color w:val="auto"/>
                <w:kern w:val="0"/>
                <w:sz w:val="24"/>
                <w:szCs w:val="24"/>
                <w:highlight w:val="none"/>
              </w:rPr>
            </w:pPr>
          </w:p>
        </w:tc>
      </w:tr>
    </w:tbl>
    <w:p>
      <w:pPr>
        <w:adjustRightInd w:val="0"/>
        <w:snapToGrid w:val="0"/>
        <w:spacing w:line="360" w:lineRule="auto"/>
        <w:rPr>
          <w:rFonts w:ascii="宋体" w:hAnsi="宋体" w:cs="宋体"/>
          <w:color w:val="auto"/>
          <w:sz w:val="24"/>
          <w:highlight w:val="none"/>
        </w:rPr>
      </w:pPr>
      <w:r>
        <w:rPr>
          <w:rFonts w:hint="eastAsia" w:ascii="宋体" w:hAnsi="宋体" w:cs="宋体"/>
          <w:b/>
          <w:color w:val="auto"/>
          <w:kern w:val="0"/>
          <w:sz w:val="24"/>
          <w:szCs w:val="24"/>
          <w:highlight w:val="none"/>
        </w:rPr>
        <w:t>注：本表后附评分办法中要求的证明材料。</w:t>
      </w:r>
    </w:p>
    <w:p>
      <w:pPr>
        <w:adjustRightInd w:val="0"/>
        <w:snapToGrid w:val="0"/>
        <w:spacing w:line="360" w:lineRule="auto"/>
        <w:rPr>
          <w:rFonts w:ascii="宋体" w:hAnsi="宋体" w:cs="宋体"/>
          <w:color w:val="auto"/>
          <w:kern w:val="0"/>
          <w:sz w:val="24"/>
          <w:highlight w:val="none"/>
          <w:lang w:val="zh-CN"/>
        </w:rPr>
      </w:pPr>
    </w:p>
    <w:p>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adjustRightInd w:val="0"/>
        <w:snapToGrid w:val="0"/>
        <w:spacing w:line="360" w:lineRule="auto"/>
        <w:jc w:val="center"/>
        <w:rPr>
          <w:rFonts w:ascii="宋体" w:hAnsi="宋体" w:cs="宋体"/>
          <w:b/>
          <w:color w:val="auto"/>
          <w:sz w:val="24"/>
          <w:highlight w:val="none"/>
        </w:rPr>
      </w:pPr>
    </w:p>
    <w:p>
      <w:pPr>
        <w:pStyle w:val="37"/>
        <w:ind w:firstLine="301"/>
        <w:rPr>
          <w:rFonts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ind w:firstLine="562" w:firstLineChars="200"/>
        <w:jc w:val="center"/>
        <w:rPr>
          <w:rFonts w:ascii="宋体" w:hAnsi="宋体" w:cs="宋体"/>
          <w:b/>
          <w:color w:val="auto"/>
          <w:highlight w:val="none"/>
        </w:rPr>
      </w:pPr>
    </w:p>
    <w:p>
      <w:pPr>
        <w:pStyle w:val="4"/>
        <w:ind w:left="0" w:firstLine="0"/>
        <w:jc w:val="center"/>
        <w:rPr>
          <w:rFonts w:ascii="宋体" w:hAnsi="宋体" w:eastAsia="宋体" w:cs="宋体"/>
          <w:color w:val="auto"/>
          <w:kern w:val="0"/>
          <w:sz w:val="30"/>
          <w:highlight w:val="none"/>
          <w:lang w:val="zh-CN"/>
        </w:rPr>
      </w:pPr>
      <w:bookmarkStart w:id="109" w:name="_Toc126886008"/>
      <w:r>
        <w:rPr>
          <w:rFonts w:hint="eastAsia" w:ascii="宋体" w:hAnsi="宋体" w:eastAsia="宋体" w:cs="宋体"/>
          <w:color w:val="auto"/>
          <w:kern w:val="0"/>
          <w:sz w:val="30"/>
          <w:highlight w:val="none"/>
          <w:lang w:val="zh-CN"/>
        </w:rPr>
        <w:t>格式五：偏离表</w:t>
      </w:r>
      <w:bookmarkEnd w:id="109"/>
    </w:p>
    <w:p>
      <w:pPr>
        <w:pStyle w:val="240"/>
        <w:keepNext w:val="0"/>
        <w:spacing w:line="500" w:lineRule="exact"/>
        <w:jc w:val="both"/>
        <w:outlineLvl w:val="9"/>
        <w:rPr>
          <w:rFonts w:ascii="宋体" w:hAnsi="宋体"/>
          <w:color w:val="auto"/>
          <w:sz w:val="24"/>
          <w:highlight w:val="none"/>
        </w:rPr>
      </w:pPr>
      <w:bookmarkStart w:id="110" w:name="_Toc23415"/>
      <w:bookmarkStart w:id="111" w:name="_Toc8247"/>
      <w:bookmarkStart w:id="112" w:name="_Toc476645124"/>
      <w:r>
        <w:rPr>
          <w:rFonts w:hint="eastAsia" w:ascii="宋体" w:hAnsi="宋体"/>
          <w:color w:val="auto"/>
          <w:sz w:val="24"/>
          <w:highlight w:val="none"/>
        </w:rPr>
        <w:t>项目名称：</w:t>
      </w:r>
      <w:bookmarkEnd w:id="110"/>
      <w:bookmarkEnd w:id="111"/>
      <w:bookmarkEnd w:id="112"/>
    </w:p>
    <w:p>
      <w:pPr>
        <w:pStyle w:val="240"/>
        <w:keepNext w:val="0"/>
        <w:spacing w:line="500" w:lineRule="exact"/>
        <w:jc w:val="both"/>
        <w:outlineLvl w:val="9"/>
        <w:rPr>
          <w:rFonts w:ascii="宋体" w:hAnsi="宋体" w:cs="宋体"/>
          <w:b w:val="0"/>
          <w:color w:val="auto"/>
          <w:sz w:val="24"/>
          <w:szCs w:val="24"/>
          <w:highlight w:val="none"/>
        </w:rPr>
      </w:pPr>
      <w:bookmarkStart w:id="113" w:name="_Toc14509"/>
      <w:bookmarkStart w:id="114" w:name="_Toc28387"/>
      <w:bookmarkStart w:id="115" w:name="_Toc476645125"/>
      <w:r>
        <w:rPr>
          <w:rFonts w:hint="eastAsia" w:ascii="宋体" w:hAnsi="宋体"/>
          <w:color w:val="auto"/>
          <w:sz w:val="24"/>
          <w:highlight w:val="none"/>
        </w:rPr>
        <w:t>项目编号：</w:t>
      </w:r>
      <w:bookmarkEnd w:id="113"/>
      <w:bookmarkEnd w:id="114"/>
      <w:bookmarkEnd w:id="115"/>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269"/>
        <w:gridCol w:w="1540"/>
        <w:gridCol w:w="1540"/>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18" w:space="0"/>
              <w:left w:val="single" w:color="000000" w:sz="18" w:space="0"/>
              <w:bottom w:val="single" w:color="000000" w:sz="2" w:space="0"/>
              <w:right w:val="single" w:color="000000" w:sz="2" w:space="0"/>
            </w:tcBorders>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269" w:type="dxa"/>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名称</w:t>
            </w:r>
          </w:p>
        </w:tc>
        <w:tc>
          <w:tcPr>
            <w:tcW w:w="1540" w:type="dxa"/>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招标文件技术规范要求</w:t>
            </w:r>
          </w:p>
        </w:tc>
        <w:tc>
          <w:tcPr>
            <w:tcW w:w="1540" w:type="dxa"/>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投标人响应详细内容</w:t>
            </w:r>
          </w:p>
        </w:tc>
        <w:tc>
          <w:tcPr>
            <w:tcW w:w="1541" w:type="dxa"/>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说明（正偏离/负偏离）</w:t>
            </w:r>
          </w:p>
        </w:tc>
        <w:tc>
          <w:tcPr>
            <w:tcW w:w="1541" w:type="dxa"/>
            <w:tcBorders>
              <w:top w:val="single" w:color="000000" w:sz="18" w:space="0"/>
              <w:left w:val="single" w:color="000000" w:sz="2" w:space="0"/>
              <w:bottom w:val="single" w:color="000000" w:sz="2" w:space="0"/>
              <w:right w:val="single" w:color="000000" w:sz="18" w:space="0"/>
            </w:tcBorders>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op w:val="single" w:color="000000" w:sz="2" w:space="0"/>
              <w:left w:val="single" w:color="000000" w:sz="18" w:space="0"/>
              <w:bottom w:val="single" w:color="000000" w:sz="2" w:space="0"/>
              <w:right w:val="single" w:color="000000" w:sz="2" w:space="0"/>
            </w:tcBorders>
          </w:tcPr>
          <w:p>
            <w:pPr>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18" w:space="0"/>
            </w:tcBorders>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pPr>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18" w:space="0"/>
            </w:tcBorders>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pPr>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18" w:space="0"/>
            </w:tcBorders>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pPr>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269"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18" w:space="0"/>
            </w:tcBorders>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pPr>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2269"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18" w:space="0"/>
            </w:tcBorders>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pPr>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2269"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18" w:space="0"/>
            </w:tcBorders>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pPr>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2269"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18" w:space="0"/>
            </w:tcBorders>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pPr>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2269"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18" w:space="0"/>
            </w:tcBorders>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pPr>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2269"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2" w:space="0"/>
              <w:right w:val="single" w:color="000000" w:sz="18" w:space="0"/>
            </w:tcBorders>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18" w:space="0"/>
              <w:right w:val="single" w:color="000000" w:sz="2" w:space="0"/>
            </w:tcBorders>
          </w:tcPr>
          <w:p>
            <w:pPr>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2269" w:type="dxa"/>
            <w:tcBorders>
              <w:top w:val="single" w:color="000000" w:sz="2" w:space="0"/>
              <w:left w:val="single" w:color="000000" w:sz="2" w:space="0"/>
              <w:bottom w:val="single" w:color="000000" w:sz="18"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18" w:space="0"/>
              <w:right w:val="single" w:color="000000" w:sz="2" w:space="0"/>
            </w:tcBorders>
          </w:tcPr>
          <w:p>
            <w:pPr>
              <w:spacing w:line="500" w:lineRule="exact"/>
              <w:rPr>
                <w:rFonts w:ascii="宋体" w:hAnsi="宋体" w:cs="宋体"/>
                <w:color w:val="auto"/>
                <w:kern w:val="0"/>
                <w:sz w:val="24"/>
                <w:szCs w:val="24"/>
                <w:highlight w:val="none"/>
              </w:rPr>
            </w:pPr>
          </w:p>
        </w:tc>
        <w:tc>
          <w:tcPr>
            <w:tcW w:w="1540" w:type="dxa"/>
            <w:tcBorders>
              <w:top w:val="single" w:color="000000" w:sz="2" w:space="0"/>
              <w:left w:val="single" w:color="000000" w:sz="2" w:space="0"/>
              <w:bottom w:val="single" w:color="000000" w:sz="18"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18" w:space="0"/>
              <w:right w:val="single" w:color="000000" w:sz="2" w:space="0"/>
            </w:tcBorders>
          </w:tcPr>
          <w:p>
            <w:pPr>
              <w:spacing w:line="500" w:lineRule="exact"/>
              <w:rPr>
                <w:rFonts w:ascii="宋体" w:hAnsi="宋体" w:cs="宋体"/>
                <w:color w:val="auto"/>
                <w:kern w:val="0"/>
                <w:sz w:val="24"/>
                <w:szCs w:val="24"/>
                <w:highlight w:val="none"/>
              </w:rPr>
            </w:pPr>
          </w:p>
        </w:tc>
        <w:tc>
          <w:tcPr>
            <w:tcW w:w="1541" w:type="dxa"/>
            <w:tcBorders>
              <w:top w:val="single" w:color="000000" w:sz="2" w:space="0"/>
              <w:left w:val="single" w:color="000000" w:sz="2" w:space="0"/>
              <w:bottom w:val="single" w:color="000000" w:sz="18" w:space="0"/>
              <w:right w:val="single" w:color="000000" w:sz="18" w:space="0"/>
            </w:tcBorders>
          </w:tcPr>
          <w:p>
            <w:pPr>
              <w:spacing w:line="500" w:lineRule="exact"/>
              <w:rPr>
                <w:rFonts w:ascii="宋体" w:hAnsi="宋体" w:cs="宋体"/>
                <w:color w:val="auto"/>
                <w:kern w:val="0"/>
                <w:sz w:val="24"/>
                <w:szCs w:val="24"/>
                <w:highlight w:val="none"/>
              </w:rPr>
            </w:pPr>
          </w:p>
        </w:tc>
      </w:tr>
    </w:tbl>
    <w:p>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注：</w:t>
      </w:r>
      <w:r>
        <w:rPr>
          <w:rFonts w:hint="eastAsia" w:ascii="宋体" w:hAnsi="宋体" w:cs="宋体"/>
          <w:color w:val="auto"/>
          <w:sz w:val="24"/>
          <w:highlight w:val="none"/>
        </w:rPr>
        <w:t>1、</w:t>
      </w:r>
      <w:r>
        <w:rPr>
          <w:rFonts w:ascii="宋体" w:hAnsi="宋体" w:cs="宋体"/>
          <w:color w:val="auto"/>
          <w:sz w:val="24"/>
          <w:highlight w:val="none"/>
        </w:rPr>
        <w:t>对招标文件有任何偏离（包括正偏离及负偏离）均应汇总并填写在此表中。</w:t>
      </w:r>
    </w:p>
    <w:p>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完全满足招标文件要求的投标人只需填写【</w:t>
      </w:r>
      <w:r>
        <w:rPr>
          <w:rFonts w:ascii="宋体" w:hAnsi="宋体" w:cs="宋体"/>
          <w:b/>
          <w:bCs/>
          <w:color w:val="auto"/>
          <w:sz w:val="24"/>
          <w:highlight w:val="none"/>
          <w:u w:val="single"/>
        </w:rPr>
        <w:t>完全满足招标文件的全部要求</w:t>
      </w:r>
      <w:r>
        <w:rPr>
          <w:rFonts w:ascii="宋体" w:hAnsi="宋体" w:cs="宋体"/>
          <w:color w:val="auto"/>
          <w:sz w:val="24"/>
          <w:highlight w:val="none"/>
        </w:rPr>
        <w:t>】。</w:t>
      </w:r>
    </w:p>
    <w:p>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若中标人以未在偏离表中列出的负偏离为由，不按招标要求签约，采购人有权取消该中标人的中标资格，并按有关规定重新确定中标人或另行采购。</w:t>
      </w:r>
    </w:p>
    <w:p>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投标文件响应内容对招标文件要求如有偏离均应填写偏离表，如不填写，采购人有权视作投标文件完全响应招标文件要求。</w:t>
      </w:r>
    </w:p>
    <w:p>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投标人可调整、修改上述表格。</w:t>
      </w:r>
    </w:p>
    <w:p>
      <w:pPr>
        <w:pStyle w:val="36"/>
        <w:ind w:left="560"/>
        <w:rPr>
          <w:color w:val="auto"/>
          <w:highlight w:val="none"/>
        </w:rPr>
      </w:pPr>
    </w:p>
    <w:p>
      <w:pPr>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pPr>
        <w:adjustRightInd w:val="0"/>
        <w:snapToGrid w:val="0"/>
        <w:spacing w:line="360" w:lineRule="auto"/>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pPr>
        <w:adjustRightInd w:val="0"/>
        <w:snapToGrid w:val="0"/>
        <w:spacing w:line="360" w:lineRule="auto"/>
        <w:rPr>
          <w:rFonts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lang w:val="zh-CN"/>
        </w:rPr>
        <w:t>日</w:t>
      </w:r>
    </w:p>
    <w:p>
      <w:pPr>
        <w:adjustRightInd w:val="0"/>
        <w:snapToGrid w:val="0"/>
        <w:spacing w:line="360" w:lineRule="auto"/>
        <w:ind w:firstLine="562" w:firstLineChars="200"/>
        <w:jc w:val="center"/>
        <w:rPr>
          <w:rFonts w:ascii="宋体" w:hAnsi="宋体" w:cs="宋体"/>
          <w:b/>
          <w:color w:val="auto"/>
          <w:highlight w:val="none"/>
        </w:rPr>
      </w:pPr>
    </w:p>
    <w:p>
      <w:pPr>
        <w:adjustRightInd w:val="0"/>
        <w:snapToGrid w:val="0"/>
        <w:spacing w:line="360" w:lineRule="auto"/>
        <w:ind w:firstLine="562" w:firstLineChars="200"/>
        <w:jc w:val="center"/>
        <w:rPr>
          <w:rFonts w:ascii="宋体" w:hAnsi="宋体" w:cs="宋体"/>
          <w:b/>
          <w:color w:val="auto"/>
          <w:highlight w:val="none"/>
        </w:rPr>
      </w:pPr>
    </w:p>
    <w:p>
      <w:pPr>
        <w:adjustRightInd w:val="0"/>
        <w:snapToGrid w:val="0"/>
        <w:spacing w:line="360" w:lineRule="auto"/>
        <w:ind w:firstLine="562" w:firstLineChars="200"/>
        <w:jc w:val="center"/>
        <w:rPr>
          <w:rFonts w:ascii="宋体" w:hAnsi="宋体" w:cs="宋体"/>
          <w:b/>
          <w:color w:val="auto"/>
          <w:highlight w:val="none"/>
        </w:rPr>
      </w:pPr>
    </w:p>
    <w:p>
      <w:pPr>
        <w:adjustRightInd w:val="0"/>
        <w:snapToGrid w:val="0"/>
        <w:spacing w:line="360" w:lineRule="auto"/>
        <w:ind w:firstLine="562" w:firstLineChars="200"/>
        <w:jc w:val="center"/>
        <w:rPr>
          <w:rFonts w:ascii="宋体" w:hAnsi="宋体" w:cs="宋体"/>
          <w:b/>
          <w:color w:val="auto"/>
          <w:highlight w:val="none"/>
        </w:rPr>
      </w:pPr>
    </w:p>
    <w:p>
      <w:pPr>
        <w:adjustRightInd w:val="0"/>
        <w:snapToGrid w:val="0"/>
        <w:spacing w:line="360" w:lineRule="auto"/>
        <w:ind w:firstLine="562" w:firstLineChars="200"/>
        <w:jc w:val="center"/>
        <w:rPr>
          <w:rFonts w:ascii="宋体" w:hAnsi="宋体" w:cs="宋体"/>
          <w:b/>
          <w:color w:val="auto"/>
          <w:highlight w:val="none"/>
        </w:rPr>
      </w:pPr>
    </w:p>
    <w:p>
      <w:pPr>
        <w:pStyle w:val="4"/>
        <w:ind w:left="0" w:firstLine="0"/>
        <w:jc w:val="center"/>
        <w:rPr>
          <w:rFonts w:ascii="宋体" w:hAnsi="宋体" w:eastAsia="宋体" w:cs="宋体"/>
          <w:color w:val="auto"/>
          <w:kern w:val="0"/>
          <w:sz w:val="30"/>
          <w:highlight w:val="none"/>
          <w:lang w:val="zh-CN"/>
        </w:rPr>
      </w:pPr>
      <w:bookmarkStart w:id="116" w:name="_Toc126886009"/>
      <w:r>
        <w:rPr>
          <w:rFonts w:hint="eastAsia" w:ascii="宋体" w:hAnsi="宋体" w:eastAsia="宋体" w:cs="宋体"/>
          <w:color w:val="auto"/>
          <w:kern w:val="0"/>
          <w:sz w:val="30"/>
          <w:highlight w:val="none"/>
          <w:lang w:val="zh-CN"/>
        </w:rPr>
        <w:t>格式六：</w:t>
      </w:r>
      <w:bookmarkEnd w:id="107"/>
      <w:bookmarkEnd w:id="108"/>
      <w:bookmarkStart w:id="117" w:name="_Toc522530057"/>
      <w:r>
        <w:rPr>
          <w:rFonts w:hint="eastAsia" w:ascii="宋体" w:hAnsi="宋体" w:eastAsia="宋体" w:cs="宋体"/>
          <w:color w:val="auto"/>
          <w:kern w:val="0"/>
          <w:sz w:val="30"/>
          <w:highlight w:val="none"/>
          <w:lang w:val="zh-CN"/>
        </w:rPr>
        <w:t>拟投入本项目的服务团队情况表</w:t>
      </w:r>
      <w:bookmarkEnd w:id="116"/>
      <w:bookmarkEnd w:id="117"/>
    </w:p>
    <w:p>
      <w:pPr>
        <w:adjustRightInd w:val="0"/>
        <w:snapToGrid w:val="0"/>
        <w:jc w:val="center"/>
        <w:rPr>
          <w:rFonts w:ascii="宋体" w:hAnsi="宋体" w:cs="宋体"/>
          <w:b/>
          <w:color w:val="auto"/>
          <w:sz w:val="24"/>
          <w:highlight w:val="none"/>
        </w:rPr>
      </w:pPr>
      <w:r>
        <w:rPr>
          <w:rFonts w:hint="eastAsia" w:ascii="宋体" w:hAnsi="宋体" w:cs="宋体"/>
          <w:b/>
          <w:color w:val="auto"/>
          <w:sz w:val="24"/>
          <w:highlight w:val="none"/>
        </w:rPr>
        <w:t>拟投入本项目的服务团队情况表</w:t>
      </w:r>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pPr>
              <w:autoSpaceDE w:val="0"/>
              <w:autoSpaceDN w:val="0"/>
              <w:adjustRightInd w:val="0"/>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252" w:type="dxa"/>
            <w:vAlign w:val="center"/>
          </w:tcPr>
          <w:p>
            <w:pPr>
              <w:autoSpaceDE w:val="0"/>
              <w:autoSpaceDN w:val="0"/>
              <w:adjustRightInd w:val="0"/>
              <w:jc w:val="center"/>
              <w:rPr>
                <w:rFonts w:ascii="宋体" w:hAnsi="宋体" w:cs="宋体"/>
                <w:b/>
                <w:color w:val="auto"/>
                <w:kern w:val="0"/>
                <w:sz w:val="24"/>
                <w:highlight w:val="none"/>
              </w:rPr>
            </w:pPr>
            <w:r>
              <w:rPr>
                <w:rFonts w:hint="eastAsia" w:ascii="宋体" w:hAnsi="宋体" w:cs="宋体"/>
                <w:b/>
                <w:color w:val="auto"/>
                <w:kern w:val="0"/>
                <w:sz w:val="24"/>
                <w:highlight w:val="none"/>
              </w:rPr>
              <w:t>姓名</w:t>
            </w:r>
          </w:p>
        </w:tc>
        <w:tc>
          <w:tcPr>
            <w:tcW w:w="3392" w:type="dxa"/>
            <w:vAlign w:val="center"/>
          </w:tcPr>
          <w:p>
            <w:pPr>
              <w:autoSpaceDE w:val="0"/>
              <w:autoSpaceDN w:val="0"/>
              <w:adjustRightInd w:val="0"/>
              <w:jc w:val="center"/>
              <w:rPr>
                <w:rFonts w:ascii="宋体" w:hAnsi="宋体" w:cs="宋体"/>
                <w:b/>
                <w:color w:val="auto"/>
                <w:kern w:val="0"/>
                <w:sz w:val="24"/>
                <w:highlight w:val="none"/>
              </w:rPr>
            </w:pPr>
            <w:r>
              <w:rPr>
                <w:rFonts w:hint="eastAsia" w:ascii="宋体" w:hAnsi="宋体" w:cs="宋体"/>
                <w:b/>
                <w:color w:val="auto"/>
                <w:kern w:val="0"/>
                <w:sz w:val="24"/>
                <w:highlight w:val="none"/>
              </w:rPr>
              <w:t>职称及相关专业认证（或执业资格）情况（如评分需要）</w:t>
            </w:r>
          </w:p>
        </w:tc>
        <w:tc>
          <w:tcPr>
            <w:tcW w:w="1417" w:type="dxa"/>
            <w:vAlign w:val="center"/>
          </w:tcPr>
          <w:p>
            <w:pPr>
              <w:autoSpaceDE w:val="0"/>
              <w:autoSpaceDN w:val="0"/>
              <w:adjustRightInd w:val="0"/>
              <w:jc w:val="center"/>
              <w:rPr>
                <w:rFonts w:ascii="宋体" w:hAnsi="宋体" w:cs="宋体"/>
                <w:b/>
                <w:color w:val="auto"/>
                <w:kern w:val="0"/>
                <w:sz w:val="24"/>
                <w:highlight w:val="none"/>
              </w:rPr>
            </w:pPr>
            <w:r>
              <w:rPr>
                <w:rFonts w:hint="eastAsia" w:ascii="宋体" w:hAnsi="宋体" w:cs="宋体"/>
                <w:b/>
                <w:color w:val="auto"/>
                <w:kern w:val="0"/>
                <w:sz w:val="24"/>
                <w:highlight w:val="none"/>
              </w:rPr>
              <w:t>在本单位工作年限</w:t>
            </w:r>
          </w:p>
        </w:tc>
        <w:tc>
          <w:tcPr>
            <w:tcW w:w="1555" w:type="dxa"/>
            <w:vAlign w:val="center"/>
          </w:tcPr>
          <w:p>
            <w:pPr>
              <w:autoSpaceDE w:val="0"/>
              <w:autoSpaceDN w:val="0"/>
              <w:adjustRightInd w:val="0"/>
              <w:jc w:val="center"/>
              <w:rPr>
                <w:rFonts w:ascii="宋体" w:hAnsi="宋体" w:cs="宋体"/>
                <w:b/>
                <w:color w:val="auto"/>
                <w:kern w:val="0"/>
                <w:sz w:val="24"/>
                <w:highlight w:val="none"/>
              </w:rPr>
            </w:pPr>
            <w:r>
              <w:rPr>
                <w:rFonts w:hint="eastAsia" w:ascii="宋体" w:hAnsi="宋体" w:cs="宋体"/>
                <w:b/>
                <w:color w:val="auto"/>
                <w:kern w:val="0"/>
                <w:sz w:val="24"/>
                <w:highlight w:val="none"/>
              </w:rPr>
              <w:t>在本项目中拟担任职务</w:t>
            </w:r>
          </w:p>
        </w:tc>
        <w:tc>
          <w:tcPr>
            <w:tcW w:w="1052" w:type="dxa"/>
            <w:vAlign w:val="center"/>
          </w:tcPr>
          <w:p>
            <w:pPr>
              <w:autoSpaceDE w:val="0"/>
              <w:autoSpaceDN w:val="0"/>
              <w:adjustRightInd w:val="0"/>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252" w:type="dxa"/>
            <w:vAlign w:val="center"/>
          </w:tcPr>
          <w:p>
            <w:pPr>
              <w:autoSpaceDE w:val="0"/>
              <w:autoSpaceDN w:val="0"/>
              <w:adjustRightInd w:val="0"/>
              <w:rPr>
                <w:rFonts w:ascii="宋体" w:hAnsi="宋体" w:cs="宋体"/>
                <w:color w:val="auto"/>
                <w:kern w:val="0"/>
                <w:sz w:val="24"/>
                <w:highlight w:val="none"/>
              </w:rPr>
            </w:pPr>
          </w:p>
        </w:tc>
        <w:tc>
          <w:tcPr>
            <w:tcW w:w="3392" w:type="dxa"/>
            <w:vAlign w:val="center"/>
          </w:tcPr>
          <w:p>
            <w:pPr>
              <w:autoSpaceDE w:val="0"/>
              <w:autoSpaceDN w:val="0"/>
              <w:adjustRightInd w:val="0"/>
              <w:rPr>
                <w:rFonts w:ascii="宋体" w:hAnsi="宋体" w:cs="宋体"/>
                <w:color w:val="auto"/>
                <w:kern w:val="0"/>
                <w:sz w:val="24"/>
                <w:highlight w:val="none"/>
              </w:rPr>
            </w:pPr>
          </w:p>
        </w:tc>
        <w:tc>
          <w:tcPr>
            <w:tcW w:w="1417" w:type="dxa"/>
            <w:vAlign w:val="center"/>
          </w:tcPr>
          <w:p>
            <w:pPr>
              <w:autoSpaceDE w:val="0"/>
              <w:autoSpaceDN w:val="0"/>
              <w:adjustRightInd w:val="0"/>
              <w:rPr>
                <w:rFonts w:ascii="宋体" w:hAnsi="宋体" w:cs="宋体"/>
                <w:color w:val="auto"/>
                <w:kern w:val="0"/>
                <w:sz w:val="24"/>
                <w:highlight w:val="none"/>
              </w:rPr>
            </w:pPr>
          </w:p>
        </w:tc>
        <w:tc>
          <w:tcPr>
            <w:tcW w:w="1555" w:type="dxa"/>
            <w:vAlign w:val="center"/>
          </w:tcPr>
          <w:p>
            <w:pPr>
              <w:autoSpaceDE w:val="0"/>
              <w:autoSpaceDN w:val="0"/>
              <w:adjustRightInd w:val="0"/>
              <w:rPr>
                <w:rFonts w:ascii="宋体" w:hAnsi="宋体" w:cs="宋体"/>
                <w:color w:val="auto"/>
                <w:kern w:val="0"/>
                <w:sz w:val="24"/>
                <w:highlight w:val="none"/>
              </w:rPr>
            </w:pPr>
            <w:r>
              <w:rPr>
                <w:rFonts w:hint="eastAsia" w:ascii="宋体" w:hAnsi="宋体" w:cs="宋体"/>
                <w:color w:val="auto"/>
                <w:kern w:val="0"/>
                <w:sz w:val="24"/>
                <w:highlight w:val="none"/>
              </w:rPr>
              <w:t xml:space="preserve"> 项目负责人</w:t>
            </w:r>
          </w:p>
        </w:tc>
        <w:tc>
          <w:tcPr>
            <w:tcW w:w="1052" w:type="dxa"/>
            <w:vAlign w:val="center"/>
          </w:tcPr>
          <w:p>
            <w:pPr>
              <w:autoSpaceDE w:val="0"/>
              <w:autoSpaceDN w:val="0"/>
              <w:adjustRightInd w:val="0"/>
              <w:rPr>
                <w:rFonts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252" w:type="dxa"/>
            <w:vAlign w:val="center"/>
          </w:tcPr>
          <w:p>
            <w:pPr>
              <w:autoSpaceDE w:val="0"/>
              <w:autoSpaceDN w:val="0"/>
              <w:adjustRightInd w:val="0"/>
              <w:rPr>
                <w:rFonts w:ascii="宋体" w:hAnsi="宋体" w:cs="宋体"/>
                <w:color w:val="auto"/>
                <w:kern w:val="0"/>
                <w:sz w:val="24"/>
                <w:highlight w:val="none"/>
              </w:rPr>
            </w:pPr>
          </w:p>
        </w:tc>
        <w:tc>
          <w:tcPr>
            <w:tcW w:w="3392" w:type="dxa"/>
            <w:vAlign w:val="center"/>
          </w:tcPr>
          <w:p>
            <w:pPr>
              <w:autoSpaceDE w:val="0"/>
              <w:autoSpaceDN w:val="0"/>
              <w:adjustRightInd w:val="0"/>
              <w:rPr>
                <w:rFonts w:ascii="宋体" w:hAnsi="宋体" w:cs="宋体"/>
                <w:color w:val="auto"/>
                <w:kern w:val="0"/>
                <w:sz w:val="24"/>
                <w:highlight w:val="none"/>
              </w:rPr>
            </w:pPr>
          </w:p>
        </w:tc>
        <w:tc>
          <w:tcPr>
            <w:tcW w:w="1417" w:type="dxa"/>
            <w:vAlign w:val="center"/>
          </w:tcPr>
          <w:p>
            <w:pPr>
              <w:autoSpaceDE w:val="0"/>
              <w:autoSpaceDN w:val="0"/>
              <w:adjustRightInd w:val="0"/>
              <w:rPr>
                <w:rFonts w:ascii="宋体" w:hAnsi="宋体" w:cs="宋体"/>
                <w:color w:val="auto"/>
                <w:kern w:val="0"/>
                <w:sz w:val="24"/>
                <w:highlight w:val="none"/>
              </w:rPr>
            </w:pPr>
          </w:p>
        </w:tc>
        <w:tc>
          <w:tcPr>
            <w:tcW w:w="1555" w:type="dxa"/>
            <w:vAlign w:val="center"/>
          </w:tcPr>
          <w:p>
            <w:pPr>
              <w:autoSpaceDE w:val="0"/>
              <w:autoSpaceDN w:val="0"/>
              <w:adjustRightInd w:val="0"/>
              <w:rPr>
                <w:rFonts w:ascii="宋体" w:hAnsi="宋体" w:cs="宋体"/>
                <w:color w:val="auto"/>
                <w:kern w:val="0"/>
                <w:sz w:val="24"/>
                <w:highlight w:val="none"/>
              </w:rPr>
            </w:pPr>
          </w:p>
        </w:tc>
        <w:tc>
          <w:tcPr>
            <w:tcW w:w="1052" w:type="dxa"/>
            <w:vAlign w:val="center"/>
          </w:tcPr>
          <w:p>
            <w:pPr>
              <w:autoSpaceDE w:val="0"/>
              <w:autoSpaceDN w:val="0"/>
              <w:adjustRightInd w:val="0"/>
              <w:rPr>
                <w:rFonts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252" w:type="dxa"/>
            <w:vAlign w:val="center"/>
          </w:tcPr>
          <w:p>
            <w:pPr>
              <w:autoSpaceDE w:val="0"/>
              <w:autoSpaceDN w:val="0"/>
              <w:adjustRightInd w:val="0"/>
              <w:rPr>
                <w:rFonts w:ascii="宋体" w:hAnsi="宋体" w:cs="宋体"/>
                <w:color w:val="auto"/>
                <w:kern w:val="0"/>
                <w:sz w:val="24"/>
                <w:highlight w:val="none"/>
              </w:rPr>
            </w:pPr>
          </w:p>
        </w:tc>
        <w:tc>
          <w:tcPr>
            <w:tcW w:w="3392" w:type="dxa"/>
            <w:vAlign w:val="center"/>
          </w:tcPr>
          <w:p>
            <w:pPr>
              <w:autoSpaceDE w:val="0"/>
              <w:autoSpaceDN w:val="0"/>
              <w:adjustRightInd w:val="0"/>
              <w:rPr>
                <w:rFonts w:ascii="宋体" w:hAnsi="宋体" w:cs="宋体"/>
                <w:color w:val="auto"/>
                <w:kern w:val="0"/>
                <w:sz w:val="24"/>
                <w:highlight w:val="none"/>
              </w:rPr>
            </w:pPr>
          </w:p>
        </w:tc>
        <w:tc>
          <w:tcPr>
            <w:tcW w:w="1417" w:type="dxa"/>
            <w:vAlign w:val="center"/>
          </w:tcPr>
          <w:p>
            <w:pPr>
              <w:autoSpaceDE w:val="0"/>
              <w:autoSpaceDN w:val="0"/>
              <w:adjustRightInd w:val="0"/>
              <w:rPr>
                <w:rFonts w:ascii="宋体" w:hAnsi="宋体" w:cs="宋体"/>
                <w:color w:val="auto"/>
                <w:kern w:val="0"/>
                <w:sz w:val="24"/>
                <w:highlight w:val="none"/>
              </w:rPr>
            </w:pPr>
          </w:p>
        </w:tc>
        <w:tc>
          <w:tcPr>
            <w:tcW w:w="1555" w:type="dxa"/>
            <w:vAlign w:val="center"/>
          </w:tcPr>
          <w:p>
            <w:pPr>
              <w:autoSpaceDE w:val="0"/>
              <w:autoSpaceDN w:val="0"/>
              <w:adjustRightInd w:val="0"/>
              <w:rPr>
                <w:rFonts w:ascii="宋体" w:hAnsi="宋体" w:cs="宋体"/>
                <w:color w:val="auto"/>
                <w:kern w:val="0"/>
                <w:sz w:val="24"/>
                <w:highlight w:val="none"/>
              </w:rPr>
            </w:pPr>
          </w:p>
        </w:tc>
        <w:tc>
          <w:tcPr>
            <w:tcW w:w="1052" w:type="dxa"/>
            <w:vAlign w:val="center"/>
          </w:tcPr>
          <w:p>
            <w:pPr>
              <w:autoSpaceDE w:val="0"/>
              <w:autoSpaceDN w:val="0"/>
              <w:adjustRightInd w:val="0"/>
              <w:rPr>
                <w:rFonts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pPr>
              <w:autoSpaceDE w:val="0"/>
              <w:autoSpaceDN w:val="0"/>
              <w:adjustRightInd w:val="0"/>
              <w:rPr>
                <w:rFonts w:ascii="宋体" w:hAnsi="宋体" w:cs="宋体"/>
                <w:b/>
                <w:color w:val="auto"/>
                <w:kern w:val="0"/>
                <w:sz w:val="24"/>
                <w:highlight w:val="none"/>
              </w:rPr>
            </w:pPr>
            <w:r>
              <w:rPr>
                <w:rFonts w:hint="eastAsia" w:ascii="宋体" w:hAnsi="宋体" w:cs="宋体"/>
                <w:b/>
                <w:color w:val="auto"/>
                <w:kern w:val="0"/>
                <w:sz w:val="24"/>
                <w:highlight w:val="none"/>
              </w:rPr>
              <w:t>其他说明：（如有）</w:t>
            </w:r>
          </w:p>
        </w:tc>
      </w:tr>
    </w:tbl>
    <w:p>
      <w:pPr>
        <w:adjustRightInd w:val="0"/>
        <w:snapToGrid w:val="0"/>
        <w:rPr>
          <w:rFonts w:ascii="宋体" w:hAnsi="宋体" w:cs="宋体"/>
          <w:color w:val="auto"/>
          <w:sz w:val="24"/>
          <w:highlight w:val="none"/>
        </w:rPr>
      </w:pPr>
      <w:r>
        <w:rPr>
          <w:rFonts w:hint="eastAsia" w:ascii="宋体" w:hAnsi="宋体" w:cs="宋体"/>
          <w:bCs/>
          <w:color w:val="auto"/>
          <w:kern w:val="0"/>
          <w:sz w:val="24"/>
          <w:highlight w:val="none"/>
        </w:rPr>
        <w:t>注：</w:t>
      </w:r>
      <w:r>
        <w:rPr>
          <w:rFonts w:hint="eastAsia" w:ascii="宋体" w:hAnsi="宋体" w:cs="宋体"/>
          <w:bCs/>
          <w:color w:val="auto"/>
          <w:sz w:val="24"/>
          <w:highlight w:val="none"/>
        </w:rPr>
        <w:t>本表后附对应的证明材料；“职称及相关专业认证”仅在评分办法有对应评分项时填写；具体内容见评分办法。</w:t>
      </w:r>
    </w:p>
    <w:p>
      <w:pPr>
        <w:adjustRightInd w:val="0"/>
        <w:snapToGrid w:val="0"/>
        <w:spacing w:line="360" w:lineRule="auto"/>
        <w:rPr>
          <w:rFonts w:ascii="宋体" w:hAnsi="宋体" w:cs="宋体"/>
          <w:color w:val="auto"/>
          <w:kern w:val="0"/>
          <w:sz w:val="24"/>
          <w:highlight w:val="none"/>
          <w:lang w:val="zh-CN"/>
        </w:rPr>
      </w:pPr>
    </w:p>
    <w:p>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pStyle w:val="625"/>
        <w:ind w:firstLine="560"/>
        <w:rPr>
          <w:color w:val="auto"/>
          <w:highlight w:val="none"/>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602"/>
        <w:rPr>
          <w:b/>
          <w:color w:val="auto"/>
          <w:sz w:val="30"/>
          <w:highlight w:val="none"/>
          <w:lang w:val="zh-CN"/>
        </w:rPr>
      </w:pPr>
    </w:p>
    <w:p>
      <w:pPr>
        <w:pStyle w:val="625"/>
        <w:ind w:firstLine="560"/>
        <w:rPr>
          <w:color w:val="auto"/>
          <w:highlight w:val="none"/>
          <w:lang w:val="zh-CN"/>
        </w:rPr>
      </w:pPr>
    </w:p>
    <w:p>
      <w:pPr>
        <w:pStyle w:val="4"/>
        <w:ind w:left="0" w:firstLine="0"/>
        <w:jc w:val="center"/>
        <w:rPr>
          <w:rFonts w:ascii="宋体" w:hAnsi="宋体" w:eastAsia="宋体" w:cs="宋体"/>
          <w:color w:val="auto"/>
          <w:sz w:val="28"/>
          <w:highlight w:val="none"/>
        </w:rPr>
      </w:pPr>
      <w:bookmarkStart w:id="118" w:name="_Toc126886010"/>
      <w:r>
        <w:rPr>
          <w:rFonts w:hint="eastAsia" w:ascii="宋体" w:hAnsi="宋体" w:eastAsia="宋体" w:cs="宋体"/>
          <w:color w:val="auto"/>
          <w:kern w:val="0"/>
          <w:sz w:val="30"/>
          <w:highlight w:val="none"/>
          <w:lang w:val="zh-CN"/>
        </w:rPr>
        <w:t>格式七：</w:t>
      </w:r>
      <w:bookmarkStart w:id="119" w:name="_Toc522530058"/>
      <w:bookmarkStart w:id="120" w:name="_Toc8841"/>
      <w:r>
        <w:rPr>
          <w:rFonts w:hint="eastAsia" w:ascii="宋体" w:hAnsi="宋体" w:eastAsia="宋体" w:cs="宋体"/>
          <w:color w:val="auto"/>
          <w:sz w:val="28"/>
          <w:szCs w:val="22"/>
          <w:highlight w:val="none"/>
        </w:rPr>
        <w:t>开标一览表</w:t>
      </w:r>
      <w:bookmarkEnd w:id="100"/>
      <w:bookmarkEnd w:id="101"/>
      <w:bookmarkEnd w:id="102"/>
      <w:bookmarkEnd w:id="103"/>
      <w:bookmarkEnd w:id="104"/>
      <w:bookmarkEnd w:id="118"/>
      <w:bookmarkEnd w:id="119"/>
      <w:bookmarkEnd w:id="120"/>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浙江大学衢州研究院：</w:t>
      </w:r>
    </w:p>
    <w:p>
      <w:pPr>
        <w:adjustRightInd w:val="0"/>
        <w:snapToGrid w:val="0"/>
        <w:spacing w:line="360" w:lineRule="auto"/>
        <w:rPr>
          <w:rFonts w:ascii="宋体" w:hAnsi="宋体" w:cs="宋体"/>
          <w:b/>
          <w:color w:val="auto"/>
          <w:sz w:val="30"/>
          <w:highlight w:val="none"/>
        </w:rPr>
      </w:pPr>
      <w:r>
        <w:rPr>
          <w:rFonts w:hint="eastAsia" w:ascii="宋体" w:hAnsi="宋体" w:cs="宋体"/>
          <w:color w:val="auto"/>
          <w:sz w:val="24"/>
          <w:highlight w:val="none"/>
        </w:rPr>
        <w:t>浙江中正工程项目管理有限公司：</w:t>
      </w:r>
    </w:p>
    <w:p>
      <w:pPr>
        <w:spacing w:before="24" w:beforeLines="10" w:line="312"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按贵方招标文件要求，如你方接受本投标文件，我方承诺按照如下开标一览表的价格完成</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（项目名称） (项目编号：</w:t>
      </w:r>
      <w:r>
        <w:rPr>
          <w:rFonts w:hint="eastAsia" w:ascii="宋体" w:hAnsi="宋体" w:cs="宋体"/>
          <w:color w:val="auto"/>
          <w:sz w:val="24"/>
          <w:highlight w:val="none"/>
          <w:u w:val="single"/>
          <w:lang w:eastAsia="zh-CN"/>
        </w:rPr>
        <w:t>ZZCG2023011</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的实施。</w:t>
      </w:r>
    </w:p>
    <w:p>
      <w:pPr>
        <w:adjustRightInd w:val="0"/>
        <w:snapToGrid w:val="0"/>
        <w:spacing w:line="360" w:lineRule="auto"/>
        <w:ind w:right="48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 xml:space="preserve">                                              货币单位：人民币元</w:t>
      </w:r>
    </w:p>
    <w:tbl>
      <w:tblPr>
        <w:tblStyle w:val="88"/>
        <w:tblW w:w="94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2"/>
        <w:gridCol w:w="3166"/>
        <w:gridCol w:w="36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2612" w:type="dxa"/>
            <w:tcBorders>
              <w:top w:val="single" w:color="auto" w:sz="4" w:space="0"/>
              <w:right w:val="single" w:color="auto" w:sz="4" w:space="0"/>
            </w:tcBorders>
            <w:vAlign w:val="center"/>
          </w:tcPr>
          <w:p>
            <w:pPr>
              <w:spacing w:line="360" w:lineRule="auto"/>
              <w:jc w:val="center"/>
              <w:rPr>
                <w:rFonts w:ascii="宋体" w:hAnsi="宋体" w:cs="宋体"/>
                <w:b/>
                <w:color w:val="auto"/>
                <w:sz w:val="24"/>
                <w:highlight w:val="none"/>
                <w:lang w:val="en-GB"/>
              </w:rPr>
            </w:pPr>
            <w:r>
              <w:rPr>
                <w:rFonts w:hint="eastAsia" w:ascii="宋体" w:hAnsi="宋体" w:cs="宋体"/>
                <w:b/>
                <w:color w:val="auto"/>
                <w:sz w:val="24"/>
                <w:highlight w:val="none"/>
                <w:lang w:val="en-GB"/>
              </w:rPr>
              <w:t>标项名称</w:t>
            </w:r>
          </w:p>
        </w:tc>
        <w:tc>
          <w:tcPr>
            <w:tcW w:w="3166" w:type="dxa"/>
            <w:tcBorders>
              <w:top w:val="single" w:color="auto" w:sz="4" w:space="0"/>
              <w:left w:val="single" w:color="auto" w:sz="4" w:space="0"/>
            </w:tcBorders>
            <w:vAlign w:val="center"/>
          </w:tcPr>
          <w:p>
            <w:pPr>
              <w:spacing w:line="360" w:lineRule="auto"/>
              <w:jc w:val="center"/>
              <w:rPr>
                <w:rFonts w:ascii="宋体" w:hAnsi="宋体" w:cs="宋体"/>
                <w:b/>
                <w:color w:val="auto"/>
                <w:sz w:val="24"/>
                <w:highlight w:val="none"/>
                <w:lang w:val="en-GB"/>
              </w:rPr>
            </w:pPr>
            <w:r>
              <w:rPr>
                <w:rFonts w:hint="eastAsia" w:ascii="宋体" w:hAnsi="宋体" w:cs="宋体"/>
                <w:b/>
                <w:color w:val="auto"/>
                <w:sz w:val="24"/>
                <w:highlight w:val="none"/>
                <w:lang w:val="en-GB"/>
              </w:rPr>
              <w:t>内容</w:t>
            </w:r>
          </w:p>
        </w:tc>
        <w:tc>
          <w:tcPr>
            <w:tcW w:w="3644" w:type="dxa"/>
            <w:tcBorders>
              <w:right w:val="single" w:color="auto" w:sz="4" w:space="0"/>
            </w:tcBorders>
            <w:vAlign w:val="center"/>
          </w:tcPr>
          <w:p>
            <w:pPr>
              <w:spacing w:line="360" w:lineRule="auto"/>
              <w:jc w:val="center"/>
              <w:rPr>
                <w:rFonts w:ascii="宋体" w:hAnsi="宋体" w:cs="宋体"/>
                <w:b/>
                <w:color w:val="auto"/>
                <w:sz w:val="24"/>
                <w:highlight w:val="none"/>
                <w:lang w:val="en-GB"/>
              </w:rPr>
            </w:pPr>
            <w:r>
              <w:rPr>
                <w:rFonts w:hint="eastAsia" w:ascii="宋体" w:hAnsi="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2612" w:type="dxa"/>
            <w:tcBorders>
              <w:right w:val="single" w:color="auto" w:sz="4" w:space="0"/>
            </w:tcBorders>
            <w:vAlign w:val="center"/>
          </w:tcPr>
          <w:p>
            <w:pPr>
              <w:spacing w:line="400" w:lineRule="exact"/>
              <w:jc w:val="center"/>
              <w:rPr>
                <w:rFonts w:ascii="宋体" w:hAnsi="宋体" w:cs="宋体"/>
                <w:color w:val="auto"/>
                <w:sz w:val="24"/>
                <w:highlight w:val="none"/>
                <w:lang w:val="en-GB"/>
              </w:rPr>
            </w:pPr>
          </w:p>
        </w:tc>
        <w:tc>
          <w:tcPr>
            <w:tcW w:w="3166" w:type="dxa"/>
            <w:tcBorders>
              <w:left w:val="single" w:color="auto" w:sz="4" w:space="0"/>
              <w:bottom w:val="single" w:color="auto" w:sz="4" w:space="0"/>
            </w:tcBorders>
            <w:vAlign w:val="center"/>
          </w:tcPr>
          <w:p>
            <w:pPr>
              <w:spacing w:line="360" w:lineRule="auto"/>
              <w:rPr>
                <w:rFonts w:ascii="宋体" w:hAnsi="宋体" w:cs="宋体"/>
                <w:color w:val="auto"/>
                <w:sz w:val="24"/>
                <w:highlight w:val="none"/>
              </w:rPr>
            </w:pPr>
          </w:p>
        </w:tc>
        <w:tc>
          <w:tcPr>
            <w:tcW w:w="3644" w:type="dxa"/>
            <w:tcBorders>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（小写）：</w:t>
            </w:r>
          </w:p>
          <w:p>
            <w:pPr>
              <w:spacing w:line="360" w:lineRule="auto"/>
              <w:rPr>
                <w:rFonts w:ascii="宋体" w:hAnsi="宋体" w:cs="宋体"/>
                <w:color w:val="auto"/>
                <w:sz w:val="24"/>
                <w:highlight w:val="none"/>
              </w:rPr>
            </w:pPr>
            <w:r>
              <w:rPr>
                <w:rFonts w:hint="eastAsia" w:ascii="宋体" w:hAnsi="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2612" w:type="dxa"/>
            <w:tcBorders>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服务期</w:t>
            </w:r>
          </w:p>
        </w:tc>
        <w:tc>
          <w:tcPr>
            <w:tcW w:w="6810" w:type="dxa"/>
            <w:gridSpan w:val="2"/>
            <w:tcBorders>
              <w:left w:val="single" w:color="auto" w:sz="4" w:space="0"/>
              <w:bottom w:val="single" w:color="auto" w:sz="4" w:space="0"/>
              <w:right w:val="single" w:color="auto" w:sz="4" w:space="0"/>
            </w:tcBorders>
            <w:vAlign w:val="center"/>
          </w:tcPr>
          <w:p>
            <w:pPr>
              <w:spacing w:line="40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422" w:type="dxa"/>
            <w:gridSpan w:val="3"/>
            <w:tcBorders>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本报价已包含招标文件“第二部分 投标人须知 \三、投标文件\（三）投标报价”要求的全部内容。</w:t>
            </w:r>
          </w:p>
        </w:tc>
      </w:tr>
    </w:tbl>
    <w:p>
      <w:pPr>
        <w:adjustRightInd w:val="0"/>
        <w:snapToGrid w:val="0"/>
        <w:spacing w:line="480" w:lineRule="exac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如项目分标项（如有），请按前附表要求编制本表，并在明显位置注明标项号及标项名称。</w:t>
      </w:r>
    </w:p>
    <w:p>
      <w:pPr>
        <w:pStyle w:val="575"/>
        <w:spacing w:before="156" w:after="156" w:line="480" w:lineRule="exact"/>
        <w:ind w:firstLine="482" w:firstLineChars="200"/>
        <w:rPr>
          <w:rFonts w:ascii="宋体" w:hAnsi="宋体" w:eastAsia="宋体" w:cs="宋体"/>
          <w:b/>
          <w:color w:val="auto"/>
          <w:szCs w:val="22"/>
          <w:highlight w:val="none"/>
          <w:lang w:val="zh-CN"/>
        </w:rPr>
      </w:pPr>
      <w:r>
        <w:rPr>
          <w:rFonts w:hint="eastAsia" w:ascii="宋体" w:hAnsi="宋体" w:eastAsia="宋体" w:cs="宋体"/>
          <w:b/>
          <w:color w:val="auto"/>
          <w:szCs w:val="22"/>
          <w:highlight w:val="none"/>
        </w:rPr>
        <w:t>2.</w:t>
      </w:r>
      <w:r>
        <w:rPr>
          <w:rFonts w:hint="eastAsia" w:ascii="宋体" w:hAnsi="宋体" w:eastAsia="宋体" w:cs="宋体"/>
          <w:b/>
          <w:color w:val="auto"/>
          <w:szCs w:val="22"/>
          <w:highlight w:val="none"/>
          <w:lang w:val="zh-TW" w:eastAsia="zh-TW"/>
        </w:rPr>
        <w:t>此栏内</w:t>
      </w:r>
      <w:r>
        <w:rPr>
          <w:rFonts w:hint="eastAsia" w:ascii="宋体" w:hAnsi="宋体" w:eastAsia="宋体" w:cs="宋体"/>
          <w:b/>
          <w:color w:val="auto"/>
          <w:szCs w:val="22"/>
          <w:highlight w:val="none"/>
          <w:lang w:val="zh-TW"/>
        </w:rPr>
        <w:t>投标报价</w:t>
      </w:r>
      <w:r>
        <w:rPr>
          <w:rFonts w:hint="eastAsia" w:ascii="宋体" w:hAnsi="宋体" w:eastAsia="宋体" w:cs="宋体"/>
          <w:b/>
          <w:color w:val="auto"/>
          <w:szCs w:val="22"/>
          <w:highlight w:val="none"/>
          <w:lang w:val="zh-TW" w:eastAsia="zh-TW"/>
        </w:rPr>
        <w:t>总价应与</w:t>
      </w:r>
      <w:r>
        <w:rPr>
          <w:rFonts w:hint="eastAsia" w:ascii="宋体" w:hAnsi="宋体" w:eastAsia="宋体" w:cs="宋体"/>
          <w:b/>
          <w:color w:val="auto"/>
          <w:szCs w:val="22"/>
          <w:highlight w:val="none"/>
          <w:lang w:val="zh-CN"/>
        </w:rPr>
        <w:t>“报价明细</w:t>
      </w:r>
      <w:r>
        <w:rPr>
          <w:rFonts w:hint="eastAsia" w:ascii="宋体" w:hAnsi="宋体" w:eastAsia="宋体" w:cs="宋体"/>
          <w:b/>
          <w:color w:val="auto"/>
          <w:szCs w:val="22"/>
          <w:highlight w:val="none"/>
          <w:lang w:val="zh-TW" w:eastAsia="zh-TW"/>
        </w:rPr>
        <w:t>表</w:t>
      </w:r>
      <w:r>
        <w:rPr>
          <w:rFonts w:hint="eastAsia" w:ascii="宋体" w:hAnsi="宋体" w:eastAsia="宋体" w:cs="宋体"/>
          <w:b/>
          <w:color w:val="auto"/>
          <w:szCs w:val="22"/>
          <w:highlight w:val="none"/>
          <w:lang w:val="zh-CN"/>
        </w:rPr>
        <w:t>”</w:t>
      </w:r>
      <w:r>
        <w:rPr>
          <w:rFonts w:hint="eastAsia" w:ascii="宋体" w:hAnsi="宋体" w:eastAsia="宋体" w:cs="宋体"/>
          <w:b/>
          <w:color w:val="auto"/>
          <w:szCs w:val="22"/>
          <w:highlight w:val="none"/>
          <w:lang w:val="zh-TW" w:eastAsia="zh-TW"/>
        </w:rPr>
        <w:t>中报价总计价相一致。</w:t>
      </w:r>
    </w:p>
    <w:p>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pStyle w:val="47"/>
        <w:adjustRightInd w:val="0"/>
        <w:snapToGrid w:val="0"/>
        <w:spacing w:line="360" w:lineRule="auto"/>
        <w:ind w:firstLine="602" w:firstLineChars="200"/>
        <w:jc w:val="center"/>
        <w:outlineLvl w:val="1"/>
        <w:rPr>
          <w:rFonts w:hAnsi="宋体" w:cs="宋体"/>
          <w:b/>
          <w:color w:val="auto"/>
          <w:sz w:val="30"/>
          <w:highlight w:val="none"/>
        </w:rPr>
        <w:sectPr>
          <w:footerReference r:id="rId12" w:type="first"/>
          <w:footerReference r:id="rId10" w:type="default"/>
          <w:footerReference r:id="rId11" w:type="even"/>
          <w:pgSz w:w="11906" w:h="16838"/>
          <w:pgMar w:top="1440" w:right="1440" w:bottom="1440" w:left="1440" w:header="851" w:footer="851" w:gutter="0"/>
          <w:cols w:space="720" w:num="1"/>
          <w:titlePg/>
          <w:docGrid w:linePitch="381" w:charSpace="0"/>
        </w:sectPr>
      </w:pPr>
    </w:p>
    <w:p>
      <w:pPr>
        <w:pStyle w:val="47"/>
        <w:adjustRightInd w:val="0"/>
        <w:snapToGrid w:val="0"/>
        <w:spacing w:line="360" w:lineRule="auto"/>
        <w:ind w:firstLine="562" w:firstLineChars="200"/>
        <w:jc w:val="center"/>
        <w:outlineLvl w:val="1"/>
        <w:rPr>
          <w:rFonts w:hAnsi="宋体" w:cs="宋体"/>
          <w:b/>
          <w:bCs/>
          <w:color w:val="auto"/>
          <w:sz w:val="28"/>
          <w:highlight w:val="none"/>
        </w:rPr>
      </w:pPr>
      <w:bookmarkStart w:id="121" w:name="_Toc126886011"/>
      <w:bookmarkStart w:id="122" w:name="_Toc522530060"/>
      <w:r>
        <w:rPr>
          <w:rFonts w:hint="eastAsia" w:hAnsi="宋体" w:cs="宋体"/>
          <w:b/>
          <w:bCs/>
          <w:color w:val="auto"/>
          <w:sz w:val="28"/>
          <w:highlight w:val="none"/>
        </w:rPr>
        <w:t>格式八</w:t>
      </w:r>
      <w:r>
        <w:rPr>
          <w:rFonts w:hint="eastAsia" w:hAnsi="宋体" w:cs="宋体"/>
          <w:b/>
          <w:bCs/>
          <w:color w:val="auto"/>
          <w:highlight w:val="none"/>
        </w:rPr>
        <w:t>：</w:t>
      </w:r>
      <w:r>
        <w:rPr>
          <w:rFonts w:hint="eastAsia" w:hAnsi="宋体" w:cs="宋体"/>
          <w:b/>
          <w:bCs/>
          <w:color w:val="auto"/>
          <w:sz w:val="28"/>
          <w:highlight w:val="none"/>
        </w:rPr>
        <w:t>报价明细表</w:t>
      </w:r>
      <w:bookmarkEnd w:id="121"/>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项目名称：</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项目编号：</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单位：人民币元</w:t>
      </w:r>
    </w:p>
    <w:tbl>
      <w:tblPr>
        <w:tblStyle w:val="88"/>
        <w:tblW w:w="8660" w:type="dxa"/>
        <w:tblInd w:w="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1"/>
        <w:gridCol w:w="2139"/>
        <w:gridCol w:w="993"/>
        <w:gridCol w:w="1148"/>
        <w:gridCol w:w="1252"/>
        <w:gridCol w:w="1162"/>
        <w:gridCol w:w="12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tblHeader/>
        </w:trPr>
        <w:tc>
          <w:tcPr>
            <w:tcW w:w="741" w:type="dxa"/>
            <w:tcBorders>
              <w:top w:val="single" w:color="auto" w:sz="4" w:space="0"/>
            </w:tcBorders>
            <w:vAlign w:val="center"/>
          </w:tcPr>
          <w:p>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139" w:type="dxa"/>
            <w:tcBorders>
              <w:top w:val="single" w:color="auto" w:sz="4" w:space="0"/>
            </w:tcBorders>
            <w:vAlign w:val="center"/>
          </w:tcPr>
          <w:p>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993" w:type="dxa"/>
            <w:tcBorders>
              <w:top w:val="single" w:color="auto" w:sz="4" w:space="0"/>
            </w:tcBorders>
            <w:vAlign w:val="center"/>
          </w:tcPr>
          <w:p>
            <w:pPr>
              <w:pStyle w:val="495"/>
              <w:ind w:firstLine="0" w:firstLineChars="0"/>
              <w:jc w:val="center"/>
              <w:rPr>
                <w:rFonts w:ascii="宋体" w:hAnsi="宋体" w:cs="宋体"/>
                <w:b/>
                <w:color w:val="auto"/>
                <w:sz w:val="21"/>
                <w:szCs w:val="21"/>
                <w:highlight w:val="none"/>
              </w:rPr>
            </w:pPr>
            <w:r>
              <w:rPr>
                <w:rFonts w:hint="eastAsia" w:ascii="宋体" w:hAnsi="宋体" w:cs="宋体"/>
                <w:b/>
                <w:bCs/>
                <w:color w:val="auto"/>
                <w:sz w:val="21"/>
                <w:szCs w:val="21"/>
                <w:highlight w:val="none"/>
              </w:rPr>
              <w:t>单位</w:t>
            </w:r>
          </w:p>
        </w:tc>
        <w:tc>
          <w:tcPr>
            <w:tcW w:w="1148" w:type="dxa"/>
            <w:tcBorders>
              <w:top w:val="single" w:color="auto" w:sz="4" w:space="0"/>
            </w:tcBorders>
            <w:vAlign w:val="center"/>
          </w:tcPr>
          <w:p>
            <w:pPr>
              <w:pStyle w:val="495"/>
              <w:ind w:firstLine="0" w:firstLineChars="0"/>
              <w:jc w:val="center"/>
              <w:rPr>
                <w:rFonts w:ascii="宋体" w:hAnsi="宋体" w:cs="宋体"/>
                <w:b/>
                <w:color w:val="auto"/>
                <w:sz w:val="21"/>
                <w:szCs w:val="21"/>
                <w:highlight w:val="none"/>
              </w:rPr>
            </w:pPr>
            <w:r>
              <w:rPr>
                <w:rFonts w:hint="eastAsia" w:ascii="宋体" w:hAnsi="宋体" w:cs="宋体"/>
                <w:b/>
                <w:bCs/>
                <w:color w:val="auto"/>
                <w:sz w:val="21"/>
                <w:szCs w:val="21"/>
                <w:highlight w:val="none"/>
              </w:rPr>
              <w:t>数量</w:t>
            </w:r>
          </w:p>
        </w:tc>
        <w:tc>
          <w:tcPr>
            <w:tcW w:w="1252" w:type="dxa"/>
            <w:tcBorders>
              <w:top w:val="single" w:color="auto" w:sz="4" w:space="0"/>
            </w:tcBorders>
            <w:vAlign w:val="center"/>
          </w:tcPr>
          <w:p>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单价</w:t>
            </w:r>
          </w:p>
        </w:tc>
        <w:tc>
          <w:tcPr>
            <w:tcW w:w="1162" w:type="dxa"/>
            <w:tcBorders>
              <w:top w:val="single" w:color="auto" w:sz="4" w:space="0"/>
            </w:tcBorders>
            <w:vAlign w:val="center"/>
          </w:tcPr>
          <w:p>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合价</w:t>
            </w:r>
          </w:p>
        </w:tc>
        <w:tc>
          <w:tcPr>
            <w:tcW w:w="1225" w:type="dxa"/>
            <w:tcBorders>
              <w:top w:val="single" w:color="auto" w:sz="4" w:space="0"/>
            </w:tcBorders>
            <w:vAlign w:val="center"/>
          </w:tcPr>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741" w:type="dxa"/>
            <w:vAlign w:val="center"/>
          </w:tcPr>
          <w:p>
            <w:pPr>
              <w:adjustRightInd w:val="0"/>
              <w:snapToGrid w:val="0"/>
              <w:spacing w:line="360" w:lineRule="auto"/>
              <w:ind w:left="-1" w:leftChars="-1" w:hanging="2" w:hangingChars="1"/>
              <w:jc w:val="center"/>
              <w:rPr>
                <w:rFonts w:ascii="宋体" w:hAnsi="宋体" w:cs="宋体"/>
                <w:b/>
                <w:color w:val="auto"/>
                <w:sz w:val="21"/>
                <w:szCs w:val="21"/>
                <w:highlight w:val="none"/>
              </w:rPr>
            </w:pPr>
            <w:r>
              <w:rPr>
                <w:rFonts w:hint="eastAsia" w:ascii="宋体" w:hAnsi="宋体" w:cs="宋体"/>
                <w:b/>
                <w:color w:val="auto"/>
                <w:sz w:val="21"/>
                <w:szCs w:val="21"/>
                <w:highlight w:val="none"/>
              </w:rPr>
              <w:t>1</w:t>
            </w:r>
          </w:p>
        </w:tc>
        <w:tc>
          <w:tcPr>
            <w:tcW w:w="2139" w:type="dxa"/>
            <w:tcBorders>
              <w:right w:val="single" w:color="auto" w:sz="4" w:space="0"/>
            </w:tcBorders>
            <w:vAlign w:val="center"/>
          </w:tcPr>
          <w:p>
            <w:pPr>
              <w:snapToGrid w:val="0"/>
              <w:spacing w:line="360" w:lineRule="auto"/>
              <w:jc w:val="left"/>
              <w:rPr>
                <w:rFonts w:ascii="宋体" w:hAnsi="宋体" w:cs="宋体"/>
                <w:color w:val="auto"/>
                <w:sz w:val="24"/>
                <w:highlight w:val="none"/>
                <w:lang w:val="en-GB"/>
              </w:rPr>
            </w:pPr>
          </w:p>
        </w:tc>
        <w:tc>
          <w:tcPr>
            <w:tcW w:w="993" w:type="dxa"/>
            <w:vAlign w:val="center"/>
          </w:tcPr>
          <w:p>
            <w:pPr>
              <w:pStyle w:val="495"/>
              <w:spacing w:line="320" w:lineRule="exact"/>
              <w:ind w:firstLine="0" w:firstLineChars="0"/>
              <w:jc w:val="center"/>
              <w:rPr>
                <w:rFonts w:ascii="宋体" w:hAnsi="宋体" w:cs="宋体"/>
                <w:color w:val="auto"/>
                <w:sz w:val="21"/>
                <w:szCs w:val="21"/>
                <w:highlight w:val="none"/>
                <w:lang w:val="en-GB"/>
              </w:rPr>
            </w:pPr>
          </w:p>
        </w:tc>
        <w:tc>
          <w:tcPr>
            <w:tcW w:w="1148" w:type="dxa"/>
            <w:vAlign w:val="center"/>
          </w:tcPr>
          <w:p>
            <w:pPr>
              <w:pStyle w:val="495"/>
              <w:ind w:firstLine="0" w:firstLineChars="0"/>
              <w:jc w:val="center"/>
              <w:rPr>
                <w:rFonts w:ascii="宋体" w:hAnsi="宋体" w:cs="宋体"/>
                <w:color w:val="auto"/>
                <w:sz w:val="21"/>
                <w:szCs w:val="21"/>
                <w:highlight w:val="none"/>
              </w:rPr>
            </w:pPr>
          </w:p>
        </w:tc>
        <w:tc>
          <w:tcPr>
            <w:tcW w:w="1252" w:type="dxa"/>
            <w:vAlign w:val="center"/>
          </w:tcPr>
          <w:p>
            <w:pPr>
              <w:adjustRightInd w:val="0"/>
              <w:snapToGrid w:val="0"/>
              <w:spacing w:line="360" w:lineRule="auto"/>
              <w:ind w:firstLine="420" w:firstLineChars="200"/>
              <w:rPr>
                <w:rFonts w:ascii="宋体" w:hAnsi="宋体" w:cs="宋体"/>
                <w:color w:val="auto"/>
                <w:sz w:val="21"/>
                <w:szCs w:val="21"/>
                <w:highlight w:val="none"/>
                <w:lang w:val="en-GB"/>
              </w:rPr>
            </w:pPr>
          </w:p>
        </w:tc>
        <w:tc>
          <w:tcPr>
            <w:tcW w:w="1162" w:type="dxa"/>
            <w:vAlign w:val="center"/>
          </w:tcPr>
          <w:p>
            <w:pPr>
              <w:adjustRightInd w:val="0"/>
              <w:snapToGrid w:val="0"/>
              <w:spacing w:line="360" w:lineRule="auto"/>
              <w:ind w:firstLine="422" w:firstLineChars="200"/>
              <w:rPr>
                <w:rFonts w:ascii="宋体" w:hAnsi="宋体" w:cs="宋体"/>
                <w:b/>
                <w:color w:val="auto"/>
                <w:sz w:val="21"/>
                <w:szCs w:val="21"/>
                <w:highlight w:val="none"/>
                <w:lang w:val="en-GB"/>
              </w:rPr>
            </w:pPr>
          </w:p>
        </w:tc>
        <w:tc>
          <w:tcPr>
            <w:tcW w:w="1225" w:type="dxa"/>
            <w:vAlign w:val="center"/>
          </w:tcPr>
          <w:p>
            <w:pPr>
              <w:adjustRightInd w:val="0"/>
              <w:snapToGrid w:val="0"/>
              <w:spacing w:line="360" w:lineRule="auto"/>
              <w:ind w:firstLine="422" w:firstLineChars="200"/>
              <w:rPr>
                <w:rFonts w:ascii="宋体" w:hAnsi="宋体" w:cs="宋体"/>
                <w:b/>
                <w:color w:val="auto"/>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741" w:type="dxa"/>
            <w:vAlign w:val="center"/>
          </w:tcPr>
          <w:p>
            <w:pPr>
              <w:adjustRightInd w:val="0"/>
              <w:snapToGrid w:val="0"/>
              <w:spacing w:line="360" w:lineRule="auto"/>
              <w:ind w:left="-1" w:leftChars="-1" w:hanging="2" w:hangingChars="1"/>
              <w:jc w:val="center"/>
              <w:rPr>
                <w:rFonts w:ascii="宋体" w:hAnsi="宋体" w:cs="宋体"/>
                <w:b/>
                <w:color w:val="auto"/>
                <w:sz w:val="21"/>
                <w:szCs w:val="21"/>
                <w:highlight w:val="none"/>
              </w:rPr>
            </w:pPr>
            <w:r>
              <w:rPr>
                <w:rFonts w:hint="eastAsia" w:ascii="宋体" w:hAnsi="宋体" w:cs="宋体"/>
                <w:b/>
                <w:color w:val="auto"/>
                <w:sz w:val="21"/>
                <w:szCs w:val="21"/>
                <w:highlight w:val="none"/>
              </w:rPr>
              <w:t>2</w:t>
            </w:r>
          </w:p>
        </w:tc>
        <w:tc>
          <w:tcPr>
            <w:tcW w:w="2139" w:type="dxa"/>
            <w:tcBorders>
              <w:right w:val="single" w:color="auto" w:sz="4" w:space="0"/>
            </w:tcBorders>
            <w:vAlign w:val="center"/>
          </w:tcPr>
          <w:p>
            <w:pPr>
              <w:snapToGrid w:val="0"/>
              <w:spacing w:line="360" w:lineRule="auto"/>
              <w:jc w:val="left"/>
              <w:rPr>
                <w:rFonts w:ascii="宋体" w:hAnsi="宋体" w:cs="宋体"/>
                <w:color w:val="auto"/>
                <w:sz w:val="24"/>
                <w:highlight w:val="none"/>
                <w:lang w:val="en-GB"/>
              </w:rPr>
            </w:pPr>
          </w:p>
        </w:tc>
        <w:tc>
          <w:tcPr>
            <w:tcW w:w="993" w:type="dxa"/>
            <w:tcBorders>
              <w:top w:val="single" w:color="auto" w:sz="4" w:space="0"/>
              <w:bottom w:val="single" w:color="auto" w:sz="4" w:space="0"/>
            </w:tcBorders>
            <w:vAlign w:val="center"/>
          </w:tcPr>
          <w:p>
            <w:pPr>
              <w:pStyle w:val="495"/>
              <w:spacing w:line="320" w:lineRule="exact"/>
              <w:ind w:firstLine="0" w:firstLineChars="0"/>
              <w:jc w:val="center"/>
              <w:rPr>
                <w:rFonts w:ascii="宋体" w:hAnsi="宋体" w:cs="宋体"/>
                <w:b/>
                <w:color w:val="auto"/>
                <w:sz w:val="21"/>
                <w:szCs w:val="21"/>
                <w:highlight w:val="none"/>
                <w:lang w:val="en-GB"/>
              </w:rPr>
            </w:pPr>
          </w:p>
        </w:tc>
        <w:tc>
          <w:tcPr>
            <w:tcW w:w="1148" w:type="dxa"/>
            <w:tcBorders>
              <w:top w:val="single" w:color="auto" w:sz="4" w:space="0"/>
              <w:bottom w:val="single" w:color="auto" w:sz="4" w:space="0"/>
            </w:tcBorders>
            <w:vAlign w:val="center"/>
          </w:tcPr>
          <w:p>
            <w:pPr>
              <w:pStyle w:val="495"/>
              <w:ind w:firstLine="0" w:firstLineChars="0"/>
              <w:jc w:val="center"/>
              <w:rPr>
                <w:rFonts w:ascii="宋体" w:hAnsi="宋体" w:cs="宋体"/>
                <w:b/>
                <w:color w:val="auto"/>
                <w:sz w:val="21"/>
                <w:szCs w:val="21"/>
                <w:highlight w:val="none"/>
                <w:lang w:val="en-GB"/>
              </w:rPr>
            </w:pPr>
          </w:p>
        </w:tc>
        <w:tc>
          <w:tcPr>
            <w:tcW w:w="1252" w:type="dxa"/>
            <w:tcBorders>
              <w:top w:val="single" w:color="auto" w:sz="4" w:space="0"/>
              <w:bottom w:val="single" w:color="auto" w:sz="4" w:space="0"/>
            </w:tcBorders>
            <w:vAlign w:val="center"/>
          </w:tcPr>
          <w:p>
            <w:pPr>
              <w:adjustRightInd w:val="0"/>
              <w:snapToGrid w:val="0"/>
              <w:spacing w:line="360" w:lineRule="auto"/>
              <w:ind w:firstLine="422" w:firstLineChars="200"/>
              <w:rPr>
                <w:rFonts w:ascii="宋体" w:hAnsi="宋体" w:cs="宋体"/>
                <w:b/>
                <w:color w:val="auto"/>
                <w:sz w:val="21"/>
                <w:szCs w:val="21"/>
                <w:highlight w:val="none"/>
                <w:lang w:val="en-GB"/>
              </w:rPr>
            </w:pPr>
          </w:p>
        </w:tc>
        <w:tc>
          <w:tcPr>
            <w:tcW w:w="1162" w:type="dxa"/>
            <w:tcBorders>
              <w:top w:val="single" w:color="auto" w:sz="4" w:space="0"/>
              <w:bottom w:val="single" w:color="auto" w:sz="4" w:space="0"/>
            </w:tcBorders>
            <w:vAlign w:val="center"/>
          </w:tcPr>
          <w:p>
            <w:pPr>
              <w:adjustRightInd w:val="0"/>
              <w:snapToGrid w:val="0"/>
              <w:spacing w:line="360" w:lineRule="auto"/>
              <w:ind w:firstLine="422" w:firstLineChars="200"/>
              <w:rPr>
                <w:rFonts w:ascii="宋体" w:hAnsi="宋体" w:cs="宋体"/>
                <w:b/>
                <w:color w:val="auto"/>
                <w:sz w:val="21"/>
                <w:szCs w:val="21"/>
                <w:highlight w:val="none"/>
                <w:lang w:val="en-GB"/>
              </w:rPr>
            </w:pPr>
          </w:p>
        </w:tc>
        <w:tc>
          <w:tcPr>
            <w:tcW w:w="1225" w:type="dxa"/>
            <w:tcBorders>
              <w:top w:val="single" w:color="auto" w:sz="4" w:space="0"/>
              <w:bottom w:val="single" w:color="auto" w:sz="4" w:space="0"/>
            </w:tcBorders>
            <w:vAlign w:val="center"/>
          </w:tcPr>
          <w:p>
            <w:pPr>
              <w:adjustRightInd w:val="0"/>
              <w:snapToGrid w:val="0"/>
              <w:spacing w:line="360" w:lineRule="auto"/>
              <w:ind w:firstLine="422" w:firstLineChars="200"/>
              <w:rPr>
                <w:rFonts w:ascii="宋体" w:hAnsi="宋体" w:cs="宋体"/>
                <w:b/>
                <w:color w:val="auto"/>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741" w:type="dxa"/>
            <w:vAlign w:val="center"/>
          </w:tcPr>
          <w:p>
            <w:pPr>
              <w:adjustRightInd w:val="0"/>
              <w:snapToGrid w:val="0"/>
              <w:spacing w:line="360" w:lineRule="auto"/>
              <w:ind w:left="-1" w:leftChars="-1" w:hanging="2" w:hangingChars="1"/>
              <w:jc w:val="center"/>
              <w:rPr>
                <w:rFonts w:ascii="宋体" w:hAnsi="宋体" w:cs="宋体"/>
                <w:b/>
                <w:color w:val="auto"/>
                <w:sz w:val="24"/>
                <w:highlight w:val="none"/>
              </w:rPr>
            </w:pPr>
            <w:r>
              <w:rPr>
                <w:rFonts w:hint="eastAsia" w:ascii="宋体" w:hAnsi="宋体" w:cs="宋体"/>
                <w:b/>
                <w:color w:val="auto"/>
                <w:sz w:val="24"/>
                <w:highlight w:val="none"/>
              </w:rPr>
              <w:t>3</w:t>
            </w:r>
          </w:p>
        </w:tc>
        <w:tc>
          <w:tcPr>
            <w:tcW w:w="2139" w:type="dxa"/>
            <w:tcBorders>
              <w:right w:val="single" w:color="auto" w:sz="4" w:space="0"/>
            </w:tcBorders>
            <w:vAlign w:val="center"/>
          </w:tcPr>
          <w:p>
            <w:pPr>
              <w:snapToGrid w:val="0"/>
              <w:spacing w:line="360" w:lineRule="auto"/>
              <w:jc w:val="left"/>
              <w:rPr>
                <w:rFonts w:ascii="宋体" w:hAnsi="宋体" w:cs="宋体"/>
                <w:color w:val="auto"/>
                <w:sz w:val="24"/>
                <w:highlight w:val="none"/>
                <w:lang w:val="en-GB"/>
              </w:rPr>
            </w:pPr>
          </w:p>
        </w:tc>
        <w:tc>
          <w:tcPr>
            <w:tcW w:w="993" w:type="dxa"/>
            <w:tcBorders>
              <w:top w:val="single" w:color="auto" w:sz="4" w:space="0"/>
              <w:bottom w:val="single" w:color="auto" w:sz="4" w:space="0"/>
            </w:tcBorders>
            <w:vAlign w:val="center"/>
          </w:tcPr>
          <w:p>
            <w:pPr>
              <w:pStyle w:val="495"/>
              <w:spacing w:line="320" w:lineRule="exact"/>
              <w:ind w:firstLine="0" w:firstLineChars="0"/>
              <w:jc w:val="center"/>
              <w:rPr>
                <w:rFonts w:ascii="宋体" w:hAnsi="宋体" w:cs="宋体"/>
                <w:b/>
                <w:color w:val="auto"/>
                <w:highlight w:val="none"/>
                <w:lang w:val="en-GB"/>
              </w:rPr>
            </w:pPr>
          </w:p>
        </w:tc>
        <w:tc>
          <w:tcPr>
            <w:tcW w:w="1148" w:type="dxa"/>
            <w:tcBorders>
              <w:top w:val="single" w:color="auto" w:sz="4" w:space="0"/>
              <w:bottom w:val="single" w:color="auto" w:sz="4" w:space="0"/>
            </w:tcBorders>
            <w:vAlign w:val="center"/>
          </w:tcPr>
          <w:p>
            <w:pPr>
              <w:pStyle w:val="495"/>
              <w:ind w:firstLine="0" w:firstLineChars="0"/>
              <w:jc w:val="center"/>
              <w:rPr>
                <w:rFonts w:ascii="宋体" w:hAnsi="宋体" w:cs="宋体"/>
                <w:b/>
                <w:color w:val="auto"/>
                <w:highlight w:val="none"/>
                <w:lang w:val="en-GB"/>
              </w:rPr>
            </w:pPr>
          </w:p>
        </w:tc>
        <w:tc>
          <w:tcPr>
            <w:tcW w:w="1252" w:type="dxa"/>
            <w:tcBorders>
              <w:top w:val="single" w:color="auto" w:sz="4" w:space="0"/>
              <w:bottom w:val="single" w:color="auto" w:sz="4" w:space="0"/>
            </w:tcBorders>
            <w:vAlign w:val="center"/>
          </w:tcPr>
          <w:p>
            <w:pPr>
              <w:adjustRightInd w:val="0"/>
              <w:snapToGrid w:val="0"/>
              <w:spacing w:line="360" w:lineRule="auto"/>
              <w:ind w:firstLine="482" w:firstLineChars="200"/>
              <w:rPr>
                <w:rFonts w:ascii="宋体" w:hAnsi="宋体" w:cs="宋体"/>
                <w:b/>
                <w:color w:val="auto"/>
                <w:sz w:val="24"/>
                <w:highlight w:val="none"/>
                <w:lang w:val="en-GB"/>
              </w:rPr>
            </w:pPr>
          </w:p>
        </w:tc>
        <w:tc>
          <w:tcPr>
            <w:tcW w:w="1162" w:type="dxa"/>
            <w:tcBorders>
              <w:top w:val="single" w:color="auto" w:sz="4" w:space="0"/>
              <w:bottom w:val="single" w:color="auto" w:sz="4" w:space="0"/>
            </w:tcBorders>
            <w:vAlign w:val="center"/>
          </w:tcPr>
          <w:p>
            <w:pPr>
              <w:adjustRightInd w:val="0"/>
              <w:snapToGrid w:val="0"/>
              <w:spacing w:line="360" w:lineRule="auto"/>
              <w:ind w:firstLine="482" w:firstLineChars="200"/>
              <w:rPr>
                <w:rFonts w:ascii="宋体" w:hAnsi="宋体" w:cs="宋体"/>
                <w:b/>
                <w:color w:val="auto"/>
                <w:sz w:val="24"/>
                <w:highlight w:val="none"/>
                <w:lang w:val="en-GB"/>
              </w:rPr>
            </w:pPr>
          </w:p>
        </w:tc>
        <w:tc>
          <w:tcPr>
            <w:tcW w:w="1225" w:type="dxa"/>
            <w:tcBorders>
              <w:top w:val="single" w:color="auto" w:sz="4" w:space="0"/>
              <w:bottom w:val="single" w:color="auto" w:sz="4" w:space="0"/>
            </w:tcBorders>
            <w:vAlign w:val="center"/>
          </w:tcPr>
          <w:p>
            <w:pPr>
              <w:adjustRightInd w:val="0"/>
              <w:snapToGrid w:val="0"/>
              <w:spacing w:line="360" w:lineRule="auto"/>
              <w:ind w:firstLine="482" w:firstLineChars="200"/>
              <w:rPr>
                <w:rFonts w:ascii="宋体" w:hAnsi="宋体" w:cs="宋体"/>
                <w:b/>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741" w:type="dxa"/>
            <w:vAlign w:val="center"/>
          </w:tcPr>
          <w:p>
            <w:pPr>
              <w:adjustRightInd w:val="0"/>
              <w:snapToGrid w:val="0"/>
              <w:spacing w:line="360" w:lineRule="auto"/>
              <w:ind w:left="-1" w:leftChars="-1" w:hanging="2" w:hangingChars="1"/>
              <w:jc w:val="center"/>
              <w:rPr>
                <w:rFonts w:ascii="宋体" w:hAnsi="宋体" w:cs="宋体"/>
                <w:b/>
                <w:color w:val="auto"/>
                <w:sz w:val="24"/>
                <w:highlight w:val="none"/>
              </w:rPr>
            </w:pPr>
            <w:r>
              <w:rPr>
                <w:rFonts w:hint="eastAsia" w:ascii="宋体" w:hAnsi="宋体" w:cs="宋体"/>
                <w:b/>
                <w:color w:val="auto"/>
                <w:sz w:val="24"/>
                <w:highlight w:val="none"/>
              </w:rPr>
              <w:t>4</w:t>
            </w:r>
          </w:p>
        </w:tc>
        <w:tc>
          <w:tcPr>
            <w:tcW w:w="2139" w:type="dxa"/>
            <w:tcBorders>
              <w:right w:val="single" w:color="auto" w:sz="4" w:space="0"/>
            </w:tcBorders>
            <w:vAlign w:val="center"/>
          </w:tcPr>
          <w:p>
            <w:pPr>
              <w:snapToGrid w:val="0"/>
              <w:spacing w:line="360" w:lineRule="auto"/>
              <w:jc w:val="left"/>
              <w:rPr>
                <w:rFonts w:ascii="宋体" w:hAnsi="宋体" w:cs="宋体"/>
                <w:color w:val="auto"/>
                <w:sz w:val="24"/>
                <w:highlight w:val="none"/>
                <w:lang w:val="en-GB"/>
              </w:rPr>
            </w:pPr>
          </w:p>
        </w:tc>
        <w:tc>
          <w:tcPr>
            <w:tcW w:w="993" w:type="dxa"/>
            <w:tcBorders>
              <w:top w:val="single" w:color="auto" w:sz="4" w:space="0"/>
              <w:bottom w:val="single" w:color="auto" w:sz="4" w:space="0"/>
            </w:tcBorders>
            <w:vAlign w:val="center"/>
          </w:tcPr>
          <w:p>
            <w:pPr>
              <w:pStyle w:val="495"/>
              <w:spacing w:line="320" w:lineRule="exact"/>
              <w:ind w:firstLine="0" w:firstLineChars="0"/>
              <w:jc w:val="center"/>
              <w:rPr>
                <w:rFonts w:ascii="宋体" w:hAnsi="宋体" w:cs="宋体"/>
                <w:b/>
                <w:color w:val="auto"/>
                <w:highlight w:val="none"/>
                <w:lang w:val="en-GB"/>
              </w:rPr>
            </w:pPr>
          </w:p>
        </w:tc>
        <w:tc>
          <w:tcPr>
            <w:tcW w:w="1148" w:type="dxa"/>
            <w:tcBorders>
              <w:top w:val="single" w:color="auto" w:sz="4" w:space="0"/>
              <w:bottom w:val="single" w:color="auto" w:sz="4" w:space="0"/>
            </w:tcBorders>
            <w:vAlign w:val="center"/>
          </w:tcPr>
          <w:p>
            <w:pPr>
              <w:pStyle w:val="495"/>
              <w:ind w:firstLine="0" w:firstLineChars="0"/>
              <w:jc w:val="center"/>
              <w:rPr>
                <w:rFonts w:ascii="宋体" w:hAnsi="宋体" w:cs="宋体"/>
                <w:b/>
                <w:color w:val="auto"/>
                <w:highlight w:val="none"/>
                <w:lang w:val="en-GB"/>
              </w:rPr>
            </w:pPr>
          </w:p>
        </w:tc>
        <w:tc>
          <w:tcPr>
            <w:tcW w:w="1252" w:type="dxa"/>
            <w:tcBorders>
              <w:top w:val="single" w:color="auto" w:sz="4" w:space="0"/>
              <w:bottom w:val="single" w:color="auto" w:sz="4" w:space="0"/>
            </w:tcBorders>
            <w:vAlign w:val="center"/>
          </w:tcPr>
          <w:p>
            <w:pPr>
              <w:adjustRightInd w:val="0"/>
              <w:snapToGrid w:val="0"/>
              <w:spacing w:line="360" w:lineRule="auto"/>
              <w:ind w:firstLine="482" w:firstLineChars="200"/>
              <w:rPr>
                <w:rFonts w:ascii="宋体" w:hAnsi="宋体" w:cs="宋体"/>
                <w:b/>
                <w:color w:val="auto"/>
                <w:sz w:val="24"/>
                <w:highlight w:val="none"/>
                <w:lang w:val="en-GB"/>
              </w:rPr>
            </w:pPr>
          </w:p>
        </w:tc>
        <w:tc>
          <w:tcPr>
            <w:tcW w:w="1162" w:type="dxa"/>
            <w:tcBorders>
              <w:top w:val="single" w:color="auto" w:sz="4" w:space="0"/>
              <w:bottom w:val="single" w:color="auto" w:sz="4" w:space="0"/>
            </w:tcBorders>
            <w:vAlign w:val="center"/>
          </w:tcPr>
          <w:p>
            <w:pPr>
              <w:adjustRightInd w:val="0"/>
              <w:snapToGrid w:val="0"/>
              <w:spacing w:line="360" w:lineRule="auto"/>
              <w:ind w:firstLine="482" w:firstLineChars="200"/>
              <w:rPr>
                <w:rFonts w:ascii="宋体" w:hAnsi="宋体" w:cs="宋体"/>
                <w:b/>
                <w:color w:val="auto"/>
                <w:sz w:val="24"/>
                <w:highlight w:val="none"/>
                <w:lang w:val="en-GB"/>
              </w:rPr>
            </w:pPr>
          </w:p>
        </w:tc>
        <w:tc>
          <w:tcPr>
            <w:tcW w:w="1225" w:type="dxa"/>
            <w:tcBorders>
              <w:top w:val="single" w:color="auto" w:sz="4" w:space="0"/>
              <w:bottom w:val="single" w:color="auto" w:sz="4" w:space="0"/>
            </w:tcBorders>
            <w:vAlign w:val="center"/>
          </w:tcPr>
          <w:p>
            <w:pPr>
              <w:adjustRightInd w:val="0"/>
              <w:snapToGrid w:val="0"/>
              <w:spacing w:line="360" w:lineRule="auto"/>
              <w:ind w:firstLine="482" w:firstLineChars="200"/>
              <w:rPr>
                <w:rFonts w:ascii="宋体" w:hAnsi="宋体" w:cs="宋体"/>
                <w:b/>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741" w:type="dxa"/>
            <w:vMerge w:val="restart"/>
            <w:vAlign w:val="center"/>
          </w:tcPr>
          <w:p>
            <w:pPr>
              <w:adjustRightInd w:val="0"/>
              <w:snapToGrid w:val="0"/>
              <w:spacing w:line="360" w:lineRule="auto"/>
              <w:ind w:left="-1" w:leftChars="-1" w:hanging="2" w:hangingChars="1"/>
              <w:jc w:val="center"/>
              <w:rPr>
                <w:rFonts w:ascii="宋体" w:hAnsi="宋体" w:cs="宋体"/>
                <w:b/>
                <w:color w:val="auto"/>
                <w:sz w:val="24"/>
                <w:highlight w:val="none"/>
              </w:rPr>
            </w:pPr>
            <w:r>
              <w:rPr>
                <w:rFonts w:hint="eastAsia" w:ascii="宋体" w:hAnsi="宋体" w:cs="宋体"/>
                <w:b/>
                <w:color w:val="auto"/>
                <w:sz w:val="24"/>
                <w:highlight w:val="none"/>
              </w:rPr>
              <w:t>5</w:t>
            </w:r>
          </w:p>
        </w:tc>
        <w:tc>
          <w:tcPr>
            <w:tcW w:w="2139" w:type="dxa"/>
            <w:vMerge w:val="restart"/>
            <w:vAlign w:val="center"/>
          </w:tcPr>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总计</w:t>
            </w:r>
          </w:p>
        </w:tc>
        <w:tc>
          <w:tcPr>
            <w:tcW w:w="5780" w:type="dxa"/>
            <w:gridSpan w:val="5"/>
            <w:tcBorders>
              <w:top w:val="single" w:color="auto" w:sz="4" w:space="0"/>
              <w:bottom w:val="single" w:color="auto" w:sz="4" w:space="0"/>
            </w:tcBorders>
            <w:vAlign w:val="center"/>
          </w:tcPr>
          <w:p>
            <w:pPr>
              <w:adjustRightInd w:val="0"/>
              <w:snapToGrid w:val="0"/>
              <w:spacing w:line="360" w:lineRule="auto"/>
              <w:ind w:firstLine="482" w:firstLineChars="200"/>
              <w:rPr>
                <w:rFonts w:ascii="宋体" w:hAnsi="宋体" w:cs="宋体"/>
                <w:b/>
                <w:color w:val="auto"/>
                <w:sz w:val="24"/>
                <w:highlight w:val="none"/>
                <w:lang w:val="en-GB"/>
              </w:rPr>
            </w:pPr>
            <w:r>
              <w:rPr>
                <w:rFonts w:hint="eastAsia" w:ascii="宋体" w:hAnsi="宋体" w:cs="宋体"/>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741" w:type="dxa"/>
            <w:vMerge w:val="continue"/>
            <w:tcBorders>
              <w:bottom w:val="single" w:color="auto" w:sz="4" w:space="0"/>
            </w:tcBorders>
            <w:vAlign w:val="center"/>
          </w:tcPr>
          <w:p>
            <w:pPr>
              <w:adjustRightInd w:val="0"/>
              <w:snapToGrid w:val="0"/>
              <w:spacing w:line="360" w:lineRule="auto"/>
              <w:ind w:firstLine="482" w:firstLineChars="200"/>
              <w:rPr>
                <w:rFonts w:ascii="宋体" w:hAnsi="宋体" w:cs="宋体"/>
                <w:b/>
                <w:color w:val="auto"/>
                <w:sz w:val="24"/>
                <w:highlight w:val="none"/>
                <w:lang w:val="en-GB"/>
              </w:rPr>
            </w:pPr>
          </w:p>
        </w:tc>
        <w:tc>
          <w:tcPr>
            <w:tcW w:w="2139" w:type="dxa"/>
            <w:vMerge w:val="continue"/>
            <w:tcBorders>
              <w:bottom w:val="single" w:color="auto" w:sz="4" w:space="0"/>
            </w:tcBorders>
            <w:vAlign w:val="center"/>
          </w:tcPr>
          <w:p>
            <w:pPr>
              <w:adjustRightInd w:val="0"/>
              <w:snapToGrid w:val="0"/>
              <w:spacing w:line="360" w:lineRule="auto"/>
              <w:ind w:firstLine="482" w:firstLineChars="200"/>
              <w:rPr>
                <w:rFonts w:ascii="宋体" w:hAnsi="宋体" w:cs="宋体"/>
                <w:b/>
                <w:color w:val="auto"/>
                <w:sz w:val="24"/>
                <w:highlight w:val="none"/>
                <w:lang w:val="en-GB"/>
              </w:rPr>
            </w:pPr>
          </w:p>
        </w:tc>
        <w:tc>
          <w:tcPr>
            <w:tcW w:w="5780" w:type="dxa"/>
            <w:gridSpan w:val="5"/>
            <w:tcBorders>
              <w:top w:val="single" w:color="auto" w:sz="4" w:space="0"/>
              <w:bottom w:val="single" w:color="auto" w:sz="4" w:space="0"/>
            </w:tcBorders>
            <w:vAlign w:val="center"/>
          </w:tcPr>
          <w:p>
            <w:pPr>
              <w:adjustRightInd w:val="0"/>
              <w:snapToGrid w:val="0"/>
              <w:spacing w:line="360" w:lineRule="auto"/>
              <w:ind w:firstLine="482" w:firstLineChars="200"/>
              <w:rPr>
                <w:rFonts w:ascii="宋体" w:hAnsi="宋体" w:cs="宋体"/>
                <w:b/>
                <w:color w:val="auto"/>
                <w:sz w:val="24"/>
                <w:highlight w:val="none"/>
                <w:lang w:val="en-GB"/>
              </w:rPr>
            </w:pPr>
            <w:r>
              <w:rPr>
                <w:rFonts w:hint="eastAsia" w:ascii="宋体" w:hAnsi="宋体" w:cs="宋体"/>
                <w:b/>
                <w:color w:val="auto"/>
                <w:sz w:val="24"/>
                <w:highlight w:val="none"/>
              </w:rPr>
              <w:t>大写：</w:t>
            </w:r>
          </w:p>
        </w:tc>
      </w:tr>
    </w:tbl>
    <w:p>
      <w:pPr>
        <w:snapToGrid w:val="0"/>
        <w:spacing w:line="360" w:lineRule="auto"/>
        <w:ind w:firstLine="482" w:firstLineChars="200"/>
        <w:jc w:val="left"/>
        <w:rPr>
          <w:rFonts w:ascii="宋体" w:hAnsi="宋体" w:cs="宋体"/>
          <w:color w:val="auto"/>
          <w:sz w:val="24"/>
          <w:highlight w:val="none"/>
          <w:lang w:val="zh-CN"/>
        </w:rPr>
      </w:pPr>
      <w:r>
        <w:rPr>
          <w:rFonts w:hint="eastAsia" w:ascii="宋体" w:hAnsi="宋体" w:cs="宋体"/>
          <w:b/>
          <w:bCs/>
          <w:color w:val="auto"/>
          <w:sz w:val="24"/>
          <w:highlight w:val="none"/>
        </w:rPr>
        <w:t>注：</w:t>
      </w:r>
      <w:r>
        <w:rPr>
          <w:rFonts w:hint="eastAsia" w:ascii="宋体" w:hAnsi="宋体" w:cs="宋体"/>
          <w:bCs/>
          <w:color w:val="auto"/>
          <w:sz w:val="24"/>
          <w:highlight w:val="none"/>
        </w:rPr>
        <w:t>1、投标报价包含</w:t>
      </w:r>
      <w:r>
        <w:rPr>
          <w:rFonts w:hint="eastAsia" w:ascii="宋体" w:hAnsi="宋体" w:cs="宋体"/>
          <w:color w:val="auto"/>
          <w:kern w:val="0"/>
          <w:sz w:val="24"/>
          <w:highlight w:val="none"/>
          <w:lang w:val="zh-CN"/>
        </w:rPr>
        <w:t>有关本项目所需的货款、标准附件、备品备件、专用工具、安装附件、质保、包装、运输、装卸、保险、税金、货到检查以及安装、调试、培训、保修等一切税金和费用等招标文件及合同明示或者暗示的所有责任、义务和风险</w:t>
      </w:r>
      <w:r>
        <w:rPr>
          <w:rFonts w:hint="eastAsia" w:ascii="宋体" w:hAnsi="宋体" w:cs="宋体"/>
          <w:color w:val="auto"/>
          <w:sz w:val="24"/>
          <w:highlight w:val="none"/>
          <w:lang w:val="zh-CN"/>
        </w:rPr>
        <w:t>。</w:t>
      </w:r>
    </w:p>
    <w:p>
      <w:pPr>
        <w:snapToGrid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2、报价一经涂改，应在涂改处加盖单位公章或者由法定代表人或授权委托人签字或盖章，否则其投标作无效标处理。</w:t>
      </w:r>
    </w:p>
    <w:p>
      <w:pPr>
        <w:snapToGrid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3、以上报价总计应与“开标一览表”中的“对应标项响应报价”相一致。</w:t>
      </w:r>
    </w:p>
    <w:p>
      <w:pPr>
        <w:adjustRightInd w:val="0"/>
        <w:snapToGrid w:val="0"/>
        <w:spacing w:line="360" w:lineRule="auto"/>
        <w:rPr>
          <w:rFonts w:ascii="宋体" w:hAnsi="宋体" w:cs="宋体"/>
          <w:color w:val="auto"/>
          <w:kern w:val="0"/>
          <w:sz w:val="24"/>
          <w:highlight w:val="none"/>
          <w:lang w:val="zh-CN"/>
        </w:rPr>
      </w:pPr>
    </w:p>
    <w:p>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adjustRightInd w:val="0"/>
        <w:snapToGrid w:val="0"/>
        <w:spacing w:line="288" w:lineRule="auto"/>
        <w:rPr>
          <w:rFonts w:ascii="宋体" w:hAnsi="宋体" w:cs="宋体"/>
          <w:b/>
          <w:color w:val="auto"/>
          <w:szCs w:val="22"/>
          <w:highlight w:val="none"/>
        </w:rPr>
      </w:pPr>
    </w:p>
    <w:p>
      <w:pPr>
        <w:adjustRightInd w:val="0"/>
        <w:snapToGrid w:val="0"/>
        <w:spacing w:line="288" w:lineRule="auto"/>
        <w:rPr>
          <w:rFonts w:ascii="宋体" w:hAnsi="宋体" w:cs="宋体"/>
          <w:b/>
          <w:color w:val="auto"/>
          <w:szCs w:val="22"/>
          <w:highlight w:val="none"/>
        </w:rPr>
      </w:pPr>
    </w:p>
    <w:p>
      <w:pPr>
        <w:adjustRightInd w:val="0"/>
        <w:snapToGrid w:val="0"/>
        <w:spacing w:line="288" w:lineRule="auto"/>
        <w:rPr>
          <w:rFonts w:ascii="宋体" w:hAnsi="宋体" w:cs="宋体"/>
          <w:b/>
          <w:color w:val="auto"/>
          <w:szCs w:val="22"/>
          <w:highlight w:val="none"/>
        </w:rPr>
        <w:sectPr>
          <w:footerReference r:id="rId14" w:type="first"/>
          <w:footerReference r:id="rId13" w:type="default"/>
          <w:pgSz w:w="11906" w:h="16838"/>
          <w:pgMar w:top="1440" w:right="1440" w:bottom="1440" w:left="1440" w:header="851" w:footer="851" w:gutter="0"/>
          <w:cols w:space="720" w:num="1"/>
          <w:titlePg/>
          <w:docGrid w:linePitch="381" w:charSpace="0"/>
        </w:sectPr>
      </w:pPr>
    </w:p>
    <w:bookmarkEnd w:id="122"/>
    <w:p>
      <w:pPr>
        <w:pStyle w:val="628"/>
        <w:widowControl w:val="0"/>
        <w:snapToGrid w:val="0"/>
        <w:spacing w:line="500" w:lineRule="exact"/>
        <w:jc w:val="center"/>
        <w:rPr>
          <w:rFonts w:hint="default" w:hAnsi="宋体" w:cs="方正小标宋简体"/>
          <w:b/>
          <w:color w:val="auto"/>
          <w:szCs w:val="28"/>
          <w:highlight w:val="none"/>
        </w:rPr>
      </w:pPr>
      <w:bookmarkStart w:id="123" w:name="_Toc522530061"/>
      <w:bookmarkStart w:id="124" w:name="_Toc16646"/>
      <w:r>
        <w:rPr>
          <w:rFonts w:hAnsi="宋体" w:cs="方正小标宋简体"/>
          <w:b/>
          <w:color w:val="auto"/>
          <w:szCs w:val="28"/>
          <w:highlight w:val="none"/>
        </w:rPr>
        <w:t>政府采购活动现场确认声明书</w:t>
      </w:r>
    </w:p>
    <w:p>
      <w:pPr>
        <w:pStyle w:val="628"/>
        <w:widowControl w:val="0"/>
        <w:snapToGrid w:val="0"/>
        <w:spacing w:line="460" w:lineRule="exact"/>
        <w:jc w:val="both"/>
        <w:rPr>
          <w:rFonts w:hint="default" w:hAnsi="宋体"/>
          <w:b/>
          <w:color w:val="auto"/>
          <w:sz w:val="24"/>
          <w:szCs w:val="24"/>
          <w:highlight w:val="none"/>
        </w:rPr>
      </w:pPr>
      <w:r>
        <w:rPr>
          <w:rFonts w:hint="eastAsia" w:hAnsi="宋体"/>
          <w:color w:val="auto"/>
          <w:kern w:val="0"/>
          <w:sz w:val="24"/>
          <w:szCs w:val="24"/>
          <w:highlight w:val="none"/>
          <w:lang w:eastAsia="zh-CN"/>
        </w:rPr>
        <w:t>浙江中正工程项目管理有限公司</w:t>
      </w:r>
      <w:r>
        <w:rPr>
          <w:rFonts w:hAnsi="宋体"/>
          <w:color w:val="auto"/>
          <w:kern w:val="0"/>
          <w:sz w:val="24"/>
          <w:szCs w:val="24"/>
          <w:highlight w:val="none"/>
        </w:rPr>
        <w:t>：</w:t>
      </w:r>
    </w:p>
    <w:p>
      <w:pPr>
        <w:pStyle w:val="628"/>
        <w:widowControl w:val="0"/>
        <w:snapToGrid w:val="0"/>
        <w:spacing w:line="460" w:lineRule="exact"/>
        <w:ind w:firstLine="504" w:firstLineChars="200"/>
        <w:jc w:val="both"/>
        <w:rPr>
          <w:rFonts w:hint="default" w:hAnsi="宋体"/>
          <w:color w:val="auto"/>
          <w:spacing w:val="6"/>
          <w:sz w:val="24"/>
          <w:szCs w:val="24"/>
          <w:highlight w:val="none"/>
        </w:rPr>
      </w:pPr>
      <w:r>
        <w:rPr>
          <w:rFonts w:hAnsi="宋体"/>
          <w:color w:val="auto"/>
          <w:spacing w:val="6"/>
          <w:sz w:val="24"/>
          <w:szCs w:val="24"/>
          <w:highlight w:val="none"/>
        </w:rPr>
        <w:t>本人</w:t>
      </w:r>
      <w:r>
        <w:rPr>
          <w:rFonts w:hAnsi="宋体"/>
          <w:color w:val="auto"/>
          <w:spacing w:val="6"/>
          <w:sz w:val="24"/>
          <w:szCs w:val="24"/>
          <w:highlight w:val="none"/>
          <w:u w:val="single"/>
        </w:rPr>
        <w:t xml:space="preserve">     </w:t>
      </w:r>
      <w:r>
        <w:rPr>
          <w:rFonts w:hAnsi="宋体" w:cs="宋体"/>
          <w:color w:val="auto"/>
          <w:sz w:val="24"/>
          <w:szCs w:val="24"/>
          <w:highlight w:val="none"/>
        </w:rPr>
        <w:t>（授权代表姓名）</w:t>
      </w:r>
      <w:r>
        <w:rPr>
          <w:rFonts w:hAnsi="宋体"/>
          <w:color w:val="auto"/>
          <w:spacing w:val="6"/>
          <w:sz w:val="24"/>
          <w:szCs w:val="24"/>
          <w:highlight w:val="none"/>
        </w:rPr>
        <w:t>经由</w:t>
      </w:r>
      <w:r>
        <w:rPr>
          <w:rFonts w:hAnsi="宋体"/>
          <w:color w:val="auto"/>
          <w:spacing w:val="6"/>
          <w:sz w:val="24"/>
          <w:szCs w:val="24"/>
          <w:highlight w:val="none"/>
          <w:u w:val="single"/>
        </w:rPr>
        <w:t xml:space="preserve">            </w:t>
      </w:r>
      <w:r>
        <w:rPr>
          <w:rFonts w:hAnsi="宋体" w:cs="宋体"/>
          <w:color w:val="auto"/>
          <w:sz w:val="24"/>
          <w:szCs w:val="24"/>
          <w:highlight w:val="none"/>
        </w:rPr>
        <w:t>（单位）</w:t>
      </w:r>
      <w:r>
        <w:rPr>
          <w:rFonts w:hAnsi="宋体"/>
          <w:color w:val="auto"/>
          <w:spacing w:val="6"/>
          <w:sz w:val="24"/>
          <w:szCs w:val="24"/>
          <w:highlight w:val="none"/>
        </w:rPr>
        <w:t>法定代表人</w:t>
      </w:r>
      <w:r>
        <w:rPr>
          <w:rFonts w:hAnsi="宋体"/>
          <w:color w:val="auto"/>
          <w:spacing w:val="6"/>
          <w:sz w:val="24"/>
          <w:szCs w:val="24"/>
          <w:highlight w:val="none"/>
          <w:u w:val="single"/>
        </w:rPr>
        <w:t xml:space="preserve">      </w:t>
      </w:r>
      <w:r>
        <w:rPr>
          <w:rFonts w:hAnsi="宋体"/>
          <w:color w:val="auto"/>
          <w:spacing w:val="6"/>
          <w:sz w:val="24"/>
          <w:szCs w:val="24"/>
          <w:highlight w:val="none"/>
        </w:rPr>
        <w:t>合法授权参加</w:t>
      </w:r>
      <w:r>
        <w:rPr>
          <w:rFonts w:hAnsi="宋体"/>
          <w:color w:val="auto"/>
          <w:spacing w:val="6"/>
          <w:sz w:val="24"/>
          <w:szCs w:val="24"/>
          <w:highlight w:val="none"/>
          <w:u w:val="single"/>
        </w:rPr>
        <w:t>浙江大学衢州研究院智慧化建设项目</w:t>
      </w:r>
      <w:r>
        <w:rPr>
          <w:rFonts w:hAnsi="宋体"/>
          <w:color w:val="auto"/>
          <w:spacing w:val="6"/>
          <w:sz w:val="24"/>
          <w:szCs w:val="24"/>
          <w:highlight w:val="none"/>
        </w:rPr>
        <w:t>（项目编号：</w:t>
      </w:r>
      <w:r>
        <w:rPr>
          <w:rFonts w:hint="eastAsia" w:hAnsi="宋体"/>
          <w:color w:val="auto"/>
          <w:spacing w:val="6"/>
          <w:sz w:val="24"/>
          <w:szCs w:val="24"/>
          <w:highlight w:val="none"/>
          <w:u w:val="single"/>
          <w:lang w:eastAsia="zh-CN"/>
        </w:rPr>
        <w:t>ZZCG2023011</w:t>
      </w:r>
      <w:r>
        <w:rPr>
          <w:rFonts w:hAnsi="宋体"/>
          <w:color w:val="auto"/>
          <w:sz w:val="24"/>
          <w:highlight w:val="none"/>
          <w:u w:val="single"/>
        </w:rPr>
        <w:t xml:space="preserve"> </w:t>
      </w:r>
      <w:r>
        <w:rPr>
          <w:rFonts w:hAnsi="宋体"/>
          <w:color w:val="auto"/>
          <w:spacing w:val="6"/>
          <w:sz w:val="24"/>
          <w:szCs w:val="24"/>
          <w:highlight w:val="none"/>
        </w:rPr>
        <w:t xml:space="preserve">）政府采购活动，经与本单位法人代表（负责人）联系确认，现就有关公平竞争事项郑重声明如下： </w:t>
      </w:r>
    </w:p>
    <w:p>
      <w:pPr>
        <w:pStyle w:val="629"/>
        <w:widowControl/>
        <w:numPr>
          <w:ilvl w:val="0"/>
          <w:numId w:val="8"/>
        </w:numPr>
        <w:snapToGrid w:val="0"/>
        <w:spacing w:line="460" w:lineRule="exact"/>
        <w:ind w:firstLine="453" w:firstLineChars="189"/>
        <w:rPr>
          <w:rFonts w:hint="default" w:ascii="宋体" w:hAnsi="宋体"/>
          <w:color w:val="auto"/>
          <w:kern w:val="0"/>
          <w:sz w:val="24"/>
          <w:szCs w:val="24"/>
          <w:highlight w:val="none"/>
        </w:rPr>
      </w:pPr>
      <w:r>
        <w:rPr>
          <w:rFonts w:ascii="宋体" w:hAnsi="宋体"/>
          <w:color w:val="auto"/>
          <w:kern w:val="0"/>
          <w:sz w:val="24"/>
          <w:szCs w:val="24"/>
          <w:highlight w:val="none"/>
        </w:rPr>
        <w:t xml:space="preserve">本单位与招标人之间 </w:t>
      </w:r>
      <w:r>
        <w:rPr>
          <w:rFonts w:ascii="宋体" w:hAnsi="宋体" w:cs="宋体"/>
          <w:color w:val="auto"/>
          <w:kern w:val="0"/>
          <w:sz w:val="24"/>
          <w:szCs w:val="24"/>
          <w:highlight w:val="none"/>
        </w:rPr>
        <w:t>□</w:t>
      </w:r>
      <w:r>
        <w:rPr>
          <w:rFonts w:ascii="宋体" w:hAnsi="宋体"/>
          <w:color w:val="auto"/>
          <w:kern w:val="0"/>
          <w:sz w:val="24"/>
          <w:szCs w:val="24"/>
          <w:highlight w:val="none"/>
        </w:rPr>
        <w:t xml:space="preserve">不存在利害关系 </w:t>
      </w:r>
      <w:r>
        <w:rPr>
          <w:rFonts w:ascii="宋体" w:hAnsi="宋体" w:cs="宋体"/>
          <w:color w:val="auto"/>
          <w:kern w:val="0"/>
          <w:sz w:val="24"/>
          <w:szCs w:val="24"/>
          <w:highlight w:val="none"/>
        </w:rPr>
        <w:t>□</w:t>
      </w:r>
      <w:r>
        <w:rPr>
          <w:rFonts w:ascii="宋体" w:hAnsi="宋体"/>
          <w:color w:val="auto"/>
          <w:kern w:val="0"/>
          <w:sz w:val="24"/>
          <w:szCs w:val="24"/>
          <w:highlight w:val="none"/>
        </w:rPr>
        <w:t>存在下列利害关系</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：A.投资关系    B.行政隶属关系    C.业务指导关系</w:t>
      </w:r>
    </w:p>
    <w:p>
      <w:pPr>
        <w:pStyle w:val="629"/>
        <w:widowControl/>
        <w:snapToGrid w:val="0"/>
        <w:spacing w:line="460" w:lineRule="exact"/>
        <w:rPr>
          <w:rFonts w:hint="default" w:ascii="宋体" w:hAnsi="宋体"/>
          <w:color w:val="auto"/>
          <w:kern w:val="0"/>
          <w:sz w:val="24"/>
          <w:szCs w:val="24"/>
          <w:highlight w:val="none"/>
        </w:rPr>
      </w:pPr>
      <w:r>
        <w:rPr>
          <w:rFonts w:ascii="宋体" w:hAnsi="宋体"/>
          <w:color w:val="auto"/>
          <w:kern w:val="0"/>
          <w:sz w:val="24"/>
          <w:szCs w:val="24"/>
          <w:highlight w:val="none"/>
        </w:rPr>
        <w:t xml:space="preserve">  D.其他可能</w:t>
      </w:r>
      <w:r>
        <w:rPr>
          <w:rFonts w:ascii="宋体" w:hAnsi="宋体"/>
          <w:color w:val="auto"/>
          <w:sz w:val="24"/>
          <w:szCs w:val="24"/>
          <w:highlight w:val="none"/>
        </w:rPr>
        <w:t>影响采购公正的</w:t>
      </w:r>
      <w:r>
        <w:rPr>
          <w:rFonts w:ascii="宋体" w:hAnsi="宋体"/>
          <w:color w:val="auto"/>
          <w:kern w:val="0"/>
          <w:sz w:val="24"/>
          <w:szCs w:val="24"/>
          <w:highlight w:val="none"/>
        </w:rPr>
        <w:t>利害关系</w:t>
      </w:r>
      <w:r>
        <w:rPr>
          <w:rFonts w:ascii="宋体" w:hAnsi="宋体"/>
          <w:color w:val="auto"/>
          <w:kern w:val="0"/>
          <w:sz w:val="24"/>
          <w:szCs w:val="24"/>
          <w:highlight w:val="none"/>
          <w:u w:val="single"/>
        </w:rPr>
        <w:t xml:space="preserve">（如有，请如实说明）                 </w:t>
      </w:r>
      <w:r>
        <w:rPr>
          <w:rFonts w:ascii="宋体" w:hAnsi="宋体"/>
          <w:color w:val="auto"/>
          <w:kern w:val="0"/>
          <w:sz w:val="24"/>
          <w:szCs w:val="24"/>
          <w:highlight w:val="none"/>
        </w:rPr>
        <w:t>。</w:t>
      </w:r>
    </w:p>
    <w:p>
      <w:pPr>
        <w:pStyle w:val="629"/>
        <w:widowControl/>
        <w:snapToGrid w:val="0"/>
        <w:spacing w:line="460" w:lineRule="exact"/>
        <w:rPr>
          <w:rFonts w:hint="default" w:ascii="宋体" w:hAnsi="宋体"/>
          <w:color w:val="auto"/>
          <w:kern w:val="0"/>
          <w:sz w:val="24"/>
          <w:szCs w:val="24"/>
          <w:highlight w:val="none"/>
        </w:rPr>
      </w:pPr>
      <w:r>
        <w:rPr>
          <w:rFonts w:ascii="宋体" w:hAnsi="宋体"/>
          <w:color w:val="auto"/>
          <w:spacing w:val="6"/>
          <w:sz w:val="24"/>
          <w:szCs w:val="24"/>
          <w:highlight w:val="none"/>
        </w:rPr>
        <w:t xml:space="preserve">  二、</w:t>
      </w:r>
      <w:r>
        <w:rPr>
          <w:rFonts w:ascii="宋体" w:hAnsi="宋体"/>
          <w:color w:val="auto"/>
          <w:kern w:val="0"/>
          <w:sz w:val="24"/>
          <w:szCs w:val="24"/>
          <w:highlight w:val="none"/>
        </w:rPr>
        <w:t xml:space="preserve">现已清楚知道参加本项目采购活动的其他所有供应商名称，本单位 </w:t>
      </w:r>
      <w:r>
        <w:rPr>
          <w:rFonts w:ascii="宋体" w:hAnsi="宋体" w:cs="宋体"/>
          <w:color w:val="auto"/>
          <w:kern w:val="0"/>
          <w:sz w:val="24"/>
          <w:szCs w:val="24"/>
          <w:highlight w:val="none"/>
        </w:rPr>
        <w:t>□与其他所有供应商之间均</w:t>
      </w:r>
      <w:r>
        <w:rPr>
          <w:rFonts w:ascii="宋体" w:hAnsi="宋体"/>
          <w:color w:val="auto"/>
          <w:kern w:val="0"/>
          <w:sz w:val="24"/>
          <w:szCs w:val="24"/>
          <w:highlight w:val="none"/>
        </w:rPr>
        <w:t xml:space="preserve">不存在利害关系 </w:t>
      </w:r>
      <w:r>
        <w:rPr>
          <w:rFonts w:ascii="宋体" w:hAnsi="宋体" w:cs="宋体"/>
          <w:color w:val="auto"/>
          <w:kern w:val="0"/>
          <w:sz w:val="24"/>
          <w:szCs w:val="24"/>
          <w:highlight w:val="none"/>
        </w:rPr>
        <w:t>□与</w:t>
      </w:r>
      <w:r>
        <w:rPr>
          <w:rFonts w:ascii="宋体" w:hAnsi="宋体" w:cs="宋体"/>
          <w:color w:val="auto"/>
          <w:kern w:val="0"/>
          <w:sz w:val="24"/>
          <w:szCs w:val="24"/>
          <w:highlight w:val="none"/>
          <w:u w:val="single"/>
        </w:rPr>
        <w:t xml:space="preserve">           （供应商名称）</w:t>
      </w:r>
      <w:r>
        <w:rPr>
          <w:rFonts w:ascii="宋体" w:hAnsi="宋体" w:cs="宋体"/>
          <w:color w:val="auto"/>
          <w:kern w:val="0"/>
          <w:sz w:val="24"/>
          <w:szCs w:val="24"/>
          <w:highlight w:val="none"/>
        </w:rPr>
        <w:t>之间</w:t>
      </w:r>
      <w:r>
        <w:rPr>
          <w:rFonts w:ascii="宋体" w:hAnsi="宋体"/>
          <w:color w:val="auto"/>
          <w:kern w:val="0"/>
          <w:sz w:val="24"/>
          <w:szCs w:val="24"/>
          <w:highlight w:val="none"/>
        </w:rPr>
        <w:t>存在下列利害关系</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pPr>
        <w:pStyle w:val="628"/>
        <w:widowControl w:val="0"/>
        <w:snapToGrid w:val="0"/>
        <w:spacing w:line="460" w:lineRule="exact"/>
        <w:jc w:val="both"/>
        <w:rPr>
          <w:rFonts w:hint="default" w:hAnsi="宋体"/>
          <w:color w:val="auto"/>
          <w:kern w:val="0"/>
          <w:sz w:val="24"/>
          <w:szCs w:val="24"/>
          <w:highlight w:val="none"/>
        </w:rPr>
      </w:pPr>
      <w:r>
        <w:rPr>
          <w:rFonts w:hAnsi="宋体"/>
          <w:color w:val="auto"/>
          <w:kern w:val="0"/>
          <w:sz w:val="24"/>
          <w:szCs w:val="24"/>
          <w:highlight w:val="none"/>
        </w:rPr>
        <w:t xml:space="preserve">  A.法定代表人或负责人或实际控制人是同一人</w:t>
      </w:r>
    </w:p>
    <w:p>
      <w:pPr>
        <w:pStyle w:val="628"/>
        <w:widowControl w:val="0"/>
        <w:snapToGrid w:val="0"/>
        <w:spacing w:line="460" w:lineRule="exact"/>
        <w:jc w:val="both"/>
        <w:rPr>
          <w:rFonts w:hint="default" w:hAnsi="宋体"/>
          <w:color w:val="auto"/>
          <w:spacing w:val="6"/>
          <w:sz w:val="24"/>
          <w:szCs w:val="24"/>
          <w:highlight w:val="none"/>
        </w:rPr>
      </w:pPr>
      <w:r>
        <w:rPr>
          <w:rFonts w:hAnsi="宋体"/>
          <w:color w:val="auto"/>
          <w:kern w:val="0"/>
          <w:sz w:val="24"/>
          <w:szCs w:val="24"/>
          <w:highlight w:val="none"/>
        </w:rPr>
        <w:t xml:space="preserve">  B.法定代表人或负责人或实际控制人是夫妻关系</w:t>
      </w:r>
    </w:p>
    <w:p>
      <w:pPr>
        <w:pStyle w:val="628"/>
        <w:widowControl w:val="0"/>
        <w:snapToGrid w:val="0"/>
        <w:spacing w:line="460" w:lineRule="exact"/>
        <w:jc w:val="both"/>
        <w:rPr>
          <w:rFonts w:hint="default" w:hAnsi="宋体"/>
          <w:color w:val="auto"/>
          <w:spacing w:val="6"/>
          <w:sz w:val="24"/>
          <w:szCs w:val="24"/>
          <w:highlight w:val="none"/>
        </w:rPr>
      </w:pPr>
      <w:r>
        <w:rPr>
          <w:rFonts w:hAnsi="宋体"/>
          <w:color w:val="auto"/>
          <w:kern w:val="0"/>
          <w:sz w:val="24"/>
          <w:szCs w:val="24"/>
          <w:highlight w:val="none"/>
        </w:rPr>
        <w:t xml:space="preserve">  C.法定代表人或负责人或实际控制人是直系血亲关系</w:t>
      </w:r>
    </w:p>
    <w:p>
      <w:pPr>
        <w:pStyle w:val="628"/>
        <w:widowControl w:val="0"/>
        <w:snapToGrid w:val="0"/>
        <w:spacing w:line="460" w:lineRule="exact"/>
        <w:jc w:val="both"/>
        <w:rPr>
          <w:rFonts w:hint="default" w:hAnsi="宋体"/>
          <w:color w:val="auto"/>
          <w:spacing w:val="6"/>
          <w:sz w:val="24"/>
          <w:szCs w:val="24"/>
          <w:highlight w:val="none"/>
        </w:rPr>
      </w:pPr>
      <w:r>
        <w:rPr>
          <w:rFonts w:hAnsi="宋体"/>
          <w:color w:val="auto"/>
          <w:kern w:val="0"/>
          <w:sz w:val="24"/>
          <w:szCs w:val="24"/>
          <w:highlight w:val="none"/>
        </w:rPr>
        <w:t xml:space="preserve">  D.法定代表人或负责人或实际控制人存在三代以内旁系血亲关系</w:t>
      </w:r>
    </w:p>
    <w:p>
      <w:pPr>
        <w:pStyle w:val="628"/>
        <w:widowControl w:val="0"/>
        <w:snapToGrid w:val="0"/>
        <w:spacing w:line="460" w:lineRule="exact"/>
        <w:jc w:val="both"/>
        <w:rPr>
          <w:rFonts w:hint="default" w:hAnsi="宋体"/>
          <w:color w:val="auto"/>
          <w:kern w:val="0"/>
          <w:sz w:val="24"/>
          <w:szCs w:val="24"/>
          <w:highlight w:val="none"/>
        </w:rPr>
      </w:pPr>
      <w:r>
        <w:rPr>
          <w:rFonts w:hAnsi="宋体"/>
          <w:color w:val="auto"/>
          <w:kern w:val="0"/>
          <w:sz w:val="24"/>
          <w:szCs w:val="24"/>
          <w:highlight w:val="none"/>
        </w:rPr>
        <w:t xml:space="preserve">  E.法定代表人或负责人或实际控制人存在近姻亲关系</w:t>
      </w:r>
    </w:p>
    <w:p>
      <w:pPr>
        <w:pStyle w:val="628"/>
        <w:widowControl w:val="0"/>
        <w:snapToGrid w:val="0"/>
        <w:spacing w:line="460" w:lineRule="exact"/>
        <w:jc w:val="both"/>
        <w:rPr>
          <w:rFonts w:hint="default" w:hAnsi="宋体"/>
          <w:color w:val="auto"/>
          <w:kern w:val="0"/>
          <w:sz w:val="24"/>
          <w:szCs w:val="24"/>
          <w:highlight w:val="none"/>
        </w:rPr>
      </w:pPr>
      <w:r>
        <w:rPr>
          <w:rFonts w:hAnsi="宋体"/>
          <w:color w:val="auto"/>
          <w:kern w:val="0"/>
          <w:sz w:val="24"/>
          <w:szCs w:val="24"/>
          <w:highlight w:val="none"/>
        </w:rPr>
        <w:t xml:space="preserve">  F.法定代表人或负责人或实际控制人存在股份控制或实际控制关系</w:t>
      </w:r>
    </w:p>
    <w:p>
      <w:pPr>
        <w:pStyle w:val="628"/>
        <w:widowControl w:val="0"/>
        <w:snapToGrid w:val="0"/>
        <w:spacing w:line="460" w:lineRule="exact"/>
        <w:jc w:val="both"/>
        <w:rPr>
          <w:rFonts w:hint="default" w:hAnsi="宋体"/>
          <w:color w:val="auto"/>
          <w:kern w:val="0"/>
          <w:sz w:val="24"/>
          <w:szCs w:val="24"/>
          <w:highlight w:val="none"/>
        </w:rPr>
      </w:pPr>
      <w:r>
        <w:rPr>
          <w:rFonts w:hAnsi="宋体"/>
          <w:color w:val="auto"/>
          <w:kern w:val="0"/>
          <w:sz w:val="24"/>
          <w:szCs w:val="24"/>
          <w:highlight w:val="none"/>
        </w:rPr>
        <w:t xml:space="preserve">  G.存在共同直接或间接投资设立子公司、联营企业和合营企业情况</w:t>
      </w:r>
    </w:p>
    <w:p>
      <w:pPr>
        <w:pStyle w:val="628"/>
        <w:widowControl w:val="0"/>
        <w:snapToGrid w:val="0"/>
        <w:spacing w:line="460" w:lineRule="exact"/>
        <w:jc w:val="both"/>
        <w:rPr>
          <w:rFonts w:hint="default" w:hAnsi="宋体"/>
          <w:color w:val="auto"/>
          <w:sz w:val="24"/>
          <w:szCs w:val="24"/>
          <w:highlight w:val="none"/>
        </w:rPr>
      </w:pPr>
      <w:r>
        <w:rPr>
          <w:rFonts w:hAnsi="宋体"/>
          <w:color w:val="auto"/>
          <w:kern w:val="0"/>
          <w:sz w:val="24"/>
          <w:szCs w:val="24"/>
          <w:highlight w:val="none"/>
        </w:rPr>
        <w:t xml:space="preserve">  H.存在分级代理或代销关系、同一生产制造商关系、管理关系、重要业务（占</w:t>
      </w:r>
      <w:r>
        <w:rPr>
          <w:rFonts w:hAnsi="宋体"/>
          <w:color w:val="auto"/>
          <w:sz w:val="24"/>
          <w:szCs w:val="24"/>
          <w:highlight w:val="none"/>
        </w:rPr>
        <w:t>主营业务收入50%以上）或重要财务往来关系（如融资）等其他实质性控制关系</w:t>
      </w:r>
    </w:p>
    <w:p>
      <w:pPr>
        <w:pStyle w:val="628"/>
        <w:widowControl w:val="0"/>
        <w:snapToGrid w:val="0"/>
        <w:spacing w:line="460" w:lineRule="exact"/>
        <w:jc w:val="both"/>
        <w:rPr>
          <w:rFonts w:hint="default" w:hAnsi="宋体"/>
          <w:color w:val="auto"/>
          <w:spacing w:val="6"/>
          <w:sz w:val="24"/>
          <w:szCs w:val="24"/>
          <w:highlight w:val="none"/>
        </w:rPr>
      </w:pPr>
      <w:r>
        <w:rPr>
          <w:rFonts w:hAnsi="宋体"/>
          <w:color w:val="auto"/>
          <w:sz w:val="24"/>
          <w:szCs w:val="24"/>
          <w:highlight w:val="none"/>
        </w:rPr>
        <w:t xml:space="preserve">    I</w:t>
      </w:r>
      <w:r>
        <w:rPr>
          <w:rFonts w:hAnsi="宋体"/>
          <w:color w:val="auto"/>
          <w:kern w:val="0"/>
          <w:sz w:val="24"/>
          <w:szCs w:val="24"/>
          <w:highlight w:val="none"/>
        </w:rPr>
        <w:t>.</w:t>
      </w:r>
      <w:r>
        <w:rPr>
          <w:rFonts w:hAnsi="宋体"/>
          <w:color w:val="auto"/>
          <w:sz w:val="24"/>
          <w:szCs w:val="24"/>
          <w:highlight w:val="none"/>
        </w:rPr>
        <w:t>其他利害关系情况</w:t>
      </w:r>
      <w:r>
        <w:rPr>
          <w:rFonts w:hAnsi="宋体"/>
          <w:color w:val="auto"/>
          <w:sz w:val="24"/>
          <w:szCs w:val="24"/>
          <w:highlight w:val="none"/>
          <w:u w:val="single"/>
        </w:rPr>
        <w:t xml:space="preserve">                              </w:t>
      </w:r>
      <w:r>
        <w:rPr>
          <w:rFonts w:hAnsi="宋体"/>
          <w:color w:val="auto"/>
          <w:kern w:val="0"/>
          <w:sz w:val="24"/>
          <w:szCs w:val="24"/>
          <w:highlight w:val="none"/>
        </w:rPr>
        <w:t>。</w:t>
      </w:r>
    </w:p>
    <w:p>
      <w:pPr>
        <w:pStyle w:val="629"/>
        <w:widowControl/>
        <w:numPr>
          <w:ilvl w:val="0"/>
          <w:numId w:val="9"/>
        </w:numPr>
        <w:snapToGrid w:val="0"/>
        <w:spacing w:line="460" w:lineRule="exact"/>
        <w:ind w:firstLine="453" w:firstLineChars="189"/>
        <w:rPr>
          <w:rFonts w:hint="default" w:ascii="宋体" w:hAnsi="宋体"/>
          <w:color w:val="auto"/>
          <w:kern w:val="0"/>
          <w:sz w:val="24"/>
          <w:szCs w:val="24"/>
          <w:highlight w:val="none"/>
        </w:rPr>
      </w:pPr>
      <w:r>
        <w:rPr>
          <w:rFonts w:ascii="宋体" w:hAnsi="宋体"/>
          <w:color w:val="auto"/>
          <w:sz w:val="24"/>
          <w:szCs w:val="24"/>
          <w:highlight w:val="none"/>
        </w:rPr>
        <w:t>现已清楚知道并</w:t>
      </w:r>
      <w:r>
        <w:rPr>
          <w:rFonts w:ascii="宋体" w:hAnsi="宋体"/>
          <w:color w:val="auto"/>
          <w:kern w:val="0"/>
          <w:sz w:val="24"/>
          <w:szCs w:val="24"/>
          <w:highlight w:val="none"/>
        </w:rPr>
        <w:t>严格遵守政府采购法律法规和现场纪律。</w:t>
      </w:r>
    </w:p>
    <w:p>
      <w:pPr>
        <w:pStyle w:val="629"/>
        <w:widowControl/>
        <w:numPr>
          <w:ilvl w:val="0"/>
          <w:numId w:val="9"/>
        </w:numPr>
        <w:snapToGrid w:val="0"/>
        <w:spacing w:line="460" w:lineRule="exact"/>
        <w:ind w:firstLine="453" w:firstLineChars="189"/>
        <w:rPr>
          <w:rFonts w:hint="default" w:ascii="宋体" w:hAnsi="宋体"/>
          <w:color w:val="auto"/>
          <w:kern w:val="0"/>
          <w:sz w:val="24"/>
          <w:szCs w:val="24"/>
          <w:highlight w:val="none"/>
        </w:rPr>
      </w:pPr>
      <w:r>
        <w:rPr>
          <w:rFonts w:ascii="宋体" w:hAnsi="宋体"/>
          <w:color w:val="auto"/>
          <w:kern w:val="0"/>
          <w:sz w:val="24"/>
          <w:szCs w:val="24"/>
          <w:highlight w:val="none"/>
        </w:rPr>
        <w:t>我发现</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供应商之间存在或可能存在上述第二条第</w:t>
      </w:r>
      <w:r>
        <w:rPr>
          <w:rFonts w:ascii="宋体" w:hAnsi="宋体"/>
          <w:color w:val="auto"/>
          <w:kern w:val="0"/>
          <w:sz w:val="24"/>
          <w:szCs w:val="24"/>
          <w:highlight w:val="none"/>
          <w:u w:val="single"/>
        </w:rPr>
        <w:t xml:space="preserve">      </w:t>
      </w:r>
      <w:r>
        <w:rPr>
          <w:rFonts w:hint="default" w:ascii="宋体" w:hAnsi="宋体"/>
          <w:color w:val="auto"/>
          <w:kern w:val="0"/>
          <w:sz w:val="24"/>
          <w:szCs w:val="24"/>
          <w:highlight w:val="none"/>
          <w:u w:val="single"/>
        </w:rPr>
        <w:t xml:space="preserve">  </w:t>
      </w:r>
      <w:r>
        <w:rPr>
          <w:rFonts w:ascii="宋体" w:hAnsi="宋体"/>
          <w:color w:val="auto"/>
          <w:kern w:val="0"/>
          <w:sz w:val="24"/>
          <w:szCs w:val="24"/>
          <w:highlight w:val="none"/>
        </w:rPr>
        <w:t>项利害关系。</w:t>
      </w:r>
    </w:p>
    <w:p>
      <w:pPr>
        <w:pStyle w:val="628"/>
        <w:widowControl w:val="0"/>
        <w:snapToGrid w:val="0"/>
        <w:spacing w:line="460" w:lineRule="exact"/>
        <w:ind w:firstLine="480" w:firstLineChars="200"/>
        <w:jc w:val="right"/>
        <w:rPr>
          <w:rFonts w:hint="default" w:hAnsi="宋体"/>
          <w:color w:val="auto"/>
          <w:sz w:val="24"/>
          <w:szCs w:val="24"/>
          <w:highlight w:val="none"/>
        </w:rPr>
      </w:pPr>
      <w:r>
        <w:rPr>
          <w:rFonts w:hAnsi="宋体"/>
          <w:color w:val="auto"/>
          <w:sz w:val="24"/>
          <w:szCs w:val="24"/>
          <w:highlight w:val="none"/>
        </w:rPr>
        <w:t xml:space="preserve">         供应商代表签名：</w:t>
      </w:r>
    </w:p>
    <w:p>
      <w:pPr>
        <w:pStyle w:val="47"/>
        <w:adjustRightInd w:val="0"/>
        <w:snapToGrid w:val="0"/>
        <w:spacing w:line="360" w:lineRule="auto"/>
        <w:jc w:val="right"/>
        <w:rPr>
          <w:rFonts w:hAnsi="宋体"/>
          <w:color w:val="auto"/>
          <w:sz w:val="24"/>
          <w:szCs w:val="24"/>
          <w:highlight w:val="none"/>
        </w:rPr>
      </w:pPr>
      <w:r>
        <w:rPr>
          <w:rFonts w:hAnsi="宋体"/>
          <w:color w:val="auto"/>
          <w:sz w:val="24"/>
          <w:szCs w:val="24"/>
          <w:highlight w:val="none"/>
        </w:rPr>
        <w:t xml:space="preserve">              202</w:t>
      </w:r>
      <w:r>
        <w:rPr>
          <w:rFonts w:hint="eastAsia" w:hAnsi="宋体"/>
          <w:color w:val="auto"/>
          <w:sz w:val="24"/>
          <w:szCs w:val="24"/>
          <w:highlight w:val="none"/>
          <w:lang w:val="en-US" w:eastAsia="zh-CN"/>
        </w:rPr>
        <w:t>3</w:t>
      </w:r>
      <w:r>
        <w:rPr>
          <w:rFonts w:hAnsi="宋体"/>
          <w:color w:val="auto"/>
          <w:sz w:val="24"/>
          <w:szCs w:val="24"/>
          <w:highlight w:val="none"/>
        </w:rPr>
        <w:t>年</w:t>
      </w:r>
      <w:r>
        <w:rPr>
          <w:rFonts w:hint="eastAsia" w:hAnsi="宋体"/>
          <w:color w:val="auto"/>
          <w:sz w:val="24"/>
          <w:szCs w:val="24"/>
          <w:highlight w:val="none"/>
        </w:rPr>
        <w:t xml:space="preserve"> </w:t>
      </w:r>
      <w:r>
        <w:rPr>
          <w:rFonts w:hAnsi="宋体"/>
          <w:color w:val="auto"/>
          <w:sz w:val="24"/>
          <w:szCs w:val="24"/>
          <w:highlight w:val="none"/>
        </w:rPr>
        <w:t xml:space="preserve"> 月</w:t>
      </w:r>
      <w:r>
        <w:rPr>
          <w:rFonts w:hint="eastAsia" w:hAnsi="宋体"/>
          <w:color w:val="auto"/>
          <w:sz w:val="24"/>
          <w:szCs w:val="24"/>
          <w:highlight w:val="none"/>
        </w:rPr>
        <w:t xml:space="preserve"> </w:t>
      </w:r>
      <w:r>
        <w:rPr>
          <w:rFonts w:hAnsi="宋体"/>
          <w:color w:val="auto"/>
          <w:sz w:val="24"/>
          <w:szCs w:val="24"/>
          <w:highlight w:val="none"/>
        </w:rPr>
        <w:t xml:space="preserve"> 日</w:t>
      </w:r>
    </w:p>
    <w:p>
      <w:pPr>
        <w:pStyle w:val="628"/>
        <w:widowControl w:val="0"/>
        <w:snapToGrid w:val="0"/>
        <w:jc w:val="both"/>
        <w:rPr>
          <w:rFonts w:hint="default" w:hAnsi="宋体"/>
          <w:b/>
          <w:bCs/>
          <w:color w:val="auto"/>
          <w:kern w:val="0"/>
          <w:sz w:val="24"/>
          <w:szCs w:val="24"/>
          <w:highlight w:val="none"/>
        </w:rPr>
      </w:pPr>
      <w:r>
        <w:rPr>
          <w:rFonts w:hAnsi="宋体"/>
          <w:b/>
          <w:bCs/>
          <w:color w:val="auto"/>
          <w:kern w:val="0"/>
          <w:sz w:val="24"/>
          <w:szCs w:val="24"/>
          <w:highlight w:val="none"/>
        </w:rPr>
        <w:t>（投标人解密投标文件并获知其他投标人信息后进行如实声明并签字，以扫描件形式提交给招标代理机构。邮箱：953598720@qq.com，此声明书不用编入投标文件中。）</w:t>
      </w:r>
    </w:p>
    <w:p>
      <w:pPr>
        <w:pStyle w:val="5"/>
        <w:rPr>
          <w:rFonts w:ascii="宋体" w:hAnsi="宋体" w:cs="宋体"/>
          <w:color w:val="auto"/>
          <w:sz w:val="28"/>
          <w:highlight w:val="none"/>
        </w:rPr>
      </w:pPr>
    </w:p>
    <w:p>
      <w:pPr>
        <w:pStyle w:val="5"/>
        <w:rPr>
          <w:rFonts w:ascii="宋体" w:hAnsi="宋体" w:cs="宋体"/>
          <w:color w:val="auto"/>
          <w:sz w:val="28"/>
          <w:highlight w:val="none"/>
        </w:rPr>
      </w:pPr>
    </w:p>
    <w:p>
      <w:pPr>
        <w:pStyle w:val="625"/>
        <w:ind w:firstLine="560"/>
        <w:rPr>
          <w:color w:val="auto"/>
          <w:highlight w:val="none"/>
        </w:rPr>
      </w:pPr>
    </w:p>
    <w:p>
      <w:pPr>
        <w:pStyle w:val="4"/>
        <w:ind w:left="0" w:firstLine="0"/>
        <w:jc w:val="center"/>
        <w:rPr>
          <w:rFonts w:ascii="宋体" w:hAnsi="宋体" w:eastAsia="宋体" w:cs="宋体"/>
          <w:color w:val="auto"/>
          <w:kern w:val="0"/>
          <w:sz w:val="30"/>
          <w:highlight w:val="none"/>
          <w:lang w:val="zh-CN"/>
        </w:rPr>
      </w:pPr>
      <w:bookmarkStart w:id="125" w:name="_Toc126886012"/>
      <w:r>
        <w:rPr>
          <w:rFonts w:hint="eastAsia" w:ascii="宋体" w:hAnsi="宋体" w:eastAsia="宋体" w:cs="宋体"/>
          <w:color w:val="auto"/>
          <w:kern w:val="0"/>
          <w:sz w:val="30"/>
          <w:highlight w:val="none"/>
          <w:lang w:val="zh-CN"/>
        </w:rPr>
        <w:t>投标文件封面</w:t>
      </w:r>
      <w:bookmarkEnd w:id="123"/>
      <w:bookmarkEnd w:id="124"/>
      <w:bookmarkEnd w:id="125"/>
    </w:p>
    <w:p>
      <w:pPr>
        <w:tabs>
          <w:tab w:val="left" w:pos="4500"/>
        </w:tabs>
        <w:autoSpaceDE w:val="0"/>
        <w:autoSpaceDN w:val="0"/>
        <w:adjustRightInd w:val="0"/>
        <w:snapToGrid w:val="0"/>
        <w:spacing w:line="336" w:lineRule="auto"/>
        <w:jc w:val="center"/>
        <w:textAlignment w:val="bottom"/>
        <w:rPr>
          <w:rFonts w:ascii="宋体" w:hAnsi="宋体" w:cs="宋体"/>
          <w:b/>
          <w:color w:val="auto"/>
          <w:sz w:val="44"/>
          <w:szCs w:val="44"/>
          <w:highlight w:val="none"/>
        </w:rPr>
      </w:pPr>
    </w:p>
    <w:p>
      <w:pPr>
        <w:tabs>
          <w:tab w:val="left" w:pos="4500"/>
        </w:tabs>
        <w:autoSpaceDE w:val="0"/>
        <w:autoSpaceDN w:val="0"/>
        <w:adjustRightInd w:val="0"/>
        <w:snapToGrid w:val="0"/>
        <w:spacing w:line="336" w:lineRule="auto"/>
        <w:jc w:val="center"/>
        <w:textAlignment w:val="bottom"/>
        <w:rPr>
          <w:rFonts w:ascii="宋体" w:hAnsi="宋体" w:cs="宋体"/>
          <w:b/>
          <w:color w:val="auto"/>
          <w:sz w:val="44"/>
          <w:szCs w:val="44"/>
          <w:highlight w:val="none"/>
        </w:rPr>
      </w:pPr>
      <w:r>
        <w:rPr>
          <w:rFonts w:hint="eastAsia" w:ascii="宋体" w:hAnsi="宋体" w:cs="宋体"/>
          <w:b/>
          <w:color w:val="auto"/>
          <w:sz w:val="44"/>
          <w:szCs w:val="44"/>
          <w:highlight w:val="none"/>
        </w:rPr>
        <w:t>浙江大学衢州研究院智慧化建设项目</w:t>
      </w:r>
    </w:p>
    <w:p>
      <w:pPr>
        <w:pStyle w:val="36"/>
        <w:ind w:left="560" w:firstLine="1470" w:firstLineChars="700"/>
        <w:rPr>
          <w:color w:val="auto"/>
          <w:highlight w:val="none"/>
          <w:u w:val="single"/>
        </w:rPr>
      </w:pPr>
    </w:p>
    <w:p>
      <w:pPr>
        <w:spacing w:before="24" w:beforeLines="10" w:line="360" w:lineRule="auto"/>
        <w:jc w:val="center"/>
        <w:rPr>
          <w:rFonts w:hint="eastAsia" w:ascii="宋体" w:hAnsi="宋体" w:eastAsia="宋体" w:cs="宋体"/>
          <w:b/>
          <w:color w:val="auto"/>
          <w:sz w:val="32"/>
          <w:highlight w:val="none"/>
          <w:lang w:eastAsia="zh-CN"/>
        </w:rPr>
      </w:pPr>
      <w:r>
        <w:rPr>
          <w:rFonts w:hint="eastAsia" w:ascii="宋体" w:hAnsi="宋体" w:cs="宋体"/>
          <w:b/>
          <w:color w:val="auto"/>
          <w:sz w:val="32"/>
          <w:highlight w:val="none"/>
        </w:rPr>
        <w:t>项目编号：</w:t>
      </w:r>
      <w:r>
        <w:rPr>
          <w:rFonts w:hint="eastAsia" w:ascii="宋体" w:hAnsi="宋体" w:cs="宋体"/>
          <w:b/>
          <w:color w:val="auto"/>
          <w:sz w:val="32"/>
          <w:highlight w:val="none"/>
          <w:lang w:eastAsia="zh-CN"/>
        </w:rPr>
        <w:t>ZZCG2023011</w:t>
      </w:r>
    </w:p>
    <w:p>
      <w:pPr>
        <w:pStyle w:val="36"/>
        <w:ind w:left="560"/>
        <w:rPr>
          <w:rFonts w:ascii="宋体" w:hAnsi="宋体" w:eastAsia="宋体" w:cs="宋体"/>
          <w:color w:val="auto"/>
          <w:highlight w:val="none"/>
        </w:rPr>
      </w:pPr>
    </w:p>
    <w:bookmarkEnd w:id="11"/>
    <w:bookmarkEnd w:id="12"/>
    <w:bookmarkEnd w:id="13"/>
    <w:bookmarkEnd w:id="14"/>
    <w:bookmarkEnd w:id="92"/>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投</w:t>
      </w:r>
    </w:p>
    <w:p>
      <w:pPr>
        <w:spacing w:line="360" w:lineRule="auto"/>
        <w:jc w:val="center"/>
        <w:rPr>
          <w:rFonts w:ascii="宋体" w:hAnsi="宋体" w:cs="宋体"/>
          <w:color w:val="auto"/>
          <w:sz w:val="72"/>
          <w:highlight w:val="none"/>
        </w:rPr>
      </w:pPr>
      <w:r>
        <w:rPr>
          <w:rFonts w:hint="eastAsia" w:ascii="宋体" w:hAnsi="宋体" w:cs="宋体"/>
          <w:color w:val="auto"/>
          <w:sz w:val="72"/>
          <w:highlight w:val="none"/>
        </w:rPr>
        <w:t>标</w:t>
      </w:r>
    </w:p>
    <w:p>
      <w:pPr>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spacing w:line="312" w:lineRule="auto"/>
        <w:ind w:firstLine="960" w:firstLineChars="300"/>
        <w:rPr>
          <w:rFonts w:ascii="宋体" w:hAnsi="宋体" w:cs="宋体"/>
          <w:color w:val="auto"/>
          <w:sz w:val="32"/>
          <w:highlight w:val="none"/>
        </w:rPr>
      </w:pPr>
    </w:p>
    <w:p>
      <w:pPr>
        <w:spacing w:line="312" w:lineRule="auto"/>
        <w:ind w:firstLine="960" w:firstLineChars="300"/>
        <w:rPr>
          <w:rFonts w:ascii="宋体" w:hAnsi="宋体" w:cs="宋体"/>
          <w:color w:val="auto"/>
          <w:sz w:val="32"/>
          <w:highlight w:val="none"/>
        </w:rPr>
      </w:pPr>
      <w:r>
        <w:rPr>
          <w:rFonts w:hint="eastAsia" w:ascii="宋体" w:hAnsi="宋体" w:cs="宋体"/>
          <w:color w:val="auto"/>
          <w:sz w:val="32"/>
          <w:highlight w:val="none"/>
        </w:rPr>
        <w:t>投标人：（加盖公章）</w:t>
      </w:r>
    </w:p>
    <w:p>
      <w:pPr>
        <w:spacing w:line="312" w:lineRule="auto"/>
        <w:ind w:firstLine="960" w:firstLineChars="300"/>
        <w:rPr>
          <w:rFonts w:ascii="宋体" w:hAnsi="宋体" w:cs="宋体"/>
          <w:color w:val="auto"/>
          <w:sz w:val="32"/>
          <w:highlight w:val="none"/>
        </w:rPr>
      </w:pPr>
      <w:r>
        <w:rPr>
          <w:rFonts w:hint="eastAsia" w:ascii="宋体" w:hAnsi="宋体" w:cs="宋体"/>
          <w:color w:val="auto"/>
          <w:sz w:val="32"/>
          <w:highlight w:val="none"/>
        </w:rPr>
        <w:t>地址：</w:t>
      </w:r>
    </w:p>
    <w:p>
      <w:pPr>
        <w:ind w:firstLine="960" w:firstLineChars="300"/>
        <w:rPr>
          <w:rFonts w:ascii="宋体" w:hAnsi="宋体" w:cs="宋体"/>
          <w:color w:val="auto"/>
          <w:sz w:val="32"/>
          <w:highlight w:val="none"/>
          <w:u w:val="single"/>
        </w:rPr>
      </w:pPr>
      <w:r>
        <w:rPr>
          <w:rFonts w:hint="eastAsia" w:ascii="宋体" w:hAnsi="宋体" w:cs="宋体"/>
          <w:color w:val="auto"/>
          <w:sz w:val="32"/>
          <w:highlight w:val="none"/>
        </w:rPr>
        <w:t>日期：</w:t>
      </w:r>
    </w:p>
    <w:p>
      <w:pPr>
        <w:pStyle w:val="246"/>
        <w:pageBreakBefore/>
        <w:numPr>
          <w:ilvl w:val="0"/>
          <w:numId w:val="4"/>
        </w:numPr>
        <w:adjustRightInd w:val="0"/>
        <w:snapToGrid w:val="0"/>
        <w:spacing w:before="0" w:line="276" w:lineRule="auto"/>
        <w:ind w:firstLine="0" w:firstLineChars="0"/>
        <w:jc w:val="center"/>
        <w:outlineLvl w:val="0"/>
        <w:rPr>
          <w:rFonts w:ascii="宋体" w:hAnsi="宋体" w:cs="宋体"/>
          <w:b/>
          <w:color w:val="auto"/>
          <w:sz w:val="36"/>
          <w:highlight w:val="none"/>
        </w:rPr>
        <w:sectPr>
          <w:pgSz w:w="11906" w:h="16838"/>
          <w:pgMar w:top="1440" w:right="1440" w:bottom="1440" w:left="1440" w:header="851" w:footer="851" w:gutter="0"/>
          <w:cols w:space="720" w:num="1"/>
          <w:titlePg/>
          <w:docGrid w:linePitch="381" w:charSpace="0"/>
        </w:sectPr>
      </w:pPr>
    </w:p>
    <w:p>
      <w:pPr>
        <w:pStyle w:val="246"/>
        <w:pageBreakBefore/>
        <w:numPr>
          <w:ilvl w:val="0"/>
          <w:numId w:val="4"/>
        </w:numPr>
        <w:adjustRightInd w:val="0"/>
        <w:snapToGrid w:val="0"/>
        <w:spacing w:before="0" w:line="276" w:lineRule="auto"/>
        <w:ind w:firstLine="0" w:firstLineChars="0"/>
        <w:jc w:val="center"/>
        <w:outlineLvl w:val="0"/>
        <w:rPr>
          <w:rFonts w:ascii="宋体" w:hAnsi="宋体" w:cs="宋体"/>
          <w:b/>
          <w:color w:val="auto"/>
          <w:sz w:val="36"/>
          <w:highlight w:val="none"/>
        </w:rPr>
      </w:pPr>
      <w:bookmarkStart w:id="126" w:name="_Toc126886013"/>
      <w:r>
        <w:rPr>
          <w:rFonts w:hint="eastAsia" w:ascii="宋体" w:hAnsi="宋体" w:cs="宋体"/>
          <w:b/>
          <w:color w:val="auto"/>
          <w:sz w:val="36"/>
          <w:highlight w:val="none"/>
        </w:rPr>
        <w:t>评分办法</w:t>
      </w:r>
      <w:bookmarkEnd w:id="126"/>
    </w:p>
    <w:p>
      <w:pPr>
        <w:pStyle w:val="625"/>
        <w:ind w:firstLine="480"/>
        <w:rPr>
          <w:rStyle w:val="257"/>
          <w:b/>
          <w:color w:val="auto"/>
          <w:kern w:val="18"/>
          <w:sz w:val="24"/>
          <w:szCs w:val="24"/>
          <w:highlight w:val="none"/>
        </w:rPr>
      </w:pPr>
      <w:r>
        <w:rPr>
          <w:rStyle w:val="257"/>
          <w:rFonts w:hint="eastAsia"/>
          <w:color w:val="auto"/>
          <w:sz w:val="24"/>
          <w:szCs w:val="24"/>
          <w:highlight w:val="none"/>
        </w:rPr>
        <w:t>一、总则</w:t>
      </w:r>
      <w:r>
        <w:rPr>
          <w:rStyle w:val="257"/>
          <w:rFonts w:hint="eastAsia"/>
          <w:b/>
          <w:color w:val="auto"/>
          <w:sz w:val="24"/>
          <w:szCs w:val="24"/>
          <w:highlight w:val="none"/>
        </w:rPr>
        <w:br w:type="textWrapping"/>
      </w:r>
      <w:r>
        <w:rPr>
          <w:rStyle w:val="257"/>
          <w:rFonts w:hint="eastAsia"/>
          <w:b/>
          <w:color w:val="auto"/>
          <w:sz w:val="24"/>
          <w:szCs w:val="24"/>
          <w:highlight w:val="none"/>
          <w:lang w:val="zh-TW"/>
        </w:rPr>
        <w:t>1</w:t>
      </w:r>
      <w:r>
        <w:rPr>
          <w:rStyle w:val="257"/>
          <w:rFonts w:hint="eastAsia"/>
          <w:b/>
          <w:color w:val="auto"/>
          <w:sz w:val="24"/>
          <w:szCs w:val="24"/>
          <w:highlight w:val="none"/>
        </w:rPr>
        <w:t>、根据《中华人民共和国政府采购法》、《政府采购货物和服务招标投标管理办法》（财政部</w:t>
      </w:r>
      <w:r>
        <w:rPr>
          <w:rStyle w:val="257"/>
          <w:rFonts w:hint="eastAsia"/>
          <w:b/>
          <w:color w:val="auto"/>
          <w:kern w:val="18"/>
          <w:sz w:val="24"/>
          <w:szCs w:val="24"/>
          <w:highlight w:val="none"/>
        </w:rPr>
        <w:t>第87号令）及相关法规的规定，结合采购项目特点制定本评标办法。</w:t>
      </w:r>
    </w:p>
    <w:p>
      <w:pPr>
        <w:pStyle w:val="625"/>
        <w:ind w:firstLine="482"/>
        <w:rPr>
          <w:rStyle w:val="257"/>
          <w:b/>
          <w:color w:val="auto"/>
          <w:sz w:val="24"/>
          <w:szCs w:val="24"/>
          <w:highlight w:val="none"/>
        </w:rPr>
      </w:pPr>
      <w:r>
        <w:rPr>
          <w:rStyle w:val="257"/>
          <w:rFonts w:hint="eastAsia"/>
          <w:b/>
          <w:color w:val="auto"/>
          <w:sz w:val="24"/>
          <w:szCs w:val="24"/>
          <w:highlight w:val="none"/>
          <w:lang w:val="zh-TW"/>
        </w:rPr>
        <w:t>2</w:t>
      </w:r>
      <w:r>
        <w:rPr>
          <w:rStyle w:val="257"/>
          <w:rFonts w:hint="eastAsia"/>
          <w:b/>
          <w:color w:val="auto"/>
          <w:sz w:val="24"/>
          <w:szCs w:val="24"/>
          <w:highlight w:val="none"/>
        </w:rPr>
        <w:t>、评标工作由采购代理机构负责组织，具体评标事务由评标委员会负责。</w:t>
      </w:r>
    </w:p>
    <w:p>
      <w:pPr>
        <w:pStyle w:val="625"/>
        <w:ind w:firstLine="482"/>
        <w:rPr>
          <w:rStyle w:val="257"/>
          <w:b/>
          <w:color w:val="auto"/>
          <w:sz w:val="24"/>
          <w:szCs w:val="24"/>
          <w:highlight w:val="none"/>
        </w:rPr>
      </w:pPr>
      <w:r>
        <w:rPr>
          <w:rStyle w:val="257"/>
          <w:rFonts w:hint="eastAsia"/>
          <w:b/>
          <w:color w:val="auto"/>
          <w:sz w:val="24"/>
          <w:szCs w:val="24"/>
          <w:highlight w:val="none"/>
        </w:rPr>
        <w:t>（1）评标委员会由7人组成（由采购人代表和评标专家组成，采购人代表人数不得超过总评委人数的三分之一）。</w:t>
      </w:r>
    </w:p>
    <w:p>
      <w:pPr>
        <w:pStyle w:val="625"/>
        <w:ind w:firstLine="482"/>
        <w:rPr>
          <w:rStyle w:val="257"/>
          <w:b/>
          <w:color w:val="auto"/>
          <w:sz w:val="24"/>
          <w:szCs w:val="24"/>
          <w:highlight w:val="none"/>
        </w:rPr>
      </w:pPr>
      <w:r>
        <w:rPr>
          <w:rStyle w:val="257"/>
          <w:rFonts w:hint="eastAsia"/>
          <w:b/>
          <w:color w:val="auto"/>
          <w:sz w:val="24"/>
          <w:szCs w:val="24"/>
          <w:highlight w:val="none"/>
        </w:rPr>
        <w:t>（2）评标专家确定方式：按相关规定从专家库中抽取。</w:t>
      </w:r>
    </w:p>
    <w:p>
      <w:pPr>
        <w:pStyle w:val="625"/>
        <w:ind w:firstLine="482"/>
        <w:rPr>
          <w:rStyle w:val="257"/>
          <w:b/>
          <w:color w:val="auto"/>
          <w:sz w:val="24"/>
          <w:szCs w:val="24"/>
          <w:highlight w:val="none"/>
        </w:rPr>
      </w:pPr>
      <w:r>
        <w:rPr>
          <w:rStyle w:val="257"/>
          <w:rFonts w:hint="eastAsia"/>
          <w:b/>
          <w:color w:val="auto"/>
          <w:sz w:val="24"/>
          <w:szCs w:val="24"/>
          <w:highlight w:val="none"/>
          <w:lang w:val="zh-TW"/>
        </w:rPr>
        <w:t>3</w:t>
      </w:r>
      <w:r>
        <w:rPr>
          <w:rStyle w:val="257"/>
          <w:rFonts w:hint="eastAsia"/>
          <w:b/>
          <w:color w:val="auto"/>
          <w:sz w:val="24"/>
          <w:szCs w:val="24"/>
          <w:highlight w:val="none"/>
        </w:rPr>
        <w:t>、评标工作应遵循公平、公正、科学及择优的原则，并以相同的评标程序和标准对待所有的投标人。</w:t>
      </w:r>
      <w:r>
        <w:rPr>
          <w:rStyle w:val="257"/>
          <w:rFonts w:hint="eastAsia"/>
          <w:b/>
          <w:color w:val="auto"/>
          <w:sz w:val="24"/>
          <w:szCs w:val="24"/>
          <w:highlight w:val="none"/>
        </w:rPr>
        <w:br w:type="textWrapping"/>
      </w:r>
      <w:r>
        <w:rPr>
          <w:rStyle w:val="257"/>
          <w:rFonts w:hint="eastAsia"/>
          <w:b/>
          <w:color w:val="auto"/>
          <w:sz w:val="24"/>
          <w:szCs w:val="24"/>
          <w:highlight w:val="none"/>
          <w:lang w:val="zh-TW"/>
        </w:rPr>
        <w:t>4</w:t>
      </w:r>
      <w:r>
        <w:rPr>
          <w:rStyle w:val="257"/>
          <w:rFonts w:hint="eastAsia"/>
          <w:b/>
          <w:color w:val="auto"/>
          <w:sz w:val="24"/>
          <w:szCs w:val="24"/>
          <w:highlight w:val="none"/>
        </w:rPr>
        <w:t>、评标委员会按照采购项目文件规定的评标方法和标准进行评标，并独立履行下列职责：</w:t>
      </w:r>
      <w:r>
        <w:rPr>
          <w:rStyle w:val="257"/>
          <w:rFonts w:hint="eastAsia"/>
          <w:b/>
          <w:color w:val="auto"/>
          <w:sz w:val="24"/>
          <w:szCs w:val="24"/>
          <w:highlight w:val="none"/>
        </w:rPr>
        <w:br w:type="textWrapping"/>
      </w:r>
      <w:r>
        <w:rPr>
          <w:rStyle w:val="257"/>
          <w:rFonts w:hint="eastAsia"/>
          <w:b/>
          <w:color w:val="auto"/>
          <w:sz w:val="24"/>
          <w:szCs w:val="24"/>
          <w:highlight w:val="none"/>
        </w:rPr>
        <w:t xml:space="preserve"> （</w:t>
      </w:r>
      <w:r>
        <w:rPr>
          <w:rStyle w:val="257"/>
          <w:rFonts w:hint="eastAsia"/>
          <w:b/>
          <w:color w:val="auto"/>
          <w:sz w:val="24"/>
          <w:szCs w:val="24"/>
          <w:highlight w:val="none"/>
          <w:lang w:val="zh-TW"/>
        </w:rPr>
        <w:t>1</w:t>
      </w:r>
      <w:r>
        <w:rPr>
          <w:rStyle w:val="257"/>
          <w:rFonts w:hint="eastAsia"/>
          <w:b/>
          <w:color w:val="auto"/>
          <w:sz w:val="24"/>
          <w:szCs w:val="24"/>
          <w:highlight w:val="none"/>
        </w:rPr>
        <w:t>）审查投标文件是否符合招标文件要求，并作出评价；</w:t>
      </w:r>
      <w:r>
        <w:rPr>
          <w:rStyle w:val="257"/>
          <w:rFonts w:hint="eastAsia"/>
          <w:b/>
          <w:color w:val="auto"/>
          <w:sz w:val="24"/>
          <w:szCs w:val="24"/>
          <w:highlight w:val="none"/>
        </w:rPr>
        <w:br w:type="textWrapping"/>
      </w:r>
      <w:r>
        <w:rPr>
          <w:rStyle w:val="257"/>
          <w:rFonts w:hint="eastAsia"/>
          <w:b/>
          <w:color w:val="auto"/>
          <w:sz w:val="24"/>
          <w:szCs w:val="24"/>
          <w:highlight w:val="none"/>
        </w:rPr>
        <w:t xml:space="preserve"> （</w:t>
      </w:r>
      <w:r>
        <w:rPr>
          <w:rStyle w:val="257"/>
          <w:rFonts w:hint="eastAsia"/>
          <w:b/>
          <w:color w:val="auto"/>
          <w:sz w:val="24"/>
          <w:szCs w:val="24"/>
          <w:highlight w:val="none"/>
          <w:lang w:val="zh-TW"/>
        </w:rPr>
        <w:t>2</w:t>
      </w:r>
      <w:r>
        <w:rPr>
          <w:rStyle w:val="257"/>
          <w:rFonts w:hint="eastAsia"/>
          <w:b/>
          <w:color w:val="auto"/>
          <w:sz w:val="24"/>
          <w:szCs w:val="24"/>
          <w:highlight w:val="none"/>
        </w:rPr>
        <w:t>）要求投标投标人对投标文件有关事项作出解释或者澄清；</w:t>
      </w:r>
      <w:r>
        <w:rPr>
          <w:rStyle w:val="257"/>
          <w:rFonts w:hint="eastAsia"/>
          <w:b/>
          <w:color w:val="auto"/>
          <w:sz w:val="24"/>
          <w:szCs w:val="24"/>
          <w:highlight w:val="none"/>
        </w:rPr>
        <w:br w:type="textWrapping"/>
      </w:r>
      <w:r>
        <w:rPr>
          <w:rStyle w:val="257"/>
          <w:rFonts w:hint="eastAsia"/>
          <w:b/>
          <w:color w:val="auto"/>
          <w:sz w:val="24"/>
          <w:szCs w:val="24"/>
          <w:highlight w:val="none"/>
        </w:rPr>
        <w:t xml:space="preserve"> （</w:t>
      </w:r>
      <w:r>
        <w:rPr>
          <w:rStyle w:val="257"/>
          <w:rFonts w:hint="eastAsia"/>
          <w:b/>
          <w:color w:val="auto"/>
          <w:sz w:val="24"/>
          <w:szCs w:val="24"/>
          <w:highlight w:val="none"/>
          <w:lang w:val="zh-TW"/>
        </w:rPr>
        <w:t>3</w:t>
      </w:r>
      <w:r>
        <w:rPr>
          <w:rStyle w:val="257"/>
          <w:rFonts w:hint="eastAsia"/>
          <w:b/>
          <w:color w:val="auto"/>
          <w:sz w:val="24"/>
          <w:szCs w:val="24"/>
          <w:highlight w:val="none"/>
        </w:rPr>
        <w:t>）推荐中标候选人名单；</w:t>
      </w:r>
      <w:r>
        <w:rPr>
          <w:rStyle w:val="257"/>
          <w:rFonts w:hint="eastAsia"/>
          <w:b/>
          <w:color w:val="auto"/>
          <w:sz w:val="24"/>
          <w:szCs w:val="24"/>
          <w:highlight w:val="none"/>
        </w:rPr>
        <w:br w:type="textWrapping"/>
      </w:r>
      <w:r>
        <w:rPr>
          <w:rStyle w:val="257"/>
          <w:rFonts w:hint="eastAsia"/>
          <w:b/>
          <w:color w:val="auto"/>
          <w:sz w:val="24"/>
          <w:szCs w:val="24"/>
          <w:highlight w:val="none"/>
        </w:rPr>
        <w:t xml:space="preserve"> （</w:t>
      </w:r>
      <w:r>
        <w:rPr>
          <w:rStyle w:val="257"/>
          <w:rFonts w:hint="eastAsia"/>
          <w:b/>
          <w:color w:val="auto"/>
          <w:sz w:val="24"/>
          <w:szCs w:val="24"/>
          <w:highlight w:val="none"/>
          <w:lang w:val="zh-TW"/>
        </w:rPr>
        <w:t>4</w:t>
      </w:r>
      <w:r>
        <w:rPr>
          <w:rStyle w:val="257"/>
          <w:rFonts w:hint="eastAsia"/>
          <w:b/>
          <w:color w:val="auto"/>
          <w:sz w:val="24"/>
          <w:szCs w:val="24"/>
          <w:highlight w:val="none"/>
        </w:rPr>
        <w:t>）向采购代理机构或者有关部门报告非法干预评标工作的行为。</w:t>
      </w:r>
      <w:r>
        <w:rPr>
          <w:rStyle w:val="257"/>
          <w:rFonts w:hint="eastAsia"/>
          <w:b/>
          <w:color w:val="auto"/>
          <w:sz w:val="24"/>
          <w:szCs w:val="24"/>
          <w:highlight w:val="none"/>
        </w:rPr>
        <w:br w:type="textWrapping"/>
      </w:r>
      <w:r>
        <w:rPr>
          <w:rStyle w:val="257"/>
          <w:rFonts w:hint="eastAsia"/>
          <w:color w:val="auto"/>
          <w:sz w:val="24"/>
          <w:szCs w:val="24"/>
          <w:highlight w:val="none"/>
        </w:rPr>
        <w:t>二、评标程序</w:t>
      </w:r>
      <w:r>
        <w:rPr>
          <w:rStyle w:val="257"/>
          <w:rFonts w:hint="eastAsia"/>
          <w:b/>
          <w:color w:val="auto"/>
          <w:sz w:val="24"/>
          <w:szCs w:val="24"/>
          <w:highlight w:val="none"/>
        </w:rPr>
        <w:br w:type="textWrapping"/>
      </w:r>
      <w:r>
        <w:rPr>
          <w:rStyle w:val="257"/>
          <w:rFonts w:hint="eastAsia"/>
          <w:b/>
          <w:color w:val="auto"/>
          <w:sz w:val="24"/>
          <w:szCs w:val="24"/>
          <w:highlight w:val="none"/>
        </w:rPr>
        <w:t>根据《政府采购货物和服务招标投标管理办法》的规定，评标按照下列工作程序进行：</w:t>
      </w:r>
      <w:r>
        <w:rPr>
          <w:rStyle w:val="257"/>
          <w:rFonts w:hint="eastAsia"/>
          <w:b/>
          <w:color w:val="auto"/>
          <w:sz w:val="24"/>
          <w:szCs w:val="24"/>
          <w:highlight w:val="none"/>
        </w:rPr>
        <w:br w:type="textWrapping"/>
      </w:r>
      <w:r>
        <w:rPr>
          <w:rStyle w:val="257"/>
          <w:rFonts w:hint="eastAsia"/>
          <w:b/>
          <w:color w:val="auto"/>
          <w:sz w:val="24"/>
          <w:szCs w:val="24"/>
          <w:highlight w:val="none"/>
          <w:lang w:val="zh-TW"/>
        </w:rPr>
        <w:t>1、投标文件商务技术部分评审；</w:t>
      </w:r>
      <w:r>
        <w:rPr>
          <w:rStyle w:val="257"/>
          <w:rFonts w:hint="eastAsia"/>
          <w:b/>
          <w:color w:val="auto"/>
          <w:sz w:val="24"/>
          <w:szCs w:val="24"/>
          <w:highlight w:val="none"/>
          <w:lang w:val="zh-TW"/>
        </w:rPr>
        <w:br w:type="textWrapping"/>
      </w:r>
      <w:r>
        <w:rPr>
          <w:rStyle w:val="257"/>
          <w:rFonts w:hint="eastAsia"/>
          <w:b/>
          <w:color w:val="auto"/>
          <w:sz w:val="24"/>
          <w:szCs w:val="24"/>
          <w:highlight w:val="none"/>
          <w:lang w:val="zh-TW"/>
        </w:rPr>
        <w:t>2、投标文件报价部分审查；</w:t>
      </w:r>
      <w:r>
        <w:rPr>
          <w:rStyle w:val="257"/>
          <w:rFonts w:hint="eastAsia"/>
          <w:b/>
          <w:color w:val="auto"/>
          <w:sz w:val="24"/>
          <w:szCs w:val="24"/>
          <w:highlight w:val="none"/>
          <w:lang w:val="zh-TW"/>
        </w:rPr>
        <w:br w:type="textWrapping"/>
      </w:r>
      <w:r>
        <w:rPr>
          <w:rStyle w:val="257"/>
          <w:rFonts w:hint="eastAsia"/>
          <w:b/>
          <w:color w:val="auto"/>
          <w:sz w:val="24"/>
          <w:szCs w:val="24"/>
          <w:highlight w:val="none"/>
          <w:lang w:val="zh-TW"/>
        </w:rPr>
        <w:t>3、推荐中标候选人名单，编写评标报告。</w:t>
      </w:r>
      <w:r>
        <w:rPr>
          <w:rStyle w:val="257"/>
          <w:rFonts w:hint="eastAsia"/>
          <w:b/>
          <w:color w:val="auto"/>
          <w:sz w:val="24"/>
          <w:szCs w:val="24"/>
          <w:highlight w:val="none"/>
          <w:lang w:val="zh-TW"/>
        </w:rPr>
        <w:br w:type="textWrapping"/>
      </w:r>
      <w:r>
        <w:rPr>
          <w:rStyle w:val="257"/>
          <w:rFonts w:hint="eastAsia"/>
          <w:color w:val="auto"/>
          <w:sz w:val="24"/>
          <w:szCs w:val="24"/>
          <w:highlight w:val="none"/>
        </w:rPr>
        <w:t>三、定标及定标程序</w:t>
      </w:r>
      <w:r>
        <w:rPr>
          <w:rStyle w:val="257"/>
          <w:rFonts w:hint="eastAsia"/>
          <w:b/>
          <w:color w:val="auto"/>
          <w:sz w:val="24"/>
          <w:szCs w:val="24"/>
          <w:highlight w:val="none"/>
        </w:rPr>
        <w:br w:type="textWrapping"/>
      </w:r>
      <w:r>
        <w:rPr>
          <w:rStyle w:val="257"/>
          <w:rFonts w:hint="eastAsia"/>
          <w:b/>
          <w:color w:val="auto"/>
          <w:sz w:val="24"/>
          <w:szCs w:val="24"/>
          <w:highlight w:val="none"/>
          <w:lang w:val="zh-TW"/>
        </w:rPr>
        <w:t>1、定标原则</w:t>
      </w:r>
      <w:r>
        <w:rPr>
          <w:rStyle w:val="257"/>
          <w:rFonts w:hint="eastAsia"/>
          <w:b/>
          <w:color w:val="auto"/>
          <w:sz w:val="24"/>
          <w:szCs w:val="24"/>
          <w:highlight w:val="none"/>
          <w:lang w:val="zh-TW"/>
        </w:rPr>
        <w:br w:type="textWrapping"/>
      </w:r>
      <w:r>
        <w:rPr>
          <w:rStyle w:val="257"/>
          <w:rFonts w:hint="eastAsia"/>
          <w:b/>
          <w:color w:val="auto"/>
          <w:sz w:val="24"/>
          <w:szCs w:val="24"/>
          <w:highlight w:val="none"/>
          <w:lang w:val="zh-TW"/>
        </w:rPr>
        <w:t>根据评委会推荐的中标候选人名单，按顺序确定中标人。</w:t>
      </w:r>
      <w:r>
        <w:rPr>
          <w:rStyle w:val="257"/>
          <w:rFonts w:hint="eastAsia"/>
          <w:b/>
          <w:color w:val="auto"/>
          <w:sz w:val="24"/>
          <w:szCs w:val="24"/>
          <w:highlight w:val="none"/>
          <w:lang w:val="zh-TW"/>
        </w:rPr>
        <w:br w:type="textWrapping"/>
      </w:r>
      <w:r>
        <w:rPr>
          <w:rStyle w:val="257"/>
          <w:rFonts w:hint="eastAsia"/>
          <w:b/>
          <w:color w:val="auto"/>
          <w:sz w:val="24"/>
          <w:szCs w:val="24"/>
          <w:highlight w:val="none"/>
          <w:lang w:val="zh-TW"/>
        </w:rPr>
        <w:t>2、定标程序</w:t>
      </w:r>
    </w:p>
    <w:p>
      <w:pPr>
        <w:pStyle w:val="625"/>
        <w:ind w:firstLine="480"/>
        <w:rPr>
          <w:rStyle w:val="257"/>
          <w:rFonts w:hint="eastAsia"/>
          <w:color w:val="auto"/>
          <w:sz w:val="24"/>
          <w:szCs w:val="24"/>
          <w:highlight w:val="none"/>
        </w:rPr>
      </w:pPr>
      <w:r>
        <w:rPr>
          <w:rStyle w:val="257"/>
          <w:rFonts w:hint="eastAsia"/>
          <w:color w:val="auto"/>
          <w:sz w:val="24"/>
          <w:szCs w:val="24"/>
          <w:highlight w:val="none"/>
        </w:rPr>
        <w:t>（</w:t>
      </w:r>
      <w:r>
        <w:rPr>
          <w:rStyle w:val="257"/>
          <w:rFonts w:hint="eastAsia"/>
          <w:color w:val="auto"/>
          <w:sz w:val="24"/>
          <w:szCs w:val="24"/>
          <w:highlight w:val="none"/>
          <w:lang w:val="zh-TW"/>
        </w:rPr>
        <w:t>1</w:t>
      </w:r>
      <w:r>
        <w:rPr>
          <w:rStyle w:val="257"/>
          <w:rFonts w:hint="eastAsia"/>
          <w:color w:val="auto"/>
          <w:sz w:val="24"/>
          <w:szCs w:val="24"/>
          <w:highlight w:val="none"/>
        </w:rPr>
        <w:t>）评委会将评标情况写出书面评审报告，推荐中标候选人，并按照综合评分的高低排列顺序，确定中标人；如投标人综合得分相同的，报价低者为中标人；综合得分和投标报价均相同的，</w:t>
      </w:r>
      <w:r>
        <w:rPr>
          <w:rStyle w:val="257"/>
          <w:rFonts w:hint="eastAsia"/>
          <w:color w:val="auto"/>
          <w:sz w:val="24"/>
          <w:szCs w:val="24"/>
          <w:highlight w:val="none"/>
          <w:lang w:eastAsia="zh-CN"/>
        </w:rPr>
        <w:t>商务技术中商务部分</w:t>
      </w:r>
      <w:r>
        <w:rPr>
          <w:rStyle w:val="257"/>
          <w:rFonts w:hint="eastAsia"/>
          <w:color w:val="auto"/>
          <w:sz w:val="24"/>
          <w:szCs w:val="24"/>
          <w:highlight w:val="none"/>
        </w:rPr>
        <w:t>得分高</w:t>
      </w:r>
      <w:r>
        <w:rPr>
          <w:rStyle w:val="257"/>
          <w:rFonts w:hint="eastAsia"/>
          <w:color w:val="auto"/>
          <w:sz w:val="24"/>
          <w:szCs w:val="24"/>
          <w:highlight w:val="none"/>
          <w:lang w:eastAsia="zh-CN"/>
        </w:rPr>
        <w:t>者为中标人</w:t>
      </w:r>
      <w:r>
        <w:rPr>
          <w:rStyle w:val="257"/>
          <w:rFonts w:hint="eastAsia"/>
          <w:color w:val="auto"/>
          <w:sz w:val="24"/>
          <w:szCs w:val="24"/>
          <w:highlight w:val="none"/>
        </w:rPr>
        <w:t>；综合得分、投标报价和</w:t>
      </w:r>
      <w:r>
        <w:rPr>
          <w:rStyle w:val="257"/>
          <w:rFonts w:hint="eastAsia"/>
          <w:color w:val="auto"/>
          <w:sz w:val="24"/>
          <w:szCs w:val="24"/>
          <w:highlight w:val="none"/>
          <w:lang w:eastAsia="zh-CN"/>
        </w:rPr>
        <w:t>商务技术中商务部分</w:t>
      </w:r>
      <w:r>
        <w:rPr>
          <w:rStyle w:val="257"/>
          <w:rFonts w:hint="eastAsia"/>
          <w:color w:val="auto"/>
          <w:sz w:val="24"/>
          <w:szCs w:val="24"/>
          <w:highlight w:val="none"/>
        </w:rPr>
        <w:t>得分均相同的，则抽签选取中标候选人。</w:t>
      </w:r>
    </w:p>
    <w:p>
      <w:pPr>
        <w:pStyle w:val="625"/>
        <w:ind w:firstLine="480"/>
        <w:rPr>
          <w:rStyle w:val="257"/>
          <w:color w:val="auto"/>
          <w:sz w:val="24"/>
          <w:szCs w:val="24"/>
          <w:highlight w:val="none"/>
        </w:rPr>
      </w:pPr>
      <w:r>
        <w:rPr>
          <w:rStyle w:val="257"/>
          <w:rFonts w:hint="eastAsia"/>
          <w:color w:val="auto"/>
          <w:sz w:val="24"/>
          <w:szCs w:val="24"/>
          <w:highlight w:val="none"/>
          <w:lang w:eastAsia="zh-TW"/>
        </w:rPr>
        <w:t>（</w:t>
      </w:r>
      <w:r>
        <w:rPr>
          <w:rStyle w:val="257"/>
          <w:rFonts w:hint="eastAsia"/>
          <w:color w:val="auto"/>
          <w:sz w:val="24"/>
          <w:szCs w:val="24"/>
          <w:highlight w:val="none"/>
          <w:lang w:val="zh-TW" w:eastAsia="zh-TW"/>
        </w:rPr>
        <w:t>2</w:t>
      </w:r>
      <w:r>
        <w:rPr>
          <w:rStyle w:val="257"/>
          <w:rFonts w:hint="eastAsia"/>
          <w:color w:val="auto"/>
          <w:sz w:val="24"/>
          <w:szCs w:val="24"/>
          <w:highlight w:val="none"/>
          <w:lang w:eastAsia="zh-TW"/>
        </w:rPr>
        <w:t>）</w:t>
      </w:r>
      <w:r>
        <w:rPr>
          <w:rStyle w:val="257"/>
          <w:rFonts w:hint="eastAsia"/>
          <w:color w:val="auto"/>
          <w:sz w:val="24"/>
          <w:szCs w:val="24"/>
          <w:highlight w:val="none"/>
        </w:rPr>
        <w:t>评定结果经采购人确定后，采购人在中标人确定之日起2个工作日内将以书面形式发出《中标通知书》，并在浙江政府采购网公告中标结果。</w:t>
      </w:r>
      <w:r>
        <w:rPr>
          <w:rStyle w:val="257"/>
          <w:rFonts w:hint="eastAsia"/>
          <w:color w:val="auto"/>
          <w:sz w:val="24"/>
          <w:szCs w:val="24"/>
          <w:highlight w:val="none"/>
        </w:rPr>
        <w:br w:type="textWrapping"/>
      </w:r>
      <w:r>
        <w:rPr>
          <w:rStyle w:val="257"/>
          <w:rFonts w:hint="eastAsia"/>
          <w:color w:val="auto"/>
          <w:sz w:val="24"/>
          <w:szCs w:val="24"/>
          <w:highlight w:val="none"/>
        </w:rPr>
        <w:t xml:space="preserve"> （</w:t>
      </w:r>
      <w:r>
        <w:rPr>
          <w:rStyle w:val="257"/>
          <w:rFonts w:hint="eastAsia"/>
          <w:color w:val="auto"/>
          <w:sz w:val="24"/>
          <w:szCs w:val="24"/>
          <w:highlight w:val="none"/>
          <w:lang w:val="zh-TW"/>
        </w:rPr>
        <w:t>3</w:t>
      </w:r>
      <w:r>
        <w:rPr>
          <w:rStyle w:val="257"/>
          <w:rFonts w:hint="eastAsia"/>
          <w:color w:val="auto"/>
          <w:sz w:val="24"/>
          <w:szCs w:val="24"/>
          <w:highlight w:val="none"/>
        </w:rPr>
        <w:t>）采购代理机构不解释中标或落标原因，不退回投标文件和其他投标资料。</w:t>
      </w:r>
    </w:p>
    <w:p>
      <w:pPr>
        <w:pStyle w:val="625"/>
        <w:ind w:firstLine="482"/>
        <w:rPr>
          <w:rStyle w:val="257"/>
          <w:b/>
          <w:color w:val="auto"/>
          <w:sz w:val="24"/>
          <w:szCs w:val="24"/>
          <w:highlight w:val="none"/>
        </w:rPr>
      </w:pPr>
      <w:r>
        <w:rPr>
          <w:rStyle w:val="257"/>
          <w:rFonts w:hint="eastAsia"/>
          <w:b/>
          <w:color w:val="auto"/>
          <w:sz w:val="24"/>
          <w:szCs w:val="24"/>
          <w:highlight w:val="none"/>
        </w:rPr>
        <w:t>四、评标方法</w:t>
      </w:r>
    </w:p>
    <w:p>
      <w:pPr>
        <w:pStyle w:val="625"/>
        <w:ind w:firstLine="480"/>
        <w:rPr>
          <w:rStyle w:val="257"/>
          <w:color w:val="auto"/>
          <w:sz w:val="24"/>
          <w:szCs w:val="24"/>
          <w:highlight w:val="none"/>
          <w:lang w:val="zh-TW"/>
        </w:rPr>
      </w:pPr>
      <w:r>
        <w:rPr>
          <w:rStyle w:val="257"/>
          <w:rFonts w:hint="eastAsia"/>
          <w:color w:val="auto"/>
          <w:sz w:val="24"/>
          <w:szCs w:val="24"/>
          <w:highlight w:val="none"/>
          <w:lang w:val="zh-TW"/>
        </w:rPr>
        <w:t>1</w:t>
      </w:r>
      <w:r>
        <w:rPr>
          <w:rStyle w:val="257"/>
          <w:rFonts w:hint="eastAsia"/>
          <w:color w:val="auto"/>
          <w:sz w:val="24"/>
          <w:szCs w:val="24"/>
          <w:highlight w:val="none"/>
        </w:rPr>
        <w:t>、本次评标采用综合评分法，即在投标文件满足招标文件全部实质性要求的前提下，按照评审因素的量化指标评审得分从高到低的顺序推荐供应商为第一、第二、……中标候选人的评标办法。</w:t>
      </w:r>
    </w:p>
    <w:p>
      <w:pPr>
        <w:pStyle w:val="625"/>
        <w:ind w:firstLine="480"/>
        <w:rPr>
          <w:rStyle w:val="257"/>
          <w:color w:val="auto"/>
          <w:sz w:val="24"/>
          <w:szCs w:val="24"/>
          <w:highlight w:val="none"/>
        </w:rPr>
      </w:pPr>
      <w:r>
        <w:rPr>
          <w:rStyle w:val="257"/>
          <w:rFonts w:hint="eastAsia"/>
          <w:color w:val="auto"/>
          <w:sz w:val="24"/>
          <w:szCs w:val="24"/>
          <w:highlight w:val="none"/>
          <w:lang w:val="zh-TW"/>
        </w:rPr>
        <w:t>2</w:t>
      </w:r>
      <w:r>
        <w:rPr>
          <w:rStyle w:val="257"/>
          <w:rFonts w:hint="eastAsia"/>
          <w:color w:val="auto"/>
          <w:sz w:val="24"/>
          <w:szCs w:val="24"/>
          <w:highlight w:val="none"/>
        </w:rPr>
        <w:t>、本项目为商务技术分85分和报价分15合计评分，满分为</w:t>
      </w:r>
      <w:r>
        <w:rPr>
          <w:rStyle w:val="257"/>
          <w:rFonts w:hint="eastAsia"/>
          <w:color w:val="auto"/>
          <w:sz w:val="24"/>
          <w:szCs w:val="24"/>
          <w:highlight w:val="none"/>
          <w:lang w:val="zh-TW"/>
        </w:rPr>
        <w:t>100</w:t>
      </w:r>
      <w:r>
        <w:rPr>
          <w:rStyle w:val="257"/>
          <w:rFonts w:hint="eastAsia"/>
          <w:color w:val="auto"/>
          <w:sz w:val="24"/>
          <w:szCs w:val="24"/>
          <w:highlight w:val="none"/>
        </w:rPr>
        <w:t>分。</w:t>
      </w:r>
      <w:bookmarkStart w:id="127" w:name="_GoBack"/>
      <w:bookmarkEnd w:id="127"/>
    </w:p>
    <w:p>
      <w:pPr>
        <w:pStyle w:val="54"/>
        <w:keepNext/>
        <w:keepLines/>
        <w:pageBreakBefore/>
        <w:adjustRightInd w:val="0"/>
        <w:snapToGrid w:val="0"/>
        <w:spacing w:line="360" w:lineRule="auto"/>
        <w:ind w:firstLine="0" w:firstLineChars="0"/>
        <w:jc w:val="left"/>
        <w:rPr>
          <w:rStyle w:val="102"/>
          <w:rFonts w:ascii="Calibri" w:eastAsia="宋体"/>
          <w:color w:val="auto"/>
          <w:szCs w:val="20"/>
          <w:highlight w:val="none"/>
        </w:rPr>
      </w:pPr>
      <w:r>
        <w:rPr>
          <w:rStyle w:val="257"/>
          <w:rFonts w:hint="eastAsia"/>
          <w:b/>
          <w:color w:val="auto"/>
          <w:sz w:val="24"/>
          <w:szCs w:val="24"/>
          <w:highlight w:val="none"/>
        </w:rPr>
        <w:t>五、评标细则及标准</w:t>
      </w:r>
    </w:p>
    <w:tbl>
      <w:tblPr>
        <w:tblStyle w:val="88"/>
        <w:tblW w:w="5000" w:type="pct"/>
        <w:tblInd w:w="0" w:type="dxa"/>
        <w:tblLayout w:type="autofit"/>
        <w:tblCellMar>
          <w:top w:w="0" w:type="dxa"/>
          <w:left w:w="108" w:type="dxa"/>
          <w:bottom w:w="0" w:type="dxa"/>
          <w:right w:w="108" w:type="dxa"/>
        </w:tblCellMar>
      </w:tblPr>
      <w:tblGrid>
        <w:gridCol w:w="917"/>
        <w:gridCol w:w="2158"/>
        <w:gridCol w:w="5302"/>
        <w:gridCol w:w="865"/>
      </w:tblGrid>
      <w:tr>
        <w:tblPrEx>
          <w:tblCellMar>
            <w:top w:w="0" w:type="dxa"/>
            <w:left w:w="108" w:type="dxa"/>
            <w:bottom w:w="0" w:type="dxa"/>
            <w:right w:w="108" w:type="dxa"/>
          </w:tblCellMar>
        </w:tblPrEx>
        <w:trPr>
          <w:trHeight w:val="280" w:hRule="atLeast"/>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w:t>
            </w:r>
          </w:p>
        </w:tc>
        <w:tc>
          <w:tcPr>
            <w:tcW w:w="11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评分分项</w:t>
            </w:r>
          </w:p>
        </w:tc>
        <w:tc>
          <w:tcPr>
            <w:tcW w:w="28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评细则内容</w:t>
            </w:r>
          </w:p>
        </w:tc>
        <w:tc>
          <w:tcPr>
            <w:tcW w:w="4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tblPrEx>
          <w:tblCellMar>
            <w:top w:w="0" w:type="dxa"/>
            <w:left w:w="108" w:type="dxa"/>
            <w:bottom w:w="0" w:type="dxa"/>
            <w:right w:w="108" w:type="dxa"/>
          </w:tblCellMar>
        </w:tblPrEx>
        <w:trPr>
          <w:trHeight w:val="1118" w:hRule="atLeast"/>
        </w:trPr>
        <w:tc>
          <w:tcPr>
            <w:tcW w:w="4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报价部分（15分）</w:t>
            </w: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价格分（15分）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本项目最高限价</w:t>
            </w:r>
            <w:r>
              <w:rPr>
                <w:rFonts w:hint="eastAsia" w:ascii="宋体" w:hAnsi="宋体" w:eastAsia="宋体" w:cs="宋体"/>
                <w:b/>
                <w:bCs/>
                <w:color w:val="auto"/>
                <w:kern w:val="0"/>
                <w:sz w:val="21"/>
                <w:szCs w:val="21"/>
                <w:highlight w:val="none"/>
                <w:u w:val="single"/>
              </w:rPr>
              <w:t xml:space="preserve"> 18500500 </w:t>
            </w:r>
            <w:r>
              <w:rPr>
                <w:rFonts w:hint="eastAsia" w:ascii="宋体" w:hAnsi="宋体" w:eastAsia="宋体" w:cs="宋体"/>
                <w:b/>
                <w:bCs/>
                <w:color w:val="auto"/>
                <w:kern w:val="0"/>
                <w:sz w:val="21"/>
                <w:szCs w:val="21"/>
                <w:highlight w:val="none"/>
              </w:rPr>
              <w:t>元，投标人报价高于最高限价的作无效标处理，</w:t>
            </w:r>
            <w:r>
              <w:rPr>
                <w:rFonts w:hint="eastAsia" w:ascii="宋体" w:hAnsi="宋体" w:eastAsia="宋体" w:cs="宋体"/>
                <w:color w:val="auto"/>
                <w:kern w:val="0"/>
                <w:sz w:val="21"/>
                <w:szCs w:val="21"/>
                <w:highlight w:val="none"/>
              </w:rPr>
              <w:t>评标基准价为满足评标要求且投标价格最低的投标报价，投标报价得分=(基准价／投标报价)×</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，四舍五入，保留两位小数。报价高于最高限价的，为无效投标文件。</w:t>
            </w:r>
          </w:p>
        </w:tc>
        <w:tc>
          <w:tcPr>
            <w:tcW w:w="46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15</w:t>
            </w:r>
          </w:p>
        </w:tc>
      </w:tr>
      <w:tr>
        <w:tblPrEx>
          <w:tblCellMar>
            <w:top w:w="0" w:type="dxa"/>
            <w:left w:w="108" w:type="dxa"/>
            <w:bottom w:w="0" w:type="dxa"/>
            <w:right w:w="108" w:type="dxa"/>
          </w:tblCellMar>
        </w:tblPrEx>
        <w:trPr>
          <w:trHeight w:val="1118" w:hRule="atLeast"/>
        </w:trPr>
        <w:tc>
          <w:tcPr>
            <w:tcW w:w="496" w:type="pct"/>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企业综合实力（4分）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投标人具有在有效期内的ISO9001质量管理体系认证证书、ISO14001环境管理体系认证证书、ISO27001信息安全管理体系认证证书、ISO20000信息技术服务管理体系认证证书的，每个得1分，本项最高得4分。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注：提供认证证书扫描件，否则不得分。</w:t>
            </w:r>
          </w:p>
        </w:tc>
        <w:tc>
          <w:tcPr>
            <w:tcW w:w="46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4</w:t>
            </w:r>
          </w:p>
        </w:tc>
      </w:tr>
      <w:tr>
        <w:tblPrEx>
          <w:tblCellMar>
            <w:top w:w="0" w:type="dxa"/>
            <w:left w:w="108" w:type="dxa"/>
            <w:bottom w:w="0" w:type="dxa"/>
            <w:right w:w="108" w:type="dxa"/>
          </w:tblCellMar>
        </w:tblPrEx>
        <w:trPr>
          <w:trHeight w:val="1397" w:hRule="atLeast"/>
        </w:trPr>
        <w:tc>
          <w:tcPr>
            <w:tcW w:w="496"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产品成熟度和相关资质认证（4分）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所投公有云产品需具备如下能力：</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1、所投云会议</w:t>
            </w:r>
            <w:r>
              <w:rPr>
                <w:rFonts w:hint="eastAsia" w:ascii="宋体" w:hAnsi="宋体" w:cs="宋体"/>
                <w:color w:val="auto"/>
                <w:kern w:val="0"/>
                <w:sz w:val="21"/>
                <w:szCs w:val="21"/>
                <w:highlight w:val="none"/>
                <w:lang w:eastAsia="zh-CN"/>
              </w:rPr>
              <w:t>系统</w:t>
            </w:r>
            <w:r>
              <w:rPr>
                <w:rFonts w:hint="eastAsia" w:ascii="宋体" w:hAnsi="宋体" w:eastAsia="宋体" w:cs="宋体"/>
                <w:color w:val="auto"/>
                <w:kern w:val="0"/>
                <w:sz w:val="21"/>
                <w:szCs w:val="21"/>
                <w:highlight w:val="none"/>
              </w:rPr>
              <w:t>连续三年通过等保3级认证，提供等保备案证明</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2分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2、所投一码通</w:t>
            </w:r>
            <w:r>
              <w:rPr>
                <w:rFonts w:hint="eastAsia" w:ascii="宋体" w:hAnsi="宋体" w:cs="宋体"/>
                <w:color w:val="auto"/>
                <w:kern w:val="0"/>
                <w:sz w:val="21"/>
                <w:szCs w:val="21"/>
                <w:highlight w:val="none"/>
                <w:lang w:eastAsia="zh-CN"/>
              </w:rPr>
              <w:t>系统</w:t>
            </w:r>
            <w:r>
              <w:rPr>
                <w:rFonts w:hint="eastAsia" w:ascii="宋体" w:hAnsi="宋体" w:eastAsia="宋体" w:cs="宋体"/>
                <w:color w:val="auto"/>
                <w:kern w:val="0"/>
                <w:sz w:val="21"/>
                <w:szCs w:val="21"/>
                <w:highlight w:val="none"/>
              </w:rPr>
              <w:t>连续三年通过等保3级认证，提供等保备案证明</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2分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备注：提供有效</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证书扫描件，</w:t>
            </w:r>
            <w:r>
              <w:rPr>
                <w:rFonts w:hint="eastAsia" w:ascii="宋体" w:hAnsi="宋体" w:eastAsia="宋体" w:cs="宋体"/>
                <w:color w:val="auto"/>
                <w:kern w:val="0"/>
                <w:sz w:val="21"/>
                <w:szCs w:val="21"/>
                <w:highlight w:val="none"/>
                <w:lang w:eastAsia="zh-CN"/>
              </w:rPr>
              <w:t>否则不得分。</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4</w:t>
            </w:r>
          </w:p>
        </w:tc>
      </w:tr>
      <w:tr>
        <w:tblPrEx>
          <w:tblCellMar>
            <w:top w:w="0" w:type="dxa"/>
            <w:left w:w="108" w:type="dxa"/>
            <w:bottom w:w="0" w:type="dxa"/>
            <w:right w:w="108" w:type="dxa"/>
          </w:tblCellMar>
        </w:tblPrEx>
        <w:trPr>
          <w:trHeight w:val="559" w:hRule="atLeast"/>
        </w:trPr>
        <w:tc>
          <w:tcPr>
            <w:tcW w:w="496"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类似业绩（</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年1月1日以来（以合同签订时间为准）承担过类似项目业绩的，每个得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分，本项最高得1分。</w:t>
            </w:r>
          </w:p>
          <w:p>
            <w:pPr>
              <w:pStyle w:val="86"/>
              <w:jc w:val="both"/>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eastAsia="zh-CN"/>
              </w:rPr>
              <w:t>注：提供业绩合同扫描件，否则不得分。</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0-1</w:t>
            </w:r>
          </w:p>
        </w:tc>
      </w:tr>
      <w:tr>
        <w:tblPrEx>
          <w:tblCellMar>
            <w:top w:w="0" w:type="dxa"/>
            <w:left w:w="108" w:type="dxa"/>
            <w:bottom w:w="0" w:type="dxa"/>
            <w:right w:w="108" w:type="dxa"/>
          </w:tblCellMar>
        </w:tblPrEx>
        <w:trPr>
          <w:trHeight w:val="559" w:hRule="atLeast"/>
        </w:trPr>
        <w:tc>
          <w:tcPr>
            <w:tcW w:w="496"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restar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拟投入项目组成员情况（3分）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rPr>
              <w:t>项目经理具有人力资源和社会保障部门颁发的信息系统项目管理师证书的得1分。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注：须提供</w:t>
            </w:r>
            <w:r>
              <w:rPr>
                <w:rFonts w:hint="eastAsia" w:ascii="宋体" w:hAnsi="宋体" w:cs="宋体"/>
                <w:color w:val="auto"/>
                <w:kern w:val="0"/>
                <w:sz w:val="21"/>
                <w:szCs w:val="21"/>
                <w:highlight w:val="none"/>
                <w:lang w:eastAsia="zh-CN"/>
              </w:rPr>
              <w:t>项目经理投标截止时间前</w:t>
            </w:r>
            <w:r>
              <w:rPr>
                <w:rFonts w:hint="eastAsia" w:ascii="宋体" w:hAnsi="宋体" w:eastAsia="宋体" w:cs="宋体"/>
                <w:color w:val="auto"/>
                <w:kern w:val="0"/>
                <w:sz w:val="21"/>
                <w:szCs w:val="21"/>
                <w:highlight w:val="none"/>
              </w:rPr>
              <w:t>近</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lang w:eastAsia="zh-CN"/>
              </w:rPr>
              <w:t>中</w:t>
            </w:r>
            <w:r>
              <w:rPr>
                <w:rFonts w:hint="eastAsia" w:ascii="宋体" w:hAnsi="宋体" w:eastAsia="宋体" w:cs="宋体"/>
                <w:color w:val="auto"/>
                <w:kern w:val="0"/>
                <w:sz w:val="21"/>
                <w:szCs w:val="21"/>
                <w:highlight w:val="none"/>
              </w:rPr>
              <w:t>任意1月的社保部门缴费证明及职称证书扫描件，否则不得分。</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1</w:t>
            </w:r>
          </w:p>
        </w:tc>
      </w:tr>
      <w:tr>
        <w:tblPrEx>
          <w:tblCellMar>
            <w:top w:w="0" w:type="dxa"/>
            <w:left w:w="108" w:type="dxa"/>
            <w:bottom w:w="0" w:type="dxa"/>
            <w:right w:w="108" w:type="dxa"/>
          </w:tblCellMar>
        </w:tblPrEx>
        <w:trPr>
          <w:trHeight w:val="559" w:hRule="atLeast"/>
        </w:trPr>
        <w:tc>
          <w:tcPr>
            <w:tcW w:w="496" w:type="pct"/>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除项目经理外，拟派项目组成员中具有人力资源和社会保障部门颁发</w:t>
            </w:r>
            <w:r>
              <w:rPr>
                <w:rFonts w:hint="eastAsia" w:ascii="宋体" w:hAnsi="宋体" w:cs="宋体"/>
                <w:color w:val="auto"/>
                <w:kern w:val="0"/>
                <w:sz w:val="21"/>
                <w:szCs w:val="21"/>
                <w:highlight w:val="none"/>
                <w:lang w:eastAsia="zh-CN"/>
              </w:rPr>
              <w:t>的：</w:t>
            </w:r>
          </w:p>
          <w:p>
            <w:pPr>
              <w:widowControl/>
              <w:numPr>
                <w:ilvl w:val="0"/>
                <w:numId w:val="10"/>
              </w:numPr>
              <w:jc w:val="left"/>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高级系统架构师的得1分</w:t>
            </w:r>
            <w:r>
              <w:rPr>
                <w:rFonts w:hint="eastAsia" w:ascii="宋体" w:hAnsi="宋体" w:cs="宋体"/>
                <w:color w:val="auto"/>
                <w:kern w:val="0"/>
                <w:sz w:val="21"/>
                <w:szCs w:val="21"/>
                <w:highlight w:val="none"/>
                <w:lang w:val="en-US" w:eastAsia="zh-CN"/>
              </w:rPr>
              <w:t>，最高得1分；</w:t>
            </w:r>
          </w:p>
          <w:p>
            <w:pPr>
              <w:widowControl/>
              <w:numPr>
                <w:ilvl w:val="0"/>
                <w:numId w:val="10"/>
              </w:numPr>
              <w:jc w:val="left"/>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中级</w:t>
            </w:r>
            <w:r>
              <w:rPr>
                <w:rFonts w:hint="eastAsia" w:ascii="宋体" w:hAnsi="宋体" w:cs="宋体"/>
                <w:color w:val="auto"/>
                <w:kern w:val="0"/>
                <w:sz w:val="21"/>
                <w:szCs w:val="21"/>
                <w:highlight w:val="none"/>
                <w:lang w:val="en-US" w:eastAsia="zh-CN"/>
              </w:rPr>
              <w:t>及以上</w:t>
            </w:r>
            <w:r>
              <w:rPr>
                <w:rFonts w:hint="eastAsia" w:ascii="宋体" w:hAnsi="宋体" w:eastAsia="宋体" w:cs="宋体"/>
                <w:color w:val="auto"/>
                <w:kern w:val="0"/>
                <w:sz w:val="21"/>
                <w:szCs w:val="21"/>
                <w:highlight w:val="none"/>
                <w:lang w:val="en-US" w:eastAsia="zh-CN"/>
              </w:rPr>
              <w:t>网络工程师的得0.5分</w:t>
            </w:r>
            <w:r>
              <w:rPr>
                <w:rFonts w:hint="eastAsia" w:ascii="宋体" w:hAnsi="宋体" w:cs="宋体"/>
                <w:color w:val="auto"/>
                <w:kern w:val="0"/>
                <w:sz w:val="21"/>
                <w:szCs w:val="21"/>
                <w:highlight w:val="none"/>
                <w:lang w:val="en-US" w:eastAsia="zh-CN"/>
              </w:rPr>
              <w:t>，最高得0.5分；（3）</w:t>
            </w:r>
            <w:r>
              <w:rPr>
                <w:rFonts w:hint="eastAsia" w:ascii="宋体" w:hAnsi="宋体" w:eastAsia="宋体" w:cs="宋体"/>
                <w:color w:val="auto"/>
                <w:kern w:val="0"/>
                <w:sz w:val="21"/>
                <w:szCs w:val="21"/>
                <w:highlight w:val="none"/>
                <w:lang w:val="en-US" w:eastAsia="zh-CN"/>
              </w:rPr>
              <w:t>中级</w:t>
            </w:r>
            <w:r>
              <w:rPr>
                <w:rFonts w:hint="eastAsia" w:ascii="宋体" w:hAnsi="宋体" w:cs="宋体"/>
                <w:color w:val="auto"/>
                <w:kern w:val="0"/>
                <w:sz w:val="21"/>
                <w:szCs w:val="21"/>
                <w:highlight w:val="none"/>
                <w:lang w:val="en-US" w:eastAsia="zh-CN"/>
              </w:rPr>
              <w:t>及以上</w:t>
            </w:r>
            <w:r>
              <w:rPr>
                <w:rFonts w:hint="eastAsia" w:ascii="宋体" w:hAnsi="宋体" w:eastAsia="宋体" w:cs="宋体"/>
                <w:color w:val="auto"/>
                <w:kern w:val="0"/>
                <w:sz w:val="21"/>
                <w:szCs w:val="21"/>
                <w:highlight w:val="none"/>
                <w:lang w:val="en-US" w:eastAsia="zh-CN"/>
              </w:rPr>
              <w:t>软件设计师的的0.5分</w:t>
            </w:r>
            <w:r>
              <w:rPr>
                <w:rFonts w:hint="eastAsia" w:ascii="宋体" w:hAnsi="宋体" w:cs="宋体"/>
                <w:color w:val="auto"/>
                <w:kern w:val="0"/>
                <w:sz w:val="21"/>
                <w:szCs w:val="21"/>
                <w:highlight w:val="none"/>
                <w:lang w:val="en-US" w:eastAsia="zh-CN"/>
              </w:rPr>
              <w:t>，最高得0.5分</w:t>
            </w:r>
            <w:r>
              <w:rPr>
                <w:rFonts w:hint="eastAsia" w:ascii="宋体" w:hAnsi="宋体" w:cs="宋体"/>
                <w:color w:val="auto"/>
                <w:kern w:val="0"/>
                <w:sz w:val="21"/>
                <w:szCs w:val="21"/>
                <w:highlight w:val="none"/>
                <w:lang w:eastAsia="zh-CN"/>
              </w:rPr>
              <w:t>；</w:t>
            </w:r>
          </w:p>
          <w:p>
            <w:pPr>
              <w:widowControl/>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rPr>
              <w:t>注：本项最高得2分</w:t>
            </w:r>
            <w:r>
              <w:rPr>
                <w:rFonts w:hint="eastAsia" w:ascii="宋体" w:hAnsi="宋体" w:cs="宋体"/>
                <w:color w:val="auto"/>
                <w:kern w:val="0"/>
                <w:sz w:val="21"/>
                <w:szCs w:val="21"/>
                <w:highlight w:val="none"/>
                <w:lang w:eastAsia="zh-CN"/>
              </w:rPr>
              <w:t>，每人只记一次最高得分。</w:t>
            </w:r>
            <w:r>
              <w:rPr>
                <w:rFonts w:hint="eastAsia" w:ascii="宋体" w:hAnsi="宋体" w:eastAsia="宋体" w:cs="宋体"/>
                <w:color w:val="auto"/>
                <w:kern w:val="0"/>
                <w:sz w:val="21"/>
                <w:szCs w:val="21"/>
                <w:highlight w:val="none"/>
              </w:rPr>
              <w:t>须提供以上人员</w:t>
            </w:r>
            <w:r>
              <w:rPr>
                <w:rFonts w:hint="eastAsia" w:ascii="宋体" w:hAnsi="宋体" w:cs="宋体"/>
                <w:color w:val="auto"/>
                <w:kern w:val="0"/>
                <w:sz w:val="21"/>
                <w:szCs w:val="21"/>
                <w:highlight w:val="none"/>
                <w:lang w:eastAsia="zh-CN"/>
              </w:rPr>
              <w:t>投标截止时间前</w:t>
            </w:r>
            <w:r>
              <w:rPr>
                <w:rFonts w:hint="eastAsia" w:ascii="宋体" w:hAnsi="宋体" w:eastAsia="宋体" w:cs="宋体"/>
                <w:color w:val="auto"/>
                <w:kern w:val="0"/>
                <w:sz w:val="21"/>
                <w:szCs w:val="21"/>
                <w:highlight w:val="none"/>
              </w:rPr>
              <w:t>近</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lang w:eastAsia="zh-CN"/>
              </w:rPr>
              <w:t>中</w:t>
            </w:r>
            <w:r>
              <w:rPr>
                <w:rFonts w:hint="eastAsia" w:ascii="宋体" w:hAnsi="宋体" w:eastAsia="宋体" w:cs="宋体"/>
                <w:color w:val="auto"/>
                <w:kern w:val="0"/>
                <w:sz w:val="21"/>
                <w:szCs w:val="21"/>
                <w:highlight w:val="none"/>
              </w:rPr>
              <w:t>任意1月的社保部门缴费证明及职称证书扫描件，否则不得分。</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2</w:t>
            </w:r>
          </w:p>
        </w:tc>
      </w:tr>
      <w:tr>
        <w:tblPrEx>
          <w:tblCellMar>
            <w:top w:w="0" w:type="dxa"/>
            <w:left w:w="108" w:type="dxa"/>
            <w:bottom w:w="0" w:type="dxa"/>
            <w:right w:w="108" w:type="dxa"/>
          </w:tblCellMar>
        </w:tblPrEx>
        <w:trPr>
          <w:trHeight w:val="925" w:hRule="atLeast"/>
        </w:trPr>
        <w:tc>
          <w:tcPr>
            <w:tcW w:w="49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技术部分（7</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技术响应程度（20分）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所投产品技术参数全部满足招标文件要求的得满分20分。其中标★项为的重要参数，有负偏离或无法提供证明材料的每项扣1分，扣完为止；其他参数有负偏离的每项扣0.5分，扣完为止。</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20</w:t>
            </w:r>
          </w:p>
        </w:tc>
      </w:tr>
      <w:tr>
        <w:tblPrEx>
          <w:tblCellMar>
            <w:top w:w="0" w:type="dxa"/>
            <w:left w:w="108" w:type="dxa"/>
            <w:bottom w:w="0" w:type="dxa"/>
            <w:right w:w="108" w:type="dxa"/>
          </w:tblCellMar>
        </w:tblPrEx>
        <w:trPr>
          <w:trHeight w:val="579"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总体技术架构设计（5分）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根据研究院现有系统情况，结合本期实际需求进行智慧研究院总体技术架构设计。充分利用现有政务云、新建机房以及SaaS方式，规划智慧研究院混合云整体架构，需提供详细的架构设计图以及设计方案。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技术架构设计完善、逻辑清晰、符合项目实际情况，</w:t>
            </w:r>
            <w:r>
              <w:rPr>
                <w:rFonts w:hint="eastAsia" w:ascii="宋体" w:hAnsi="宋体" w:eastAsia="宋体" w:cs="宋体"/>
                <w:color w:val="auto"/>
                <w:kern w:val="0"/>
                <w:sz w:val="21"/>
                <w:szCs w:val="21"/>
                <w:highlight w:val="none"/>
                <w:lang w:eastAsia="zh-CN"/>
              </w:rPr>
              <w:t>且具有</w:t>
            </w:r>
            <w:r>
              <w:rPr>
                <w:rFonts w:hint="eastAsia" w:ascii="宋体" w:hAnsi="宋体" w:eastAsia="宋体" w:cs="宋体"/>
                <w:color w:val="auto"/>
                <w:kern w:val="0"/>
                <w:sz w:val="21"/>
                <w:szCs w:val="21"/>
                <w:highlight w:val="none"/>
              </w:rPr>
              <w:t>先进性、合理性、可行性</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3.01-5分；</w:t>
            </w:r>
            <w:r>
              <w:rPr>
                <w:rFonts w:hint="eastAsia" w:ascii="宋体" w:hAnsi="宋体" w:eastAsia="宋体" w:cs="宋体"/>
                <w:color w:val="auto"/>
                <w:kern w:val="0"/>
                <w:sz w:val="21"/>
                <w:szCs w:val="21"/>
                <w:highlight w:val="none"/>
              </w:rPr>
              <w:t>技术架构设计</w:t>
            </w:r>
            <w:r>
              <w:rPr>
                <w:rFonts w:hint="eastAsia" w:ascii="宋体" w:hAnsi="宋体" w:cs="宋体"/>
                <w:color w:val="auto"/>
                <w:kern w:val="0"/>
                <w:sz w:val="21"/>
                <w:szCs w:val="21"/>
                <w:highlight w:val="none"/>
                <w:lang w:eastAsia="zh-CN"/>
              </w:rPr>
              <w:t>基本完整</w:t>
            </w:r>
            <w:r>
              <w:rPr>
                <w:rFonts w:hint="eastAsia" w:ascii="宋体" w:hAnsi="宋体" w:eastAsia="宋体" w:cs="宋体"/>
                <w:color w:val="auto"/>
                <w:kern w:val="0"/>
                <w:sz w:val="21"/>
                <w:szCs w:val="21"/>
                <w:highlight w:val="none"/>
              </w:rPr>
              <w:t>、逻辑</w:t>
            </w:r>
            <w:r>
              <w:rPr>
                <w:rFonts w:hint="eastAsia" w:ascii="宋体" w:hAnsi="宋体" w:cs="宋体"/>
                <w:color w:val="auto"/>
                <w:kern w:val="0"/>
                <w:sz w:val="21"/>
                <w:szCs w:val="21"/>
                <w:highlight w:val="none"/>
                <w:lang w:eastAsia="zh-CN"/>
              </w:rPr>
              <w:t>有一定条理</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基本</w:t>
            </w:r>
            <w:r>
              <w:rPr>
                <w:rFonts w:hint="eastAsia" w:ascii="宋体" w:hAnsi="宋体" w:eastAsia="宋体" w:cs="宋体"/>
                <w:color w:val="auto"/>
                <w:kern w:val="0"/>
                <w:sz w:val="21"/>
                <w:szCs w:val="21"/>
                <w:highlight w:val="none"/>
              </w:rPr>
              <w:t>合理、可行</w:t>
            </w:r>
            <w:r>
              <w:rPr>
                <w:rFonts w:hint="eastAsia" w:ascii="宋体" w:hAnsi="宋体" w:eastAsia="宋体" w:cs="宋体"/>
                <w:color w:val="auto"/>
                <w:kern w:val="0"/>
                <w:sz w:val="21"/>
                <w:szCs w:val="21"/>
                <w:highlight w:val="none"/>
                <w:lang w:eastAsia="zh-CN"/>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.01-</w:t>
            </w:r>
            <w:r>
              <w:rPr>
                <w:rFonts w:hint="eastAsia" w:ascii="宋体" w:hAnsi="宋体" w:cs="宋体"/>
                <w:color w:val="auto"/>
                <w:kern w:val="0"/>
                <w:sz w:val="21"/>
                <w:szCs w:val="21"/>
                <w:highlight w:val="none"/>
                <w:lang w:val="en-US" w:eastAsia="zh-CN"/>
              </w:rPr>
              <w:t>3.00</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技术架构设计</w:t>
            </w:r>
            <w:r>
              <w:rPr>
                <w:rFonts w:hint="eastAsia" w:ascii="宋体" w:hAnsi="宋体" w:cs="宋体"/>
                <w:color w:val="auto"/>
                <w:kern w:val="0"/>
                <w:sz w:val="21"/>
                <w:szCs w:val="21"/>
                <w:highlight w:val="none"/>
                <w:lang w:eastAsia="zh-CN"/>
              </w:rPr>
              <w:t>不够完整、逻辑欠合理，可操作性不强的得</w:t>
            </w:r>
            <w:r>
              <w:rPr>
                <w:rFonts w:hint="eastAsia" w:ascii="宋体" w:hAnsi="宋体" w:cs="宋体"/>
                <w:color w:val="auto"/>
                <w:kern w:val="0"/>
                <w:sz w:val="21"/>
                <w:szCs w:val="21"/>
                <w:highlight w:val="none"/>
                <w:lang w:val="en-US" w:eastAsia="zh-CN"/>
              </w:rPr>
              <w:t>0-1.00分</w:t>
            </w:r>
            <w:r>
              <w:rPr>
                <w:rFonts w:hint="eastAsia" w:ascii="宋体" w:hAnsi="宋体" w:eastAsia="宋体" w:cs="宋体"/>
                <w:color w:val="auto"/>
                <w:kern w:val="0"/>
                <w:sz w:val="21"/>
                <w:szCs w:val="21"/>
                <w:highlight w:val="none"/>
                <w:lang w:eastAsia="zh-CN"/>
              </w:rPr>
              <w:t>。</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5</w:t>
            </w:r>
          </w:p>
        </w:tc>
      </w:tr>
      <w:tr>
        <w:tblPrEx>
          <w:tblCellMar>
            <w:top w:w="0" w:type="dxa"/>
            <w:left w:w="108" w:type="dxa"/>
            <w:bottom w:w="0" w:type="dxa"/>
            <w:right w:w="108" w:type="dxa"/>
          </w:tblCellMar>
        </w:tblPrEx>
        <w:trPr>
          <w:trHeight w:val="2109"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智能化安全体系架构设计（5分）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合研究院实验室管理及未来规划进行整体安全防护架构设计，充分利用人工智能、物联网、大数据等底层技术，结合数字孪生能力，如何构建事前感知、主动预防、报警联动、智能处理的全域安全防护体系，需提供详细的架构设计图以及设计方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技术架构设计完善、逻辑清晰、符合项目实际情况，</w:t>
            </w:r>
            <w:r>
              <w:rPr>
                <w:rFonts w:hint="eastAsia" w:ascii="宋体" w:hAnsi="宋体" w:eastAsia="宋体" w:cs="宋体"/>
                <w:color w:val="auto"/>
                <w:kern w:val="0"/>
                <w:sz w:val="21"/>
                <w:szCs w:val="21"/>
                <w:highlight w:val="none"/>
                <w:lang w:eastAsia="zh-CN"/>
              </w:rPr>
              <w:t>且具有</w:t>
            </w:r>
            <w:r>
              <w:rPr>
                <w:rFonts w:hint="eastAsia" w:ascii="宋体" w:hAnsi="宋体" w:eastAsia="宋体" w:cs="宋体"/>
                <w:color w:val="auto"/>
                <w:kern w:val="0"/>
                <w:sz w:val="21"/>
                <w:szCs w:val="21"/>
                <w:highlight w:val="none"/>
              </w:rPr>
              <w:t>先进性、合理性、可行性</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3.01-5分</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技术架构设计</w:t>
            </w:r>
            <w:r>
              <w:rPr>
                <w:rFonts w:hint="eastAsia" w:ascii="宋体" w:hAnsi="宋体" w:cs="宋体"/>
                <w:color w:val="auto"/>
                <w:kern w:val="0"/>
                <w:sz w:val="21"/>
                <w:szCs w:val="21"/>
                <w:highlight w:val="none"/>
                <w:lang w:eastAsia="zh-CN"/>
              </w:rPr>
              <w:t>基本完整</w:t>
            </w:r>
            <w:r>
              <w:rPr>
                <w:rFonts w:hint="eastAsia" w:ascii="宋体" w:hAnsi="宋体" w:eastAsia="宋体" w:cs="宋体"/>
                <w:color w:val="auto"/>
                <w:kern w:val="0"/>
                <w:sz w:val="21"/>
                <w:szCs w:val="21"/>
                <w:highlight w:val="none"/>
              </w:rPr>
              <w:t>、逻辑</w:t>
            </w:r>
            <w:r>
              <w:rPr>
                <w:rFonts w:hint="eastAsia" w:ascii="宋体" w:hAnsi="宋体" w:cs="宋体"/>
                <w:color w:val="auto"/>
                <w:kern w:val="0"/>
                <w:sz w:val="21"/>
                <w:szCs w:val="21"/>
                <w:highlight w:val="none"/>
                <w:lang w:eastAsia="zh-CN"/>
              </w:rPr>
              <w:t>有一定条理</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基本</w:t>
            </w:r>
            <w:r>
              <w:rPr>
                <w:rFonts w:hint="eastAsia" w:ascii="宋体" w:hAnsi="宋体" w:eastAsia="宋体" w:cs="宋体"/>
                <w:color w:val="auto"/>
                <w:kern w:val="0"/>
                <w:sz w:val="21"/>
                <w:szCs w:val="21"/>
                <w:highlight w:val="none"/>
              </w:rPr>
              <w:t>合理、可行</w:t>
            </w:r>
            <w:r>
              <w:rPr>
                <w:rFonts w:hint="eastAsia" w:ascii="宋体" w:hAnsi="宋体" w:eastAsia="宋体" w:cs="宋体"/>
                <w:color w:val="auto"/>
                <w:kern w:val="0"/>
                <w:sz w:val="21"/>
                <w:szCs w:val="21"/>
                <w:highlight w:val="none"/>
                <w:lang w:eastAsia="zh-CN"/>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.01-</w:t>
            </w:r>
            <w:r>
              <w:rPr>
                <w:rFonts w:hint="eastAsia" w:ascii="宋体" w:hAnsi="宋体" w:cs="宋体"/>
                <w:color w:val="auto"/>
                <w:kern w:val="0"/>
                <w:sz w:val="21"/>
                <w:szCs w:val="21"/>
                <w:highlight w:val="none"/>
                <w:lang w:val="en-US" w:eastAsia="zh-CN"/>
              </w:rPr>
              <w:t>3.00</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技术架构设计</w:t>
            </w:r>
            <w:r>
              <w:rPr>
                <w:rFonts w:hint="eastAsia" w:ascii="宋体" w:hAnsi="宋体" w:cs="宋体"/>
                <w:color w:val="auto"/>
                <w:kern w:val="0"/>
                <w:sz w:val="21"/>
                <w:szCs w:val="21"/>
                <w:highlight w:val="none"/>
                <w:lang w:eastAsia="zh-CN"/>
              </w:rPr>
              <w:t>不够完整、逻辑欠合理，可操作性不强的得</w:t>
            </w:r>
            <w:r>
              <w:rPr>
                <w:rFonts w:hint="eastAsia" w:ascii="宋体" w:hAnsi="宋体" w:cs="宋体"/>
                <w:color w:val="auto"/>
                <w:kern w:val="0"/>
                <w:sz w:val="21"/>
                <w:szCs w:val="21"/>
                <w:highlight w:val="none"/>
                <w:lang w:val="en-US" w:eastAsia="zh-CN"/>
              </w:rPr>
              <w:t>0-1.00分</w:t>
            </w:r>
            <w:r>
              <w:rPr>
                <w:rFonts w:hint="eastAsia" w:ascii="宋体" w:hAnsi="宋体" w:eastAsia="宋体" w:cs="宋体"/>
                <w:color w:val="auto"/>
                <w:kern w:val="0"/>
                <w:sz w:val="21"/>
                <w:szCs w:val="21"/>
                <w:highlight w:val="none"/>
                <w:lang w:eastAsia="zh-CN"/>
              </w:rPr>
              <w:t>。</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5</w:t>
            </w:r>
          </w:p>
        </w:tc>
      </w:tr>
      <w:tr>
        <w:tblPrEx>
          <w:tblCellMar>
            <w:top w:w="0" w:type="dxa"/>
            <w:left w:w="108" w:type="dxa"/>
            <w:bottom w:w="0" w:type="dxa"/>
            <w:right w:w="108" w:type="dxa"/>
          </w:tblCellMar>
        </w:tblPrEx>
        <w:trPr>
          <w:trHeight w:val="1996"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实施方案（5分）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投标人提供的项目实施进度计划、质量保证措施、测试方案详细完整，贴合项目实际的得3</w:t>
            </w:r>
            <w:r>
              <w:rPr>
                <w:rFonts w:hint="eastAsia" w:ascii="宋体" w:hAnsi="宋体" w:cs="宋体"/>
                <w:color w:val="auto"/>
                <w:kern w:val="0"/>
                <w:sz w:val="21"/>
                <w:szCs w:val="21"/>
                <w:highlight w:val="none"/>
                <w:lang w:val="en-US" w:eastAsia="zh-CN"/>
              </w:rPr>
              <w:t>.01</w:t>
            </w:r>
            <w:r>
              <w:rPr>
                <w:rFonts w:hint="eastAsia" w:ascii="宋体" w:hAnsi="宋体" w:eastAsia="宋体" w:cs="宋体"/>
                <w:color w:val="auto"/>
                <w:kern w:val="0"/>
                <w:sz w:val="21"/>
                <w:szCs w:val="21"/>
                <w:highlight w:val="none"/>
              </w:rPr>
              <w:t>-5分，投标人提供的项目实施进度计划、质量保证措施、测试方案较详细完整，与项目实际有一定差距的得1</w:t>
            </w:r>
            <w:r>
              <w:rPr>
                <w:rFonts w:hint="eastAsia" w:ascii="宋体" w:hAnsi="宋体" w:cs="宋体"/>
                <w:color w:val="auto"/>
                <w:kern w:val="0"/>
                <w:sz w:val="21"/>
                <w:szCs w:val="21"/>
                <w:highlight w:val="none"/>
                <w:lang w:val="en-US" w:eastAsia="zh-CN"/>
              </w:rPr>
              <w:t>.01</w:t>
            </w: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分，投标人提供的项目实施进度计划、质量保证措施、测试方案不完整、空洞不切合项目实际的</w:t>
            </w:r>
            <w:r>
              <w:rPr>
                <w:rFonts w:hint="eastAsia" w:ascii="宋体" w:hAnsi="宋体" w:eastAsia="宋体" w:cs="宋体"/>
                <w:color w:val="auto"/>
                <w:kern w:val="0"/>
                <w:sz w:val="21"/>
                <w:szCs w:val="21"/>
                <w:highlight w:val="none"/>
                <w:lang w:eastAsia="zh-CN"/>
              </w:rPr>
              <w:t>得</w:t>
            </w:r>
            <w:r>
              <w:rPr>
                <w:rFonts w:hint="eastAsia" w:ascii="宋体" w:hAnsi="宋体" w:eastAsia="宋体" w:cs="宋体"/>
                <w:color w:val="auto"/>
                <w:kern w:val="0"/>
                <w:sz w:val="21"/>
                <w:szCs w:val="21"/>
                <w:highlight w:val="none"/>
                <w:lang w:val="en-US" w:eastAsia="zh-CN"/>
              </w:rPr>
              <w:t>0-1</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5</w:t>
            </w:r>
          </w:p>
        </w:tc>
      </w:tr>
      <w:tr>
        <w:tblPrEx>
          <w:tblCellMar>
            <w:top w:w="0" w:type="dxa"/>
            <w:left w:w="108" w:type="dxa"/>
            <w:bottom w:w="0" w:type="dxa"/>
            <w:right w:w="108" w:type="dxa"/>
          </w:tblCellMar>
        </w:tblPrEx>
        <w:trPr>
          <w:trHeight w:val="702"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售后服务方案（4分）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根据投标人提供的其他售后服务承诺及后续技术支持和维护能力、对服务承诺的保障措施、故障响应修复时间等进行评分。</w:t>
            </w:r>
            <w:r>
              <w:rPr>
                <w:rFonts w:hint="eastAsia" w:ascii="宋体" w:hAnsi="宋体" w:cs="宋体"/>
                <w:color w:val="auto"/>
                <w:sz w:val="21"/>
                <w:szCs w:val="21"/>
                <w:highlight w:val="none"/>
              </w:rPr>
              <w:t>方案全面完善、配备合理、响应迅速、措施可行性强的得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.01-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分；方案基本完善、配备基本合理、响应时间及措施具有可行性的得1.01-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.00分；方案不详细、不合理的得0-1.00分。</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4</w:t>
            </w:r>
          </w:p>
        </w:tc>
      </w:tr>
      <w:tr>
        <w:tblPrEx>
          <w:tblCellMar>
            <w:top w:w="0" w:type="dxa"/>
            <w:left w:w="108" w:type="dxa"/>
            <w:bottom w:w="0" w:type="dxa"/>
            <w:right w:w="108" w:type="dxa"/>
          </w:tblCellMar>
        </w:tblPrEx>
        <w:trPr>
          <w:trHeight w:val="1127"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培训（</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投标人提供的人员培训计划</w:t>
            </w:r>
            <w:r>
              <w:rPr>
                <w:rFonts w:hint="eastAsia" w:ascii="宋体" w:hAnsi="宋体" w:cs="宋体"/>
                <w:color w:val="auto"/>
                <w:kern w:val="0"/>
                <w:sz w:val="21"/>
                <w:szCs w:val="21"/>
                <w:highlight w:val="none"/>
                <w:lang w:eastAsia="zh-CN"/>
              </w:rPr>
              <w:t>科学</w:t>
            </w:r>
            <w:r>
              <w:rPr>
                <w:rFonts w:hint="eastAsia" w:ascii="宋体" w:hAnsi="宋体" w:eastAsia="宋体" w:cs="宋体"/>
                <w:color w:val="auto"/>
                <w:kern w:val="0"/>
                <w:sz w:val="21"/>
                <w:szCs w:val="21"/>
                <w:highlight w:val="none"/>
              </w:rPr>
              <w:t>合理规范，培训课程具体丰富，师资配备</w:t>
            </w:r>
            <w:r>
              <w:rPr>
                <w:rFonts w:hint="eastAsia" w:ascii="宋体" w:hAnsi="宋体" w:cs="宋体"/>
                <w:color w:val="auto"/>
                <w:kern w:val="0"/>
                <w:sz w:val="21"/>
                <w:szCs w:val="21"/>
                <w:highlight w:val="none"/>
                <w:lang w:eastAsia="zh-CN"/>
              </w:rPr>
              <w:t>科学完善</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2.01-4</w:t>
            </w:r>
            <w:r>
              <w:rPr>
                <w:rFonts w:hint="eastAsia" w:ascii="宋体" w:hAnsi="宋体" w:eastAsia="宋体" w:cs="宋体"/>
                <w:color w:val="auto"/>
                <w:kern w:val="0"/>
                <w:sz w:val="21"/>
                <w:szCs w:val="21"/>
                <w:highlight w:val="none"/>
              </w:rPr>
              <w:t>分；提供的人员培训计划合理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培训课程</w:t>
            </w:r>
            <w:r>
              <w:rPr>
                <w:rFonts w:hint="eastAsia" w:ascii="宋体" w:hAnsi="宋体" w:cs="宋体"/>
                <w:color w:val="auto"/>
                <w:kern w:val="0"/>
                <w:sz w:val="21"/>
                <w:szCs w:val="21"/>
                <w:highlight w:val="none"/>
                <w:lang w:eastAsia="zh-CN"/>
              </w:rPr>
              <w:t>可行</w:t>
            </w:r>
            <w:r>
              <w:rPr>
                <w:rFonts w:hint="eastAsia" w:ascii="宋体" w:hAnsi="宋体" w:eastAsia="宋体" w:cs="宋体"/>
                <w:color w:val="auto"/>
                <w:kern w:val="0"/>
                <w:sz w:val="21"/>
                <w:szCs w:val="21"/>
                <w:highlight w:val="none"/>
              </w:rPr>
              <w:t>，师资配备合理的得</w:t>
            </w:r>
            <w:r>
              <w:rPr>
                <w:rFonts w:hint="eastAsia" w:ascii="宋体" w:hAnsi="宋体" w:cs="宋体"/>
                <w:color w:val="auto"/>
                <w:kern w:val="0"/>
                <w:sz w:val="21"/>
                <w:szCs w:val="21"/>
                <w:highlight w:val="none"/>
                <w:lang w:val="en-US" w:eastAsia="zh-CN"/>
              </w:rPr>
              <w:t>1.01-2.00</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提供的人员培训计划</w:t>
            </w:r>
            <w:r>
              <w:rPr>
                <w:rFonts w:hint="eastAsia" w:ascii="宋体" w:hAnsi="宋体" w:cs="宋体"/>
                <w:color w:val="auto"/>
                <w:kern w:val="0"/>
                <w:sz w:val="21"/>
                <w:szCs w:val="21"/>
                <w:highlight w:val="none"/>
                <w:lang w:eastAsia="zh-CN"/>
              </w:rPr>
              <w:t>欠合理</w:t>
            </w:r>
            <w:r>
              <w:rPr>
                <w:rFonts w:hint="eastAsia" w:ascii="宋体" w:hAnsi="宋体" w:eastAsia="宋体" w:cs="宋体"/>
                <w:color w:val="auto"/>
                <w:kern w:val="0"/>
                <w:sz w:val="21"/>
                <w:szCs w:val="21"/>
                <w:highlight w:val="none"/>
              </w:rPr>
              <w:t>，培训课程空洞单一，师资配备</w:t>
            </w:r>
            <w:r>
              <w:rPr>
                <w:rFonts w:hint="eastAsia" w:ascii="宋体" w:hAnsi="宋体" w:cs="宋体"/>
                <w:color w:val="auto"/>
                <w:kern w:val="0"/>
                <w:sz w:val="21"/>
                <w:szCs w:val="21"/>
                <w:highlight w:val="none"/>
                <w:lang w:eastAsia="zh-CN"/>
              </w:rPr>
              <w:t>欠</w:t>
            </w:r>
            <w:r>
              <w:rPr>
                <w:rFonts w:hint="eastAsia" w:ascii="宋体" w:hAnsi="宋体" w:eastAsia="宋体" w:cs="宋体"/>
                <w:color w:val="auto"/>
                <w:kern w:val="0"/>
                <w:sz w:val="21"/>
                <w:szCs w:val="21"/>
                <w:highlight w:val="none"/>
              </w:rPr>
              <w:t>合理得</w:t>
            </w:r>
            <w:r>
              <w:rPr>
                <w:rFonts w:hint="eastAsia" w:ascii="宋体" w:hAnsi="宋体" w:cs="宋体"/>
                <w:color w:val="auto"/>
                <w:kern w:val="0"/>
                <w:sz w:val="21"/>
                <w:szCs w:val="21"/>
                <w:highlight w:val="none"/>
                <w:lang w:val="en-US" w:eastAsia="zh-CN"/>
              </w:rPr>
              <w:t>0-1.00</w:t>
            </w:r>
            <w:r>
              <w:rPr>
                <w:rFonts w:hint="eastAsia" w:ascii="宋体" w:hAnsi="宋体" w:eastAsia="宋体" w:cs="宋体"/>
                <w:color w:val="auto"/>
                <w:kern w:val="0"/>
                <w:sz w:val="21"/>
                <w:szCs w:val="21"/>
                <w:highlight w:val="none"/>
              </w:rPr>
              <w:t>分。</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4</w:t>
            </w:r>
          </w:p>
        </w:tc>
      </w:tr>
      <w:tr>
        <w:tblPrEx>
          <w:tblCellMar>
            <w:top w:w="0" w:type="dxa"/>
            <w:left w:w="108" w:type="dxa"/>
            <w:bottom w:w="0" w:type="dxa"/>
            <w:right w:w="108" w:type="dxa"/>
          </w:tblCellMar>
        </w:tblPrEx>
        <w:trPr>
          <w:trHeight w:val="1118"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现场技术演示（30分）</w:t>
            </w: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演示分4个场景，共10条演示项，每条3分，总分30分。</w:t>
            </w:r>
            <w:r>
              <w:rPr>
                <w:rFonts w:hint="eastAsia" w:ascii="宋体" w:hAnsi="宋体" w:eastAsia="宋体" w:cs="宋体"/>
                <w:color w:val="auto"/>
                <w:kern w:val="0"/>
                <w:sz w:val="21"/>
                <w:szCs w:val="21"/>
                <w:highlight w:val="none"/>
                <w:lang w:eastAsia="zh-CN"/>
              </w:rPr>
              <w:t>无</w:t>
            </w:r>
            <w:r>
              <w:rPr>
                <w:rFonts w:hint="eastAsia" w:ascii="宋体" w:hAnsi="宋体" w:eastAsia="宋体" w:cs="宋体"/>
                <w:color w:val="auto"/>
                <w:kern w:val="0"/>
                <w:sz w:val="21"/>
                <w:szCs w:val="21"/>
                <w:highlight w:val="none"/>
              </w:rPr>
              <w:t>演示的不得分。(演示时间</w:t>
            </w:r>
            <w:r>
              <w:rPr>
                <w:rFonts w:hint="eastAsia" w:ascii="宋体" w:hAnsi="宋体" w:eastAsia="宋体" w:cs="宋体"/>
                <w:color w:val="auto"/>
                <w:kern w:val="0"/>
                <w:sz w:val="21"/>
                <w:szCs w:val="21"/>
                <w:highlight w:val="none"/>
                <w:lang w:eastAsia="zh-CN"/>
              </w:rPr>
              <w:t>总时长</w:t>
            </w:r>
            <w:r>
              <w:rPr>
                <w:rFonts w:hint="eastAsia" w:ascii="宋体" w:hAnsi="宋体" w:eastAsia="宋体" w:cs="宋体"/>
                <w:color w:val="auto"/>
                <w:kern w:val="0"/>
                <w:sz w:val="21"/>
                <w:szCs w:val="21"/>
                <w:highlight w:val="none"/>
              </w:rPr>
              <w:t>不超过20分钟，不包括专家提问时间)</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演示内容投标人可</w:t>
            </w:r>
            <w:r>
              <w:rPr>
                <w:rFonts w:hint="eastAsia" w:ascii="宋体" w:hAnsi="宋体" w:eastAsia="宋体" w:cs="宋体"/>
                <w:color w:val="auto"/>
                <w:sz w:val="21"/>
                <w:szCs w:val="21"/>
                <w:highlight w:val="none"/>
                <w:lang w:eastAsia="zh-CN"/>
              </w:rPr>
              <w:t>现场演示或</w:t>
            </w:r>
            <w:r>
              <w:rPr>
                <w:rFonts w:hint="eastAsia" w:ascii="宋体" w:hAnsi="宋体" w:eastAsia="宋体" w:cs="宋体"/>
                <w:color w:val="auto"/>
                <w:sz w:val="21"/>
                <w:szCs w:val="21"/>
                <w:highlight w:val="none"/>
              </w:rPr>
              <w:t>通过制作视频，视频以U盘为介质在投标截止时间前密封递交，逾期送达将被拒收。（投标人采用快递形式邮寄的建议在投标截止时间前1天送达）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演示内容如下：</w:t>
            </w:r>
          </w:p>
        </w:tc>
        <w:tc>
          <w:tcPr>
            <w:tcW w:w="468"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30</w:t>
            </w:r>
          </w:p>
        </w:tc>
      </w:tr>
      <w:tr>
        <w:tblPrEx>
          <w:tblCellMar>
            <w:top w:w="0" w:type="dxa"/>
            <w:left w:w="108" w:type="dxa"/>
            <w:bottom w:w="0" w:type="dxa"/>
            <w:right w:w="108" w:type="dxa"/>
          </w:tblCellMar>
        </w:tblPrEx>
        <w:trPr>
          <w:trHeight w:val="559"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场景一（</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12分）、演示实验室场景中实现AI火焰识别的任务开发和结果查看：</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559"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1、首先新建一个火焰目标检测的脚本，能够直接复制现有的脚本成果，实现自定义任务扩展（</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3分）；</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80"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2、其次利用拖拉拽的方式，完成火焰识别任务的可视化开发（</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3分）；</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80"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3、随即进入应用中心，发布并创建成火焰识别应用（</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3分）；</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559"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4、最后打开刚创建的火焰识别应用，查看识别到火焰后的数据结果列表（</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3分）。</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80"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场景二（</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9分）、演示数字孪生空间智能化和物联集控联动：</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39"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1、导入建筑GLTF格式图纸文件（扩展名需为.glb），平台便能够自动生成建筑3D模型，并演示对建筑3D模型的视角拖动、材质和光照编辑功能（</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3分）；</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559"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2、导入建筑CAD图纸文件（扩展名需为.dwg或.dxf），平台便可自动生成楼层的室内电子地图，同时设备状态可在地图上实时显示（</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3分）；</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39"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3、演示在突发事件联动场景中，在空气质量传感器检测到异常的情况下立即打开门禁并调起摄像头，现场演示整个联动场景的可视化配置以及告警消息的实时推送显示（</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3分）。</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80"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场景三（</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6分）、演示一码通核心消费与缴费场景：</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39"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1、统一消费需要支持刷掌支付，演示无需触碰机具，便可以实现隔空刷掌识别身份并进行支付，同时需要展示支付成功界面和支付成功提示音（</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3分）；</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39"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2、统一缴费需要支持一键催收的功能，演示学生可在微信侧收到催收提醒，随后完整演示自行缴费以及在微信上转给他人进行代缴这两种场景，均需要展示成功缴费的界面（</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3分）。</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80"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场景四（</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3分）、演示云会议使用场景：</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559" w:hRule="atLeast"/>
        </w:trPr>
        <w:tc>
          <w:tcPr>
            <w:tcW w:w="49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167"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286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演示自定义会议邀请，定制衢州研究院邀请链接的logo图片及邀请文案，并发布该定制会议邀请，展示他人收到该定制邀请的效果（</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3分）。</w:t>
            </w:r>
          </w:p>
        </w:tc>
        <w:tc>
          <w:tcPr>
            <w:tcW w:w="46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bl>
    <w:p>
      <w:pPr>
        <w:snapToGrid w:val="0"/>
        <w:ind w:firstLine="241" w:firstLineChars="100"/>
        <w:rPr>
          <w:rStyle w:val="258"/>
          <w:rFonts w:ascii="宋体" w:hAnsi="宋体" w:cs="宋体"/>
          <w:b/>
          <w:bCs/>
          <w:color w:val="auto"/>
          <w:sz w:val="24"/>
          <w:szCs w:val="24"/>
          <w:highlight w:val="none"/>
        </w:rPr>
      </w:pPr>
      <w:r>
        <w:rPr>
          <w:rStyle w:val="257"/>
          <w:rFonts w:hint="eastAsia"/>
          <w:b/>
          <w:color w:val="auto"/>
          <w:sz w:val="24"/>
          <w:szCs w:val="24"/>
          <w:highlight w:val="none"/>
        </w:rPr>
        <w:t>1</w:t>
      </w:r>
      <w:r>
        <w:rPr>
          <w:rStyle w:val="258"/>
          <w:rFonts w:hint="eastAsia" w:ascii="宋体" w:hAnsi="宋体" w:cs="宋体"/>
          <w:b/>
          <w:bCs/>
          <w:color w:val="auto"/>
          <w:sz w:val="24"/>
          <w:szCs w:val="24"/>
          <w:highlight w:val="none"/>
        </w:rPr>
        <w:t>、在投标文件评审过程中，如果出现评标委员会成员意见不一致的情况，按照少数服从多数的原则确定。</w:t>
      </w:r>
    </w:p>
    <w:p>
      <w:pPr>
        <w:pStyle w:val="54"/>
        <w:spacing w:line="360" w:lineRule="auto"/>
        <w:ind w:firstLine="0" w:firstLineChars="0"/>
        <w:rPr>
          <w:rStyle w:val="257"/>
          <w:color w:val="auto"/>
          <w:sz w:val="24"/>
          <w:szCs w:val="24"/>
          <w:highlight w:val="none"/>
          <w:lang w:val="zh-TW"/>
        </w:rPr>
      </w:pPr>
      <w:r>
        <w:rPr>
          <w:rStyle w:val="257"/>
          <w:rFonts w:hint="eastAsia"/>
          <w:color w:val="auto"/>
          <w:sz w:val="24"/>
          <w:szCs w:val="24"/>
          <w:highlight w:val="none"/>
          <w:lang w:val="zh-TW"/>
        </w:rPr>
        <w:t>（1）</w:t>
      </w:r>
      <w:r>
        <w:rPr>
          <w:rStyle w:val="257"/>
          <w:rFonts w:hint="eastAsia"/>
          <w:color w:val="auto"/>
          <w:sz w:val="24"/>
          <w:szCs w:val="24"/>
          <w:highlight w:val="none"/>
          <w:lang w:val="zh-TW" w:eastAsia="zh-TW"/>
        </w:rPr>
        <w:t>评标委员会根据表格，对各投标单位的商务技术标进行书面审核和评论后，由各专家独立</w:t>
      </w:r>
      <w:r>
        <w:rPr>
          <w:rStyle w:val="257"/>
          <w:rFonts w:hint="eastAsia"/>
          <w:color w:val="auto"/>
          <w:sz w:val="24"/>
          <w:szCs w:val="24"/>
          <w:highlight w:val="none"/>
        </w:rPr>
        <w:t>评</w:t>
      </w:r>
      <w:r>
        <w:rPr>
          <w:rStyle w:val="257"/>
          <w:rFonts w:hint="eastAsia"/>
          <w:color w:val="auto"/>
          <w:sz w:val="24"/>
          <w:szCs w:val="24"/>
          <w:highlight w:val="none"/>
          <w:lang w:val="zh-TW" w:eastAsia="zh-TW"/>
        </w:rPr>
        <w:t>分，打分时</w:t>
      </w:r>
      <w:r>
        <w:rPr>
          <w:rStyle w:val="257"/>
          <w:rFonts w:hint="eastAsia"/>
          <w:color w:val="auto"/>
          <w:sz w:val="24"/>
          <w:szCs w:val="24"/>
          <w:highlight w:val="none"/>
          <w:lang w:val="zh-TW"/>
        </w:rPr>
        <w:t>最多</w:t>
      </w:r>
      <w:r>
        <w:rPr>
          <w:rStyle w:val="257"/>
          <w:rFonts w:hint="eastAsia"/>
          <w:color w:val="auto"/>
          <w:sz w:val="24"/>
          <w:szCs w:val="24"/>
          <w:highlight w:val="none"/>
          <w:lang w:val="zh-TW" w:eastAsia="zh-TW"/>
        </w:rPr>
        <w:t>保留</w:t>
      </w:r>
      <w:r>
        <w:rPr>
          <w:rStyle w:val="257"/>
          <w:rFonts w:hint="eastAsia"/>
          <w:color w:val="auto"/>
          <w:sz w:val="24"/>
          <w:szCs w:val="24"/>
          <w:highlight w:val="none"/>
        </w:rPr>
        <w:t>2位</w:t>
      </w:r>
      <w:r>
        <w:rPr>
          <w:rStyle w:val="257"/>
          <w:rFonts w:hint="eastAsia"/>
          <w:color w:val="auto"/>
          <w:sz w:val="24"/>
          <w:szCs w:val="24"/>
          <w:highlight w:val="none"/>
          <w:lang w:val="zh-TW" w:eastAsia="zh-TW"/>
        </w:rPr>
        <w:t>小数，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257"/>
          <w:rFonts w:hint="eastAsia"/>
          <w:color w:val="auto"/>
          <w:sz w:val="24"/>
          <w:szCs w:val="24"/>
          <w:highlight w:val="none"/>
          <w:lang w:val="zh-TW"/>
        </w:rPr>
        <w:t>2</w:t>
      </w:r>
      <w:r>
        <w:rPr>
          <w:rStyle w:val="257"/>
          <w:rFonts w:hint="eastAsia"/>
          <w:color w:val="auto"/>
          <w:sz w:val="24"/>
          <w:szCs w:val="24"/>
          <w:highlight w:val="none"/>
          <w:lang w:val="zh-TW" w:eastAsia="zh-TW"/>
        </w:rPr>
        <w:t>位</w:t>
      </w:r>
      <w:r>
        <w:rPr>
          <w:rStyle w:val="257"/>
          <w:rFonts w:hint="eastAsia"/>
          <w:color w:val="auto"/>
          <w:sz w:val="24"/>
          <w:szCs w:val="24"/>
          <w:highlight w:val="none"/>
          <w:lang w:val="zh-TW"/>
        </w:rPr>
        <w:t>。</w:t>
      </w:r>
    </w:p>
    <w:p>
      <w:pPr>
        <w:pStyle w:val="54"/>
        <w:spacing w:line="360" w:lineRule="auto"/>
        <w:ind w:firstLine="240" w:firstLineChars="100"/>
        <w:rPr>
          <w:rStyle w:val="257"/>
          <w:color w:val="auto"/>
          <w:sz w:val="24"/>
          <w:szCs w:val="24"/>
          <w:highlight w:val="none"/>
          <w:lang w:val="zh-TW"/>
        </w:rPr>
      </w:pPr>
      <w:r>
        <w:rPr>
          <w:rStyle w:val="257"/>
          <w:rFonts w:hint="eastAsia"/>
          <w:color w:val="auto"/>
          <w:sz w:val="24"/>
          <w:szCs w:val="24"/>
          <w:highlight w:val="none"/>
          <w:lang w:val="zh-TW"/>
        </w:rPr>
        <w:t>（2）</w:t>
      </w:r>
      <w:r>
        <w:rPr>
          <w:rStyle w:val="257"/>
          <w:rFonts w:hint="eastAsia"/>
          <w:color w:val="auto"/>
          <w:sz w:val="24"/>
          <w:szCs w:val="24"/>
          <w:highlight w:val="none"/>
          <w:lang w:val="zh-TW" w:eastAsia="zh-TW"/>
        </w:rPr>
        <w:t>评标委员会全体人员对评分细则和投标文件，充分讨论后，按少数服从多数的原则集体统一评分。</w:t>
      </w:r>
    </w:p>
    <w:p>
      <w:pPr>
        <w:pStyle w:val="575"/>
        <w:spacing w:line="360" w:lineRule="auto"/>
        <w:ind w:firstLine="240" w:firstLineChars="100"/>
        <w:rPr>
          <w:rStyle w:val="258"/>
          <w:rFonts w:ascii="宋体" w:hAnsi="宋体" w:eastAsia="宋体" w:cs="宋体"/>
          <w:b/>
          <w:bCs/>
          <w:color w:val="auto"/>
          <w:szCs w:val="24"/>
          <w:highlight w:val="none"/>
        </w:rPr>
      </w:pPr>
      <w:r>
        <w:rPr>
          <w:rStyle w:val="257"/>
          <w:rFonts w:hint="eastAsia"/>
          <w:color w:val="auto"/>
          <w:szCs w:val="24"/>
          <w:highlight w:val="none"/>
          <w:lang w:val="zh-TW"/>
        </w:rPr>
        <w:t>（3）</w:t>
      </w:r>
      <w:r>
        <w:rPr>
          <w:rStyle w:val="257"/>
          <w:rFonts w:hint="eastAsia"/>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4"/>
        <w:spacing w:line="360" w:lineRule="auto"/>
        <w:ind w:firstLine="241" w:firstLineChars="100"/>
        <w:rPr>
          <w:rStyle w:val="258"/>
          <w:rFonts w:ascii="宋体" w:hAnsi="宋体" w:eastAsia="宋体" w:cs="宋体"/>
          <w:b/>
          <w:bCs/>
          <w:color w:val="auto"/>
          <w:sz w:val="24"/>
          <w:szCs w:val="24"/>
          <w:highlight w:val="none"/>
          <w:lang w:val="zh-TW" w:eastAsia="zh-TW"/>
        </w:rPr>
      </w:pPr>
      <w:r>
        <w:rPr>
          <w:rStyle w:val="258"/>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4"/>
        <w:spacing w:line="360" w:lineRule="auto"/>
        <w:ind w:firstLine="0" w:firstLineChars="0"/>
        <w:jc w:val="left"/>
        <w:rPr>
          <w:rStyle w:val="257"/>
          <w:b/>
          <w:color w:val="auto"/>
          <w:sz w:val="24"/>
          <w:szCs w:val="24"/>
          <w:highlight w:val="none"/>
          <w:lang w:val="zh-CN"/>
        </w:rPr>
      </w:pPr>
      <w:r>
        <w:rPr>
          <w:rStyle w:val="257"/>
          <w:rFonts w:hint="eastAsia"/>
          <w:b/>
          <w:color w:val="auto"/>
          <w:sz w:val="24"/>
          <w:szCs w:val="24"/>
          <w:highlight w:val="none"/>
          <w:lang w:val="zh-CN"/>
        </w:rPr>
        <w:t>六、开评标程序</w:t>
      </w:r>
    </w:p>
    <w:p>
      <w:pPr>
        <w:pStyle w:val="575"/>
        <w:spacing w:line="360" w:lineRule="auto"/>
        <w:ind w:firstLine="422"/>
        <w:rPr>
          <w:rFonts w:ascii="宋体" w:hAnsi="宋体" w:eastAsia="宋体" w:cs="宋体"/>
          <w:color w:val="auto"/>
          <w:szCs w:val="24"/>
          <w:highlight w:val="none"/>
        </w:rPr>
      </w:pPr>
      <w:r>
        <w:rPr>
          <w:rStyle w:val="257"/>
          <w:rFonts w:hint="eastAsia"/>
          <w:color w:val="auto"/>
          <w:szCs w:val="24"/>
          <w:highlight w:val="none"/>
        </w:rPr>
        <w:t>1、按政采云系统提供的公开招标流程执行。</w:t>
      </w:r>
    </w:p>
    <w:p>
      <w:pPr>
        <w:rPr>
          <w:color w:val="auto"/>
          <w:highlight w:val="none"/>
        </w:rPr>
      </w:pPr>
    </w:p>
    <w:sectPr>
      <w:pgSz w:w="11906" w:h="16838"/>
      <w:pgMar w:top="1440" w:right="1440" w:bottom="1440" w:left="1440" w:header="851" w:footer="851"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Verdana">
    <w:panose1 w:val="020B0604030504040204"/>
    <w:charset w:val="00"/>
    <w:family w:val="swiss"/>
    <w:pitch w:val="default"/>
    <w:sig w:usb0="A10006FF" w:usb1="4000205B" w:usb2="00000010" w:usb3="00000000" w:csb0="2000019F" w:csb1="00000000"/>
  </w:font>
  <w:font w:name="ヒラギノ角ゴ Pro W3">
    <w:altName w:val="MS Gothic"/>
    <w:panose1 w:val="00000000000000000000"/>
    <w:charset w:val="80"/>
    <w:family w:val="auto"/>
    <w:pitch w:val="default"/>
    <w:sig w:usb0="00000000" w:usb1="00000000" w:usb2="00000012" w:usb3="00000000" w:csb0="0002000D" w:csb1="00000000"/>
  </w:font>
  <w:font w:name="隶书">
    <w:panose1 w:val="02010509060101010101"/>
    <w:charset w:val="86"/>
    <w:family w:val="modern"/>
    <w:pitch w:val="default"/>
    <w:sig w:usb0="00000001" w:usb1="080E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Segoe UI Emoji">
    <w:altName w:val="Segoe UI"/>
    <w:panose1 w:val="020B0502040204020203"/>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方正兰亭纤黑简体">
    <w:altName w:val="宋体"/>
    <w:panose1 w:val="00000000000000000000"/>
    <w:charset w:val="86"/>
    <w:family w:val="roma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20877"/>
    </w:sdtPr>
    <w:sdtContent>
      <w:sdt>
        <w:sdtPr>
          <w:id w:val="1728636285"/>
        </w:sdtPr>
        <w:sdtContent>
          <w:p>
            <w:pPr>
              <w:pStyle w:val="5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5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pPr>
      <w:pStyle w:val="58"/>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after="120"/>
      <w:ind w:firstLine="422"/>
      <w:jc w:val="center"/>
      <w:rPr>
        <w:b/>
        <w:color w:val="984806"/>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separate"/>
    </w:r>
    <w:r>
      <w:t>1</w:t>
    </w:r>
    <w:r>
      <w:fldChar w:fldCharType="end"/>
    </w:r>
  </w:p>
  <w:p/>
  <w:p/>
  <w:p/>
  <w:p/>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D5314"/>
    <w:multiLevelType w:val="singleLevel"/>
    <w:tmpl w:val="90BD5314"/>
    <w:lvl w:ilvl="0" w:tentative="0">
      <w:start w:val="1"/>
      <w:numFmt w:val="decimal"/>
      <w:suff w:val="nothing"/>
      <w:lvlText w:val="%1．"/>
      <w:lvlJc w:val="left"/>
    </w:lvl>
  </w:abstractNum>
  <w:abstractNum w:abstractNumId="1">
    <w:nsid w:val="99C78FC4"/>
    <w:multiLevelType w:val="singleLevel"/>
    <w:tmpl w:val="99C78FC4"/>
    <w:lvl w:ilvl="0" w:tentative="0">
      <w:start w:val="3"/>
      <w:numFmt w:val="chineseCounting"/>
      <w:suff w:val="space"/>
      <w:lvlText w:val="第%1部分"/>
      <w:lvlJc w:val="left"/>
      <w:rPr>
        <w:rFonts w:hint="eastAsia"/>
      </w:rPr>
    </w:lvl>
  </w:abstractNum>
  <w:abstractNum w:abstractNumId="2">
    <w:nsid w:val="E6DA6323"/>
    <w:multiLevelType w:val="singleLevel"/>
    <w:tmpl w:val="E6DA6323"/>
    <w:lvl w:ilvl="0" w:tentative="0">
      <w:start w:val="1"/>
      <w:numFmt w:val="decimal"/>
      <w:suff w:val="nothing"/>
      <w:lvlText w:val="（%1）"/>
      <w:lvlJc w:val="left"/>
    </w:lvl>
  </w:abstractNum>
  <w:abstractNum w:abstractNumId="3">
    <w:nsid w:val="F674539E"/>
    <w:multiLevelType w:val="singleLevel"/>
    <w:tmpl w:val="F674539E"/>
    <w:lvl w:ilvl="0" w:tentative="0">
      <w:start w:val="1"/>
      <w:numFmt w:val="decimal"/>
      <w:suff w:val="nothing"/>
      <w:lvlText w:val="（%1）"/>
      <w:lvlJc w:val="left"/>
    </w:lvl>
  </w:abstractNum>
  <w:abstractNum w:abstractNumId="4">
    <w:nsid w:val="05A263B4"/>
    <w:multiLevelType w:val="multilevel"/>
    <w:tmpl w:val="05A263B4"/>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570"/>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6">
    <w:nsid w:val="3E21619A"/>
    <w:multiLevelType w:val="singleLevel"/>
    <w:tmpl w:val="3E21619A"/>
    <w:lvl w:ilvl="0" w:tentative="0">
      <w:start w:val="1"/>
      <w:numFmt w:val="chineseCounting"/>
      <w:suff w:val="nothing"/>
      <w:lvlText w:val="%1、"/>
      <w:lvlJc w:val="left"/>
      <w:rPr>
        <w:rFonts w:hint="eastAsia"/>
      </w:rPr>
    </w:lvl>
  </w:abstractNum>
  <w:abstractNum w:abstractNumId="7">
    <w:nsid w:val="49D587C8"/>
    <w:multiLevelType w:val="singleLevel"/>
    <w:tmpl w:val="49D587C8"/>
    <w:lvl w:ilvl="0" w:tentative="0">
      <w:start w:val="1"/>
      <w:numFmt w:val="decimal"/>
      <w:suff w:val="space"/>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7"/>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YTgzZjkzNzA3ODEyYzE5NzkwMzk0YjdiYjFkMjYifQ=="/>
  </w:docVars>
  <w:rsids>
    <w:rsidRoot w:val="00852961"/>
    <w:rsid w:val="0001701A"/>
    <w:rsid w:val="00017F67"/>
    <w:rsid w:val="000B6BAE"/>
    <w:rsid w:val="000D195E"/>
    <w:rsid w:val="001200D0"/>
    <w:rsid w:val="0013242E"/>
    <w:rsid w:val="0023264F"/>
    <w:rsid w:val="00247778"/>
    <w:rsid w:val="00290446"/>
    <w:rsid w:val="00384C18"/>
    <w:rsid w:val="00413C22"/>
    <w:rsid w:val="0042452E"/>
    <w:rsid w:val="00477A6D"/>
    <w:rsid w:val="004F4607"/>
    <w:rsid w:val="00545E8E"/>
    <w:rsid w:val="00591A52"/>
    <w:rsid w:val="005D3A32"/>
    <w:rsid w:val="005F35F8"/>
    <w:rsid w:val="006500C3"/>
    <w:rsid w:val="006651B1"/>
    <w:rsid w:val="00802CC5"/>
    <w:rsid w:val="00810671"/>
    <w:rsid w:val="00852961"/>
    <w:rsid w:val="008C18BE"/>
    <w:rsid w:val="008C548F"/>
    <w:rsid w:val="00904E74"/>
    <w:rsid w:val="00952E92"/>
    <w:rsid w:val="0095428F"/>
    <w:rsid w:val="00985F0A"/>
    <w:rsid w:val="009F6558"/>
    <w:rsid w:val="00A62408"/>
    <w:rsid w:val="00A81E82"/>
    <w:rsid w:val="00A85F62"/>
    <w:rsid w:val="00A9767F"/>
    <w:rsid w:val="00AE7CF9"/>
    <w:rsid w:val="00B40E47"/>
    <w:rsid w:val="00C43DD7"/>
    <w:rsid w:val="00C53A4C"/>
    <w:rsid w:val="00CC6F13"/>
    <w:rsid w:val="00CD0AF0"/>
    <w:rsid w:val="00CD2E07"/>
    <w:rsid w:val="00D335B4"/>
    <w:rsid w:val="00E84D14"/>
    <w:rsid w:val="00E97621"/>
    <w:rsid w:val="00EF0C7E"/>
    <w:rsid w:val="00EF18C7"/>
    <w:rsid w:val="00F83783"/>
    <w:rsid w:val="00F97757"/>
    <w:rsid w:val="00FF4B03"/>
    <w:rsid w:val="0696768C"/>
    <w:rsid w:val="0A56687E"/>
    <w:rsid w:val="20803109"/>
    <w:rsid w:val="20C81EFE"/>
    <w:rsid w:val="21A3035F"/>
    <w:rsid w:val="22596EC8"/>
    <w:rsid w:val="31B066B5"/>
    <w:rsid w:val="31D23129"/>
    <w:rsid w:val="34E147EF"/>
    <w:rsid w:val="3AAA7E69"/>
    <w:rsid w:val="3D052D4A"/>
    <w:rsid w:val="3DA54E1E"/>
    <w:rsid w:val="45B82A96"/>
    <w:rsid w:val="464B71FD"/>
    <w:rsid w:val="48CA7B79"/>
    <w:rsid w:val="48F03FE0"/>
    <w:rsid w:val="55BC740F"/>
    <w:rsid w:val="5B2B0ACE"/>
    <w:rsid w:val="70745341"/>
    <w:rsid w:val="732473A4"/>
    <w:rsid w:val="7563077B"/>
    <w:rsid w:val="775C3CBE"/>
    <w:rsid w:val="7BDB4957"/>
    <w:rsid w:val="7E65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iPriority="99" w:name="HTML Acronym"/>
    <w:lsdException w:qFormat="1" w:unhideWhenUsed="0" w:uiPriority="0" w:semiHidden="0"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link w:val="109"/>
    <w:qFormat/>
    <w:uiPriority w:val="9"/>
    <w:pPr>
      <w:keepNext/>
      <w:widowControl/>
      <w:spacing w:line="360" w:lineRule="auto"/>
      <w:jc w:val="center"/>
      <w:outlineLvl w:val="0"/>
    </w:pPr>
    <w:rPr>
      <w:rFonts w:ascii="黑体"/>
      <w:b/>
      <w:kern w:val="0"/>
      <w:sz w:val="32"/>
    </w:rPr>
  </w:style>
  <w:style w:type="paragraph" w:styleId="4">
    <w:name w:val="heading 2"/>
    <w:basedOn w:val="1"/>
    <w:next w:val="5"/>
    <w:link w:val="110"/>
    <w:qFormat/>
    <w:uiPriority w:val="0"/>
    <w:pPr>
      <w:keepNext/>
      <w:keepLines/>
      <w:tabs>
        <w:tab w:val="left" w:pos="706"/>
        <w:tab w:val="left" w:pos="1110"/>
      </w:tabs>
      <w:spacing w:line="360" w:lineRule="auto"/>
      <w:ind w:left="106" w:firstLine="454"/>
      <w:outlineLvl w:val="1"/>
    </w:pPr>
    <w:rPr>
      <w:rFonts w:eastAsia="黑体"/>
      <w:b/>
      <w:sz w:val="21"/>
    </w:rPr>
  </w:style>
  <w:style w:type="paragraph" w:styleId="6">
    <w:name w:val="heading 3"/>
    <w:basedOn w:val="1"/>
    <w:next w:val="1"/>
    <w:link w:val="14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1"/>
    <w:link w:val="149"/>
    <w:qFormat/>
    <w:uiPriority w:val="0"/>
    <w:pPr>
      <w:tabs>
        <w:tab w:val="left" w:pos="720"/>
      </w:tabs>
      <w:spacing w:before="280" w:after="290" w:line="372" w:lineRule="auto"/>
      <w:outlineLvl w:val="3"/>
    </w:pPr>
    <w:rPr>
      <w:rFonts w:ascii="Arial" w:hAnsi="Arial" w:eastAsia="黑体"/>
    </w:rPr>
  </w:style>
  <w:style w:type="paragraph" w:styleId="8">
    <w:name w:val="heading 5"/>
    <w:basedOn w:val="1"/>
    <w:next w:val="5"/>
    <w:link w:val="150"/>
    <w:qFormat/>
    <w:uiPriority w:val="0"/>
    <w:pPr>
      <w:keepNext/>
      <w:keepLines/>
      <w:spacing w:before="280" w:after="290" w:line="372" w:lineRule="auto"/>
      <w:outlineLvl w:val="4"/>
    </w:pPr>
    <w:rPr>
      <w:b/>
    </w:rPr>
  </w:style>
  <w:style w:type="paragraph" w:styleId="9">
    <w:name w:val="heading 6"/>
    <w:basedOn w:val="1"/>
    <w:next w:val="1"/>
    <w:link w:val="15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0">
    <w:name w:val="heading 7"/>
    <w:basedOn w:val="1"/>
    <w:next w:val="1"/>
    <w:link w:val="15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1">
    <w:name w:val="heading 8"/>
    <w:basedOn w:val="1"/>
    <w:next w:val="1"/>
    <w:link w:val="15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2">
    <w:name w:val="heading 9"/>
    <w:basedOn w:val="1"/>
    <w:next w:val="1"/>
    <w:link w:val="15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4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2"/>
      <w:lang w:val="en-US" w:eastAsia="zh-CN" w:bidi="ar-SA"/>
    </w:rPr>
  </w:style>
  <w:style w:type="paragraph" w:styleId="5">
    <w:name w:val="Normal Indent"/>
    <w:basedOn w:val="1"/>
    <w:link w:val="147"/>
    <w:qFormat/>
    <w:uiPriority w:val="0"/>
    <w:pPr>
      <w:widowControl/>
      <w:ind w:firstLine="420"/>
      <w:jc w:val="left"/>
    </w:pPr>
    <w:rPr>
      <w:sz w:val="24"/>
      <w:szCs w:val="22"/>
    </w:rPr>
  </w:style>
  <w:style w:type="paragraph" w:styleId="13">
    <w:name w:val="List 3"/>
    <w:basedOn w:val="1"/>
    <w:qFormat/>
    <w:uiPriority w:val="0"/>
    <w:pPr>
      <w:ind w:left="100" w:leftChars="400" w:hanging="200" w:hangingChars="200"/>
    </w:pPr>
    <w:rPr>
      <w:sz w:val="21"/>
    </w:rPr>
  </w:style>
  <w:style w:type="paragraph" w:styleId="14">
    <w:name w:val="toc 7"/>
    <w:basedOn w:val="1"/>
    <w:next w:val="1"/>
    <w:qFormat/>
    <w:uiPriority w:val="0"/>
    <w:pPr>
      <w:ind w:left="1680"/>
      <w:jc w:val="left"/>
    </w:pPr>
    <w:rPr>
      <w:sz w:val="18"/>
    </w:rPr>
  </w:style>
  <w:style w:type="paragraph" w:styleId="15">
    <w:name w:val="List Number 2"/>
    <w:basedOn w:val="1"/>
    <w:qFormat/>
    <w:uiPriority w:val="0"/>
    <w:pPr>
      <w:tabs>
        <w:tab w:val="left" w:pos="0"/>
      </w:tabs>
      <w:ind w:left="1146" w:hanging="720"/>
    </w:pPr>
    <w:rPr>
      <w:sz w:val="21"/>
    </w:rPr>
  </w:style>
  <w:style w:type="paragraph" w:styleId="16">
    <w:name w:val="table of authorities"/>
    <w:basedOn w:val="1"/>
    <w:next w:val="1"/>
    <w:qFormat/>
    <w:uiPriority w:val="0"/>
    <w:pPr>
      <w:ind w:left="420" w:leftChars="200"/>
    </w:pPr>
    <w:rPr>
      <w:sz w:val="21"/>
    </w:rPr>
  </w:style>
  <w:style w:type="paragraph" w:styleId="17">
    <w:name w:val="Note Heading"/>
    <w:basedOn w:val="1"/>
    <w:next w:val="1"/>
    <w:link w:val="155"/>
    <w:qFormat/>
    <w:uiPriority w:val="0"/>
    <w:pPr>
      <w:jc w:val="center"/>
    </w:pPr>
    <w:rPr>
      <w:sz w:val="21"/>
      <w:szCs w:val="22"/>
    </w:rPr>
  </w:style>
  <w:style w:type="paragraph" w:styleId="18">
    <w:name w:val="List Bullet 4"/>
    <w:basedOn w:val="1"/>
    <w:qFormat/>
    <w:uiPriority w:val="0"/>
    <w:pPr>
      <w:tabs>
        <w:tab w:val="left" w:pos="1620"/>
      </w:tabs>
      <w:ind w:left="1620" w:hanging="360"/>
    </w:pPr>
    <w:rPr>
      <w:sz w:val="21"/>
    </w:rPr>
  </w:style>
  <w:style w:type="paragraph" w:styleId="19">
    <w:name w:val="index 8"/>
    <w:basedOn w:val="1"/>
    <w:next w:val="1"/>
    <w:qFormat/>
    <w:uiPriority w:val="0"/>
    <w:pPr>
      <w:ind w:left="1400" w:leftChars="1400"/>
    </w:pPr>
    <w:rPr>
      <w:sz w:val="21"/>
    </w:rPr>
  </w:style>
  <w:style w:type="paragraph" w:styleId="20">
    <w:name w:val="E-mail Signature"/>
    <w:basedOn w:val="1"/>
    <w:link w:val="156"/>
    <w:qFormat/>
    <w:uiPriority w:val="0"/>
    <w:rPr>
      <w:sz w:val="21"/>
      <w:szCs w:val="22"/>
    </w:rPr>
  </w:style>
  <w:style w:type="paragraph" w:styleId="21">
    <w:name w:val="List Number"/>
    <w:basedOn w:val="1"/>
    <w:qFormat/>
    <w:uiPriority w:val="0"/>
    <w:pPr>
      <w:tabs>
        <w:tab w:val="left" w:pos="360"/>
      </w:tabs>
      <w:ind w:left="360" w:hanging="360"/>
    </w:pPr>
    <w:rPr>
      <w:sz w:val="21"/>
    </w:rPr>
  </w:style>
  <w:style w:type="paragraph" w:styleId="22">
    <w:name w:val="caption"/>
    <w:basedOn w:val="1"/>
    <w:next w:val="1"/>
    <w:qFormat/>
    <w:uiPriority w:val="0"/>
    <w:rPr>
      <w:rFonts w:ascii="Arial" w:hAnsi="Arial" w:eastAsia="黑体"/>
      <w:sz w:val="20"/>
    </w:rPr>
  </w:style>
  <w:style w:type="paragraph" w:styleId="23">
    <w:name w:val="index 5"/>
    <w:basedOn w:val="1"/>
    <w:next w:val="1"/>
    <w:qFormat/>
    <w:uiPriority w:val="0"/>
    <w:pPr>
      <w:ind w:left="800" w:leftChars="800"/>
    </w:pPr>
    <w:rPr>
      <w:sz w:val="21"/>
    </w:rPr>
  </w:style>
  <w:style w:type="paragraph" w:styleId="24">
    <w:name w:val="List Bullet"/>
    <w:basedOn w:val="1"/>
    <w:qFormat/>
    <w:uiPriority w:val="0"/>
    <w:pPr>
      <w:tabs>
        <w:tab w:val="left" w:pos="735"/>
      </w:tabs>
      <w:ind w:left="735"/>
    </w:pPr>
    <w:rPr>
      <w:sz w:val="21"/>
    </w:r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link w:val="157"/>
    <w:qFormat/>
    <w:uiPriority w:val="0"/>
    <w:pPr>
      <w:shd w:val="clear" w:color="auto" w:fill="000080"/>
    </w:pPr>
    <w:rPr>
      <w:szCs w:val="22"/>
      <w:shd w:val="clear" w:color="auto" w:fill="000080"/>
    </w:rPr>
  </w:style>
  <w:style w:type="paragraph" w:styleId="27">
    <w:name w:val="toa heading"/>
    <w:basedOn w:val="1"/>
    <w:next w:val="1"/>
    <w:qFormat/>
    <w:uiPriority w:val="0"/>
    <w:pPr>
      <w:spacing w:before="120"/>
    </w:pPr>
    <w:rPr>
      <w:rFonts w:ascii="Arial" w:hAnsi="Arial"/>
      <w:sz w:val="24"/>
    </w:rPr>
  </w:style>
  <w:style w:type="paragraph" w:styleId="28">
    <w:name w:val="annotation text"/>
    <w:basedOn w:val="1"/>
    <w:link w:val="158"/>
    <w:unhideWhenUsed/>
    <w:qFormat/>
    <w:uiPriority w:val="0"/>
    <w:pPr>
      <w:jc w:val="left"/>
    </w:pPr>
  </w:style>
  <w:style w:type="paragraph" w:styleId="29">
    <w:name w:val="index 6"/>
    <w:basedOn w:val="1"/>
    <w:next w:val="1"/>
    <w:qFormat/>
    <w:uiPriority w:val="0"/>
    <w:pPr>
      <w:ind w:left="1000" w:leftChars="1000"/>
    </w:pPr>
    <w:rPr>
      <w:sz w:val="21"/>
    </w:rPr>
  </w:style>
  <w:style w:type="paragraph" w:styleId="30">
    <w:name w:val="Salutation"/>
    <w:basedOn w:val="1"/>
    <w:next w:val="1"/>
    <w:link w:val="159"/>
    <w:qFormat/>
    <w:uiPriority w:val="0"/>
    <w:rPr>
      <w:rFonts w:ascii="宋体"/>
      <w:szCs w:val="22"/>
    </w:rPr>
  </w:style>
  <w:style w:type="paragraph" w:styleId="31">
    <w:name w:val="Body Text 3"/>
    <w:basedOn w:val="1"/>
    <w:link w:val="160"/>
    <w:qFormat/>
    <w:uiPriority w:val="0"/>
    <w:pPr>
      <w:spacing w:after="120"/>
    </w:pPr>
    <w:rPr>
      <w:sz w:val="16"/>
      <w:szCs w:val="22"/>
    </w:rPr>
  </w:style>
  <w:style w:type="paragraph" w:styleId="32">
    <w:name w:val="Closing"/>
    <w:basedOn w:val="1"/>
    <w:link w:val="161"/>
    <w:qFormat/>
    <w:uiPriority w:val="0"/>
    <w:pPr>
      <w:ind w:left="100" w:leftChars="2100"/>
    </w:pPr>
    <w:rPr>
      <w:sz w:val="21"/>
      <w:szCs w:val="22"/>
    </w:rPr>
  </w:style>
  <w:style w:type="paragraph" w:styleId="33">
    <w:name w:val="List Bullet 3"/>
    <w:basedOn w:val="1"/>
    <w:qFormat/>
    <w:uiPriority w:val="0"/>
    <w:pPr>
      <w:tabs>
        <w:tab w:val="left" w:pos="1200"/>
      </w:tabs>
      <w:ind w:left="1200" w:hanging="360"/>
    </w:pPr>
    <w:rPr>
      <w:sz w:val="21"/>
    </w:rPr>
  </w:style>
  <w:style w:type="paragraph" w:styleId="34">
    <w:name w:val="Body Text"/>
    <w:basedOn w:val="1"/>
    <w:next w:val="1"/>
    <w:link w:val="162"/>
    <w:unhideWhenUsed/>
    <w:qFormat/>
    <w:uiPriority w:val="0"/>
    <w:pPr>
      <w:spacing w:after="120"/>
    </w:pPr>
  </w:style>
  <w:style w:type="paragraph" w:styleId="35">
    <w:name w:val="Body Text Indent"/>
    <w:basedOn w:val="1"/>
    <w:next w:val="36"/>
    <w:link w:val="164"/>
    <w:unhideWhenUsed/>
    <w:qFormat/>
    <w:uiPriority w:val="0"/>
    <w:pPr>
      <w:spacing w:after="120"/>
      <w:ind w:left="420" w:leftChars="200"/>
    </w:pPr>
  </w:style>
  <w:style w:type="paragraph" w:styleId="36">
    <w:name w:val="Body Text First Indent 2"/>
    <w:basedOn w:val="35"/>
    <w:next w:val="37"/>
    <w:link w:val="129"/>
    <w:qFormat/>
    <w:uiPriority w:val="0"/>
    <w:pPr>
      <w:ind w:firstLine="420" w:firstLineChars="200"/>
    </w:pPr>
    <w:rPr>
      <w:rFonts w:ascii="等线" w:hAnsi="等线" w:eastAsia="等线"/>
      <w:sz w:val="21"/>
      <w:szCs w:val="22"/>
    </w:rPr>
  </w:style>
  <w:style w:type="paragraph" w:styleId="37">
    <w:name w:val="Body Text First Indent"/>
    <w:basedOn w:val="34"/>
    <w:next w:val="1"/>
    <w:link w:val="130"/>
    <w:qFormat/>
    <w:uiPriority w:val="0"/>
    <w:pPr>
      <w:ind w:firstLine="420" w:firstLineChars="100"/>
    </w:pPr>
    <w:rPr>
      <w:rFonts w:ascii="等线" w:hAnsi="等线" w:eastAsia="等线"/>
      <w:sz w:val="21"/>
      <w:szCs w:val="22"/>
    </w:rPr>
  </w:style>
  <w:style w:type="paragraph" w:styleId="38">
    <w:name w:val="List Number 3"/>
    <w:basedOn w:val="1"/>
    <w:qFormat/>
    <w:uiPriority w:val="0"/>
    <w:pPr>
      <w:tabs>
        <w:tab w:val="left" w:pos="1200"/>
      </w:tabs>
      <w:ind w:left="1200" w:hanging="360"/>
    </w:pPr>
    <w:rPr>
      <w:sz w:val="21"/>
    </w:rPr>
  </w:style>
  <w:style w:type="paragraph" w:styleId="39">
    <w:name w:val="List 2"/>
    <w:basedOn w:val="1"/>
    <w:qFormat/>
    <w:uiPriority w:val="0"/>
    <w:pPr>
      <w:ind w:left="100" w:leftChars="200" w:hanging="200" w:hangingChars="200"/>
    </w:pPr>
    <w:rPr>
      <w:sz w:val="21"/>
    </w:rPr>
  </w:style>
  <w:style w:type="paragraph" w:styleId="40">
    <w:name w:val="List Continue"/>
    <w:basedOn w:val="1"/>
    <w:qFormat/>
    <w:uiPriority w:val="0"/>
    <w:pPr>
      <w:spacing w:after="120"/>
      <w:ind w:left="420" w:leftChars="200"/>
    </w:pPr>
    <w:rPr>
      <w:sz w:val="21"/>
    </w:rPr>
  </w:style>
  <w:style w:type="paragraph" w:styleId="41">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2">
    <w:name w:val="List Bullet 2"/>
    <w:basedOn w:val="1"/>
    <w:qFormat/>
    <w:uiPriority w:val="0"/>
    <w:pPr>
      <w:tabs>
        <w:tab w:val="left" w:pos="780"/>
      </w:tabs>
      <w:ind w:left="780" w:hanging="360"/>
    </w:pPr>
    <w:rPr>
      <w:sz w:val="21"/>
    </w:rPr>
  </w:style>
  <w:style w:type="paragraph" w:styleId="43">
    <w:name w:val="HTML Address"/>
    <w:basedOn w:val="1"/>
    <w:link w:val="165"/>
    <w:qFormat/>
    <w:uiPriority w:val="0"/>
    <w:rPr>
      <w:i/>
      <w:sz w:val="21"/>
      <w:szCs w:val="22"/>
    </w:rPr>
  </w:style>
  <w:style w:type="paragraph" w:styleId="44">
    <w:name w:val="index 4"/>
    <w:basedOn w:val="1"/>
    <w:next w:val="1"/>
    <w:qFormat/>
    <w:uiPriority w:val="0"/>
    <w:pPr>
      <w:ind w:left="600" w:leftChars="600"/>
    </w:pPr>
    <w:rPr>
      <w:sz w:val="21"/>
    </w:rPr>
  </w:style>
  <w:style w:type="paragraph" w:styleId="45">
    <w:name w:val="toc 5"/>
    <w:basedOn w:val="1"/>
    <w:next w:val="1"/>
    <w:qFormat/>
    <w:uiPriority w:val="0"/>
    <w:pPr>
      <w:ind w:left="1120"/>
      <w:jc w:val="left"/>
    </w:pPr>
    <w:rPr>
      <w:sz w:val="18"/>
    </w:rPr>
  </w:style>
  <w:style w:type="paragraph" w:styleId="46">
    <w:name w:val="toc 3"/>
    <w:basedOn w:val="1"/>
    <w:next w:val="1"/>
    <w:qFormat/>
    <w:uiPriority w:val="0"/>
    <w:pPr>
      <w:ind w:left="560"/>
      <w:jc w:val="left"/>
    </w:pPr>
    <w:rPr>
      <w:i/>
      <w:sz w:val="20"/>
    </w:rPr>
  </w:style>
  <w:style w:type="paragraph" w:styleId="47">
    <w:name w:val="Plain Text"/>
    <w:basedOn w:val="1"/>
    <w:next w:val="48"/>
    <w:link w:val="166"/>
    <w:qFormat/>
    <w:uiPriority w:val="0"/>
    <w:rPr>
      <w:rFonts w:ascii="宋体" w:hAnsi="Courier New"/>
      <w:sz w:val="21"/>
      <w:szCs w:val="22"/>
    </w:rPr>
  </w:style>
  <w:style w:type="paragraph" w:styleId="48">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49">
    <w:name w:val="List Bullet 5"/>
    <w:basedOn w:val="1"/>
    <w:qFormat/>
    <w:uiPriority w:val="0"/>
    <w:pPr>
      <w:tabs>
        <w:tab w:val="left" w:pos="2040"/>
      </w:tabs>
      <w:ind w:left="2040" w:hanging="360"/>
    </w:pPr>
    <w:rPr>
      <w:sz w:val="21"/>
    </w:rPr>
  </w:style>
  <w:style w:type="paragraph" w:styleId="50">
    <w:name w:val="List Number 4"/>
    <w:basedOn w:val="1"/>
    <w:qFormat/>
    <w:uiPriority w:val="0"/>
    <w:pPr>
      <w:tabs>
        <w:tab w:val="left" w:pos="1620"/>
      </w:tabs>
      <w:ind w:left="1620" w:hanging="360"/>
    </w:pPr>
    <w:rPr>
      <w:sz w:val="21"/>
    </w:rPr>
  </w:style>
  <w:style w:type="paragraph" w:styleId="51">
    <w:name w:val="toc 8"/>
    <w:basedOn w:val="1"/>
    <w:next w:val="1"/>
    <w:qFormat/>
    <w:uiPriority w:val="0"/>
    <w:pPr>
      <w:ind w:left="1960"/>
      <w:jc w:val="left"/>
    </w:pPr>
    <w:rPr>
      <w:sz w:val="18"/>
    </w:rPr>
  </w:style>
  <w:style w:type="paragraph" w:styleId="52">
    <w:name w:val="index 3"/>
    <w:basedOn w:val="1"/>
    <w:next w:val="1"/>
    <w:qFormat/>
    <w:uiPriority w:val="0"/>
    <w:pPr>
      <w:ind w:left="400" w:leftChars="400"/>
    </w:pPr>
    <w:rPr>
      <w:sz w:val="21"/>
    </w:rPr>
  </w:style>
  <w:style w:type="paragraph" w:styleId="53">
    <w:name w:val="Date"/>
    <w:basedOn w:val="1"/>
    <w:next w:val="1"/>
    <w:link w:val="133"/>
    <w:qFormat/>
    <w:uiPriority w:val="0"/>
    <w:pPr>
      <w:adjustRightInd w:val="0"/>
      <w:jc w:val="right"/>
      <w:textAlignment w:val="baseline"/>
    </w:pPr>
    <w:rPr>
      <w:rFonts w:eastAsia="仿宋_GB2312"/>
      <w:b/>
      <w:szCs w:val="22"/>
    </w:rPr>
  </w:style>
  <w:style w:type="paragraph" w:styleId="54">
    <w:name w:val="Body Text Indent 2"/>
    <w:basedOn w:val="1"/>
    <w:link w:val="167"/>
    <w:qFormat/>
    <w:uiPriority w:val="0"/>
    <w:pPr>
      <w:spacing w:line="520" w:lineRule="exact"/>
      <w:ind w:firstLine="848" w:firstLineChars="303"/>
    </w:pPr>
    <w:rPr>
      <w:rFonts w:ascii="黑体" w:eastAsia="黑体"/>
      <w:szCs w:val="22"/>
    </w:rPr>
  </w:style>
  <w:style w:type="paragraph" w:styleId="55">
    <w:name w:val="endnote text"/>
    <w:basedOn w:val="1"/>
    <w:link w:val="168"/>
    <w:qFormat/>
    <w:uiPriority w:val="0"/>
    <w:pPr>
      <w:snapToGrid w:val="0"/>
    </w:pPr>
    <w:rPr>
      <w:sz w:val="21"/>
      <w:szCs w:val="22"/>
    </w:rPr>
  </w:style>
  <w:style w:type="paragraph" w:styleId="56">
    <w:name w:val="List Continue 5"/>
    <w:basedOn w:val="1"/>
    <w:qFormat/>
    <w:uiPriority w:val="0"/>
    <w:pPr>
      <w:spacing w:after="120"/>
      <w:ind w:left="2100" w:leftChars="1000"/>
    </w:pPr>
    <w:rPr>
      <w:sz w:val="21"/>
    </w:rPr>
  </w:style>
  <w:style w:type="paragraph" w:styleId="57">
    <w:name w:val="Balloon Text"/>
    <w:basedOn w:val="1"/>
    <w:link w:val="169"/>
    <w:qFormat/>
    <w:uiPriority w:val="99"/>
    <w:rPr>
      <w:sz w:val="18"/>
      <w:szCs w:val="22"/>
    </w:rPr>
  </w:style>
  <w:style w:type="paragraph" w:styleId="58">
    <w:name w:val="footer"/>
    <w:basedOn w:val="1"/>
    <w:link w:val="108"/>
    <w:unhideWhenUsed/>
    <w:qFormat/>
    <w:uiPriority w:val="99"/>
    <w:pPr>
      <w:tabs>
        <w:tab w:val="center" w:pos="4153"/>
        <w:tab w:val="right" w:pos="8306"/>
      </w:tabs>
      <w:snapToGrid w:val="0"/>
      <w:jc w:val="left"/>
    </w:pPr>
    <w:rPr>
      <w:sz w:val="18"/>
      <w:szCs w:val="18"/>
    </w:rPr>
  </w:style>
  <w:style w:type="paragraph" w:styleId="59">
    <w:name w:val="envelope return"/>
    <w:basedOn w:val="1"/>
    <w:qFormat/>
    <w:uiPriority w:val="0"/>
    <w:pPr>
      <w:snapToGrid w:val="0"/>
    </w:pPr>
    <w:rPr>
      <w:rFonts w:ascii="Arial" w:hAnsi="Arial"/>
      <w:sz w:val="21"/>
    </w:rPr>
  </w:style>
  <w:style w:type="paragraph" w:styleId="60">
    <w:name w:val="header"/>
    <w:basedOn w:val="1"/>
    <w:link w:val="107"/>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172"/>
    <w:qFormat/>
    <w:uiPriority w:val="0"/>
    <w:pPr>
      <w:ind w:left="100" w:leftChars="2100"/>
    </w:pPr>
    <w:rPr>
      <w:sz w:val="21"/>
      <w:szCs w:val="22"/>
    </w:rPr>
  </w:style>
  <w:style w:type="paragraph" w:styleId="62">
    <w:name w:val="toc 1"/>
    <w:basedOn w:val="1"/>
    <w:next w:val="1"/>
    <w:qFormat/>
    <w:uiPriority w:val="39"/>
    <w:pPr>
      <w:tabs>
        <w:tab w:val="right" w:leader="dot" w:pos="8364"/>
      </w:tabs>
      <w:spacing w:before="120" w:after="120" w:line="360" w:lineRule="auto"/>
      <w:jc w:val="left"/>
    </w:pPr>
    <w:rPr>
      <w:b/>
      <w:caps/>
      <w:sz w:val="20"/>
    </w:rPr>
  </w:style>
  <w:style w:type="paragraph" w:styleId="63">
    <w:name w:val="List Continue 4"/>
    <w:basedOn w:val="1"/>
    <w:qFormat/>
    <w:uiPriority w:val="0"/>
    <w:pPr>
      <w:spacing w:after="120"/>
      <w:ind w:left="1680" w:leftChars="800"/>
    </w:pPr>
    <w:rPr>
      <w:sz w:val="21"/>
    </w:rPr>
  </w:style>
  <w:style w:type="paragraph" w:styleId="64">
    <w:name w:val="toc 4"/>
    <w:basedOn w:val="1"/>
    <w:next w:val="1"/>
    <w:qFormat/>
    <w:uiPriority w:val="0"/>
    <w:pPr>
      <w:ind w:left="840"/>
      <w:jc w:val="left"/>
    </w:pPr>
    <w:rPr>
      <w:sz w:val="18"/>
    </w:rPr>
  </w:style>
  <w:style w:type="paragraph" w:styleId="65">
    <w:name w:val="index heading"/>
    <w:basedOn w:val="1"/>
    <w:next w:val="66"/>
    <w:qFormat/>
    <w:uiPriority w:val="0"/>
    <w:rPr>
      <w:rFonts w:ascii="Arial" w:hAnsi="Arial"/>
      <w:b/>
      <w:sz w:val="21"/>
    </w:rPr>
  </w:style>
  <w:style w:type="paragraph" w:styleId="66">
    <w:name w:val="index 1"/>
    <w:basedOn w:val="1"/>
    <w:next w:val="1"/>
    <w:unhideWhenUsed/>
    <w:qFormat/>
    <w:uiPriority w:val="0"/>
  </w:style>
  <w:style w:type="paragraph" w:styleId="67">
    <w:name w:val="Subtitle"/>
    <w:basedOn w:val="1"/>
    <w:next w:val="1"/>
    <w:link w:val="173"/>
    <w:qFormat/>
    <w:uiPriority w:val="0"/>
    <w:pPr>
      <w:spacing w:before="240" w:after="60" w:line="312" w:lineRule="auto"/>
      <w:jc w:val="center"/>
      <w:outlineLvl w:val="1"/>
    </w:pPr>
    <w:rPr>
      <w:rFonts w:ascii="Cambria" w:hAnsi="Cambria"/>
      <w:b/>
      <w:kern w:val="28"/>
      <w:sz w:val="32"/>
      <w:szCs w:val="22"/>
    </w:rPr>
  </w:style>
  <w:style w:type="paragraph" w:styleId="68">
    <w:name w:val="List Number 5"/>
    <w:basedOn w:val="1"/>
    <w:qFormat/>
    <w:uiPriority w:val="0"/>
    <w:pPr>
      <w:tabs>
        <w:tab w:val="left" w:pos="2040"/>
      </w:tabs>
      <w:ind w:left="2040" w:hanging="360"/>
    </w:pPr>
    <w:rPr>
      <w:sz w:val="21"/>
    </w:rPr>
  </w:style>
  <w:style w:type="paragraph" w:styleId="69">
    <w:name w:val="List"/>
    <w:basedOn w:val="1"/>
    <w:qFormat/>
    <w:uiPriority w:val="0"/>
    <w:pPr>
      <w:ind w:left="200" w:hanging="200" w:hangingChars="200"/>
    </w:pPr>
    <w:rPr>
      <w:sz w:val="21"/>
    </w:rPr>
  </w:style>
  <w:style w:type="paragraph" w:styleId="70">
    <w:name w:val="footnote text"/>
    <w:basedOn w:val="1"/>
    <w:link w:val="174"/>
    <w:qFormat/>
    <w:uiPriority w:val="0"/>
    <w:pPr>
      <w:snapToGrid w:val="0"/>
      <w:jc w:val="left"/>
    </w:pPr>
    <w:rPr>
      <w:sz w:val="18"/>
      <w:szCs w:val="22"/>
    </w:rPr>
  </w:style>
  <w:style w:type="paragraph" w:styleId="71">
    <w:name w:val="toc 6"/>
    <w:basedOn w:val="1"/>
    <w:next w:val="1"/>
    <w:qFormat/>
    <w:uiPriority w:val="0"/>
    <w:pPr>
      <w:ind w:left="1400"/>
      <w:jc w:val="left"/>
    </w:pPr>
    <w:rPr>
      <w:sz w:val="18"/>
    </w:rPr>
  </w:style>
  <w:style w:type="paragraph" w:styleId="72">
    <w:name w:val="List 5"/>
    <w:basedOn w:val="1"/>
    <w:qFormat/>
    <w:uiPriority w:val="0"/>
    <w:pPr>
      <w:ind w:left="100" w:leftChars="800" w:hanging="200" w:hangingChars="200"/>
    </w:pPr>
    <w:rPr>
      <w:sz w:val="21"/>
    </w:rPr>
  </w:style>
  <w:style w:type="paragraph" w:styleId="73">
    <w:name w:val="Body Text Indent 3"/>
    <w:basedOn w:val="1"/>
    <w:link w:val="175"/>
    <w:qFormat/>
    <w:uiPriority w:val="0"/>
    <w:pPr>
      <w:spacing w:line="520" w:lineRule="exact"/>
      <w:ind w:firstLine="547"/>
    </w:pPr>
    <w:rPr>
      <w:szCs w:val="22"/>
    </w:rPr>
  </w:style>
  <w:style w:type="paragraph" w:styleId="74">
    <w:name w:val="index 7"/>
    <w:basedOn w:val="1"/>
    <w:next w:val="1"/>
    <w:qFormat/>
    <w:uiPriority w:val="0"/>
    <w:pPr>
      <w:ind w:left="1200" w:leftChars="1200"/>
    </w:pPr>
    <w:rPr>
      <w:sz w:val="21"/>
    </w:rPr>
  </w:style>
  <w:style w:type="paragraph" w:styleId="75">
    <w:name w:val="index 9"/>
    <w:basedOn w:val="1"/>
    <w:next w:val="1"/>
    <w:qFormat/>
    <w:uiPriority w:val="0"/>
    <w:pPr>
      <w:ind w:left="1600" w:leftChars="1600"/>
    </w:pPr>
    <w:rPr>
      <w:sz w:val="21"/>
    </w:rPr>
  </w:style>
  <w:style w:type="paragraph" w:styleId="76">
    <w:name w:val="table of figures"/>
    <w:basedOn w:val="1"/>
    <w:next w:val="1"/>
    <w:qFormat/>
    <w:uiPriority w:val="0"/>
    <w:pPr>
      <w:ind w:left="560" w:hanging="560"/>
      <w:jc w:val="left"/>
    </w:pPr>
    <w:rPr>
      <w:smallCaps/>
      <w:sz w:val="20"/>
    </w:rPr>
  </w:style>
  <w:style w:type="paragraph" w:styleId="77">
    <w:name w:val="toc 9"/>
    <w:basedOn w:val="1"/>
    <w:next w:val="1"/>
    <w:qFormat/>
    <w:uiPriority w:val="0"/>
    <w:pPr>
      <w:ind w:left="2240"/>
      <w:jc w:val="left"/>
    </w:pPr>
    <w:rPr>
      <w:sz w:val="18"/>
    </w:rPr>
  </w:style>
  <w:style w:type="paragraph" w:styleId="78">
    <w:name w:val="Body Text 2"/>
    <w:basedOn w:val="1"/>
    <w:link w:val="176"/>
    <w:qFormat/>
    <w:uiPriority w:val="0"/>
    <w:pPr>
      <w:spacing w:after="120" w:line="480" w:lineRule="auto"/>
    </w:pPr>
    <w:rPr>
      <w:sz w:val="21"/>
      <w:szCs w:val="22"/>
    </w:rPr>
  </w:style>
  <w:style w:type="paragraph" w:styleId="79">
    <w:name w:val="List 4"/>
    <w:basedOn w:val="1"/>
    <w:qFormat/>
    <w:uiPriority w:val="0"/>
    <w:pPr>
      <w:ind w:left="100" w:leftChars="600" w:hanging="200" w:hangingChars="200"/>
    </w:pPr>
    <w:rPr>
      <w:sz w:val="21"/>
    </w:rPr>
  </w:style>
  <w:style w:type="paragraph" w:styleId="80">
    <w:name w:val="List Continue 2"/>
    <w:basedOn w:val="1"/>
    <w:qFormat/>
    <w:uiPriority w:val="0"/>
    <w:pPr>
      <w:spacing w:after="120"/>
      <w:ind w:left="840" w:leftChars="400"/>
    </w:pPr>
    <w:rPr>
      <w:sz w:val="21"/>
    </w:rPr>
  </w:style>
  <w:style w:type="paragraph" w:styleId="81">
    <w:name w:val="Message Header"/>
    <w:basedOn w:val="1"/>
    <w:link w:val="17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2"/>
      <w:shd w:val="pct20" w:color="auto" w:fill="auto"/>
    </w:rPr>
  </w:style>
  <w:style w:type="paragraph" w:styleId="82">
    <w:name w:val="HTML Preformatted"/>
    <w:basedOn w:val="1"/>
    <w:link w:val="1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1"/>
      <w:szCs w:val="22"/>
    </w:rPr>
  </w:style>
  <w:style w:type="paragraph" w:styleId="83">
    <w:name w:val="Normal (Web)"/>
    <w:basedOn w:val="1"/>
    <w:qFormat/>
    <w:uiPriority w:val="99"/>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rPr>
      <w:sz w:val="21"/>
    </w:rPr>
  </w:style>
  <w:style w:type="paragraph" w:styleId="85">
    <w:name w:val="index 2"/>
    <w:basedOn w:val="1"/>
    <w:next w:val="1"/>
    <w:qFormat/>
    <w:uiPriority w:val="0"/>
    <w:pPr>
      <w:ind w:left="200" w:leftChars="200"/>
    </w:pPr>
    <w:rPr>
      <w:sz w:val="21"/>
    </w:rPr>
  </w:style>
  <w:style w:type="paragraph" w:styleId="86">
    <w:name w:val="Title"/>
    <w:basedOn w:val="1"/>
    <w:next w:val="1"/>
    <w:link w:val="118"/>
    <w:qFormat/>
    <w:uiPriority w:val="0"/>
    <w:pPr>
      <w:widowControl/>
      <w:overflowPunct w:val="0"/>
      <w:autoSpaceDE w:val="0"/>
      <w:autoSpaceDN w:val="0"/>
      <w:adjustRightInd w:val="0"/>
      <w:jc w:val="center"/>
      <w:textAlignment w:val="baseline"/>
    </w:pPr>
    <w:rPr>
      <w:b/>
      <w:sz w:val="24"/>
      <w:szCs w:val="22"/>
      <w:lang w:val="en-GB"/>
    </w:rPr>
  </w:style>
  <w:style w:type="paragraph" w:styleId="87">
    <w:name w:val="annotation subject"/>
    <w:basedOn w:val="28"/>
    <w:next w:val="28"/>
    <w:link w:val="178"/>
    <w:qFormat/>
    <w:uiPriority w:val="0"/>
    <w:rPr>
      <w:b/>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TML Definition"/>
    <w:basedOn w:val="90"/>
    <w:semiHidden/>
    <w:unhideWhenUsed/>
    <w:qFormat/>
    <w:uiPriority w:val="99"/>
  </w:style>
  <w:style w:type="character" w:styleId="97">
    <w:name w:val="HTML Typewriter"/>
    <w:basedOn w:val="90"/>
    <w:semiHidden/>
    <w:unhideWhenUsed/>
    <w:qFormat/>
    <w:uiPriority w:val="99"/>
    <w:rPr>
      <w:rFonts w:hint="default" w:ascii="monospace" w:hAnsi="monospace" w:eastAsia="monospace" w:cs="monospace"/>
      <w:sz w:val="20"/>
    </w:rPr>
  </w:style>
  <w:style w:type="character" w:styleId="98">
    <w:name w:val="HTML Acronym"/>
    <w:basedOn w:val="90"/>
    <w:semiHidden/>
    <w:unhideWhenUsed/>
    <w:qFormat/>
    <w:uiPriority w:val="99"/>
  </w:style>
  <w:style w:type="character" w:styleId="99">
    <w:name w:val="HTML Variable"/>
    <w:basedOn w:val="90"/>
    <w:semiHidden/>
    <w:unhideWhenUsed/>
    <w:qFormat/>
    <w:uiPriority w:val="99"/>
  </w:style>
  <w:style w:type="character" w:styleId="100">
    <w:name w:val="Hyperlink"/>
    <w:qFormat/>
    <w:uiPriority w:val="99"/>
    <w:rPr>
      <w:color w:val="0000FF"/>
      <w:u w:val="single"/>
    </w:rPr>
  </w:style>
  <w:style w:type="character" w:styleId="101">
    <w:name w:val="HTML Code"/>
    <w:basedOn w:val="90"/>
    <w:semiHidden/>
    <w:unhideWhenUsed/>
    <w:qFormat/>
    <w:uiPriority w:val="99"/>
    <w:rPr>
      <w:rFonts w:ascii="monospace" w:hAnsi="monospace" w:eastAsia="monospace" w:cs="monospace"/>
      <w:sz w:val="20"/>
    </w:rPr>
  </w:style>
  <w:style w:type="character" w:styleId="102">
    <w:name w:val="annotation reference"/>
    <w:qFormat/>
    <w:uiPriority w:val="0"/>
    <w:rPr>
      <w:sz w:val="21"/>
    </w:rPr>
  </w:style>
  <w:style w:type="character" w:styleId="103">
    <w:name w:val="HTML Cite"/>
    <w:basedOn w:val="90"/>
    <w:semiHidden/>
    <w:unhideWhenUsed/>
    <w:qFormat/>
    <w:uiPriority w:val="99"/>
  </w:style>
  <w:style w:type="character" w:styleId="104">
    <w:name w:val="footnote reference"/>
    <w:qFormat/>
    <w:uiPriority w:val="0"/>
    <w:rPr>
      <w:vertAlign w:val="superscript"/>
    </w:rPr>
  </w:style>
  <w:style w:type="character" w:styleId="105">
    <w:name w:val="HTML Keyboard"/>
    <w:basedOn w:val="90"/>
    <w:semiHidden/>
    <w:unhideWhenUsed/>
    <w:qFormat/>
    <w:uiPriority w:val="99"/>
    <w:rPr>
      <w:rFonts w:hint="default" w:ascii="monospace" w:hAnsi="monospace" w:eastAsia="monospace" w:cs="monospace"/>
      <w:sz w:val="20"/>
    </w:rPr>
  </w:style>
  <w:style w:type="character" w:styleId="106">
    <w:name w:val="HTML Sample"/>
    <w:basedOn w:val="90"/>
    <w:semiHidden/>
    <w:unhideWhenUsed/>
    <w:qFormat/>
    <w:uiPriority w:val="99"/>
    <w:rPr>
      <w:rFonts w:hint="default" w:ascii="monospace" w:hAnsi="monospace" w:eastAsia="monospace" w:cs="monospace"/>
    </w:rPr>
  </w:style>
  <w:style w:type="character" w:customStyle="1" w:styleId="107">
    <w:name w:val="页眉 字符"/>
    <w:basedOn w:val="90"/>
    <w:link w:val="60"/>
    <w:qFormat/>
    <w:uiPriority w:val="0"/>
    <w:rPr>
      <w:sz w:val="18"/>
      <w:szCs w:val="18"/>
    </w:rPr>
  </w:style>
  <w:style w:type="character" w:customStyle="1" w:styleId="108">
    <w:name w:val="页脚 字符"/>
    <w:basedOn w:val="90"/>
    <w:link w:val="58"/>
    <w:qFormat/>
    <w:uiPriority w:val="99"/>
    <w:rPr>
      <w:sz w:val="18"/>
      <w:szCs w:val="18"/>
    </w:rPr>
  </w:style>
  <w:style w:type="character" w:customStyle="1" w:styleId="109">
    <w:name w:val="标题 1 字符"/>
    <w:basedOn w:val="90"/>
    <w:link w:val="2"/>
    <w:qFormat/>
    <w:uiPriority w:val="9"/>
    <w:rPr>
      <w:rFonts w:ascii="黑体" w:hAnsi="Calibri" w:eastAsia="宋体" w:cs="Times New Roman"/>
      <w:b/>
      <w:kern w:val="0"/>
      <w:sz w:val="32"/>
      <w:szCs w:val="20"/>
    </w:rPr>
  </w:style>
  <w:style w:type="character" w:customStyle="1" w:styleId="110">
    <w:name w:val="标题 2 字符"/>
    <w:basedOn w:val="90"/>
    <w:link w:val="4"/>
    <w:qFormat/>
    <w:uiPriority w:val="0"/>
    <w:rPr>
      <w:rFonts w:ascii="Calibri" w:hAnsi="Calibri" w:eastAsia="黑体" w:cs="Times New Roman"/>
      <w:b/>
      <w:szCs w:val="20"/>
    </w:rPr>
  </w:style>
  <w:style w:type="character" w:customStyle="1" w:styleId="111">
    <w:name w:val="标题 3 字符"/>
    <w:basedOn w:val="90"/>
    <w:qFormat/>
    <w:uiPriority w:val="0"/>
    <w:rPr>
      <w:rFonts w:ascii="Calibri" w:hAnsi="Calibri" w:eastAsia="宋体" w:cs="Times New Roman"/>
      <w:b/>
      <w:bCs/>
      <w:sz w:val="32"/>
      <w:szCs w:val="32"/>
    </w:rPr>
  </w:style>
  <w:style w:type="character" w:customStyle="1" w:styleId="112">
    <w:name w:val="标题 4 字符"/>
    <w:basedOn w:val="90"/>
    <w:qFormat/>
    <w:uiPriority w:val="0"/>
    <w:rPr>
      <w:rFonts w:asciiTheme="majorHAnsi" w:hAnsiTheme="majorHAnsi" w:eastAsiaTheme="majorEastAsia" w:cstheme="majorBidi"/>
      <w:b/>
      <w:bCs/>
      <w:sz w:val="28"/>
      <w:szCs w:val="28"/>
    </w:rPr>
  </w:style>
  <w:style w:type="character" w:customStyle="1" w:styleId="113">
    <w:name w:val="标题 5 字符"/>
    <w:basedOn w:val="90"/>
    <w:qFormat/>
    <w:uiPriority w:val="0"/>
    <w:rPr>
      <w:rFonts w:ascii="Calibri" w:hAnsi="Calibri" w:eastAsia="宋体" w:cs="Times New Roman"/>
      <w:b/>
      <w:bCs/>
      <w:sz w:val="28"/>
      <w:szCs w:val="28"/>
    </w:rPr>
  </w:style>
  <w:style w:type="character" w:customStyle="1" w:styleId="114">
    <w:name w:val="标题 6 字符"/>
    <w:basedOn w:val="90"/>
    <w:qFormat/>
    <w:uiPriority w:val="0"/>
    <w:rPr>
      <w:rFonts w:asciiTheme="majorHAnsi" w:hAnsiTheme="majorHAnsi" w:eastAsiaTheme="majorEastAsia" w:cstheme="majorBidi"/>
      <w:b/>
      <w:bCs/>
      <w:sz w:val="24"/>
      <w:szCs w:val="24"/>
    </w:rPr>
  </w:style>
  <w:style w:type="character" w:customStyle="1" w:styleId="115">
    <w:name w:val="标题 7 字符"/>
    <w:basedOn w:val="90"/>
    <w:qFormat/>
    <w:uiPriority w:val="0"/>
    <w:rPr>
      <w:rFonts w:ascii="Calibri" w:hAnsi="Calibri" w:eastAsia="宋体" w:cs="Times New Roman"/>
      <w:b/>
      <w:bCs/>
      <w:sz w:val="24"/>
      <w:szCs w:val="24"/>
    </w:rPr>
  </w:style>
  <w:style w:type="character" w:customStyle="1" w:styleId="116">
    <w:name w:val="标题 8 字符"/>
    <w:basedOn w:val="90"/>
    <w:qFormat/>
    <w:uiPriority w:val="0"/>
    <w:rPr>
      <w:rFonts w:asciiTheme="majorHAnsi" w:hAnsiTheme="majorHAnsi" w:eastAsiaTheme="majorEastAsia" w:cstheme="majorBidi"/>
      <w:sz w:val="24"/>
      <w:szCs w:val="24"/>
    </w:rPr>
  </w:style>
  <w:style w:type="character" w:customStyle="1" w:styleId="117">
    <w:name w:val="标题 9 字符"/>
    <w:basedOn w:val="90"/>
    <w:qFormat/>
    <w:uiPriority w:val="0"/>
    <w:rPr>
      <w:rFonts w:asciiTheme="majorHAnsi" w:hAnsiTheme="majorHAnsi" w:eastAsiaTheme="majorEastAsia" w:cstheme="majorBidi"/>
      <w:szCs w:val="21"/>
    </w:rPr>
  </w:style>
  <w:style w:type="character" w:customStyle="1" w:styleId="118">
    <w:name w:val="标题 字符"/>
    <w:basedOn w:val="90"/>
    <w:link w:val="86"/>
    <w:qFormat/>
    <w:uiPriority w:val="0"/>
    <w:rPr>
      <w:rFonts w:ascii="Calibri" w:hAnsi="Calibri" w:eastAsia="宋体" w:cs="Times New Roman"/>
      <w:b/>
      <w:sz w:val="24"/>
      <w:lang w:val="en-GB"/>
    </w:rPr>
  </w:style>
  <w:style w:type="character" w:customStyle="1" w:styleId="119">
    <w:name w:val="宏文本 字符"/>
    <w:basedOn w:val="90"/>
    <w:qFormat/>
    <w:uiPriority w:val="0"/>
    <w:rPr>
      <w:rFonts w:ascii="Courier New" w:hAnsi="Courier New" w:eastAsia="宋体" w:cs="Courier New"/>
      <w:sz w:val="24"/>
      <w:szCs w:val="24"/>
    </w:rPr>
  </w:style>
  <w:style w:type="character" w:customStyle="1" w:styleId="120">
    <w:name w:val="注释标题 字符"/>
    <w:basedOn w:val="90"/>
    <w:qFormat/>
    <w:uiPriority w:val="0"/>
    <w:rPr>
      <w:rFonts w:ascii="Calibri" w:hAnsi="Calibri" w:eastAsia="宋体" w:cs="Times New Roman"/>
      <w:sz w:val="28"/>
      <w:szCs w:val="20"/>
    </w:rPr>
  </w:style>
  <w:style w:type="character" w:customStyle="1" w:styleId="121">
    <w:name w:val="电子邮件签名 字符"/>
    <w:basedOn w:val="90"/>
    <w:qFormat/>
    <w:uiPriority w:val="0"/>
    <w:rPr>
      <w:rFonts w:ascii="Calibri" w:hAnsi="Calibri" w:eastAsia="宋体" w:cs="Times New Roman"/>
      <w:sz w:val="28"/>
      <w:szCs w:val="20"/>
    </w:rPr>
  </w:style>
  <w:style w:type="character" w:customStyle="1" w:styleId="122">
    <w:name w:val="文档结构图 字符"/>
    <w:basedOn w:val="90"/>
    <w:qFormat/>
    <w:uiPriority w:val="0"/>
    <w:rPr>
      <w:rFonts w:ascii="Microsoft YaHei UI" w:hAnsi="Calibri" w:eastAsia="Microsoft YaHei UI" w:cs="Times New Roman"/>
      <w:sz w:val="18"/>
      <w:szCs w:val="18"/>
    </w:rPr>
  </w:style>
  <w:style w:type="character" w:customStyle="1" w:styleId="123">
    <w:name w:val="批注文字 字符"/>
    <w:basedOn w:val="90"/>
    <w:qFormat/>
    <w:uiPriority w:val="0"/>
    <w:rPr>
      <w:rFonts w:ascii="Calibri" w:hAnsi="Calibri" w:eastAsia="宋体" w:cs="Times New Roman"/>
      <w:sz w:val="28"/>
      <w:szCs w:val="20"/>
    </w:rPr>
  </w:style>
  <w:style w:type="character" w:customStyle="1" w:styleId="124">
    <w:name w:val="称呼 字符"/>
    <w:basedOn w:val="90"/>
    <w:qFormat/>
    <w:uiPriority w:val="0"/>
    <w:rPr>
      <w:rFonts w:ascii="Calibri" w:hAnsi="Calibri" w:eastAsia="宋体" w:cs="Times New Roman"/>
      <w:sz w:val="28"/>
      <w:szCs w:val="20"/>
    </w:rPr>
  </w:style>
  <w:style w:type="character" w:customStyle="1" w:styleId="125">
    <w:name w:val="正文文本 3 字符"/>
    <w:basedOn w:val="90"/>
    <w:qFormat/>
    <w:uiPriority w:val="0"/>
    <w:rPr>
      <w:rFonts w:ascii="Calibri" w:hAnsi="Calibri" w:eastAsia="宋体" w:cs="Times New Roman"/>
      <w:sz w:val="16"/>
      <w:szCs w:val="16"/>
    </w:rPr>
  </w:style>
  <w:style w:type="character" w:customStyle="1" w:styleId="126">
    <w:name w:val="结束语 字符"/>
    <w:basedOn w:val="90"/>
    <w:qFormat/>
    <w:uiPriority w:val="0"/>
    <w:rPr>
      <w:rFonts w:ascii="Calibri" w:hAnsi="Calibri" w:eastAsia="宋体" w:cs="Times New Roman"/>
      <w:sz w:val="28"/>
      <w:szCs w:val="20"/>
    </w:rPr>
  </w:style>
  <w:style w:type="character" w:customStyle="1" w:styleId="127">
    <w:name w:val="正文文本 字符"/>
    <w:basedOn w:val="90"/>
    <w:qFormat/>
    <w:uiPriority w:val="0"/>
    <w:rPr>
      <w:rFonts w:ascii="Calibri" w:hAnsi="Calibri" w:eastAsia="宋体" w:cs="Times New Roman"/>
      <w:sz w:val="28"/>
      <w:szCs w:val="20"/>
    </w:rPr>
  </w:style>
  <w:style w:type="character" w:customStyle="1" w:styleId="128">
    <w:name w:val="正文文本缩进 字符"/>
    <w:basedOn w:val="90"/>
    <w:qFormat/>
    <w:uiPriority w:val="0"/>
    <w:rPr>
      <w:rFonts w:ascii="Calibri" w:hAnsi="Calibri" w:eastAsia="宋体" w:cs="Times New Roman"/>
      <w:sz w:val="28"/>
      <w:szCs w:val="20"/>
    </w:rPr>
  </w:style>
  <w:style w:type="character" w:customStyle="1" w:styleId="129">
    <w:name w:val="正文文本首行缩进 2 字符"/>
    <w:basedOn w:val="128"/>
    <w:link w:val="36"/>
    <w:qFormat/>
    <w:uiPriority w:val="0"/>
    <w:rPr>
      <w:rFonts w:ascii="等线" w:hAnsi="等线" w:eastAsia="等线" w:cs="Times New Roman"/>
      <w:sz w:val="28"/>
      <w:szCs w:val="20"/>
    </w:rPr>
  </w:style>
  <w:style w:type="character" w:customStyle="1" w:styleId="130">
    <w:name w:val="正文文本首行缩进 字符"/>
    <w:basedOn w:val="127"/>
    <w:link w:val="37"/>
    <w:qFormat/>
    <w:uiPriority w:val="0"/>
    <w:rPr>
      <w:rFonts w:ascii="等线" w:hAnsi="等线" w:eastAsia="等线" w:cs="Times New Roman"/>
      <w:sz w:val="28"/>
      <w:szCs w:val="20"/>
    </w:rPr>
  </w:style>
  <w:style w:type="character" w:customStyle="1" w:styleId="131">
    <w:name w:val="HTML 地址 字符"/>
    <w:basedOn w:val="90"/>
    <w:qFormat/>
    <w:uiPriority w:val="0"/>
    <w:rPr>
      <w:rFonts w:ascii="Calibri" w:hAnsi="Calibri" w:eastAsia="宋体" w:cs="Times New Roman"/>
      <w:i/>
      <w:iCs/>
      <w:sz w:val="28"/>
      <w:szCs w:val="20"/>
    </w:rPr>
  </w:style>
  <w:style w:type="character" w:customStyle="1" w:styleId="132">
    <w:name w:val="纯文本 字符"/>
    <w:basedOn w:val="90"/>
    <w:qFormat/>
    <w:uiPriority w:val="0"/>
    <w:rPr>
      <w:rFonts w:hAnsi="Courier New" w:cs="Courier New" w:asciiTheme="minorEastAsia"/>
      <w:sz w:val="28"/>
      <w:szCs w:val="20"/>
    </w:rPr>
  </w:style>
  <w:style w:type="character" w:customStyle="1" w:styleId="133">
    <w:name w:val="日期 字符"/>
    <w:basedOn w:val="90"/>
    <w:link w:val="53"/>
    <w:qFormat/>
    <w:uiPriority w:val="0"/>
    <w:rPr>
      <w:rFonts w:ascii="Calibri" w:hAnsi="Calibri" w:eastAsia="仿宋_GB2312" w:cs="Times New Roman"/>
      <w:b/>
      <w:sz w:val="28"/>
    </w:rPr>
  </w:style>
  <w:style w:type="character" w:customStyle="1" w:styleId="134">
    <w:name w:val="正文文本缩进 2 字符"/>
    <w:basedOn w:val="90"/>
    <w:qFormat/>
    <w:uiPriority w:val="0"/>
    <w:rPr>
      <w:rFonts w:ascii="Calibri" w:hAnsi="Calibri" w:eastAsia="宋体" w:cs="Times New Roman"/>
      <w:sz w:val="28"/>
      <w:szCs w:val="20"/>
    </w:rPr>
  </w:style>
  <w:style w:type="character" w:customStyle="1" w:styleId="135">
    <w:name w:val="尾注文本 字符"/>
    <w:basedOn w:val="90"/>
    <w:qFormat/>
    <w:uiPriority w:val="0"/>
    <w:rPr>
      <w:rFonts w:ascii="Calibri" w:hAnsi="Calibri" w:eastAsia="宋体" w:cs="Times New Roman"/>
      <w:sz w:val="28"/>
      <w:szCs w:val="20"/>
    </w:rPr>
  </w:style>
  <w:style w:type="character" w:customStyle="1" w:styleId="136">
    <w:name w:val="批注框文本 字符"/>
    <w:basedOn w:val="90"/>
    <w:qFormat/>
    <w:uiPriority w:val="0"/>
    <w:rPr>
      <w:rFonts w:ascii="Calibri" w:hAnsi="Calibri" w:eastAsia="宋体" w:cs="Times New Roman"/>
      <w:sz w:val="18"/>
      <w:szCs w:val="18"/>
    </w:rPr>
  </w:style>
  <w:style w:type="character" w:customStyle="1" w:styleId="137">
    <w:name w:val="签名 字符"/>
    <w:basedOn w:val="90"/>
    <w:qFormat/>
    <w:uiPriority w:val="0"/>
    <w:rPr>
      <w:rFonts w:ascii="Calibri" w:hAnsi="Calibri" w:eastAsia="宋体" w:cs="Times New Roman"/>
      <w:sz w:val="28"/>
      <w:szCs w:val="20"/>
    </w:rPr>
  </w:style>
  <w:style w:type="character" w:customStyle="1" w:styleId="138">
    <w:name w:val="副标题 字符"/>
    <w:basedOn w:val="90"/>
    <w:qFormat/>
    <w:uiPriority w:val="0"/>
    <w:rPr>
      <w:b/>
      <w:bCs/>
      <w:kern w:val="28"/>
      <w:sz w:val="32"/>
      <w:szCs w:val="32"/>
    </w:rPr>
  </w:style>
  <w:style w:type="character" w:customStyle="1" w:styleId="139">
    <w:name w:val="脚注文本 字符"/>
    <w:basedOn w:val="90"/>
    <w:qFormat/>
    <w:uiPriority w:val="0"/>
    <w:rPr>
      <w:rFonts w:ascii="Calibri" w:hAnsi="Calibri" w:eastAsia="宋体" w:cs="Times New Roman"/>
      <w:sz w:val="18"/>
      <w:szCs w:val="18"/>
    </w:rPr>
  </w:style>
  <w:style w:type="character" w:customStyle="1" w:styleId="140">
    <w:name w:val="正文文本缩进 3 字符"/>
    <w:basedOn w:val="90"/>
    <w:qFormat/>
    <w:uiPriority w:val="0"/>
    <w:rPr>
      <w:rFonts w:ascii="Calibri" w:hAnsi="Calibri" w:eastAsia="宋体" w:cs="Times New Roman"/>
      <w:sz w:val="16"/>
      <w:szCs w:val="16"/>
    </w:rPr>
  </w:style>
  <w:style w:type="character" w:customStyle="1" w:styleId="141">
    <w:name w:val="正文文本 2 字符"/>
    <w:basedOn w:val="90"/>
    <w:qFormat/>
    <w:uiPriority w:val="0"/>
    <w:rPr>
      <w:rFonts w:ascii="Calibri" w:hAnsi="Calibri" w:eastAsia="宋体" w:cs="Times New Roman"/>
      <w:sz w:val="28"/>
      <w:szCs w:val="20"/>
    </w:rPr>
  </w:style>
  <w:style w:type="character" w:customStyle="1" w:styleId="142">
    <w:name w:val="信息标题 字符"/>
    <w:basedOn w:val="90"/>
    <w:qFormat/>
    <w:uiPriority w:val="0"/>
    <w:rPr>
      <w:rFonts w:asciiTheme="majorHAnsi" w:hAnsiTheme="majorHAnsi" w:eastAsiaTheme="majorEastAsia" w:cstheme="majorBidi"/>
      <w:sz w:val="24"/>
      <w:szCs w:val="24"/>
      <w:shd w:val="pct20" w:color="auto" w:fill="auto"/>
    </w:rPr>
  </w:style>
  <w:style w:type="character" w:customStyle="1" w:styleId="143">
    <w:name w:val="HTML 预设格式 字符"/>
    <w:basedOn w:val="90"/>
    <w:link w:val="82"/>
    <w:qFormat/>
    <w:uiPriority w:val="0"/>
    <w:rPr>
      <w:rFonts w:ascii="黑体" w:hAnsi="Courier New" w:eastAsia="黑体" w:cs="Times New Roman"/>
    </w:rPr>
  </w:style>
  <w:style w:type="character" w:customStyle="1" w:styleId="144">
    <w:name w:val="批注主题 字符"/>
    <w:basedOn w:val="123"/>
    <w:qFormat/>
    <w:uiPriority w:val="0"/>
    <w:rPr>
      <w:rFonts w:ascii="Calibri" w:hAnsi="Calibri" w:eastAsia="宋体" w:cs="Times New Roman"/>
      <w:b/>
      <w:bCs/>
      <w:sz w:val="28"/>
      <w:szCs w:val="20"/>
    </w:rPr>
  </w:style>
  <w:style w:type="paragraph" w:customStyle="1" w:styleId="145">
    <w:name w:val="表格文字"/>
    <w:basedOn w:val="47"/>
    <w:next w:val="34"/>
    <w:qFormat/>
    <w:uiPriority w:val="0"/>
    <w:pPr>
      <w:adjustRightInd w:val="0"/>
      <w:spacing w:line="420" w:lineRule="atLeast"/>
      <w:textAlignment w:val="baseline"/>
    </w:pPr>
    <w:rPr>
      <w:kern w:val="0"/>
    </w:rPr>
  </w:style>
  <w:style w:type="character" w:customStyle="1" w:styleId="146">
    <w:name w:val="宏文本 字符1"/>
    <w:basedOn w:val="90"/>
    <w:link w:val="3"/>
    <w:qFormat/>
    <w:uiPriority w:val="0"/>
    <w:rPr>
      <w:rFonts w:ascii="Courier New" w:hAnsi="Courier New" w:eastAsia="宋体" w:cs="Times New Roman"/>
      <w:sz w:val="24"/>
    </w:rPr>
  </w:style>
  <w:style w:type="character" w:customStyle="1" w:styleId="147">
    <w:name w:val="正文缩进 字符"/>
    <w:link w:val="5"/>
    <w:qFormat/>
    <w:uiPriority w:val="0"/>
    <w:rPr>
      <w:rFonts w:ascii="Calibri" w:hAnsi="Calibri" w:eastAsia="宋体" w:cs="Times New Roman"/>
      <w:sz w:val="24"/>
    </w:rPr>
  </w:style>
  <w:style w:type="character" w:customStyle="1" w:styleId="148">
    <w:name w:val="标题 3 字符1"/>
    <w:basedOn w:val="90"/>
    <w:link w:val="6"/>
    <w:qFormat/>
    <w:uiPriority w:val="0"/>
    <w:rPr>
      <w:rFonts w:ascii="Calibri" w:hAnsi="Calibri" w:eastAsia="宋体" w:cs="Times New Roman"/>
      <w:b/>
      <w:kern w:val="0"/>
      <w:sz w:val="32"/>
      <w:szCs w:val="20"/>
    </w:rPr>
  </w:style>
  <w:style w:type="character" w:customStyle="1" w:styleId="149">
    <w:name w:val="标题 4 字符1"/>
    <w:basedOn w:val="90"/>
    <w:link w:val="7"/>
    <w:qFormat/>
    <w:uiPriority w:val="0"/>
    <w:rPr>
      <w:rFonts w:ascii="Arial" w:hAnsi="Arial" w:eastAsia="黑体" w:cs="Times New Roman"/>
      <w:sz w:val="28"/>
      <w:szCs w:val="20"/>
    </w:rPr>
  </w:style>
  <w:style w:type="character" w:customStyle="1" w:styleId="150">
    <w:name w:val="标题 5 字符1"/>
    <w:basedOn w:val="90"/>
    <w:link w:val="8"/>
    <w:qFormat/>
    <w:uiPriority w:val="0"/>
    <w:rPr>
      <w:rFonts w:ascii="Calibri" w:hAnsi="Calibri" w:eastAsia="宋体" w:cs="Times New Roman"/>
      <w:b/>
      <w:sz w:val="28"/>
      <w:szCs w:val="20"/>
    </w:rPr>
  </w:style>
  <w:style w:type="character" w:customStyle="1" w:styleId="151">
    <w:name w:val="标题 6 字符1"/>
    <w:basedOn w:val="90"/>
    <w:link w:val="9"/>
    <w:qFormat/>
    <w:uiPriority w:val="0"/>
    <w:rPr>
      <w:rFonts w:ascii="Arial" w:hAnsi="Arial" w:eastAsia="黑体" w:cs="Times New Roman"/>
      <w:b/>
      <w:kern w:val="0"/>
      <w:sz w:val="24"/>
      <w:szCs w:val="20"/>
    </w:rPr>
  </w:style>
  <w:style w:type="character" w:customStyle="1" w:styleId="152">
    <w:name w:val="标题 7 字符1"/>
    <w:basedOn w:val="90"/>
    <w:link w:val="10"/>
    <w:qFormat/>
    <w:uiPriority w:val="0"/>
    <w:rPr>
      <w:rFonts w:ascii="Calibri" w:hAnsi="Calibri" w:eastAsia="宋体" w:cs="Times New Roman"/>
      <w:b/>
      <w:kern w:val="0"/>
      <w:sz w:val="24"/>
      <w:szCs w:val="20"/>
    </w:rPr>
  </w:style>
  <w:style w:type="character" w:customStyle="1" w:styleId="153">
    <w:name w:val="标题 8 字符1"/>
    <w:basedOn w:val="90"/>
    <w:link w:val="11"/>
    <w:qFormat/>
    <w:uiPriority w:val="0"/>
    <w:rPr>
      <w:rFonts w:ascii="Arial" w:hAnsi="Arial" w:eastAsia="黑体" w:cs="Times New Roman"/>
      <w:kern w:val="0"/>
      <w:sz w:val="24"/>
      <w:szCs w:val="20"/>
    </w:rPr>
  </w:style>
  <w:style w:type="character" w:customStyle="1" w:styleId="154">
    <w:name w:val="标题 9 字符1"/>
    <w:basedOn w:val="90"/>
    <w:link w:val="12"/>
    <w:qFormat/>
    <w:uiPriority w:val="0"/>
    <w:rPr>
      <w:rFonts w:ascii="Arial" w:hAnsi="Arial" w:eastAsia="黑体" w:cs="Times New Roman"/>
      <w:kern w:val="0"/>
      <w:szCs w:val="20"/>
    </w:rPr>
  </w:style>
  <w:style w:type="character" w:customStyle="1" w:styleId="155">
    <w:name w:val="注释标题 字符1"/>
    <w:basedOn w:val="90"/>
    <w:link w:val="17"/>
    <w:qFormat/>
    <w:uiPriority w:val="0"/>
    <w:rPr>
      <w:rFonts w:ascii="Calibri" w:hAnsi="Calibri" w:eastAsia="宋体" w:cs="Times New Roman"/>
    </w:rPr>
  </w:style>
  <w:style w:type="character" w:customStyle="1" w:styleId="156">
    <w:name w:val="电子邮件签名 字符1"/>
    <w:basedOn w:val="90"/>
    <w:link w:val="20"/>
    <w:qFormat/>
    <w:uiPriority w:val="0"/>
    <w:rPr>
      <w:rFonts w:ascii="Calibri" w:hAnsi="Calibri" w:eastAsia="宋体" w:cs="Times New Roman"/>
    </w:rPr>
  </w:style>
  <w:style w:type="character" w:customStyle="1" w:styleId="157">
    <w:name w:val="文档结构图 字符1"/>
    <w:basedOn w:val="90"/>
    <w:link w:val="26"/>
    <w:qFormat/>
    <w:uiPriority w:val="0"/>
    <w:rPr>
      <w:rFonts w:ascii="Calibri" w:hAnsi="Calibri" w:eastAsia="宋体" w:cs="Times New Roman"/>
      <w:sz w:val="28"/>
      <w:shd w:val="clear" w:color="auto" w:fill="000080"/>
    </w:rPr>
  </w:style>
  <w:style w:type="character" w:customStyle="1" w:styleId="158">
    <w:name w:val="批注文字 字符1"/>
    <w:basedOn w:val="90"/>
    <w:link w:val="28"/>
    <w:qFormat/>
    <w:uiPriority w:val="0"/>
    <w:rPr>
      <w:rFonts w:ascii="Calibri" w:hAnsi="Calibri" w:eastAsia="宋体" w:cs="Times New Roman"/>
      <w:sz w:val="28"/>
      <w:szCs w:val="20"/>
    </w:rPr>
  </w:style>
  <w:style w:type="character" w:customStyle="1" w:styleId="159">
    <w:name w:val="称呼 字符1"/>
    <w:basedOn w:val="90"/>
    <w:link w:val="30"/>
    <w:qFormat/>
    <w:uiPriority w:val="0"/>
    <w:rPr>
      <w:rFonts w:ascii="宋体" w:hAnsi="Calibri" w:eastAsia="宋体" w:cs="Times New Roman"/>
      <w:sz w:val="28"/>
    </w:rPr>
  </w:style>
  <w:style w:type="character" w:customStyle="1" w:styleId="160">
    <w:name w:val="正文文本 3 字符1"/>
    <w:basedOn w:val="90"/>
    <w:link w:val="31"/>
    <w:qFormat/>
    <w:uiPriority w:val="0"/>
    <w:rPr>
      <w:rFonts w:ascii="Calibri" w:hAnsi="Calibri" w:eastAsia="宋体" w:cs="Times New Roman"/>
      <w:sz w:val="16"/>
    </w:rPr>
  </w:style>
  <w:style w:type="character" w:customStyle="1" w:styleId="161">
    <w:name w:val="结束语 字符1"/>
    <w:basedOn w:val="90"/>
    <w:link w:val="32"/>
    <w:qFormat/>
    <w:uiPriority w:val="0"/>
    <w:rPr>
      <w:rFonts w:ascii="Calibri" w:hAnsi="Calibri" w:eastAsia="宋体" w:cs="Times New Roman"/>
    </w:rPr>
  </w:style>
  <w:style w:type="character" w:customStyle="1" w:styleId="162">
    <w:name w:val="正文文本 字符1"/>
    <w:basedOn w:val="90"/>
    <w:link w:val="34"/>
    <w:qFormat/>
    <w:uiPriority w:val="0"/>
    <w:rPr>
      <w:rFonts w:ascii="Calibri" w:hAnsi="Calibri" w:eastAsia="宋体" w:cs="Times New Roman"/>
      <w:sz w:val="28"/>
      <w:szCs w:val="20"/>
    </w:rPr>
  </w:style>
  <w:style w:type="character" w:customStyle="1" w:styleId="163">
    <w:name w:val="正文文本 Char3"/>
    <w:basedOn w:val="90"/>
    <w:semiHidden/>
    <w:qFormat/>
    <w:uiPriority w:val="99"/>
    <w:rPr>
      <w:rFonts w:ascii="Calibri" w:hAnsi="Calibri" w:eastAsia="宋体" w:cs="Times New Roman"/>
      <w:sz w:val="28"/>
      <w:szCs w:val="20"/>
    </w:rPr>
  </w:style>
  <w:style w:type="character" w:customStyle="1" w:styleId="164">
    <w:name w:val="正文文本缩进 字符1"/>
    <w:basedOn w:val="90"/>
    <w:link w:val="35"/>
    <w:qFormat/>
    <w:uiPriority w:val="0"/>
    <w:rPr>
      <w:rFonts w:ascii="Calibri" w:hAnsi="Calibri" w:eastAsia="宋体" w:cs="Times New Roman"/>
      <w:sz w:val="28"/>
      <w:szCs w:val="20"/>
    </w:rPr>
  </w:style>
  <w:style w:type="character" w:customStyle="1" w:styleId="165">
    <w:name w:val="HTML 地址 字符1"/>
    <w:basedOn w:val="90"/>
    <w:link w:val="43"/>
    <w:qFormat/>
    <w:uiPriority w:val="0"/>
    <w:rPr>
      <w:rFonts w:ascii="Calibri" w:hAnsi="Calibri" w:eastAsia="宋体" w:cs="Times New Roman"/>
      <w:i/>
    </w:rPr>
  </w:style>
  <w:style w:type="character" w:customStyle="1" w:styleId="166">
    <w:name w:val="纯文本 字符1"/>
    <w:basedOn w:val="90"/>
    <w:link w:val="47"/>
    <w:qFormat/>
    <w:uiPriority w:val="0"/>
    <w:rPr>
      <w:rFonts w:ascii="宋体" w:hAnsi="Courier New" w:eastAsia="宋体" w:cs="Times New Roman"/>
    </w:rPr>
  </w:style>
  <w:style w:type="character" w:customStyle="1" w:styleId="167">
    <w:name w:val="正文文本缩进 2 字符1"/>
    <w:basedOn w:val="90"/>
    <w:link w:val="54"/>
    <w:qFormat/>
    <w:uiPriority w:val="0"/>
    <w:rPr>
      <w:rFonts w:ascii="黑体" w:hAnsi="Calibri" w:eastAsia="黑体" w:cs="Times New Roman"/>
      <w:sz w:val="28"/>
    </w:rPr>
  </w:style>
  <w:style w:type="character" w:customStyle="1" w:styleId="168">
    <w:name w:val="尾注文本 字符1"/>
    <w:basedOn w:val="90"/>
    <w:link w:val="55"/>
    <w:qFormat/>
    <w:uiPriority w:val="0"/>
    <w:rPr>
      <w:rFonts w:ascii="Calibri" w:hAnsi="Calibri" w:eastAsia="宋体" w:cs="Times New Roman"/>
    </w:rPr>
  </w:style>
  <w:style w:type="character" w:customStyle="1" w:styleId="169">
    <w:name w:val="批注框文本 字符1"/>
    <w:basedOn w:val="90"/>
    <w:link w:val="57"/>
    <w:qFormat/>
    <w:uiPriority w:val="99"/>
    <w:rPr>
      <w:rFonts w:ascii="Calibri" w:hAnsi="Calibri" w:eastAsia="宋体" w:cs="Times New Roman"/>
      <w:sz w:val="18"/>
    </w:rPr>
  </w:style>
  <w:style w:type="character" w:customStyle="1" w:styleId="170">
    <w:name w:val="页脚 字符1"/>
    <w:basedOn w:val="90"/>
    <w:qFormat/>
    <w:uiPriority w:val="99"/>
    <w:rPr>
      <w:sz w:val="18"/>
      <w:szCs w:val="18"/>
    </w:rPr>
  </w:style>
  <w:style w:type="character" w:customStyle="1" w:styleId="171">
    <w:name w:val="页眉 字符1"/>
    <w:basedOn w:val="90"/>
    <w:qFormat/>
    <w:uiPriority w:val="99"/>
    <w:rPr>
      <w:sz w:val="18"/>
      <w:szCs w:val="18"/>
    </w:rPr>
  </w:style>
  <w:style w:type="character" w:customStyle="1" w:styleId="172">
    <w:name w:val="签名 字符1"/>
    <w:basedOn w:val="90"/>
    <w:link w:val="61"/>
    <w:qFormat/>
    <w:uiPriority w:val="0"/>
    <w:rPr>
      <w:rFonts w:ascii="Calibri" w:hAnsi="Calibri" w:eastAsia="宋体" w:cs="Times New Roman"/>
    </w:rPr>
  </w:style>
  <w:style w:type="character" w:customStyle="1" w:styleId="173">
    <w:name w:val="副标题 字符1"/>
    <w:basedOn w:val="90"/>
    <w:link w:val="67"/>
    <w:qFormat/>
    <w:uiPriority w:val="0"/>
    <w:rPr>
      <w:rFonts w:ascii="Cambria" w:hAnsi="Cambria" w:eastAsia="宋体" w:cs="Times New Roman"/>
      <w:b/>
      <w:kern w:val="28"/>
      <w:sz w:val="32"/>
    </w:rPr>
  </w:style>
  <w:style w:type="character" w:customStyle="1" w:styleId="174">
    <w:name w:val="脚注文本 字符1"/>
    <w:basedOn w:val="90"/>
    <w:link w:val="70"/>
    <w:qFormat/>
    <w:uiPriority w:val="0"/>
    <w:rPr>
      <w:rFonts w:ascii="Calibri" w:hAnsi="Calibri" w:eastAsia="宋体" w:cs="Times New Roman"/>
      <w:sz w:val="18"/>
    </w:rPr>
  </w:style>
  <w:style w:type="character" w:customStyle="1" w:styleId="175">
    <w:name w:val="正文文本缩进 3 字符1"/>
    <w:basedOn w:val="90"/>
    <w:link w:val="73"/>
    <w:qFormat/>
    <w:uiPriority w:val="0"/>
    <w:rPr>
      <w:rFonts w:ascii="Calibri" w:hAnsi="Calibri" w:eastAsia="宋体" w:cs="Times New Roman"/>
      <w:sz w:val="28"/>
    </w:rPr>
  </w:style>
  <w:style w:type="character" w:customStyle="1" w:styleId="176">
    <w:name w:val="正文文本 2 字符1"/>
    <w:basedOn w:val="90"/>
    <w:link w:val="78"/>
    <w:qFormat/>
    <w:uiPriority w:val="0"/>
    <w:rPr>
      <w:rFonts w:ascii="Calibri" w:hAnsi="Calibri" w:eastAsia="宋体" w:cs="Times New Roman"/>
    </w:rPr>
  </w:style>
  <w:style w:type="character" w:customStyle="1" w:styleId="177">
    <w:name w:val="信息标题 字符1"/>
    <w:basedOn w:val="90"/>
    <w:link w:val="81"/>
    <w:qFormat/>
    <w:uiPriority w:val="0"/>
    <w:rPr>
      <w:rFonts w:ascii="Arial" w:hAnsi="Arial" w:eastAsia="宋体" w:cs="Times New Roman"/>
      <w:sz w:val="24"/>
      <w:shd w:val="pct20" w:color="auto" w:fill="auto"/>
    </w:rPr>
  </w:style>
  <w:style w:type="character" w:customStyle="1" w:styleId="178">
    <w:name w:val="批注主题 字符1"/>
    <w:basedOn w:val="179"/>
    <w:link w:val="87"/>
    <w:qFormat/>
    <w:uiPriority w:val="0"/>
    <w:rPr>
      <w:rFonts w:ascii="Calibri" w:hAnsi="Calibri" w:eastAsia="宋体" w:cs="Times New Roman"/>
      <w:b/>
      <w:sz w:val="28"/>
      <w:szCs w:val="20"/>
    </w:rPr>
  </w:style>
  <w:style w:type="character" w:customStyle="1" w:styleId="179">
    <w:name w:val="批注文字 Char2"/>
    <w:basedOn w:val="90"/>
    <w:semiHidden/>
    <w:qFormat/>
    <w:uiPriority w:val="99"/>
    <w:rPr>
      <w:rFonts w:ascii="Calibri" w:hAnsi="Calibri" w:eastAsia="宋体" w:cs="Times New Roman"/>
      <w:sz w:val="28"/>
      <w:szCs w:val="20"/>
    </w:rPr>
  </w:style>
  <w:style w:type="character" w:customStyle="1" w:styleId="180">
    <w:name w:val="正文文本缩进 Char3"/>
    <w:basedOn w:val="90"/>
    <w:semiHidden/>
    <w:qFormat/>
    <w:uiPriority w:val="99"/>
    <w:rPr>
      <w:rFonts w:ascii="Calibri" w:hAnsi="Calibri" w:eastAsia="宋体" w:cs="Times New Roman"/>
      <w:sz w:val="28"/>
      <w:szCs w:val="20"/>
    </w:rPr>
  </w:style>
  <w:style w:type="character" w:customStyle="1" w:styleId="181">
    <w:name w:val="HTML 地址 Char"/>
    <w:basedOn w:val="90"/>
    <w:qFormat/>
    <w:uiPriority w:val="0"/>
    <w:rPr>
      <w:rFonts w:ascii="Calibri" w:hAnsi="Calibri" w:eastAsia="宋体" w:cs="Times New Roman"/>
      <w:i/>
      <w:iCs/>
      <w:sz w:val="28"/>
      <w:szCs w:val="20"/>
    </w:rPr>
  </w:style>
  <w:style w:type="character" w:customStyle="1" w:styleId="182">
    <w:name w:val="无间隔 Char"/>
    <w:link w:val="183"/>
    <w:qFormat/>
    <w:locked/>
    <w:uiPriority w:val="0"/>
    <w:rPr>
      <w:rFonts w:ascii="宋体" w:hAnsi="宋体"/>
      <w:szCs w:val="24"/>
    </w:rPr>
  </w:style>
  <w:style w:type="paragraph" w:customStyle="1" w:styleId="183">
    <w:name w:val="无间隔1"/>
    <w:basedOn w:val="1"/>
    <w:link w:val="182"/>
    <w:qFormat/>
    <w:uiPriority w:val="0"/>
    <w:rPr>
      <w:rFonts w:ascii="宋体" w:hAnsi="宋体" w:eastAsiaTheme="minorEastAsia" w:cstheme="minorBidi"/>
      <w:sz w:val="21"/>
      <w:szCs w:val="24"/>
    </w:rPr>
  </w:style>
  <w:style w:type="character" w:customStyle="1" w:styleId="184">
    <w:name w:val="页码1"/>
    <w:qFormat/>
    <w:uiPriority w:val="0"/>
  </w:style>
  <w:style w:type="character" w:customStyle="1" w:styleId="185">
    <w:name w:val="正文文本 2 Char1"/>
    <w:qFormat/>
    <w:uiPriority w:val="0"/>
  </w:style>
  <w:style w:type="character" w:customStyle="1" w:styleId="186">
    <w:name w:val="Char Char17"/>
    <w:qFormat/>
    <w:uiPriority w:val="0"/>
    <w:rPr>
      <w:kern w:val="2"/>
      <w:sz w:val="18"/>
    </w:rPr>
  </w:style>
  <w:style w:type="character" w:customStyle="1" w:styleId="187">
    <w:name w:val="列出段落 字符"/>
    <w:qFormat/>
    <w:uiPriority w:val="0"/>
    <w:rPr>
      <w:kern w:val="2"/>
      <w:sz w:val="21"/>
    </w:rPr>
  </w:style>
  <w:style w:type="character" w:customStyle="1" w:styleId="188">
    <w:name w:val="电子邮件签名 Char"/>
    <w:basedOn w:val="90"/>
    <w:qFormat/>
    <w:uiPriority w:val="0"/>
    <w:rPr>
      <w:rFonts w:ascii="Calibri" w:hAnsi="Calibri" w:eastAsia="宋体" w:cs="Times New Roman"/>
      <w:sz w:val="28"/>
      <w:szCs w:val="20"/>
    </w:rPr>
  </w:style>
  <w:style w:type="character" w:customStyle="1" w:styleId="189">
    <w:name w:val="标题 1 1 Char"/>
    <w:qFormat/>
    <w:uiPriority w:val="0"/>
    <w:rPr>
      <w:rFonts w:ascii="Times New Roman" w:hAnsi="Times New Roman" w:eastAsia="宋体"/>
      <w:b/>
      <w:kern w:val="44"/>
      <w:sz w:val="44"/>
    </w:rPr>
  </w:style>
  <w:style w:type="character" w:customStyle="1" w:styleId="190">
    <w:name w:val="HTML 预设格式 Char2"/>
    <w:qFormat/>
    <w:uiPriority w:val="0"/>
    <w:rPr>
      <w:rFonts w:ascii="黑体" w:hAnsi="Courier New" w:eastAsia="黑体"/>
    </w:rPr>
  </w:style>
  <w:style w:type="character" w:customStyle="1" w:styleId="191">
    <w:name w:val="even Char Char"/>
    <w:qFormat/>
    <w:uiPriority w:val="0"/>
    <w:rPr>
      <w:rFonts w:ascii="Times New Roman" w:hAnsi="Times New Roman" w:eastAsia="宋体"/>
      <w:sz w:val="18"/>
    </w:rPr>
  </w:style>
  <w:style w:type="character" w:customStyle="1" w:styleId="192">
    <w:name w:val="标题 3 Char1"/>
    <w:qFormat/>
    <w:uiPriority w:val="0"/>
    <w:rPr>
      <w:rFonts w:eastAsia="宋体"/>
      <w:b/>
      <w:kern w:val="2"/>
      <w:sz w:val="32"/>
      <w:lang w:val="en-US" w:eastAsia="zh-CN"/>
    </w:rPr>
  </w:style>
  <w:style w:type="character" w:customStyle="1" w:styleId="193">
    <w:name w:val="正文文本缩进 Char1"/>
    <w:qFormat/>
    <w:uiPriority w:val="0"/>
    <w:rPr>
      <w:rFonts w:ascii="宋体" w:hAnsi="宋体" w:eastAsia="宋体"/>
      <w:spacing w:val="-6"/>
      <w:kern w:val="2"/>
      <w:sz w:val="21"/>
      <w:lang w:val="en-US" w:eastAsia="zh-CN"/>
    </w:rPr>
  </w:style>
  <w:style w:type="character" w:customStyle="1" w:styleId="194">
    <w:name w:val="lemmatitleh11"/>
    <w:qFormat/>
    <w:uiPriority w:val="0"/>
  </w:style>
  <w:style w:type="character" w:customStyle="1" w:styleId="195">
    <w:name w:val="bemq"/>
    <w:qFormat/>
    <w:uiPriority w:val="0"/>
  </w:style>
  <w:style w:type="character" w:customStyle="1" w:styleId="196">
    <w:name w:val="样式10 Char"/>
    <w:link w:val="197"/>
    <w:qFormat/>
    <w:uiPriority w:val="0"/>
    <w:rPr>
      <w:b/>
      <w:sz w:val="24"/>
    </w:rPr>
  </w:style>
  <w:style w:type="paragraph" w:customStyle="1" w:styleId="197">
    <w:name w:val="样式10"/>
    <w:basedOn w:val="1"/>
    <w:link w:val="196"/>
    <w:qFormat/>
    <w:uiPriority w:val="0"/>
    <w:pPr>
      <w:spacing w:line="360" w:lineRule="auto"/>
    </w:pPr>
    <w:rPr>
      <w:rFonts w:asciiTheme="minorHAnsi" w:hAnsiTheme="minorHAnsi" w:eastAsiaTheme="minorEastAsia" w:cstheme="minorBidi"/>
      <w:b/>
      <w:sz w:val="24"/>
      <w:szCs w:val="22"/>
    </w:rPr>
  </w:style>
  <w:style w:type="character" w:customStyle="1" w:styleId="198">
    <w:name w:val="正文文本 3 Char1"/>
    <w:qFormat/>
    <w:uiPriority w:val="0"/>
    <w:rPr>
      <w:rFonts w:eastAsia="宋体"/>
      <w:color w:val="FF0000"/>
      <w:kern w:val="2"/>
      <w:sz w:val="24"/>
      <w:lang w:val="en-US" w:eastAsia="zh-CN"/>
    </w:rPr>
  </w:style>
  <w:style w:type="character" w:customStyle="1" w:styleId="199">
    <w:name w:val="Char Char16"/>
    <w:qFormat/>
    <w:uiPriority w:val="0"/>
    <w:rPr>
      <w:kern w:val="2"/>
      <w:sz w:val="18"/>
    </w:rPr>
  </w:style>
  <w:style w:type="character" w:customStyle="1" w:styleId="200">
    <w:name w:val="批注主题 Char1"/>
    <w:qFormat/>
    <w:uiPriority w:val="0"/>
    <w:rPr>
      <w:b/>
    </w:rPr>
  </w:style>
  <w:style w:type="character" w:customStyle="1" w:styleId="201">
    <w:name w:val="qclx"/>
    <w:qFormat/>
    <w:uiPriority w:val="0"/>
  </w:style>
  <w:style w:type="character" w:customStyle="1" w:styleId="202">
    <w:name w:val="批注框文本 Char1"/>
    <w:qFormat/>
    <w:uiPriority w:val="0"/>
    <w:rPr>
      <w:rFonts w:eastAsia="宋体"/>
      <w:kern w:val="2"/>
      <w:sz w:val="18"/>
      <w:lang w:val="en-US" w:eastAsia="zh-CN"/>
    </w:rPr>
  </w:style>
  <w:style w:type="character" w:customStyle="1" w:styleId="203">
    <w:name w:val="j23x"/>
    <w:qFormat/>
    <w:uiPriority w:val="0"/>
  </w:style>
  <w:style w:type="character" w:customStyle="1" w:styleId="204">
    <w:name w:val="z-窗体底端 Char"/>
    <w:qFormat/>
    <w:uiPriority w:val="0"/>
    <w:rPr>
      <w:rFonts w:ascii="Arial" w:hAnsi="Arial"/>
      <w:vanish/>
      <w:sz w:val="16"/>
    </w:rPr>
  </w:style>
  <w:style w:type="character" w:customStyle="1" w:styleId="205">
    <w:name w:val="HTML 代码1"/>
    <w:qFormat/>
    <w:uiPriority w:val="0"/>
    <w:rPr>
      <w:rFonts w:ascii="Courier New" w:hAnsi="Courier New"/>
      <w:sz w:val="20"/>
    </w:rPr>
  </w:style>
  <w:style w:type="character" w:customStyle="1" w:styleId="206">
    <w:name w:val="567r"/>
    <w:qFormat/>
    <w:uiPriority w:val="0"/>
  </w:style>
  <w:style w:type="character" w:customStyle="1" w:styleId="207">
    <w:name w:val="正文首行缩进 Char"/>
    <w:basedOn w:val="162"/>
    <w:link w:val="208"/>
    <w:qFormat/>
    <w:uiPriority w:val="0"/>
    <w:rPr>
      <w:rFonts w:ascii="Calibri" w:hAnsi="Calibri" w:eastAsia="宋体" w:cs="Times New Roman"/>
      <w:sz w:val="28"/>
      <w:szCs w:val="20"/>
    </w:rPr>
  </w:style>
  <w:style w:type="paragraph" w:customStyle="1" w:styleId="208">
    <w:name w:val="正文首行缩进1"/>
    <w:basedOn w:val="34"/>
    <w:link w:val="207"/>
    <w:qFormat/>
    <w:uiPriority w:val="0"/>
    <w:pPr>
      <w:spacing w:after="0"/>
      <w:ind w:firstLine="420" w:firstLineChars="100"/>
    </w:pPr>
  </w:style>
  <w:style w:type="character" w:customStyle="1" w:styleId="209">
    <w:name w:val="font01"/>
    <w:basedOn w:val="90"/>
    <w:qFormat/>
    <w:uiPriority w:val="0"/>
    <w:rPr>
      <w:rFonts w:hint="eastAsia" w:ascii="宋体" w:hAnsi="宋体" w:eastAsia="宋体" w:cs="宋体"/>
      <w:color w:val="000000"/>
      <w:sz w:val="22"/>
      <w:szCs w:val="22"/>
      <w:u w:val="none"/>
    </w:rPr>
  </w:style>
  <w:style w:type="character" w:customStyle="1" w:styleId="210">
    <w:name w:val="文档结构图 Char1"/>
    <w:qFormat/>
    <w:uiPriority w:val="0"/>
    <w:rPr>
      <w:rFonts w:eastAsia="宋体"/>
      <w:kern w:val="2"/>
      <w:sz w:val="21"/>
      <w:lang w:val="en-US" w:eastAsia="zh-CN"/>
    </w:rPr>
  </w:style>
  <w:style w:type="character" w:customStyle="1" w:styleId="211">
    <w:name w:val="15"/>
    <w:qFormat/>
    <w:uiPriority w:val="0"/>
  </w:style>
  <w:style w:type="character" w:customStyle="1" w:styleId="212">
    <w:name w:val="页脚 Char2"/>
    <w:qFormat/>
    <w:uiPriority w:val="0"/>
    <w:rPr>
      <w:kern w:val="2"/>
      <w:sz w:val="18"/>
    </w:rPr>
  </w:style>
  <w:style w:type="character" w:customStyle="1" w:styleId="213">
    <w:name w:val="内文 Char Char"/>
    <w:link w:val="214"/>
    <w:qFormat/>
    <w:uiPriority w:val="0"/>
    <w:rPr>
      <w:rFonts w:ascii="Arial" w:hAnsi="Arial" w:eastAsia="Times New Roman"/>
    </w:rPr>
  </w:style>
  <w:style w:type="paragraph" w:customStyle="1" w:styleId="214">
    <w:name w:val="内文"/>
    <w:link w:val="213"/>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215">
    <w:name w:val="副标题 Char1"/>
    <w:qFormat/>
    <w:uiPriority w:val="0"/>
    <w:rPr>
      <w:rFonts w:ascii="Calibri Light" w:hAnsi="Calibri Light" w:eastAsia="宋体"/>
      <w:b/>
      <w:kern w:val="28"/>
      <w:sz w:val="32"/>
    </w:rPr>
  </w:style>
  <w:style w:type="character" w:customStyle="1" w:styleId="216">
    <w:name w:val="样式 标题 3Heading 3 Char1Heading 3 Char Char列表编号33 bullet2ERM... Char"/>
    <w:link w:val="217"/>
    <w:qFormat/>
    <w:uiPriority w:val="0"/>
    <w:rPr>
      <w:b/>
    </w:rPr>
  </w:style>
  <w:style w:type="paragraph" w:customStyle="1" w:styleId="217">
    <w:name w:val="样式 标题 3Heading 3 Char1Heading 3 Char Char列表编号33 bullet2ERM..."/>
    <w:basedOn w:val="6"/>
    <w:link w:val="216"/>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218">
    <w:name w:val="批注文字 Char1"/>
    <w:qFormat/>
    <w:uiPriority w:val="0"/>
    <w:rPr>
      <w:rFonts w:eastAsia="宋体"/>
      <w:kern w:val="2"/>
      <w:sz w:val="21"/>
      <w:lang w:val="en-US" w:eastAsia="zh-CN"/>
    </w:rPr>
  </w:style>
  <w:style w:type="character" w:customStyle="1" w:styleId="219">
    <w:name w:val="fonts11"/>
    <w:qFormat/>
    <w:uiPriority w:val="0"/>
    <w:rPr>
      <w:sz w:val="18"/>
    </w:rPr>
  </w:style>
  <w:style w:type="character" w:customStyle="1" w:styleId="220">
    <w:name w:val="正文非缩进 Char"/>
    <w:qFormat/>
    <w:uiPriority w:val="0"/>
    <w:rPr>
      <w:rFonts w:ascii="宋体" w:eastAsia="宋体"/>
      <w:snapToGrid w:val="0"/>
      <w:color w:val="000000"/>
      <w:kern w:val="28"/>
      <w:sz w:val="28"/>
      <w:lang w:val="en-US" w:eastAsia="zh-CN"/>
    </w:rPr>
  </w:style>
  <w:style w:type="character" w:customStyle="1" w:styleId="221">
    <w:name w:val="my Char"/>
    <w:link w:val="222"/>
    <w:qFormat/>
    <w:uiPriority w:val="0"/>
    <w:rPr>
      <w:rFonts w:ascii="宋体" w:hAnsi="宋体"/>
      <w:sz w:val="24"/>
    </w:rPr>
  </w:style>
  <w:style w:type="paragraph" w:customStyle="1" w:styleId="222">
    <w:name w:val="my"/>
    <w:basedOn w:val="1"/>
    <w:link w:val="22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23">
    <w:name w:val="纯文本 Char"/>
    <w:basedOn w:val="90"/>
    <w:qFormat/>
    <w:uiPriority w:val="0"/>
    <w:rPr>
      <w:rFonts w:ascii="宋体" w:hAnsi="Courier New" w:eastAsia="宋体" w:cs="Courier New"/>
      <w:szCs w:val="21"/>
    </w:rPr>
  </w:style>
  <w:style w:type="character" w:customStyle="1" w:styleId="224">
    <w:name w:val="highlight1"/>
    <w:qFormat/>
    <w:uiPriority w:val="0"/>
    <w:rPr>
      <w:color w:val="FF0000"/>
    </w:rPr>
  </w:style>
  <w:style w:type="character" w:customStyle="1" w:styleId="225">
    <w:name w:val="h2 Char"/>
    <w:qFormat/>
    <w:uiPriority w:val="0"/>
    <w:rPr>
      <w:rFonts w:ascii="Arial" w:hAnsi="Arial" w:eastAsia="黑体"/>
      <w:color w:val="0000FF"/>
      <w:sz w:val="24"/>
      <w:lang w:val="en-US" w:eastAsia="zh-CN"/>
    </w:rPr>
  </w:style>
  <w:style w:type="character" w:customStyle="1" w:styleId="226">
    <w:name w:val="签名 Char"/>
    <w:basedOn w:val="90"/>
    <w:qFormat/>
    <w:uiPriority w:val="0"/>
    <w:rPr>
      <w:rFonts w:ascii="Calibri" w:hAnsi="Calibri" w:eastAsia="宋体" w:cs="Times New Roman"/>
      <w:sz w:val="28"/>
      <w:szCs w:val="20"/>
    </w:rPr>
  </w:style>
  <w:style w:type="character" w:customStyle="1" w:styleId="227">
    <w:name w:val="apple-converted-space"/>
    <w:qFormat/>
    <w:uiPriority w:val="0"/>
  </w:style>
  <w:style w:type="character" w:customStyle="1" w:styleId="228">
    <w:name w:val="纯文本 Char1"/>
    <w:qFormat/>
    <w:uiPriority w:val="0"/>
    <w:rPr>
      <w:rFonts w:ascii="宋体" w:hAnsi="Courier New" w:eastAsia="宋体"/>
      <w:kern w:val="2"/>
      <w:sz w:val="21"/>
    </w:rPr>
  </w:style>
  <w:style w:type="character" w:customStyle="1" w:styleId="229">
    <w:name w:val="纯文本 Char3"/>
    <w:qFormat/>
    <w:uiPriority w:val="0"/>
    <w:rPr>
      <w:rFonts w:ascii="宋体" w:hAnsi="Courier New" w:eastAsia="宋体"/>
    </w:rPr>
  </w:style>
  <w:style w:type="character" w:customStyle="1" w:styleId="230">
    <w:name w:val="样式 正文文本 Char"/>
    <w:link w:val="231"/>
    <w:qFormat/>
    <w:uiPriority w:val="0"/>
    <w:rPr>
      <w:rFonts w:ascii="Arial" w:hAnsi="Arial"/>
      <w:color w:val="000000"/>
    </w:rPr>
  </w:style>
  <w:style w:type="paragraph" w:customStyle="1" w:styleId="231">
    <w:name w:val="样式 正文文本"/>
    <w:basedOn w:val="1"/>
    <w:link w:val="230"/>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32">
    <w:name w:val="font21"/>
    <w:basedOn w:val="90"/>
    <w:qFormat/>
    <w:uiPriority w:val="0"/>
    <w:rPr>
      <w:rFonts w:hint="eastAsia" w:ascii="宋体" w:hAnsi="宋体" w:eastAsia="宋体"/>
      <w:color w:val="FF0000"/>
      <w:sz w:val="21"/>
      <w:u w:val="none"/>
      <w:vertAlign w:val="superscript"/>
    </w:rPr>
  </w:style>
  <w:style w:type="character" w:customStyle="1" w:styleId="233">
    <w:name w:val="文档结构图 Char"/>
    <w:basedOn w:val="90"/>
    <w:qFormat/>
    <w:uiPriority w:val="0"/>
    <w:rPr>
      <w:rFonts w:ascii="宋体" w:hAnsi="Calibri" w:eastAsia="宋体" w:cs="Times New Roman"/>
      <w:sz w:val="18"/>
      <w:szCs w:val="18"/>
    </w:rPr>
  </w:style>
  <w:style w:type="character" w:customStyle="1" w:styleId="234">
    <w:name w:val="font41"/>
    <w:qFormat/>
    <w:uiPriority w:val="0"/>
    <w:rPr>
      <w:rFonts w:hint="eastAsia" w:ascii="宋体" w:hAnsi="宋体" w:eastAsia="宋体" w:cs="宋体"/>
      <w:color w:val="000000"/>
      <w:sz w:val="20"/>
      <w:szCs w:val="20"/>
      <w:u w:val="none"/>
    </w:rPr>
  </w:style>
  <w:style w:type="character" w:customStyle="1" w:styleId="235">
    <w:name w:val="标题 Char1"/>
    <w:qFormat/>
    <w:uiPriority w:val="0"/>
    <w:rPr>
      <w:rFonts w:ascii="Cambria" w:hAnsi="Cambria" w:eastAsia="宋体"/>
      <w:b/>
      <w:sz w:val="32"/>
    </w:rPr>
  </w:style>
  <w:style w:type="character" w:customStyle="1" w:styleId="236">
    <w:name w:val="Char Char6"/>
    <w:qFormat/>
    <w:uiPriority w:val="0"/>
    <w:rPr>
      <w:rFonts w:ascii="宋体" w:hAnsi="Courier New" w:eastAsia="宋体"/>
      <w:kern w:val="2"/>
      <w:sz w:val="21"/>
      <w:lang w:val="en-US" w:eastAsia="zh-CN"/>
    </w:rPr>
  </w:style>
  <w:style w:type="character" w:customStyle="1" w:styleId="237">
    <w:name w:val="s81i"/>
    <w:qFormat/>
    <w:uiPriority w:val="0"/>
  </w:style>
  <w:style w:type="character" w:customStyle="1" w:styleId="238">
    <w:name w:val="页眉 Char2"/>
    <w:qFormat/>
    <w:uiPriority w:val="0"/>
    <w:rPr>
      <w:kern w:val="2"/>
      <w:sz w:val="18"/>
    </w:rPr>
  </w:style>
  <w:style w:type="character" w:customStyle="1" w:styleId="239">
    <w:name w:val="样式1 Char Char"/>
    <w:link w:val="240"/>
    <w:qFormat/>
    <w:uiPriority w:val="0"/>
    <w:rPr>
      <w:rFonts w:ascii="黑体"/>
      <w:b/>
      <w:sz w:val="32"/>
    </w:rPr>
  </w:style>
  <w:style w:type="paragraph" w:customStyle="1" w:styleId="240">
    <w:name w:val="样式1"/>
    <w:basedOn w:val="2"/>
    <w:link w:val="239"/>
    <w:qFormat/>
    <w:uiPriority w:val="0"/>
    <w:pPr>
      <w:tabs>
        <w:tab w:val="left" w:pos="-839"/>
      </w:tabs>
      <w:ind w:left="1320" w:hanging="1320"/>
    </w:pPr>
    <w:rPr>
      <w:rFonts w:hAnsiTheme="minorHAnsi" w:eastAsiaTheme="minorEastAsia" w:cstheme="minorBidi"/>
      <w:kern w:val="2"/>
      <w:szCs w:val="22"/>
    </w:rPr>
  </w:style>
  <w:style w:type="character" w:customStyle="1" w:styleId="241">
    <w:name w:val="正文文本 3 Char"/>
    <w:basedOn w:val="90"/>
    <w:qFormat/>
    <w:uiPriority w:val="0"/>
    <w:rPr>
      <w:rFonts w:ascii="Calibri" w:hAnsi="Calibri" w:eastAsia="宋体" w:cs="Times New Roman"/>
      <w:sz w:val="16"/>
      <w:szCs w:val="16"/>
    </w:rPr>
  </w:style>
  <w:style w:type="character" w:customStyle="1" w:styleId="242">
    <w:name w:val="z-窗体底端 字符"/>
    <w:qFormat/>
    <w:uiPriority w:val="0"/>
    <w:rPr>
      <w:rFonts w:ascii="Arial" w:hAnsi="Arial"/>
      <w:vanish/>
      <w:kern w:val="2"/>
      <w:sz w:val="16"/>
    </w:rPr>
  </w:style>
  <w:style w:type="character" w:customStyle="1" w:styleId="243">
    <w:name w:val="Char Char21"/>
    <w:qFormat/>
    <w:uiPriority w:val="0"/>
    <w:rPr>
      <w:rFonts w:eastAsia="楷体_GB2312"/>
      <w:kern w:val="2"/>
      <w:sz w:val="28"/>
      <w:lang w:val="en-US" w:eastAsia="zh-CN"/>
    </w:rPr>
  </w:style>
  <w:style w:type="character" w:customStyle="1" w:styleId="244">
    <w:name w:val="标题 1 Char2"/>
    <w:qFormat/>
    <w:uiPriority w:val="0"/>
    <w:rPr>
      <w:rFonts w:ascii="Arial Unicode MS" w:hAnsi="Arial Unicode MS" w:eastAsia="Arial Unicode MS"/>
      <w:b/>
      <w:kern w:val="36"/>
      <w:sz w:val="48"/>
      <w:lang w:val="en-US" w:eastAsia="zh-CN"/>
    </w:rPr>
  </w:style>
  <w:style w:type="character" w:customStyle="1" w:styleId="245">
    <w:name w:val="正文2 Char"/>
    <w:link w:val="246"/>
    <w:qFormat/>
    <w:uiPriority w:val="0"/>
    <w:rPr>
      <w:rFonts w:eastAsia="宋体"/>
      <w:sz w:val="24"/>
    </w:rPr>
  </w:style>
  <w:style w:type="paragraph" w:customStyle="1" w:styleId="246">
    <w:name w:val="正文2"/>
    <w:basedOn w:val="1"/>
    <w:link w:val="245"/>
    <w:qFormat/>
    <w:uiPriority w:val="0"/>
    <w:pPr>
      <w:spacing w:before="156" w:line="360" w:lineRule="auto"/>
      <w:ind w:firstLine="510" w:firstLineChars="200"/>
    </w:pPr>
    <w:rPr>
      <w:rFonts w:asciiTheme="minorHAnsi" w:hAnsiTheme="minorHAnsi" w:cstheme="minorBidi"/>
      <w:sz w:val="24"/>
      <w:szCs w:val="22"/>
    </w:rPr>
  </w:style>
  <w:style w:type="character" w:customStyle="1" w:styleId="247">
    <w:name w:val="标题 3 Char Char Char"/>
    <w:qFormat/>
    <w:uiPriority w:val="0"/>
    <w:rPr>
      <w:rFonts w:eastAsia="宋体"/>
      <w:b/>
      <w:kern w:val="2"/>
      <w:sz w:val="32"/>
      <w:lang w:val="en-US" w:eastAsia="zh-CN"/>
    </w:rPr>
  </w:style>
  <w:style w:type="character" w:customStyle="1" w:styleId="248">
    <w:name w:val="批注引用1"/>
    <w:qFormat/>
    <w:uiPriority w:val="0"/>
    <w:rPr>
      <w:sz w:val="21"/>
    </w:rPr>
  </w:style>
  <w:style w:type="character" w:customStyle="1" w:styleId="249">
    <w:name w:val="z-窗体顶端 Char1"/>
    <w:qFormat/>
    <w:uiPriority w:val="0"/>
    <w:rPr>
      <w:rFonts w:ascii="Arial" w:hAnsi="Arial"/>
      <w:vanish/>
      <w:sz w:val="16"/>
    </w:rPr>
  </w:style>
  <w:style w:type="character" w:customStyle="1" w:styleId="250">
    <w:name w:val="标题 1 1 Char1"/>
    <w:qFormat/>
    <w:uiPriority w:val="0"/>
    <w:rPr>
      <w:rFonts w:ascii="Times New Roman" w:hAnsi="Times New Roman" w:eastAsia="宋体"/>
      <w:b/>
      <w:kern w:val="44"/>
      <w:sz w:val="44"/>
    </w:rPr>
  </w:style>
  <w:style w:type="character" w:customStyle="1" w:styleId="251">
    <w:name w:val="Comment Text Char"/>
    <w:qFormat/>
    <w:uiPriority w:val="0"/>
    <w:rPr>
      <w:rFonts w:ascii="Times New Roman" w:hAnsi="Times New Roman" w:eastAsia="宋体"/>
      <w:sz w:val="24"/>
    </w:rPr>
  </w:style>
  <w:style w:type="character" w:customStyle="1" w:styleId="252">
    <w:name w:val="NormalCharacter"/>
    <w:qFormat/>
    <w:uiPriority w:val="0"/>
    <w:rPr>
      <w:rFonts w:ascii="Calibri" w:hAnsi="Calibri" w:eastAsia="宋体" w:cs="Times New Roman"/>
      <w:kern w:val="2"/>
      <w:sz w:val="21"/>
      <w:szCs w:val="24"/>
      <w:lang w:val="en-US" w:eastAsia="zh-CN" w:bidi="ar-SA"/>
    </w:rPr>
  </w:style>
  <w:style w:type="character" w:customStyle="1" w:styleId="253">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254">
    <w:name w:val="标题 7 Char1"/>
    <w:qFormat/>
    <w:uiPriority w:val="0"/>
    <w:rPr>
      <w:rFonts w:eastAsia="宋体"/>
      <w:b/>
      <w:sz w:val="24"/>
      <w:lang w:val="en-US" w:eastAsia="zh-CN"/>
    </w:rPr>
  </w:style>
  <w:style w:type="character" w:customStyle="1" w:styleId="255">
    <w:name w:val="Char Char22"/>
    <w:qFormat/>
    <w:uiPriority w:val="0"/>
    <w:rPr>
      <w:rFonts w:ascii="Arial" w:hAnsi="Arial" w:eastAsia="黑体"/>
      <w:b/>
      <w:kern w:val="2"/>
      <w:sz w:val="32"/>
      <w:lang w:val="en-US" w:eastAsia="zh-CN"/>
    </w:rPr>
  </w:style>
  <w:style w:type="character" w:customStyle="1" w:styleId="256">
    <w:name w:val="HTML 变量1"/>
    <w:qFormat/>
    <w:uiPriority w:val="0"/>
    <w:rPr>
      <w:i/>
    </w:rPr>
  </w:style>
  <w:style w:type="character" w:customStyle="1" w:styleId="257">
    <w:name w:val="Hyperlink.3"/>
    <w:basedOn w:val="258"/>
    <w:qFormat/>
    <w:uiPriority w:val="99"/>
    <w:rPr>
      <w:rFonts w:ascii="宋体" w:hAnsi="宋体" w:eastAsia="宋体" w:cs="宋体"/>
      <w:lang w:val="en-US"/>
    </w:rPr>
  </w:style>
  <w:style w:type="character" w:customStyle="1" w:styleId="258">
    <w:name w:val="无"/>
    <w:qFormat/>
    <w:uiPriority w:val="99"/>
  </w:style>
  <w:style w:type="character" w:customStyle="1" w:styleId="259">
    <w:name w:val="批注主题 Char"/>
    <w:basedOn w:val="158"/>
    <w:link w:val="260"/>
    <w:qFormat/>
    <w:uiPriority w:val="0"/>
    <w:rPr>
      <w:rFonts w:ascii="Calibri" w:hAnsi="Calibri" w:eastAsia="宋体" w:cs="Times New Roman"/>
      <w:b/>
      <w:bCs/>
      <w:sz w:val="28"/>
      <w:szCs w:val="20"/>
    </w:rPr>
  </w:style>
  <w:style w:type="paragraph" w:customStyle="1" w:styleId="260">
    <w:name w:val="批注主题1"/>
    <w:basedOn w:val="28"/>
    <w:next w:val="28"/>
    <w:link w:val="259"/>
    <w:qFormat/>
    <w:uiPriority w:val="0"/>
    <w:rPr>
      <w:b/>
      <w:bCs/>
    </w:rPr>
  </w:style>
  <w:style w:type="character" w:customStyle="1" w:styleId="261">
    <w:name w:val="结束语 Char"/>
    <w:basedOn w:val="90"/>
    <w:qFormat/>
    <w:uiPriority w:val="0"/>
    <w:rPr>
      <w:rFonts w:ascii="Calibri" w:hAnsi="Calibri" w:eastAsia="宋体" w:cs="Times New Roman"/>
      <w:sz w:val="28"/>
      <w:szCs w:val="20"/>
    </w:rPr>
  </w:style>
  <w:style w:type="character" w:customStyle="1" w:styleId="262">
    <w:name w:val="个人撰写风格"/>
    <w:qFormat/>
    <w:uiPriority w:val="0"/>
    <w:rPr>
      <w:rFonts w:ascii="Arial" w:hAnsi="Arial" w:eastAsia="宋体"/>
      <w:color w:val="auto"/>
      <w:sz w:val="20"/>
    </w:rPr>
  </w:style>
  <w:style w:type="character" w:customStyle="1" w:styleId="263">
    <w:name w:val="标题 5 Char1"/>
    <w:qFormat/>
    <w:uiPriority w:val="0"/>
    <w:rPr>
      <w:rFonts w:eastAsia="宋体"/>
      <w:b/>
      <w:sz w:val="28"/>
      <w:lang w:val="en-US" w:eastAsia="zh-CN"/>
    </w:rPr>
  </w:style>
  <w:style w:type="character" w:customStyle="1" w:styleId="264">
    <w:name w:val="正文文本缩进 2 Char1"/>
    <w:qFormat/>
    <w:uiPriority w:val="0"/>
    <w:rPr>
      <w:rFonts w:ascii="黑体" w:eastAsia="黑体"/>
      <w:sz w:val="28"/>
    </w:rPr>
  </w:style>
  <w:style w:type="character" w:customStyle="1" w:styleId="265">
    <w:name w:val="info1"/>
    <w:qFormat/>
    <w:uiPriority w:val="99"/>
    <w:rPr>
      <w:color w:val="000000"/>
      <w:spacing w:val="15"/>
      <w:sz w:val="24"/>
    </w:rPr>
  </w:style>
  <w:style w:type="character" w:customStyle="1" w:styleId="266">
    <w:name w:val="标题 9 Char1"/>
    <w:qFormat/>
    <w:uiPriority w:val="0"/>
    <w:rPr>
      <w:rFonts w:ascii="Arial" w:hAnsi="Arial" w:eastAsia="黑体"/>
      <w:sz w:val="21"/>
      <w:lang w:val="en-US" w:eastAsia="zh-CN"/>
    </w:rPr>
  </w:style>
  <w:style w:type="character" w:customStyle="1" w:styleId="267">
    <w:name w:val="正文文本缩进 3 Char"/>
    <w:basedOn w:val="90"/>
    <w:link w:val="268"/>
    <w:qFormat/>
    <w:uiPriority w:val="0"/>
    <w:rPr>
      <w:rFonts w:ascii="Calibri" w:hAnsi="Calibri" w:eastAsia="宋体" w:cs="Times New Roman"/>
      <w:sz w:val="16"/>
      <w:szCs w:val="16"/>
    </w:rPr>
  </w:style>
  <w:style w:type="paragraph" w:customStyle="1" w:styleId="268">
    <w:name w:val="正文文本缩进 31"/>
    <w:basedOn w:val="1"/>
    <w:link w:val="267"/>
    <w:qFormat/>
    <w:uiPriority w:val="0"/>
    <w:pPr>
      <w:spacing w:line="360" w:lineRule="auto"/>
      <w:ind w:firstLine="490" w:firstLineChars="204"/>
    </w:pPr>
    <w:rPr>
      <w:sz w:val="16"/>
      <w:szCs w:val="16"/>
    </w:rPr>
  </w:style>
  <w:style w:type="character" w:customStyle="1" w:styleId="269">
    <w:name w:val="标题 4 Char1"/>
    <w:qFormat/>
    <w:uiPriority w:val="0"/>
    <w:rPr>
      <w:rFonts w:ascii="Arial" w:hAnsi="Arial" w:eastAsia="黑体"/>
      <w:b/>
      <w:kern w:val="2"/>
      <w:sz w:val="28"/>
      <w:lang w:val="en-US" w:eastAsia="zh-CN"/>
    </w:rPr>
  </w:style>
  <w:style w:type="character" w:customStyle="1" w:styleId="270">
    <w:name w:val="Char Char"/>
    <w:link w:val="271"/>
    <w:qFormat/>
    <w:uiPriority w:val="0"/>
    <w:rPr>
      <w:rFonts w:eastAsia="仿宋_GB2312"/>
      <w:sz w:val="28"/>
    </w:rPr>
  </w:style>
  <w:style w:type="paragraph" w:customStyle="1" w:styleId="271">
    <w:name w:val="Char12"/>
    <w:basedOn w:val="1"/>
    <w:link w:val="270"/>
    <w:qFormat/>
    <w:uiPriority w:val="0"/>
    <w:rPr>
      <w:rFonts w:eastAsia="仿宋_GB2312" w:asciiTheme="minorHAnsi" w:hAnsiTheme="minorHAnsi" w:cstheme="minorBidi"/>
      <w:szCs w:val="22"/>
    </w:rPr>
  </w:style>
  <w:style w:type="character" w:customStyle="1" w:styleId="272">
    <w:name w:val="z-窗体顶端 Char"/>
    <w:link w:val="273"/>
    <w:qFormat/>
    <w:uiPriority w:val="0"/>
    <w:rPr>
      <w:rFonts w:ascii="Arial" w:hAnsi="Arial"/>
      <w:vanish/>
      <w:sz w:val="16"/>
    </w:rPr>
  </w:style>
  <w:style w:type="paragraph" w:customStyle="1" w:styleId="273">
    <w:name w:val="z-窗体顶端1"/>
    <w:basedOn w:val="1"/>
    <w:next w:val="1"/>
    <w:link w:val="272"/>
    <w:qFormat/>
    <w:uiPriority w:val="0"/>
    <w:pPr>
      <w:pBdr>
        <w:bottom w:val="single" w:color="auto" w:sz="6" w:space="1"/>
      </w:pBdr>
      <w:jc w:val="center"/>
    </w:pPr>
    <w:rPr>
      <w:rFonts w:ascii="Arial" w:hAnsi="Arial" w:eastAsiaTheme="minorEastAsia" w:cstheme="minorBidi"/>
      <w:vanish/>
      <w:sz w:val="16"/>
      <w:szCs w:val="22"/>
    </w:rPr>
  </w:style>
  <w:style w:type="character" w:customStyle="1" w:styleId="274">
    <w:name w:val="HTML 缩写1"/>
    <w:qFormat/>
    <w:uiPriority w:val="0"/>
  </w:style>
  <w:style w:type="character" w:customStyle="1" w:styleId="275">
    <w:name w:val="font14news1"/>
    <w:qFormat/>
    <w:uiPriority w:val="0"/>
    <w:rPr>
      <w:color w:val="333333"/>
      <w:sz w:val="21"/>
    </w:rPr>
  </w:style>
  <w:style w:type="character" w:customStyle="1" w:styleId="276">
    <w:name w:val="zbggmain style9"/>
    <w:qFormat/>
    <w:uiPriority w:val="0"/>
  </w:style>
  <w:style w:type="character" w:customStyle="1" w:styleId="277">
    <w:name w:val="正文文本 Char1"/>
    <w:qFormat/>
    <w:uiPriority w:val="0"/>
    <w:rPr>
      <w:rFonts w:ascii="宋体" w:hAnsi="宋体" w:eastAsia="宋体"/>
      <w:spacing w:val="-6"/>
      <w:kern w:val="2"/>
      <w:sz w:val="21"/>
      <w:lang w:val="en-US" w:eastAsia="zh-CN"/>
    </w:rPr>
  </w:style>
  <w:style w:type="character" w:customStyle="1" w:styleId="278">
    <w:name w:val="纯文本 Char2"/>
    <w:qFormat/>
    <w:uiPriority w:val="0"/>
    <w:rPr>
      <w:rFonts w:ascii="宋体" w:hAnsi="Courier New" w:eastAsia="宋体"/>
      <w:kern w:val="2"/>
      <w:sz w:val="21"/>
      <w:lang w:val="en-US" w:eastAsia="zh-CN"/>
    </w:rPr>
  </w:style>
  <w:style w:type="character" w:customStyle="1" w:styleId="279">
    <w:name w:val="bulletintext1"/>
    <w:qFormat/>
    <w:uiPriority w:val="0"/>
    <w:rPr>
      <w:color w:val="000000"/>
      <w:sz w:val="18"/>
    </w:rPr>
  </w:style>
  <w:style w:type="character" w:customStyle="1" w:styleId="280">
    <w:name w:val="H1 Char"/>
    <w:qFormat/>
    <w:uiPriority w:val="0"/>
    <w:rPr>
      <w:rFonts w:ascii="Arial Unicode MS" w:hAnsi="Arial Unicode MS" w:eastAsia="Arial Unicode MS"/>
      <w:b/>
      <w:kern w:val="36"/>
      <w:sz w:val="48"/>
      <w:lang w:val="en-US" w:eastAsia="zh-CN"/>
    </w:rPr>
  </w:style>
  <w:style w:type="character" w:customStyle="1" w:styleId="281">
    <w:name w:val="zbggmain"/>
    <w:qFormat/>
    <w:uiPriority w:val="0"/>
  </w:style>
  <w:style w:type="character" w:customStyle="1" w:styleId="282">
    <w:name w:val="p7"/>
    <w:qFormat/>
    <w:uiPriority w:val="0"/>
  </w:style>
  <w:style w:type="character" w:customStyle="1" w:styleId="283">
    <w:name w:val="locality"/>
    <w:qFormat/>
    <w:uiPriority w:val="0"/>
  </w:style>
  <w:style w:type="character" w:customStyle="1" w:styleId="284">
    <w:name w:val="Plain Text Char"/>
    <w:qFormat/>
    <w:uiPriority w:val="0"/>
    <w:rPr>
      <w:rFonts w:ascii="宋体" w:hAnsi="Courier New" w:eastAsia="宋体"/>
      <w:kern w:val="2"/>
      <w:sz w:val="21"/>
      <w:lang w:val="en-US" w:eastAsia="zh-CN"/>
    </w:rPr>
  </w:style>
  <w:style w:type="character" w:customStyle="1" w:styleId="285">
    <w:name w:val="标题 1 Char Char"/>
    <w:qFormat/>
    <w:uiPriority w:val="0"/>
    <w:rPr>
      <w:rFonts w:ascii="Arial" w:hAnsi="Arial" w:eastAsia="黑体"/>
      <w:kern w:val="44"/>
      <w:sz w:val="24"/>
      <w:lang w:val="en-US" w:eastAsia="zh-CN"/>
    </w:rPr>
  </w:style>
  <w:style w:type="character" w:customStyle="1" w:styleId="286">
    <w:name w:val="font31"/>
    <w:qFormat/>
    <w:uiPriority w:val="0"/>
    <w:rPr>
      <w:rFonts w:hint="eastAsia" w:ascii="宋体" w:hAnsi="宋体" w:eastAsia="宋体"/>
      <w:color w:val="0000FF"/>
      <w:sz w:val="21"/>
      <w:u w:val="none"/>
      <w:vertAlign w:val="superscript"/>
    </w:rPr>
  </w:style>
  <w:style w:type="character" w:customStyle="1" w:styleId="287">
    <w:name w:val="content3"/>
    <w:qFormat/>
    <w:uiPriority w:val="0"/>
    <w:rPr>
      <w:b/>
      <w:sz w:val="18"/>
    </w:rPr>
  </w:style>
  <w:style w:type="character" w:customStyle="1" w:styleId="288">
    <w:name w:val="Title Char"/>
    <w:qFormat/>
    <w:uiPriority w:val="0"/>
    <w:rPr>
      <w:rFonts w:ascii="Arial" w:hAnsi="Arial" w:eastAsia="宋体"/>
      <w:b/>
      <w:kern w:val="2"/>
      <w:sz w:val="32"/>
      <w:lang w:val="en-US" w:eastAsia="zh-CN"/>
    </w:rPr>
  </w:style>
  <w:style w:type="character" w:customStyle="1" w:styleId="289">
    <w:name w:val="HTML 引文1"/>
    <w:qFormat/>
    <w:uiPriority w:val="0"/>
    <w:rPr>
      <w:i/>
    </w:rPr>
  </w:style>
  <w:style w:type="character" w:customStyle="1" w:styleId="290">
    <w:name w:val="副标题 Char"/>
    <w:basedOn w:val="90"/>
    <w:qFormat/>
    <w:uiPriority w:val="0"/>
    <w:rPr>
      <w:rFonts w:ascii="Cambria" w:hAnsi="Cambria" w:eastAsia="宋体" w:cs="Times New Roman"/>
      <w:b/>
      <w:bCs/>
      <w:kern w:val="28"/>
      <w:sz w:val="32"/>
      <w:szCs w:val="32"/>
    </w:rPr>
  </w:style>
  <w:style w:type="character" w:customStyle="1" w:styleId="291">
    <w:name w:val="宏文本 Char"/>
    <w:basedOn w:val="90"/>
    <w:qFormat/>
    <w:uiPriority w:val="0"/>
    <w:rPr>
      <w:rFonts w:ascii="Courier New" w:hAnsi="Courier New" w:eastAsia="宋体" w:cs="Courier New"/>
      <w:sz w:val="24"/>
      <w:szCs w:val="24"/>
    </w:rPr>
  </w:style>
  <w:style w:type="character" w:customStyle="1" w:styleId="292">
    <w:name w:val="标题 2 Char"/>
    <w:basedOn w:val="90"/>
    <w:qFormat/>
    <w:uiPriority w:val="0"/>
    <w:rPr>
      <w:rFonts w:ascii="Cambria" w:hAnsi="Cambria" w:eastAsia="宋体" w:cs="Times New Roman"/>
      <w:b/>
      <w:bCs/>
      <w:sz w:val="32"/>
      <w:szCs w:val="32"/>
    </w:rPr>
  </w:style>
  <w:style w:type="character" w:customStyle="1" w:styleId="293">
    <w:name w:val="Char Char12"/>
    <w:qFormat/>
    <w:uiPriority w:val="0"/>
    <w:rPr>
      <w:rFonts w:ascii="Arial" w:hAnsi="Arial" w:eastAsia="黑体"/>
      <w:b/>
      <w:sz w:val="24"/>
    </w:rPr>
  </w:style>
  <w:style w:type="character" w:customStyle="1" w:styleId="294">
    <w:name w:val="正文文本缩进 2 Char"/>
    <w:basedOn w:val="90"/>
    <w:link w:val="295"/>
    <w:qFormat/>
    <w:uiPriority w:val="0"/>
    <w:rPr>
      <w:rFonts w:ascii="Calibri" w:hAnsi="Calibri" w:eastAsia="宋体" w:cs="Times New Roman"/>
      <w:sz w:val="28"/>
      <w:szCs w:val="20"/>
    </w:rPr>
  </w:style>
  <w:style w:type="paragraph" w:customStyle="1" w:styleId="295">
    <w:name w:val="正文文本缩进 22"/>
    <w:basedOn w:val="1"/>
    <w:link w:val="294"/>
    <w:qFormat/>
    <w:uiPriority w:val="0"/>
    <w:pPr>
      <w:adjustRightInd w:val="0"/>
      <w:spacing w:line="400" w:lineRule="atLeast"/>
      <w:ind w:firstLine="540"/>
      <w:textAlignment w:val="baseline"/>
    </w:pPr>
  </w:style>
  <w:style w:type="character" w:customStyle="1" w:styleId="296">
    <w:name w:val="标题 8 Char1"/>
    <w:qFormat/>
    <w:uiPriority w:val="0"/>
    <w:rPr>
      <w:rFonts w:ascii="Arial" w:hAnsi="Arial" w:eastAsia="黑体"/>
      <w:sz w:val="24"/>
      <w:lang w:val="en-US" w:eastAsia="zh-CN"/>
    </w:rPr>
  </w:style>
  <w:style w:type="character" w:customStyle="1" w:styleId="297">
    <w:name w:val="正文文字4 Char Char"/>
    <w:qFormat/>
    <w:uiPriority w:val="0"/>
    <w:rPr>
      <w:rFonts w:ascii="宋体" w:hAnsi="宋体" w:eastAsia="宋体"/>
      <w:spacing w:val="-6"/>
      <w:kern w:val="2"/>
      <w:sz w:val="21"/>
      <w:lang w:val="en-US" w:eastAsia="zh-CN"/>
    </w:rPr>
  </w:style>
  <w:style w:type="character" w:customStyle="1" w:styleId="298">
    <w:name w:val="street-address"/>
    <w:qFormat/>
    <w:uiPriority w:val="0"/>
  </w:style>
  <w:style w:type="character" w:customStyle="1" w:styleId="299">
    <w:name w:val="Char Char13"/>
    <w:qFormat/>
    <w:uiPriority w:val="0"/>
    <w:rPr>
      <w:rFonts w:ascii="Times New Roman" w:hAnsi="Times New Roman" w:eastAsia="宋体"/>
      <w:b/>
      <w:sz w:val="28"/>
    </w:rPr>
  </w:style>
  <w:style w:type="character" w:customStyle="1" w:styleId="300">
    <w:name w:val="正文首行缩进 2 Char"/>
    <w:basedOn w:val="164"/>
    <w:qFormat/>
    <w:uiPriority w:val="0"/>
    <w:rPr>
      <w:rFonts w:ascii="Calibri" w:hAnsi="Calibri" w:eastAsia="宋体" w:cs="Times New Roman"/>
      <w:sz w:val="28"/>
      <w:szCs w:val="20"/>
    </w:rPr>
  </w:style>
  <w:style w:type="character" w:customStyle="1" w:styleId="301">
    <w:name w:val="日期 Char"/>
    <w:basedOn w:val="90"/>
    <w:qFormat/>
    <w:uiPriority w:val="0"/>
    <w:rPr>
      <w:rFonts w:ascii="Calibri" w:hAnsi="Calibri" w:eastAsia="宋体" w:cs="Times New Roman"/>
      <w:sz w:val="28"/>
      <w:szCs w:val="20"/>
    </w:rPr>
  </w:style>
  <w:style w:type="character" w:customStyle="1" w:styleId="302">
    <w:name w:val="style1 style6 style7"/>
    <w:qFormat/>
    <w:uiPriority w:val="0"/>
  </w:style>
  <w:style w:type="character" w:customStyle="1" w:styleId="303">
    <w:name w:val="正文文本缩进 Char2"/>
    <w:qFormat/>
    <w:uiPriority w:val="0"/>
    <w:rPr>
      <w:rFonts w:ascii="黑体" w:eastAsia="黑体"/>
      <w:sz w:val="28"/>
    </w:rPr>
  </w:style>
  <w:style w:type="character" w:customStyle="1" w:styleId="304">
    <w:name w:val="日期 Char1"/>
    <w:qFormat/>
    <w:uiPriority w:val="0"/>
    <w:rPr>
      <w:rFonts w:ascii="Times New Roman" w:hAnsi="Times New Roman" w:eastAsia="宋体"/>
    </w:rPr>
  </w:style>
  <w:style w:type="character" w:customStyle="1" w:styleId="305">
    <w:name w:val="页眉 Char1"/>
    <w:qFormat/>
    <w:uiPriority w:val="0"/>
    <w:rPr>
      <w:rFonts w:eastAsia="宋体"/>
      <w:kern w:val="2"/>
      <w:sz w:val="18"/>
      <w:lang w:val="en-US" w:eastAsia="zh-CN"/>
    </w:rPr>
  </w:style>
  <w:style w:type="character" w:customStyle="1" w:styleId="306">
    <w:name w:val="公文正文 Char"/>
    <w:link w:val="307"/>
    <w:qFormat/>
    <w:uiPriority w:val="0"/>
    <w:rPr>
      <w:rFonts w:ascii="仿宋_GB2312" w:eastAsia="仿宋_GB2312"/>
      <w:sz w:val="24"/>
    </w:rPr>
  </w:style>
  <w:style w:type="paragraph" w:customStyle="1" w:styleId="307">
    <w:name w:val="公文正文"/>
    <w:basedOn w:val="1"/>
    <w:link w:val="306"/>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308">
    <w:name w:val="正文文本缩进 3 Char1"/>
    <w:qFormat/>
    <w:uiPriority w:val="0"/>
    <w:rPr>
      <w:sz w:val="28"/>
    </w:rPr>
  </w:style>
  <w:style w:type="character" w:customStyle="1" w:styleId="309">
    <w:name w:val="标题 Char"/>
    <w:basedOn w:val="90"/>
    <w:qFormat/>
    <w:uiPriority w:val="0"/>
    <w:rPr>
      <w:rFonts w:ascii="Cambria" w:hAnsi="Cambria" w:eastAsia="宋体" w:cs="Times New Roman"/>
      <w:b/>
      <w:bCs/>
      <w:sz w:val="32"/>
      <w:szCs w:val="32"/>
    </w:rPr>
  </w:style>
  <w:style w:type="character" w:customStyle="1" w:styleId="310">
    <w:name w:val="注释标题 Char"/>
    <w:basedOn w:val="90"/>
    <w:qFormat/>
    <w:uiPriority w:val="0"/>
    <w:rPr>
      <w:rFonts w:ascii="Calibri" w:hAnsi="Calibri" w:eastAsia="宋体" w:cs="Times New Roman"/>
      <w:sz w:val="28"/>
      <w:szCs w:val="20"/>
    </w:rPr>
  </w:style>
  <w:style w:type="character" w:customStyle="1" w:styleId="311">
    <w:name w:val="标题 4 Char Char Char Char Char Char"/>
    <w:qFormat/>
    <w:uiPriority w:val="0"/>
    <w:rPr>
      <w:rFonts w:eastAsia="宋体"/>
      <w:kern w:val="2"/>
      <w:sz w:val="24"/>
      <w:lang w:val="en-US" w:eastAsia="zh-CN"/>
    </w:rPr>
  </w:style>
  <w:style w:type="character" w:customStyle="1" w:styleId="312">
    <w:name w:val="brown1"/>
    <w:qFormat/>
    <w:uiPriority w:val="0"/>
    <w:rPr>
      <w:color w:val="80786A"/>
    </w:rPr>
  </w:style>
  <w:style w:type="character" w:customStyle="1" w:styleId="313">
    <w:name w:val="尾注文本 Char"/>
    <w:basedOn w:val="90"/>
    <w:qFormat/>
    <w:uiPriority w:val="0"/>
    <w:rPr>
      <w:rFonts w:ascii="Calibri" w:hAnsi="Calibri" w:eastAsia="宋体" w:cs="Times New Roman"/>
      <w:sz w:val="28"/>
      <w:szCs w:val="20"/>
    </w:rPr>
  </w:style>
  <w:style w:type="character" w:customStyle="1" w:styleId="314">
    <w:name w:val="个人答复风格"/>
    <w:qFormat/>
    <w:uiPriority w:val="0"/>
    <w:rPr>
      <w:rFonts w:ascii="Arial" w:hAnsi="Arial" w:eastAsia="宋体"/>
      <w:color w:val="auto"/>
      <w:sz w:val="20"/>
    </w:rPr>
  </w:style>
  <w:style w:type="character" w:customStyle="1" w:styleId="315">
    <w:name w:val="脚注文本 Char"/>
    <w:basedOn w:val="90"/>
    <w:qFormat/>
    <w:uiPriority w:val="0"/>
    <w:rPr>
      <w:rFonts w:ascii="Calibri" w:hAnsi="Calibri" w:eastAsia="宋体" w:cs="Times New Roman"/>
      <w:sz w:val="18"/>
      <w:szCs w:val="18"/>
    </w:rPr>
  </w:style>
  <w:style w:type="character" w:customStyle="1" w:styleId="316">
    <w:name w:val="HTML 键盘1"/>
    <w:qFormat/>
    <w:uiPriority w:val="0"/>
    <w:rPr>
      <w:rFonts w:ascii="Courier New" w:hAnsi="Courier New"/>
      <w:sz w:val="20"/>
    </w:rPr>
  </w:style>
  <w:style w:type="character" w:customStyle="1" w:styleId="317">
    <w:name w:val="z-窗体底端 Char1"/>
    <w:basedOn w:val="90"/>
    <w:link w:val="318"/>
    <w:qFormat/>
    <w:uiPriority w:val="0"/>
    <w:rPr>
      <w:rFonts w:ascii="Arial" w:hAnsi="Arial"/>
      <w:vanish/>
      <w:sz w:val="16"/>
    </w:rPr>
  </w:style>
  <w:style w:type="paragraph" w:customStyle="1" w:styleId="318">
    <w:name w:val="z-窗体底端1"/>
    <w:basedOn w:val="1"/>
    <w:next w:val="1"/>
    <w:link w:val="317"/>
    <w:qFormat/>
    <w:uiPriority w:val="0"/>
    <w:pPr>
      <w:pBdr>
        <w:top w:val="single" w:color="auto" w:sz="6" w:space="1"/>
      </w:pBdr>
      <w:jc w:val="center"/>
    </w:pPr>
    <w:rPr>
      <w:rFonts w:ascii="Arial" w:hAnsi="Arial" w:eastAsiaTheme="minorEastAsia" w:cstheme="minorBidi"/>
      <w:vanish/>
      <w:sz w:val="16"/>
      <w:szCs w:val="22"/>
    </w:rPr>
  </w:style>
  <w:style w:type="character" w:customStyle="1" w:styleId="319">
    <w:name w:val="HTML 预设格式 Char"/>
    <w:basedOn w:val="90"/>
    <w:link w:val="320"/>
    <w:qFormat/>
    <w:uiPriority w:val="0"/>
    <w:rPr>
      <w:rFonts w:ascii="Courier New" w:hAnsi="Courier New" w:eastAsia="宋体" w:cs="Courier New"/>
      <w:sz w:val="20"/>
      <w:szCs w:val="20"/>
    </w:rPr>
  </w:style>
  <w:style w:type="paragraph" w:customStyle="1" w:styleId="320">
    <w:name w:val="HTML 预设格式1"/>
    <w:basedOn w:val="1"/>
    <w:link w:val="319"/>
    <w:qFormat/>
    <w:uiPriority w:val="0"/>
    <w:rPr>
      <w:rFonts w:ascii="Courier New" w:hAnsi="Courier New" w:cs="Courier New"/>
      <w:sz w:val="20"/>
    </w:rPr>
  </w:style>
  <w:style w:type="character" w:customStyle="1" w:styleId="321">
    <w:name w:val="页脚 Char1"/>
    <w:qFormat/>
    <w:uiPriority w:val="0"/>
    <w:rPr>
      <w:rFonts w:eastAsia="宋体"/>
      <w:kern w:val="2"/>
      <w:sz w:val="18"/>
      <w:lang w:val="en-US" w:eastAsia="zh-CN"/>
    </w:rPr>
  </w:style>
  <w:style w:type="character" w:customStyle="1" w:styleId="322">
    <w:name w:val="font161"/>
    <w:qFormat/>
    <w:uiPriority w:val="0"/>
    <w:rPr>
      <w:b/>
      <w:sz w:val="32"/>
    </w:rPr>
  </w:style>
  <w:style w:type="character" w:customStyle="1" w:styleId="323">
    <w:name w:val="正文文本 2 Char"/>
    <w:basedOn w:val="90"/>
    <w:link w:val="324"/>
    <w:qFormat/>
    <w:uiPriority w:val="0"/>
    <w:rPr>
      <w:rFonts w:ascii="Calibri" w:hAnsi="Calibri" w:eastAsia="宋体" w:cs="Times New Roman"/>
      <w:sz w:val="28"/>
      <w:szCs w:val="20"/>
    </w:rPr>
  </w:style>
  <w:style w:type="paragraph" w:customStyle="1" w:styleId="324">
    <w:name w:val="正文文本 22"/>
    <w:basedOn w:val="1"/>
    <w:link w:val="323"/>
    <w:qFormat/>
    <w:uiPriority w:val="0"/>
    <w:pPr>
      <w:adjustRightInd w:val="0"/>
      <w:ind w:firstLine="510"/>
      <w:jc w:val="left"/>
      <w:textAlignment w:val="baseline"/>
    </w:pPr>
  </w:style>
  <w:style w:type="character" w:customStyle="1" w:styleId="325">
    <w:name w:val="样式8 字符"/>
    <w:link w:val="326"/>
    <w:qFormat/>
    <w:uiPriority w:val="0"/>
    <w:rPr>
      <w:rFonts w:ascii="Times New Roman" w:hAnsi="Times New Roman"/>
      <w:sz w:val="24"/>
      <w:szCs w:val="27"/>
    </w:rPr>
  </w:style>
  <w:style w:type="paragraph" w:customStyle="1" w:styleId="326">
    <w:name w:val="样式8"/>
    <w:basedOn w:val="327"/>
    <w:link w:val="325"/>
    <w:qFormat/>
    <w:uiPriority w:val="0"/>
    <w:pPr>
      <w:tabs>
        <w:tab w:val="left" w:pos="1301"/>
        <w:tab w:val="left" w:pos="6043"/>
      </w:tabs>
      <w:ind w:right="0" w:rightChars="0"/>
    </w:pPr>
    <w:rPr>
      <w:rFonts w:eastAsiaTheme="minorEastAsia" w:cstheme="minorBidi"/>
    </w:rPr>
  </w:style>
  <w:style w:type="paragraph" w:customStyle="1" w:styleId="32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328">
    <w:name w:val="标题 Char2"/>
    <w:qFormat/>
    <w:uiPriority w:val="0"/>
    <w:rPr>
      <w:rFonts w:ascii="Arial" w:hAnsi="Arial" w:eastAsia="宋体"/>
      <w:b/>
      <w:sz w:val="32"/>
      <w:lang w:val="en-US" w:eastAsia="zh-CN"/>
    </w:rPr>
  </w:style>
  <w:style w:type="character" w:customStyle="1" w:styleId="329">
    <w:name w:val="标题 Char3"/>
    <w:qFormat/>
    <w:uiPriority w:val="0"/>
    <w:rPr>
      <w:b/>
      <w:sz w:val="24"/>
      <w:lang w:val="en-GB"/>
    </w:rPr>
  </w:style>
  <w:style w:type="character" w:customStyle="1" w:styleId="330">
    <w:name w:val="HTML 样本1"/>
    <w:qFormat/>
    <w:uiPriority w:val="0"/>
    <w:rPr>
      <w:rFonts w:ascii="Courier New" w:hAnsi="Courier New"/>
    </w:rPr>
  </w:style>
  <w:style w:type="character" w:customStyle="1" w:styleId="331">
    <w:name w:val="标题 6 Char1"/>
    <w:qFormat/>
    <w:uiPriority w:val="0"/>
    <w:rPr>
      <w:rFonts w:ascii="Arial" w:hAnsi="Arial" w:eastAsia="黑体"/>
      <w:b/>
      <w:sz w:val="24"/>
      <w:lang w:val="en-US" w:eastAsia="zh-CN"/>
    </w:rPr>
  </w:style>
  <w:style w:type="character" w:customStyle="1" w:styleId="332">
    <w:name w:val="标题1"/>
    <w:qFormat/>
    <w:uiPriority w:val="0"/>
    <w:rPr>
      <w:b/>
      <w:sz w:val="28"/>
    </w:rPr>
  </w:style>
  <w:style w:type="character" w:customStyle="1" w:styleId="333">
    <w:name w:val="标题 2 Char1"/>
    <w:qFormat/>
    <w:uiPriority w:val="0"/>
    <w:rPr>
      <w:rFonts w:ascii="Arial" w:hAnsi="Arial" w:eastAsia="黑体"/>
      <w:b/>
      <w:sz w:val="32"/>
      <w:lang w:val="en-US" w:eastAsia="zh-CN"/>
    </w:rPr>
  </w:style>
  <w:style w:type="character" w:customStyle="1" w:styleId="334">
    <w:name w:val="HTML 定义1"/>
    <w:qFormat/>
    <w:uiPriority w:val="0"/>
    <w:rPr>
      <w:i/>
    </w:rPr>
  </w:style>
  <w:style w:type="character" w:customStyle="1" w:styleId="335">
    <w:name w:val="75pk"/>
    <w:qFormat/>
    <w:uiPriority w:val="0"/>
  </w:style>
  <w:style w:type="character" w:customStyle="1" w:styleId="336">
    <w:name w:val="信息标题 Char"/>
    <w:basedOn w:val="90"/>
    <w:qFormat/>
    <w:uiPriority w:val="0"/>
    <w:rPr>
      <w:rFonts w:ascii="Cambria" w:hAnsi="Cambria" w:eastAsia="宋体" w:cs="Times New Roman"/>
      <w:sz w:val="24"/>
      <w:szCs w:val="24"/>
      <w:shd w:val="pct20" w:color="auto" w:fill="auto"/>
    </w:rPr>
  </w:style>
  <w:style w:type="character" w:customStyle="1" w:styleId="337">
    <w:name w:val="8953"/>
    <w:qFormat/>
    <w:uiPriority w:val="0"/>
  </w:style>
  <w:style w:type="character" w:customStyle="1" w:styleId="338">
    <w:name w:val="font61"/>
    <w:qFormat/>
    <w:uiPriority w:val="0"/>
    <w:rPr>
      <w:rFonts w:hint="eastAsia" w:ascii="宋体" w:hAnsi="宋体" w:eastAsia="宋体" w:cs="宋体"/>
      <w:color w:val="000000"/>
      <w:sz w:val="20"/>
      <w:szCs w:val="20"/>
      <w:u w:val="none"/>
    </w:rPr>
  </w:style>
  <w:style w:type="character" w:customStyle="1" w:styleId="339">
    <w:name w:val="正文首行缩进 2 字符"/>
    <w:basedOn w:val="303"/>
    <w:qFormat/>
    <w:uiPriority w:val="0"/>
    <w:rPr>
      <w:rFonts w:ascii="黑体" w:eastAsia="黑体"/>
      <w:sz w:val="28"/>
    </w:rPr>
  </w:style>
  <w:style w:type="character" w:customStyle="1" w:styleId="340">
    <w:name w:val="批注框文本 Char"/>
    <w:basedOn w:val="90"/>
    <w:qFormat/>
    <w:uiPriority w:val="99"/>
    <w:rPr>
      <w:rFonts w:ascii="Calibri" w:hAnsi="Calibri" w:eastAsia="宋体" w:cs="Times New Roman"/>
      <w:sz w:val="18"/>
      <w:szCs w:val="18"/>
    </w:rPr>
  </w:style>
  <w:style w:type="character" w:customStyle="1" w:styleId="341">
    <w:name w:val="HTML 打字机1"/>
    <w:qFormat/>
    <w:uiPriority w:val="0"/>
    <w:rPr>
      <w:rFonts w:ascii="Courier New" w:hAnsi="Courier New"/>
      <w:sz w:val="20"/>
    </w:rPr>
  </w:style>
  <w:style w:type="character" w:customStyle="1" w:styleId="342">
    <w:name w:val="称呼 Char"/>
    <w:basedOn w:val="90"/>
    <w:qFormat/>
    <w:uiPriority w:val="0"/>
    <w:rPr>
      <w:rFonts w:ascii="Calibri" w:hAnsi="Calibri" w:eastAsia="宋体" w:cs="Times New Roman"/>
      <w:sz w:val="28"/>
      <w:szCs w:val="20"/>
    </w:rPr>
  </w:style>
  <w:style w:type="character" w:customStyle="1" w:styleId="343">
    <w:name w:val="正文文本 Char2"/>
    <w:qFormat/>
    <w:uiPriority w:val="0"/>
    <w:rPr>
      <w:sz w:val="24"/>
    </w:rPr>
  </w:style>
  <w:style w:type="character" w:customStyle="1" w:styleId="344">
    <w:name w:val="正文首行缩进 Char1"/>
    <w:qFormat/>
    <w:uiPriority w:val="0"/>
    <w:rPr>
      <w:rFonts w:ascii="等线" w:hAnsi="等线" w:eastAsia="等线"/>
    </w:rPr>
  </w:style>
  <w:style w:type="character" w:customStyle="1" w:styleId="345">
    <w:name w:val="p141"/>
    <w:qFormat/>
    <w:uiPriority w:val="0"/>
    <w:rPr>
      <w:sz w:val="21"/>
      <w:szCs w:val="21"/>
    </w:rPr>
  </w:style>
  <w:style w:type="character" w:customStyle="1" w:styleId="346">
    <w:name w:val="发布"/>
    <w:qFormat/>
    <w:uiPriority w:val="0"/>
    <w:rPr>
      <w:rFonts w:ascii="黑体" w:eastAsia="黑体"/>
      <w:spacing w:val="22"/>
      <w:w w:val="100"/>
      <w:position w:val="3"/>
      <w:sz w:val="28"/>
    </w:rPr>
  </w:style>
  <w:style w:type="character" w:customStyle="1" w:styleId="347">
    <w:name w:val="标题 1 Char1"/>
    <w:qFormat/>
    <w:uiPriority w:val="0"/>
    <w:rPr>
      <w:rFonts w:eastAsia="宋体"/>
      <w:b/>
      <w:kern w:val="44"/>
      <w:sz w:val="44"/>
      <w:lang w:val="en-US" w:eastAsia="zh-CN"/>
    </w:rPr>
  </w:style>
  <w:style w:type="character" w:customStyle="1" w:styleId="348">
    <w:name w:val="正文格式 Char"/>
    <w:link w:val="349"/>
    <w:qFormat/>
    <w:uiPriority w:val="0"/>
    <w:rPr>
      <w:rFonts w:ascii="Times New Roman" w:hAnsi="Times New Roman"/>
      <w:sz w:val="24"/>
    </w:rPr>
  </w:style>
  <w:style w:type="paragraph" w:customStyle="1" w:styleId="349">
    <w:name w:val="正文格式"/>
    <w:basedOn w:val="1"/>
    <w:link w:val="3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350">
    <w:name w:val="H3 Char"/>
    <w:qFormat/>
    <w:uiPriority w:val="0"/>
    <w:rPr>
      <w:rFonts w:eastAsia="宋体"/>
      <w:b/>
      <w:kern w:val="2"/>
      <w:sz w:val="32"/>
      <w:lang w:val="en-US" w:eastAsia="zh-CN"/>
    </w:rPr>
  </w:style>
  <w:style w:type="character" w:customStyle="1" w:styleId="351">
    <w:name w:val="HTML 预设格式 Char1"/>
    <w:qFormat/>
    <w:uiPriority w:val="0"/>
    <w:rPr>
      <w:rFonts w:ascii="Courier New" w:hAnsi="Courier New" w:eastAsia="宋体"/>
      <w:kern w:val="2"/>
    </w:rPr>
  </w:style>
  <w:style w:type="character" w:customStyle="1" w:styleId="352">
    <w:name w:val="彩色列表 - 着色 1 字符"/>
    <w:link w:val="353"/>
    <w:qFormat/>
    <w:uiPriority w:val="0"/>
  </w:style>
  <w:style w:type="paragraph" w:customStyle="1" w:styleId="353">
    <w:name w:val="彩色列表 - 着色 12"/>
    <w:basedOn w:val="1"/>
    <w:link w:val="352"/>
    <w:qFormat/>
    <w:uiPriority w:val="0"/>
    <w:pPr>
      <w:ind w:firstLine="420" w:firstLineChars="200"/>
    </w:pPr>
    <w:rPr>
      <w:rFonts w:asciiTheme="minorHAnsi" w:hAnsiTheme="minorHAnsi" w:eastAsiaTheme="minorEastAsia" w:cstheme="minorBidi"/>
      <w:sz w:val="21"/>
      <w:szCs w:val="22"/>
    </w:rPr>
  </w:style>
  <w:style w:type="character" w:customStyle="1" w:styleId="354">
    <w:name w:val="脚注文本 Char1"/>
    <w:qFormat/>
    <w:uiPriority w:val="0"/>
    <w:rPr>
      <w:rFonts w:eastAsia="宋体"/>
      <w:kern w:val="2"/>
      <w:sz w:val="18"/>
      <w:lang w:val="en-US" w:eastAsia="zh-CN"/>
    </w:rPr>
  </w:style>
  <w:style w:type="character" w:customStyle="1" w:styleId="355">
    <w:name w:val="无格式表格 31"/>
    <w:qFormat/>
    <w:uiPriority w:val="0"/>
    <w:rPr>
      <w:i/>
      <w:color w:val="808080"/>
    </w:rPr>
  </w:style>
  <w:style w:type="character" w:customStyle="1" w:styleId="356">
    <w:name w:val="font11"/>
    <w:basedOn w:val="90"/>
    <w:qFormat/>
    <w:uiPriority w:val="0"/>
    <w:rPr>
      <w:rFonts w:hint="eastAsia" w:ascii="宋体" w:hAnsi="宋体" w:eastAsia="宋体"/>
      <w:color w:val="000000"/>
      <w:sz w:val="21"/>
      <w:u w:val="none"/>
      <w:vertAlign w:val="superscript"/>
    </w:rPr>
  </w:style>
  <w:style w:type="character" w:customStyle="1" w:styleId="357">
    <w:name w:val="country-name"/>
    <w:qFormat/>
    <w:uiPriority w:val="0"/>
  </w:style>
  <w:style w:type="character" w:customStyle="1" w:styleId="358">
    <w:name w:val="Char Char23"/>
    <w:qFormat/>
    <w:uiPriority w:val="0"/>
    <w:rPr>
      <w:rFonts w:eastAsia="宋体"/>
      <w:b/>
      <w:kern w:val="44"/>
      <w:sz w:val="44"/>
      <w:lang w:val="en-US" w:eastAsia="zh-CN"/>
    </w:rPr>
  </w:style>
  <w:style w:type="character" w:customStyle="1" w:styleId="359">
    <w:name w:val="正文2 Char Char"/>
    <w:qFormat/>
    <w:uiPriority w:val="0"/>
    <w:rPr>
      <w:rFonts w:eastAsia="宋体"/>
      <w:kern w:val="2"/>
      <w:sz w:val="24"/>
      <w:lang w:val="en-US" w:eastAsia="zh-CN"/>
    </w:rPr>
  </w:style>
  <w:style w:type="character" w:customStyle="1" w:styleId="360">
    <w:name w:val="日期 Char2"/>
    <w:qFormat/>
    <w:uiPriority w:val="0"/>
    <w:rPr>
      <w:rFonts w:eastAsia="仿宋_GB2312"/>
      <w:b/>
      <w:sz w:val="28"/>
    </w:rPr>
  </w:style>
  <w:style w:type="character" w:customStyle="1" w:styleId="361">
    <w:name w:val="z-窗体顶端 Char2"/>
    <w:basedOn w:val="90"/>
    <w:link w:val="362"/>
    <w:qFormat/>
    <w:uiPriority w:val="0"/>
    <w:rPr>
      <w:rFonts w:ascii="Arial" w:hAnsi="Arial"/>
      <w:vanish/>
      <w:sz w:val="16"/>
    </w:rPr>
  </w:style>
  <w:style w:type="paragraph" w:customStyle="1" w:styleId="362">
    <w:name w:val="z-窗体顶端2"/>
    <w:basedOn w:val="1"/>
    <w:next w:val="1"/>
    <w:link w:val="36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63">
    <w:name w:val="large1"/>
    <w:qFormat/>
    <w:uiPriority w:val="0"/>
    <w:rPr>
      <w:rFonts w:hint="eastAsia" w:ascii="宋体" w:hAnsi="宋体" w:eastAsia="宋体"/>
      <w:sz w:val="21"/>
      <w:szCs w:val="21"/>
    </w:rPr>
  </w:style>
  <w:style w:type="paragraph" w:customStyle="1" w:styleId="364">
    <w:name w:val="标准书脚_偶数页"/>
    <w:qFormat/>
    <w:uiPriority w:val="0"/>
    <w:pPr>
      <w:spacing w:before="120"/>
    </w:pPr>
    <w:rPr>
      <w:rFonts w:ascii="Calibri" w:hAnsi="Calibri" w:eastAsia="宋体" w:cs="Times New Roman"/>
      <w:sz w:val="18"/>
      <w:lang w:val="en-US" w:eastAsia="zh-CN" w:bidi="ar-SA"/>
    </w:rPr>
  </w:style>
  <w:style w:type="paragraph" w:customStyle="1" w:styleId="365">
    <w:name w:val="样式 一号 加粗 居中"/>
    <w:basedOn w:val="1"/>
    <w:qFormat/>
    <w:uiPriority w:val="0"/>
    <w:pPr>
      <w:jc w:val="center"/>
    </w:pPr>
    <w:rPr>
      <w:sz w:val="52"/>
    </w:rPr>
  </w:style>
  <w:style w:type="paragraph" w:customStyle="1" w:styleId="366">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367">
    <w:name w:val="封面正文"/>
    <w:qFormat/>
    <w:uiPriority w:val="0"/>
    <w:pPr>
      <w:jc w:val="both"/>
    </w:pPr>
    <w:rPr>
      <w:rFonts w:ascii="Calibri" w:hAnsi="Calibri" w:eastAsia="宋体" w:cs="Times New Roman"/>
      <w:lang w:val="en-US" w:eastAsia="zh-CN" w:bidi="ar-SA"/>
    </w:rPr>
  </w:style>
  <w:style w:type="paragraph" w:customStyle="1" w:styleId="368">
    <w:name w:val="一级条标题"/>
    <w:next w:val="369"/>
    <w:qFormat/>
    <w:uiPriority w:val="0"/>
    <w:pPr>
      <w:outlineLvl w:val="2"/>
    </w:pPr>
    <w:rPr>
      <w:rFonts w:ascii="Calibri" w:hAnsi="Calibri" w:eastAsia="黑体" w:cs="Times New Roman"/>
      <w:sz w:val="21"/>
      <w:lang w:val="en-US" w:eastAsia="zh-CN" w:bidi="ar-SA"/>
    </w:rPr>
  </w:style>
  <w:style w:type="paragraph" w:customStyle="1" w:styleId="369">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70">
    <w:name w:val="附录图标题"/>
    <w:next w:val="369"/>
    <w:qFormat/>
    <w:uiPriority w:val="0"/>
    <w:pPr>
      <w:tabs>
        <w:tab w:val="left" w:pos="360"/>
      </w:tabs>
      <w:jc w:val="center"/>
    </w:pPr>
    <w:rPr>
      <w:rFonts w:ascii="黑体" w:hAnsi="Calibri" w:eastAsia="黑体" w:cs="Times New Roman"/>
      <w:sz w:val="21"/>
      <w:lang w:val="en-US" w:eastAsia="zh-CN" w:bidi="ar-SA"/>
    </w:rPr>
  </w:style>
  <w:style w:type="paragraph" w:customStyle="1" w:styleId="371">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72">
    <w:name w:val="彩色底纹 - 着色 11"/>
    <w:qFormat/>
    <w:uiPriority w:val="0"/>
    <w:rPr>
      <w:rFonts w:ascii="Calibri" w:hAnsi="Calibri" w:eastAsia="宋体" w:cs="Times New Roman"/>
      <w:kern w:val="2"/>
      <w:sz w:val="21"/>
      <w:lang w:val="en-US" w:eastAsia="zh-CN" w:bidi="ar-SA"/>
    </w:rPr>
  </w:style>
  <w:style w:type="paragraph" w:customStyle="1" w:styleId="373">
    <w:name w:val="纯文本2"/>
    <w:basedOn w:val="1"/>
    <w:qFormat/>
    <w:uiPriority w:val="0"/>
    <w:pPr>
      <w:adjustRightInd w:val="0"/>
      <w:spacing w:line="360" w:lineRule="atLeast"/>
      <w:textAlignment w:val="baseline"/>
    </w:pPr>
    <w:rPr>
      <w:rFonts w:ascii="宋体" w:hAnsi="Courier New"/>
    </w:rPr>
  </w:style>
  <w:style w:type="paragraph" w:customStyle="1" w:styleId="374">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375">
    <w:name w:val="标题4"/>
    <w:basedOn w:val="1"/>
    <w:qFormat/>
    <w:uiPriority w:val="0"/>
    <w:rPr>
      <w:rFonts w:eastAsia="仿宋_GB2312"/>
      <w:sz w:val="32"/>
    </w:rPr>
  </w:style>
  <w:style w:type="paragraph" w:customStyle="1" w:styleId="376">
    <w:name w:val="样式 居中"/>
    <w:basedOn w:val="1"/>
    <w:qFormat/>
    <w:uiPriority w:val="0"/>
    <w:pPr>
      <w:spacing w:line="360" w:lineRule="auto"/>
      <w:jc w:val="center"/>
    </w:pPr>
    <w:rPr>
      <w:sz w:val="21"/>
    </w:rPr>
  </w:style>
  <w:style w:type="paragraph" w:customStyle="1" w:styleId="377">
    <w:name w:val="1.4"/>
    <w:basedOn w:val="1"/>
    <w:qFormat/>
    <w:uiPriority w:val="0"/>
    <w:pPr>
      <w:widowControl/>
      <w:spacing w:line="288" w:lineRule="auto"/>
      <w:ind w:left="3" w:firstLine="503"/>
    </w:pPr>
    <w:rPr>
      <w:rFonts w:ascii="宋体" w:hAnsi="宋体"/>
      <w:kern w:val="0"/>
      <w:sz w:val="24"/>
    </w:rPr>
  </w:style>
  <w:style w:type="paragraph" w:customStyle="1" w:styleId="378">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379">
    <w:name w:val="表中"/>
    <w:basedOn w:val="1"/>
    <w:qFormat/>
    <w:uiPriority w:val="0"/>
    <w:pPr>
      <w:autoSpaceDE w:val="0"/>
      <w:autoSpaceDN w:val="0"/>
      <w:adjustRightInd w:val="0"/>
      <w:spacing w:line="360" w:lineRule="atLeast"/>
    </w:pPr>
    <w:rPr>
      <w:rFonts w:ascii="宋体"/>
      <w:kern w:val="0"/>
      <w:sz w:val="21"/>
    </w:rPr>
  </w:style>
  <w:style w:type="paragraph" w:customStyle="1" w:styleId="380">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381">
    <w:name w:val="[Normal]"/>
    <w:qFormat/>
    <w:uiPriority w:val="0"/>
    <w:rPr>
      <w:rFonts w:ascii="宋体" w:hAnsi="宋体" w:eastAsia="宋体" w:cs="Times New Roman"/>
      <w:sz w:val="24"/>
      <w:szCs w:val="22"/>
      <w:lang w:val="zh-CN" w:eastAsia="zh-CN" w:bidi="ar-SA"/>
    </w:rPr>
  </w:style>
  <w:style w:type="paragraph" w:customStyle="1" w:styleId="382">
    <w:name w:val="0"/>
    <w:basedOn w:val="1"/>
    <w:qFormat/>
    <w:uiPriority w:val="0"/>
    <w:pPr>
      <w:widowControl/>
    </w:pPr>
    <w:rPr>
      <w:kern w:val="0"/>
      <w:sz w:val="21"/>
    </w:rPr>
  </w:style>
  <w:style w:type="paragraph" w:customStyle="1" w:styleId="383">
    <w:name w:val="moban"/>
    <w:basedOn w:val="1"/>
    <w:qFormat/>
    <w:uiPriority w:val="0"/>
    <w:pPr>
      <w:pBdr>
        <w:bottom w:val="single" w:color="auto" w:sz="4" w:space="5"/>
      </w:pBdr>
      <w:spacing w:line="360" w:lineRule="auto"/>
    </w:pPr>
  </w:style>
  <w:style w:type="paragraph" w:customStyle="1" w:styleId="384">
    <w:name w:val="正文文字缩进 2"/>
    <w:basedOn w:val="1"/>
    <w:qFormat/>
    <w:uiPriority w:val="0"/>
    <w:pPr>
      <w:widowControl/>
      <w:spacing w:line="351" w:lineRule="atLeast"/>
      <w:ind w:firstLine="481"/>
      <w:textAlignment w:val="baseline"/>
    </w:pPr>
    <w:rPr>
      <w:rFonts w:ascii="仿宋_GB2312" w:eastAsia="仿宋_GB2312"/>
      <w:color w:val="000000"/>
      <w:kern w:val="0"/>
      <w:sz w:val="24"/>
    </w:rPr>
  </w:style>
  <w:style w:type="paragraph" w:customStyle="1" w:styleId="385">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386">
    <w:name w:val="彩色列表 - 着色 11"/>
    <w:basedOn w:val="1"/>
    <w:qFormat/>
    <w:uiPriority w:val="0"/>
    <w:pPr>
      <w:widowControl/>
      <w:ind w:firstLine="420" w:firstLineChars="200"/>
      <w:jc w:val="left"/>
    </w:pPr>
    <w:rPr>
      <w:rFonts w:ascii="宋体" w:hAnsi="宋体"/>
      <w:kern w:val="0"/>
      <w:sz w:val="24"/>
    </w:rPr>
  </w:style>
  <w:style w:type="paragraph" w:customStyle="1" w:styleId="387">
    <w:name w:val="无间隔2"/>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88">
    <w:name w:val="注："/>
    <w:next w:val="369"/>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389">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390">
    <w:name w:val="Body Text Indent1"/>
    <w:basedOn w:val="1"/>
    <w:next w:val="1"/>
    <w:qFormat/>
    <w:uiPriority w:val="0"/>
    <w:pPr>
      <w:spacing w:after="120"/>
      <w:ind w:left="420" w:leftChars="200"/>
    </w:pPr>
  </w:style>
  <w:style w:type="paragraph" w:customStyle="1" w:styleId="391">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392">
    <w:name w:val="封面标准号2"/>
    <w:basedOn w:val="378"/>
    <w:qFormat/>
    <w:uiPriority w:val="0"/>
    <w:pPr>
      <w:adjustRightInd w:val="0"/>
      <w:spacing w:before="357" w:line="280" w:lineRule="exact"/>
    </w:pPr>
  </w:style>
  <w:style w:type="paragraph" w:customStyle="1" w:styleId="393">
    <w:name w:val="列出段落3"/>
    <w:basedOn w:val="1"/>
    <w:qFormat/>
    <w:uiPriority w:val="0"/>
    <w:pPr>
      <w:spacing w:before="100" w:beforeAutospacing="1" w:after="100" w:afterAutospacing="1" w:line="300" w:lineRule="auto"/>
      <w:ind w:firstLine="420" w:firstLineChars="200"/>
    </w:pPr>
    <w:rPr>
      <w:sz w:val="21"/>
    </w:rPr>
  </w:style>
  <w:style w:type="paragraph" w:customStyle="1" w:styleId="394">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395">
    <w:name w:val="正文缩进3"/>
    <w:basedOn w:val="1"/>
    <w:qFormat/>
    <w:uiPriority w:val="0"/>
    <w:pPr>
      <w:ind w:firstLine="420"/>
    </w:pPr>
    <w:rPr>
      <w:sz w:val="21"/>
    </w:rPr>
  </w:style>
  <w:style w:type="paragraph" w:customStyle="1" w:styleId="396">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397">
    <w:name w:val="其他发布部门"/>
    <w:basedOn w:val="398"/>
    <w:qFormat/>
    <w:uiPriority w:val="0"/>
    <w:pPr>
      <w:spacing w:line="0" w:lineRule="atLeast"/>
    </w:pPr>
    <w:rPr>
      <w:rFonts w:ascii="黑体" w:eastAsia="黑体"/>
      <w:b w:val="0"/>
    </w:rPr>
  </w:style>
  <w:style w:type="paragraph" w:customStyle="1" w:styleId="398">
    <w:name w:val="发布部门"/>
    <w:next w:val="369"/>
    <w:qFormat/>
    <w:uiPriority w:val="0"/>
    <w:pPr>
      <w:jc w:val="center"/>
    </w:pPr>
    <w:rPr>
      <w:rFonts w:ascii="宋体" w:hAnsi="Calibri" w:eastAsia="宋体" w:cs="Times New Roman"/>
      <w:b/>
      <w:spacing w:val="20"/>
      <w:w w:val="135"/>
      <w:sz w:val="36"/>
      <w:lang w:val="en-US" w:eastAsia="zh-CN" w:bidi="ar-SA"/>
    </w:rPr>
  </w:style>
  <w:style w:type="paragraph" w:customStyle="1" w:styleId="399">
    <w:name w:val="列出段落1"/>
    <w:basedOn w:val="1"/>
    <w:qFormat/>
    <w:uiPriority w:val="0"/>
    <w:pPr>
      <w:ind w:firstLine="420" w:firstLineChars="200"/>
    </w:pPr>
    <w:rPr>
      <w:sz w:val="21"/>
    </w:rPr>
  </w:style>
  <w:style w:type="paragraph" w:customStyle="1" w:styleId="400">
    <w:name w:val="收件单位"/>
    <w:basedOn w:val="1"/>
    <w:qFormat/>
    <w:uiPriority w:val="0"/>
    <w:pPr>
      <w:tabs>
        <w:tab w:val="left" w:pos="1365"/>
      </w:tabs>
      <w:spacing w:beforeLines="100"/>
    </w:pPr>
    <w:rPr>
      <w:rFonts w:eastAsia="华文仿宋"/>
      <w:sz w:val="30"/>
    </w:rPr>
  </w:style>
  <w:style w:type="paragraph" w:customStyle="1" w:styleId="401">
    <w:name w:val="正文段"/>
    <w:basedOn w:val="1"/>
    <w:qFormat/>
    <w:uiPriority w:val="0"/>
    <w:pPr>
      <w:widowControl/>
      <w:snapToGrid w:val="0"/>
      <w:spacing w:afterLines="50"/>
      <w:ind w:firstLine="200" w:firstLineChars="200"/>
    </w:pPr>
    <w:rPr>
      <w:kern w:val="0"/>
      <w:sz w:val="24"/>
    </w:rPr>
  </w:style>
  <w:style w:type="paragraph" w:customStyle="1" w:styleId="402">
    <w:name w:val="文档结构图1"/>
    <w:basedOn w:val="1"/>
    <w:qFormat/>
    <w:uiPriority w:val="0"/>
    <w:pPr>
      <w:shd w:val="clear" w:color="auto" w:fill="000080"/>
    </w:pPr>
    <w:rPr>
      <w:kern w:val="0"/>
      <w:sz w:val="20"/>
      <w:shd w:val="clear" w:color="auto" w:fill="000080"/>
    </w:rPr>
  </w:style>
  <w:style w:type="paragraph" w:customStyle="1" w:styleId="40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04">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405">
    <w:name w:val="彩色列表 - 强调文字颜色 12"/>
    <w:basedOn w:val="1"/>
    <w:qFormat/>
    <w:uiPriority w:val="0"/>
    <w:pPr>
      <w:ind w:firstLine="420" w:firstLineChars="200"/>
    </w:pPr>
    <w:rPr>
      <w:sz w:val="21"/>
    </w:rPr>
  </w:style>
  <w:style w:type="paragraph" w:customStyle="1" w:styleId="406">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407">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408">
    <w:name w:val="默认段落字体 Para Char Char Char Char Char Char Char Char Char Char Char Char Char"/>
    <w:basedOn w:val="1"/>
    <w:qFormat/>
    <w:uiPriority w:val="0"/>
    <w:rPr>
      <w:sz w:val="21"/>
    </w:rPr>
  </w:style>
  <w:style w:type="paragraph" w:customStyle="1" w:styleId="409">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410">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411">
    <w:name w:val="附录三级条标题"/>
    <w:basedOn w:val="412"/>
    <w:next w:val="369"/>
    <w:qFormat/>
    <w:uiPriority w:val="0"/>
    <w:pPr>
      <w:tabs>
        <w:tab w:val="left" w:pos="720"/>
        <w:tab w:val="left" w:pos="840"/>
        <w:tab w:val="left" w:pos="1440"/>
      </w:tabs>
      <w:outlineLvl w:val="4"/>
    </w:pPr>
  </w:style>
  <w:style w:type="paragraph" w:customStyle="1" w:styleId="412">
    <w:name w:val="附录二级条标题"/>
    <w:basedOn w:val="413"/>
    <w:next w:val="369"/>
    <w:qFormat/>
    <w:uiPriority w:val="0"/>
    <w:pPr>
      <w:tabs>
        <w:tab w:val="left" w:pos="720"/>
        <w:tab w:val="left" w:pos="840"/>
        <w:tab w:val="left" w:pos="1440"/>
      </w:tabs>
      <w:outlineLvl w:val="3"/>
    </w:pPr>
  </w:style>
  <w:style w:type="paragraph" w:customStyle="1" w:styleId="413">
    <w:name w:val="附录一级条标题"/>
    <w:basedOn w:val="414"/>
    <w:next w:val="369"/>
    <w:qFormat/>
    <w:uiPriority w:val="0"/>
    <w:pPr>
      <w:tabs>
        <w:tab w:val="left" w:pos="720"/>
        <w:tab w:val="left" w:pos="840"/>
        <w:tab w:val="left" w:pos="1440"/>
      </w:tabs>
      <w:autoSpaceDN w:val="0"/>
      <w:ind w:left="0" w:firstLine="0"/>
      <w:outlineLvl w:val="2"/>
    </w:pPr>
  </w:style>
  <w:style w:type="paragraph" w:customStyle="1" w:styleId="414">
    <w:name w:val="附录章标题"/>
    <w:next w:val="369"/>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415">
    <w:name w:val="一般格式"/>
    <w:basedOn w:val="1"/>
    <w:qFormat/>
    <w:uiPriority w:val="0"/>
    <w:pPr>
      <w:spacing w:line="360" w:lineRule="auto"/>
      <w:ind w:firstLine="200" w:firstLineChars="200"/>
    </w:pPr>
    <w:rPr>
      <w:sz w:val="24"/>
    </w:rPr>
  </w:style>
  <w:style w:type="paragraph" w:customStyle="1" w:styleId="41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7">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18">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419">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0">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421">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22">
    <w:name w:val="表格2"/>
    <w:basedOn w:val="1"/>
    <w:qFormat/>
    <w:uiPriority w:val="0"/>
    <w:pPr>
      <w:adjustRightInd w:val="0"/>
      <w:spacing w:line="420" w:lineRule="atLeast"/>
      <w:ind w:left="284" w:firstLine="454"/>
      <w:textAlignment w:val="baseline"/>
    </w:pPr>
    <w:rPr>
      <w:kern w:val="0"/>
      <w:sz w:val="21"/>
    </w:rPr>
  </w:style>
  <w:style w:type="paragraph" w:customStyle="1" w:styleId="423">
    <w:name w:val="样式 标题 2 + Times New Roman 四号 非加粗 段前: 5 磅 段后: 0 磅 行距: 固定值 20..."/>
    <w:basedOn w:val="4"/>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24">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25">
    <w:name w:val="正文图标题"/>
    <w:next w:val="369"/>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426">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427">
    <w:name w:val="标准书眉一"/>
    <w:qFormat/>
    <w:uiPriority w:val="0"/>
    <w:pPr>
      <w:jc w:val="both"/>
    </w:pPr>
    <w:rPr>
      <w:rFonts w:ascii="Calibri" w:hAnsi="Calibri" w:eastAsia="宋体" w:cs="Times New Roman"/>
      <w:lang w:val="en-US" w:eastAsia="zh-CN" w:bidi="ar-SA"/>
    </w:rPr>
  </w:style>
  <w:style w:type="paragraph" w:customStyle="1" w:styleId="428">
    <w:name w:val="简单回函地址"/>
    <w:basedOn w:val="1"/>
    <w:qFormat/>
    <w:uiPriority w:val="0"/>
    <w:pPr>
      <w:adjustRightInd w:val="0"/>
      <w:spacing w:line="312" w:lineRule="atLeast"/>
      <w:textAlignment w:val="baseline"/>
    </w:pPr>
    <w:rPr>
      <w:kern w:val="0"/>
      <w:sz w:val="21"/>
    </w:rPr>
  </w:style>
  <w:style w:type="paragraph" w:customStyle="1" w:styleId="429">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30">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31">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432">
    <w:name w:val="样式 标题 1 + 黑体 三号 非加粗 居中 段前: 6 磅 段后: 6 磅 行距: 固定值 20 磅"/>
    <w:basedOn w:val="2"/>
    <w:qFormat/>
    <w:uiPriority w:val="0"/>
    <w:pPr>
      <w:keepLines/>
      <w:widowControl w:val="0"/>
      <w:spacing w:before="120" w:after="120" w:line="400" w:lineRule="exact"/>
      <w:jc w:val="both"/>
    </w:pPr>
    <w:rPr>
      <w:rFonts w:hAnsi="黑体" w:eastAsia="黑体"/>
      <w:b w:val="0"/>
      <w:kern w:val="44"/>
    </w:rPr>
  </w:style>
  <w:style w:type="paragraph" w:customStyle="1" w:styleId="433">
    <w:name w:val="附录五级条标题"/>
    <w:basedOn w:val="434"/>
    <w:next w:val="369"/>
    <w:qFormat/>
    <w:uiPriority w:val="0"/>
    <w:pPr>
      <w:tabs>
        <w:tab w:val="left" w:pos="720"/>
        <w:tab w:val="left" w:pos="840"/>
        <w:tab w:val="left" w:pos="1440"/>
      </w:tabs>
      <w:outlineLvl w:val="6"/>
    </w:pPr>
  </w:style>
  <w:style w:type="paragraph" w:customStyle="1" w:styleId="434">
    <w:name w:val="附录四级条标题"/>
    <w:basedOn w:val="411"/>
    <w:next w:val="369"/>
    <w:qFormat/>
    <w:uiPriority w:val="0"/>
    <w:pPr>
      <w:outlineLvl w:val="5"/>
    </w:pPr>
  </w:style>
  <w:style w:type="paragraph" w:customStyle="1" w:styleId="435">
    <w:name w:val="Char Char3"/>
    <w:basedOn w:val="26"/>
    <w:qFormat/>
    <w:uiPriority w:val="0"/>
    <w:rPr>
      <w:rFonts w:ascii="Tahoma" w:hAnsi="Tahoma"/>
      <w:sz w:val="24"/>
    </w:rPr>
  </w:style>
  <w:style w:type="paragraph" w:customStyle="1" w:styleId="436">
    <w:name w:val="Char Char Char Char Char Char Char Char Char"/>
    <w:basedOn w:val="1"/>
    <w:qFormat/>
    <w:uiPriority w:val="0"/>
    <w:pPr>
      <w:widowControl/>
      <w:spacing w:after="160" w:line="240" w:lineRule="exact"/>
      <w:jc w:val="left"/>
    </w:pPr>
    <w:rPr>
      <w:sz w:val="21"/>
    </w:rPr>
  </w:style>
  <w:style w:type="paragraph" w:customStyle="1" w:styleId="437">
    <w:name w:val="Char"/>
    <w:basedOn w:val="1"/>
    <w:qFormat/>
    <w:uiPriority w:val="0"/>
    <w:rPr>
      <w:rFonts w:ascii="仿宋_GB2312" w:eastAsia="仿宋_GB2312"/>
      <w:b/>
      <w:sz w:val="32"/>
    </w:rPr>
  </w:style>
  <w:style w:type="paragraph" w:customStyle="1" w:styleId="438">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39">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440">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41">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442">
    <w:name w:val="样式 标题 3 + (中文) 黑体 小四 非加粗 段前: 7.8 磅 段后: 0 磅 行距: 固定值 20 磅"/>
    <w:basedOn w:val="6"/>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3">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444">
    <w:name w:val="Char Char Char Char Char Char3 Char Char Char Char Char Char Char Char Char Char"/>
    <w:basedOn w:val="1"/>
    <w:next w:val="1"/>
    <w:qFormat/>
    <w:uiPriority w:val="0"/>
    <w:rPr>
      <w:rFonts w:eastAsia="黑体"/>
    </w:rPr>
  </w:style>
  <w:style w:type="paragraph" w:customStyle="1" w:styleId="445">
    <w:name w:val="样式 正文（首行缩进两字） + 首行缩进:  2 字符"/>
    <w:basedOn w:val="5"/>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446">
    <w:name w:val="纯文本3"/>
    <w:basedOn w:val="1"/>
    <w:qFormat/>
    <w:uiPriority w:val="0"/>
    <w:pPr>
      <w:widowControl/>
      <w:jc w:val="left"/>
    </w:pPr>
    <w:rPr>
      <w:rFonts w:ascii="宋体" w:hAnsi="Courier New"/>
      <w:kern w:val="0"/>
      <w:sz w:val="20"/>
    </w:rPr>
  </w:style>
  <w:style w:type="paragraph" w:customStyle="1" w:styleId="447">
    <w:name w:val="Char Char2"/>
    <w:basedOn w:val="1"/>
    <w:qFormat/>
    <w:uiPriority w:val="0"/>
    <w:rPr>
      <w:rFonts w:ascii="Tahoma" w:hAnsi="Tahoma"/>
      <w:sz w:val="24"/>
    </w:rPr>
  </w:style>
  <w:style w:type="paragraph" w:customStyle="1" w:styleId="44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449">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50">
    <w:name w:val="p18"/>
    <w:basedOn w:val="1"/>
    <w:qFormat/>
    <w:uiPriority w:val="99"/>
    <w:pPr>
      <w:widowControl/>
      <w:spacing w:line="500" w:lineRule="atLeast"/>
      <w:ind w:firstLine="420"/>
    </w:pPr>
    <w:rPr>
      <w:kern w:val="0"/>
      <w:szCs w:val="28"/>
    </w:rPr>
  </w:style>
  <w:style w:type="paragraph" w:customStyle="1" w:styleId="451">
    <w:name w:val="正文内"/>
    <w:basedOn w:val="1"/>
    <w:qFormat/>
    <w:uiPriority w:val="0"/>
    <w:pPr>
      <w:spacing w:line="400" w:lineRule="exact"/>
      <w:ind w:firstLine="200" w:firstLineChars="200"/>
    </w:pPr>
    <w:rPr>
      <w:rFonts w:ascii="宋体" w:hAnsi="宋体"/>
      <w:sz w:val="21"/>
    </w:rPr>
  </w:style>
  <w:style w:type="paragraph" w:customStyle="1" w:styleId="452">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453">
    <w:name w:val="表格文字2"/>
    <w:basedOn w:val="1"/>
    <w:qFormat/>
    <w:uiPriority w:val="0"/>
    <w:rPr>
      <w:spacing w:val="-4"/>
      <w:sz w:val="24"/>
    </w:rPr>
  </w:style>
  <w:style w:type="paragraph" w:customStyle="1" w:styleId="454">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455">
    <w:name w:val="标题2"/>
    <w:basedOn w:val="1"/>
    <w:qFormat/>
    <w:uiPriority w:val="0"/>
    <w:rPr>
      <w:rFonts w:ascii="宋体" w:hAnsi="宋体"/>
      <w:b/>
      <w:sz w:val="21"/>
    </w:rPr>
  </w:style>
  <w:style w:type="paragraph" w:customStyle="1" w:styleId="456">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457">
    <w:name w:val="彩色底纹 - 强调文字颜色 11"/>
    <w:qFormat/>
    <w:uiPriority w:val="0"/>
    <w:rPr>
      <w:rFonts w:ascii="Calibri" w:hAnsi="Calibri" w:eastAsia="宋体" w:cs="Times New Roman"/>
      <w:kern w:val="2"/>
      <w:sz w:val="21"/>
      <w:lang w:val="en-US" w:eastAsia="zh-CN" w:bidi="ar-SA"/>
    </w:rPr>
  </w:style>
  <w:style w:type="paragraph" w:customStyle="1" w:styleId="458">
    <w:name w:val="样式 标题 4 + 五号"/>
    <w:basedOn w:val="7"/>
    <w:qFormat/>
    <w:uiPriority w:val="0"/>
    <w:rPr>
      <w:kern w:val="0"/>
      <w:sz w:val="21"/>
    </w:rPr>
  </w:style>
  <w:style w:type="paragraph" w:customStyle="1" w:styleId="459">
    <w:name w:val="Körper"/>
    <w:basedOn w:val="1"/>
    <w:qFormat/>
    <w:uiPriority w:val="0"/>
    <w:pPr>
      <w:widowControl/>
      <w:spacing w:before="120" w:line="240" w:lineRule="exact"/>
    </w:pPr>
    <w:rPr>
      <w:rFonts w:ascii="Arial" w:hAnsi="Arial"/>
      <w:kern w:val="0"/>
      <w:sz w:val="20"/>
      <w:lang w:val="de-DE" w:eastAsia="de-DE"/>
    </w:rPr>
  </w:style>
  <w:style w:type="paragraph" w:customStyle="1" w:styleId="460">
    <w:name w:val="末级"/>
    <w:basedOn w:val="1"/>
    <w:qFormat/>
    <w:uiPriority w:val="0"/>
    <w:pPr>
      <w:tabs>
        <w:tab w:val="left" w:pos="851"/>
      </w:tabs>
      <w:spacing w:line="360" w:lineRule="auto"/>
      <w:ind w:firstLine="510"/>
    </w:pPr>
    <w:rPr>
      <w:sz w:val="24"/>
    </w:rPr>
  </w:style>
  <w:style w:type="paragraph" w:customStyle="1" w:styleId="461">
    <w:name w:val="网格表 31"/>
    <w:basedOn w:val="2"/>
    <w:next w:val="1"/>
    <w:qFormat/>
    <w:uiPriority w:val="0"/>
    <w:pPr>
      <w:keepLines/>
      <w:spacing w:before="480" w:line="276" w:lineRule="auto"/>
      <w:jc w:val="left"/>
      <w:outlineLvl w:val="9"/>
    </w:pPr>
    <w:rPr>
      <w:rFonts w:ascii="Cambria" w:hAnsi="Cambria"/>
      <w:color w:val="365F91"/>
      <w:sz w:val="28"/>
    </w:rPr>
  </w:style>
  <w:style w:type="paragraph" w:customStyle="1" w:styleId="462">
    <w:name w:val="样式 正文缩进 + 首行缩进:  2 字符"/>
    <w:basedOn w:val="463"/>
    <w:qFormat/>
    <w:uiPriority w:val="99"/>
    <w:pPr>
      <w:spacing w:line="360" w:lineRule="auto"/>
      <w:ind w:firstLine="200"/>
    </w:pPr>
    <w:rPr>
      <w:rFonts w:ascii="Calibri" w:hAnsi="Calibri"/>
      <w:sz w:val="24"/>
      <w:szCs w:val="24"/>
    </w:rPr>
  </w:style>
  <w:style w:type="paragraph" w:customStyle="1" w:styleId="463">
    <w:name w:val="正文缩进_0"/>
    <w:basedOn w:val="464"/>
    <w:qFormat/>
    <w:uiPriority w:val="0"/>
    <w:pPr>
      <w:ind w:firstLine="420"/>
    </w:pPr>
    <w:rPr>
      <w:rFonts w:ascii="Times New Roman" w:hAnsi="Times New Roman"/>
      <w:kern w:val="0"/>
      <w:szCs w:val="20"/>
    </w:rPr>
  </w:style>
  <w:style w:type="paragraph" w:customStyle="1" w:styleId="46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5">
    <w:name w:val="发布日期"/>
    <w:qFormat/>
    <w:uiPriority w:val="0"/>
    <w:rPr>
      <w:rFonts w:ascii="Calibri" w:hAnsi="Calibri" w:eastAsia="黑体" w:cs="Times New Roman"/>
      <w:sz w:val="28"/>
      <w:lang w:val="en-US" w:eastAsia="zh-CN" w:bidi="ar-SA"/>
    </w:rPr>
  </w:style>
  <w:style w:type="paragraph" w:customStyle="1" w:styleId="466">
    <w:name w:val="四级条标题"/>
    <w:basedOn w:val="467"/>
    <w:next w:val="369"/>
    <w:qFormat/>
    <w:uiPriority w:val="0"/>
    <w:pPr>
      <w:tabs>
        <w:tab w:val="left" w:pos="360"/>
        <w:tab w:val="left" w:pos="720"/>
        <w:tab w:val="left" w:pos="3600"/>
      </w:tabs>
      <w:ind w:left="0" w:firstLine="0"/>
      <w:outlineLvl w:val="5"/>
    </w:pPr>
  </w:style>
  <w:style w:type="paragraph" w:customStyle="1" w:styleId="467">
    <w:name w:val="三级条标题"/>
    <w:basedOn w:val="468"/>
    <w:next w:val="369"/>
    <w:qFormat/>
    <w:uiPriority w:val="0"/>
    <w:pPr>
      <w:tabs>
        <w:tab w:val="left" w:pos="360"/>
        <w:tab w:val="left" w:pos="720"/>
        <w:tab w:val="left" w:pos="3600"/>
      </w:tabs>
      <w:ind w:left="2100" w:hanging="420"/>
      <w:jc w:val="left"/>
      <w:outlineLvl w:val="4"/>
    </w:pPr>
    <w:rPr>
      <w:rFonts w:ascii="Times New Roman"/>
      <w:sz w:val="20"/>
    </w:rPr>
  </w:style>
  <w:style w:type="paragraph" w:customStyle="1" w:styleId="468">
    <w:name w:val="二级条标题"/>
    <w:basedOn w:val="1"/>
    <w:next w:val="369"/>
    <w:qFormat/>
    <w:uiPriority w:val="0"/>
    <w:pPr>
      <w:widowControl/>
      <w:tabs>
        <w:tab w:val="left" w:pos="360"/>
      </w:tabs>
      <w:outlineLvl w:val="3"/>
    </w:pPr>
    <w:rPr>
      <w:rFonts w:ascii="黑体" w:eastAsia="黑体"/>
      <w:kern w:val="0"/>
      <w:sz w:val="21"/>
    </w:rPr>
  </w:style>
  <w:style w:type="paragraph" w:customStyle="1" w:styleId="469">
    <w:name w:val="正文文本 21"/>
    <w:basedOn w:val="1"/>
    <w:qFormat/>
    <w:uiPriority w:val="0"/>
    <w:pPr>
      <w:adjustRightInd w:val="0"/>
      <w:spacing w:line="300" w:lineRule="auto"/>
      <w:jc w:val="center"/>
    </w:pPr>
    <w:rPr>
      <w:rFonts w:hint="eastAsia" w:ascii="宋体" w:hAnsi="宋体"/>
      <w:sz w:val="24"/>
    </w:rPr>
  </w:style>
  <w:style w:type="paragraph" w:customStyle="1" w:styleId="470">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71">
    <w:name w:val="目次、标准名称标题"/>
    <w:basedOn w:val="1"/>
    <w:next w:val="369"/>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472">
    <w:name w:val="正文21"/>
    <w:basedOn w:val="1"/>
    <w:qFormat/>
    <w:uiPriority w:val="0"/>
    <w:pPr>
      <w:adjustRightInd w:val="0"/>
      <w:spacing w:line="420" w:lineRule="atLeast"/>
      <w:textAlignment w:val="baseline"/>
    </w:pPr>
    <w:rPr>
      <w:kern w:val="0"/>
      <w:sz w:val="21"/>
    </w:rPr>
  </w:style>
  <w:style w:type="paragraph" w:customStyle="1" w:styleId="4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474">
    <w:name w:val="样式 居中 行距: 固定值 60 磅"/>
    <w:basedOn w:val="1"/>
    <w:qFormat/>
    <w:uiPriority w:val="0"/>
    <w:pPr>
      <w:spacing w:line="360" w:lineRule="auto"/>
      <w:jc w:val="center"/>
    </w:pPr>
    <w:rPr>
      <w:sz w:val="21"/>
    </w:rPr>
  </w:style>
  <w:style w:type="paragraph" w:customStyle="1" w:styleId="475">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76">
    <w:name w:val="Char Char Char"/>
    <w:basedOn w:val="1"/>
    <w:qFormat/>
    <w:uiPriority w:val="0"/>
    <w:pPr>
      <w:spacing w:line="360" w:lineRule="auto"/>
      <w:ind w:firstLine="200" w:firstLineChars="200"/>
    </w:pPr>
    <w:rPr>
      <w:rFonts w:ascii="宋体" w:hAnsi="宋体"/>
      <w:sz w:val="24"/>
    </w:rPr>
  </w:style>
  <w:style w:type="paragraph" w:customStyle="1" w:styleId="477">
    <w:name w:val="图表脚注"/>
    <w:next w:val="369"/>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78">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79">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480">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lang w:val="en-US" w:eastAsia="zh-CN" w:bidi="ar-SA"/>
    </w:rPr>
  </w:style>
  <w:style w:type="paragraph" w:customStyle="1" w:styleId="481">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8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3">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84">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485">
    <w:name w:val="Table textB"/>
    <w:basedOn w:val="1"/>
    <w:next w:val="1"/>
    <w:qFormat/>
    <w:uiPriority w:val="0"/>
    <w:pPr>
      <w:widowControl/>
      <w:spacing w:before="80" w:after="80"/>
      <w:jc w:val="center"/>
    </w:pPr>
    <w:rPr>
      <w:rFonts w:ascii="Arial" w:hAnsi="Arial"/>
      <w:b/>
      <w:spacing w:val="-5"/>
      <w:kern w:val="0"/>
      <w:sz w:val="18"/>
    </w:rPr>
  </w:style>
  <w:style w:type="paragraph" w:customStyle="1" w:styleId="486">
    <w:name w:val="修订2"/>
    <w:qFormat/>
    <w:uiPriority w:val="0"/>
    <w:rPr>
      <w:rFonts w:ascii="Calibri" w:hAnsi="Calibri" w:eastAsia="宋体" w:cs="Times New Roman"/>
      <w:kern w:val="2"/>
      <w:sz w:val="28"/>
      <w:lang w:val="en-US" w:eastAsia="zh-CN" w:bidi="ar-SA"/>
    </w:rPr>
  </w:style>
  <w:style w:type="paragraph" w:customStyle="1" w:styleId="487">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488">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48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90">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49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492">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493">
    <w:name w:val="表格5"/>
    <w:basedOn w:val="422"/>
    <w:qFormat/>
    <w:uiPriority w:val="0"/>
    <w:pPr>
      <w:ind w:left="1021" w:hanging="284"/>
    </w:pPr>
    <w:rPr>
      <w:rFonts w:ascii="宋体"/>
    </w:rPr>
  </w:style>
  <w:style w:type="paragraph" w:customStyle="1" w:styleId="494">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95">
    <w:name w:val="文章正文"/>
    <w:basedOn w:val="1"/>
    <w:qFormat/>
    <w:uiPriority w:val="0"/>
    <w:pPr>
      <w:spacing w:line="360" w:lineRule="auto"/>
      <w:ind w:firstLine="200" w:firstLineChars="200"/>
    </w:pPr>
    <w:rPr>
      <w:sz w:val="24"/>
      <w:szCs w:val="24"/>
    </w:rPr>
  </w:style>
  <w:style w:type="paragraph" w:customStyle="1" w:styleId="496">
    <w:name w:val="Char Char Char Char1"/>
    <w:basedOn w:val="1"/>
    <w:qFormat/>
    <w:uiPriority w:val="0"/>
    <w:rPr>
      <w:sz w:val="21"/>
    </w:rPr>
  </w:style>
  <w:style w:type="paragraph" w:customStyle="1" w:styleId="497">
    <w:name w:val="正文表标题"/>
    <w:next w:val="369"/>
    <w:qFormat/>
    <w:uiPriority w:val="0"/>
    <w:pPr>
      <w:jc w:val="center"/>
    </w:pPr>
    <w:rPr>
      <w:rFonts w:ascii="黑体" w:hAnsi="Calibri" w:eastAsia="黑体" w:cs="Times New Roman"/>
      <w:sz w:val="21"/>
      <w:lang w:val="en-US" w:eastAsia="zh-CN" w:bidi="ar-SA"/>
    </w:rPr>
  </w:style>
  <w:style w:type="paragraph" w:customStyle="1" w:styleId="498">
    <w:name w:val="网格表 32"/>
    <w:basedOn w:val="2"/>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499">
    <w:name w:val="表格3"/>
    <w:basedOn w:val="1"/>
    <w:qFormat/>
    <w:uiPriority w:val="0"/>
    <w:pPr>
      <w:adjustRightInd w:val="0"/>
      <w:spacing w:line="420" w:lineRule="atLeast"/>
      <w:textAlignment w:val="baseline"/>
    </w:pPr>
    <w:rPr>
      <w:rFonts w:eastAsia="楷体"/>
      <w:kern w:val="0"/>
      <w:sz w:val="21"/>
    </w:rPr>
  </w:style>
  <w:style w:type="paragraph" w:customStyle="1" w:styleId="500">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501">
    <w:name w:val="表格"/>
    <w:basedOn w:val="1"/>
    <w:qFormat/>
    <w:uiPriority w:val="0"/>
    <w:pPr>
      <w:textAlignment w:val="center"/>
    </w:pPr>
    <w:rPr>
      <w:rFonts w:ascii="华文细黑" w:hAnsi="华文细黑"/>
      <w:kern w:val="0"/>
      <w:sz w:val="21"/>
    </w:rPr>
  </w:style>
  <w:style w:type="paragraph" w:customStyle="1" w:styleId="502">
    <w:name w:val="正文样式"/>
    <w:basedOn w:val="1"/>
    <w:qFormat/>
    <w:uiPriority w:val="0"/>
    <w:pPr>
      <w:ind w:firstLine="480" w:firstLineChars="200"/>
    </w:pPr>
    <w:rPr>
      <w:rFonts w:eastAsia="华文仿宋"/>
      <w:szCs w:val="24"/>
    </w:rPr>
  </w:style>
  <w:style w:type="paragraph" w:customStyle="1" w:styleId="503">
    <w:name w:val="图表左对齐"/>
    <w:basedOn w:val="1"/>
    <w:qFormat/>
    <w:uiPriority w:val="0"/>
    <w:pPr>
      <w:spacing w:line="360" w:lineRule="exact"/>
      <w:jc w:val="left"/>
    </w:pPr>
    <w:rPr>
      <w:spacing w:val="-10"/>
      <w:sz w:val="24"/>
    </w:rPr>
  </w:style>
  <w:style w:type="paragraph" w:customStyle="1" w:styleId="50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505">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506">
    <w:name w:val="2"/>
    <w:basedOn w:val="1"/>
    <w:qFormat/>
    <w:uiPriority w:val="0"/>
    <w:rPr>
      <w:rFonts w:ascii="Tahoma" w:hAnsi="Tahoma"/>
      <w:sz w:val="24"/>
    </w:rPr>
  </w:style>
  <w:style w:type="paragraph" w:customStyle="1" w:styleId="507">
    <w:name w:val="引文目录标题1"/>
    <w:basedOn w:val="1"/>
    <w:next w:val="1"/>
    <w:qFormat/>
    <w:uiPriority w:val="0"/>
    <w:pPr>
      <w:spacing w:before="120"/>
    </w:pPr>
    <w:rPr>
      <w:rFonts w:ascii="Arial" w:hAnsi="Arial"/>
      <w:sz w:val="24"/>
    </w:rPr>
  </w:style>
  <w:style w:type="paragraph" w:customStyle="1" w:styleId="508">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09">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510">
    <w:name w:val="无间隔21"/>
    <w:qFormat/>
    <w:uiPriority w:val="0"/>
    <w:rPr>
      <w:rFonts w:ascii="Calibri" w:hAnsi="Calibri" w:eastAsia="宋体" w:cs="Times New Roman"/>
      <w:sz w:val="22"/>
      <w:lang w:val="en-US" w:eastAsia="en-US" w:bidi="ar-SA"/>
    </w:rPr>
  </w:style>
  <w:style w:type="paragraph" w:customStyle="1" w:styleId="511">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12">
    <w:name w:val="表格6"/>
    <w:basedOn w:val="1"/>
    <w:qFormat/>
    <w:uiPriority w:val="0"/>
    <w:pPr>
      <w:adjustRightInd w:val="0"/>
      <w:spacing w:line="420" w:lineRule="atLeast"/>
      <w:ind w:left="737"/>
      <w:textAlignment w:val="baseline"/>
    </w:pPr>
    <w:rPr>
      <w:rFonts w:ascii="宋体"/>
      <w:kern w:val="0"/>
      <w:sz w:val="21"/>
    </w:rPr>
  </w:style>
  <w:style w:type="paragraph" w:customStyle="1" w:styleId="513">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514">
    <w:name w:val="正文缩进2"/>
    <w:basedOn w:val="1"/>
    <w:qFormat/>
    <w:uiPriority w:val="0"/>
    <w:pPr>
      <w:ind w:firstLine="420"/>
    </w:pPr>
    <w:rPr>
      <w:sz w:val="21"/>
    </w:rPr>
  </w:style>
  <w:style w:type="paragraph" w:customStyle="1" w:styleId="515">
    <w:name w:val="样式2"/>
    <w:basedOn w:val="76"/>
    <w:qFormat/>
    <w:uiPriority w:val="0"/>
    <w:pPr>
      <w:ind w:left="200" w:leftChars="200" w:hanging="200" w:hangingChars="200"/>
      <w:jc w:val="both"/>
    </w:pPr>
    <w:rPr>
      <w:rFonts w:ascii="Times New Roman" w:hAnsi="Times New Roman"/>
      <w:smallCaps w:val="0"/>
      <w:sz w:val="21"/>
    </w:rPr>
  </w:style>
  <w:style w:type="paragraph" w:customStyle="1" w:styleId="516">
    <w:name w:val="标准书眉_偶数页"/>
    <w:basedOn w:val="1"/>
    <w:next w:val="1"/>
    <w:qFormat/>
    <w:uiPriority w:val="0"/>
    <w:pPr>
      <w:widowControl/>
      <w:tabs>
        <w:tab w:val="center" w:pos="4154"/>
        <w:tab w:val="right" w:pos="8306"/>
      </w:tabs>
      <w:spacing w:after="120"/>
    </w:pPr>
    <w:rPr>
      <w:kern w:val="0"/>
      <w:sz w:val="21"/>
    </w:rPr>
  </w:style>
  <w:style w:type="paragraph" w:customStyle="1" w:styleId="517">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19">
    <w:name w:val="附录表标题"/>
    <w:next w:val="369"/>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20">
    <w:name w:val="表"/>
    <w:basedOn w:val="1"/>
    <w:qFormat/>
    <w:uiPriority w:val="0"/>
    <w:pPr>
      <w:spacing w:line="360" w:lineRule="auto"/>
      <w:jc w:val="center"/>
    </w:pPr>
    <w:rPr>
      <w:color w:val="000000"/>
      <w:sz w:val="21"/>
    </w:rPr>
  </w:style>
  <w:style w:type="paragraph" w:customStyle="1" w:styleId="521">
    <w:name w:val="Body Text First Indent 21"/>
    <w:basedOn w:val="390"/>
    <w:qFormat/>
    <w:uiPriority w:val="0"/>
    <w:pPr>
      <w:ind w:firstLine="420"/>
    </w:pPr>
    <w:rPr>
      <w:rFonts w:cs="宋体"/>
    </w:rPr>
  </w:style>
  <w:style w:type="paragraph" w:customStyle="1" w:styleId="52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523">
    <w:name w:val="表文C"/>
    <w:basedOn w:val="1"/>
    <w:qFormat/>
    <w:uiPriority w:val="0"/>
    <w:pPr>
      <w:widowControl/>
      <w:tabs>
        <w:tab w:val="left" w:pos="0"/>
      </w:tabs>
      <w:adjustRightInd w:val="0"/>
      <w:snapToGrid w:val="0"/>
    </w:pPr>
    <w:rPr>
      <w:snapToGrid w:val="0"/>
      <w:kern w:val="0"/>
      <w:sz w:val="21"/>
    </w:rPr>
  </w:style>
  <w:style w:type="paragraph" w:customStyle="1" w:styleId="524">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525">
    <w:name w:val="表头"/>
    <w:basedOn w:val="526"/>
    <w:qFormat/>
    <w:uiPriority w:val="0"/>
    <w:pPr>
      <w:spacing w:before="120" w:after="60"/>
    </w:pPr>
    <w:rPr>
      <w:rFonts w:ascii="黑体" w:eastAsia="黑体"/>
      <w:b/>
    </w:rPr>
  </w:style>
  <w:style w:type="paragraph" w:customStyle="1" w:styleId="526">
    <w:name w:val="表格方字"/>
    <w:basedOn w:val="1"/>
    <w:qFormat/>
    <w:uiPriority w:val="0"/>
    <w:pPr>
      <w:adjustRightInd w:val="0"/>
      <w:spacing w:line="420" w:lineRule="atLeast"/>
      <w:textAlignment w:val="baseline"/>
    </w:pPr>
    <w:rPr>
      <w:kern w:val="0"/>
      <w:sz w:val="21"/>
    </w:rPr>
  </w:style>
  <w:style w:type="paragraph" w:customStyle="1" w:styleId="527">
    <w:name w:val="多级符号2"/>
    <w:basedOn w:val="528"/>
    <w:qFormat/>
    <w:uiPriority w:val="0"/>
    <w:pPr>
      <w:outlineLvl w:val="9"/>
    </w:pPr>
    <w:rPr>
      <w:b w:val="0"/>
      <w:sz w:val="24"/>
    </w:rPr>
  </w:style>
  <w:style w:type="paragraph" w:customStyle="1" w:styleId="528">
    <w:name w:val="多级符号1"/>
    <w:basedOn w:val="1"/>
    <w:next w:val="1"/>
    <w:qFormat/>
    <w:uiPriority w:val="0"/>
    <w:pPr>
      <w:spacing w:line="360" w:lineRule="auto"/>
      <w:jc w:val="left"/>
      <w:outlineLvl w:val="0"/>
    </w:pPr>
    <w:rPr>
      <w:rFonts w:eastAsia="仿宋_GB2312"/>
      <w:b/>
      <w:sz w:val="30"/>
    </w:rPr>
  </w:style>
  <w:style w:type="paragraph" w:customStyle="1" w:styleId="529">
    <w:name w:val="日期1"/>
    <w:basedOn w:val="1"/>
    <w:next w:val="1"/>
    <w:qFormat/>
    <w:uiPriority w:val="0"/>
    <w:pPr>
      <w:ind w:left="100" w:leftChars="2500"/>
    </w:pPr>
    <w:rPr>
      <w:kern w:val="0"/>
      <w:sz w:val="20"/>
    </w:rPr>
  </w:style>
  <w:style w:type="paragraph" w:customStyle="1" w:styleId="530">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31">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33">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34">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535">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536">
    <w:name w:val="正文文本缩进1"/>
    <w:basedOn w:val="1"/>
    <w:qFormat/>
    <w:uiPriority w:val="0"/>
    <w:pPr>
      <w:spacing w:after="120"/>
      <w:ind w:left="420" w:leftChars="200"/>
    </w:pPr>
    <w:rPr>
      <w:sz w:val="21"/>
    </w:rPr>
  </w:style>
  <w:style w:type="paragraph" w:customStyle="1" w:styleId="537">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538">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rPr>
  </w:style>
  <w:style w:type="paragraph" w:customStyle="1" w:styleId="539">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540">
    <w:name w:val="_Style 10"/>
    <w:basedOn w:val="1"/>
    <w:next w:val="1"/>
    <w:qFormat/>
    <w:uiPriority w:val="0"/>
    <w:rPr>
      <w:sz w:val="21"/>
    </w:rPr>
  </w:style>
  <w:style w:type="paragraph" w:customStyle="1" w:styleId="541">
    <w:name w:val="默认段落字体 Para Char Char Char Char Char Char Char Char Char1 Char Char Char Char"/>
    <w:basedOn w:val="1"/>
    <w:qFormat/>
    <w:uiPriority w:val="0"/>
    <w:rPr>
      <w:rFonts w:ascii="Tahoma" w:hAnsi="Tahoma"/>
      <w:sz w:val="24"/>
    </w:rPr>
  </w:style>
  <w:style w:type="paragraph" w:customStyle="1" w:styleId="542">
    <w:name w:val="修订1"/>
    <w:qFormat/>
    <w:uiPriority w:val="0"/>
    <w:rPr>
      <w:rFonts w:ascii="宋体" w:hAnsi="Calibri" w:eastAsia="宋体" w:cs="Times New Roman"/>
      <w:kern w:val="2"/>
      <w:sz w:val="28"/>
      <w:lang w:val="en-US" w:eastAsia="zh-CN" w:bidi="ar-SA"/>
    </w:rPr>
  </w:style>
  <w:style w:type="paragraph" w:customStyle="1" w:styleId="543">
    <w:name w:val="_Style 40"/>
    <w:basedOn w:val="1"/>
    <w:qFormat/>
    <w:uiPriority w:val="0"/>
    <w:rPr>
      <w:sz w:val="21"/>
    </w:rPr>
  </w:style>
  <w:style w:type="paragraph" w:customStyle="1" w:styleId="544">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45">
    <w:name w:val="_Style 3"/>
    <w:qFormat/>
    <w:uiPriority w:val="0"/>
    <w:rPr>
      <w:rFonts w:ascii="Calibri" w:hAnsi="Calibri" w:eastAsia="宋体" w:cs="Times New Roman"/>
      <w:sz w:val="22"/>
      <w:szCs w:val="22"/>
      <w:lang w:val="en-US" w:eastAsia="zh-CN" w:bidi="ar-SA"/>
    </w:rPr>
  </w:style>
  <w:style w:type="paragraph" w:customStyle="1" w:styleId="546">
    <w:name w:val="五级条标题"/>
    <w:basedOn w:val="466"/>
    <w:next w:val="369"/>
    <w:qFormat/>
    <w:uiPriority w:val="0"/>
    <w:pPr>
      <w:outlineLvl w:val="6"/>
    </w:pPr>
  </w:style>
  <w:style w:type="paragraph" w:customStyle="1" w:styleId="547">
    <w:name w:val="条文脚注"/>
    <w:basedOn w:val="70"/>
    <w:qFormat/>
    <w:uiPriority w:val="0"/>
    <w:pPr>
      <w:ind w:left="780" w:leftChars="200" w:hanging="360" w:hangingChars="200"/>
      <w:jc w:val="both"/>
    </w:pPr>
    <w:rPr>
      <w:rFonts w:ascii="宋体"/>
    </w:rPr>
  </w:style>
  <w:style w:type="paragraph" w:customStyle="1" w:styleId="548">
    <w:name w:val="列出段落2"/>
    <w:basedOn w:val="1"/>
    <w:qFormat/>
    <w:uiPriority w:val="0"/>
    <w:pPr>
      <w:spacing w:before="100" w:beforeAutospacing="1" w:after="100" w:afterAutospacing="1" w:line="300" w:lineRule="auto"/>
      <w:ind w:firstLine="420" w:firstLineChars="200"/>
    </w:pPr>
    <w:rPr>
      <w:sz w:val="21"/>
    </w:rPr>
  </w:style>
  <w:style w:type="paragraph" w:customStyle="1" w:styleId="54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50">
    <w:name w:val="HTML 地址1"/>
    <w:basedOn w:val="1"/>
    <w:qFormat/>
    <w:uiPriority w:val="0"/>
    <w:rPr>
      <w:i/>
      <w:kern w:val="0"/>
      <w:sz w:val="20"/>
    </w:rPr>
  </w:style>
  <w:style w:type="paragraph" w:customStyle="1" w:styleId="551">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552">
    <w:name w:val="1 Char Char Char"/>
    <w:basedOn w:val="1"/>
    <w:next w:val="6"/>
    <w:qFormat/>
    <w:uiPriority w:val="0"/>
    <w:pPr>
      <w:spacing w:line="500" w:lineRule="exact"/>
      <w:ind w:firstLine="200"/>
      <w:jc w:val="center"/>
    </w:pPr>
    <w:rPr>
      <w:rFonts w:ascii="仿宋_GB2312" w:hAnsi="Arial" w:eastAsia="仿宋_GB2312"/>
      <w:sz w:val="32"/>
    </w:rPr>
  </w:style>
  <w:style w:type="paragraph" w:customStyle="1" w:styleId="553">
    <w:name w:val="Table Paragraph"/>
    <w:basedOn w:val="1"/>
    <w:qFormat/>
    <w:uiPriority w:val="1"/>
    <w:rPr>
      <w:rFonts w:ascii="宋体" w:hAnsi="宋体" w:cs="宋体"/>
      <w:lang w:val="zh-CN" w:bidi="zh-CN"/>
    </w:rPr>
  </w:style>
  <w:style w:type="paragraph" w:customStyle="1" w:styleId="554">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555">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556">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57">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55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559">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60">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61">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562">
    <w:name w:val="附录标识"/>
    <w:basedOn w:val="438"/>
    <w:qFormat/>
    <w:uiPriority w:val="0"/>
    <w:pPr>
      <w:tabs>
        <w:tab w:val="left" w:pos="720"/>
        <w:tab w:val="left" w:pos="6405"/>
      </w:tabs>
      <w:spacing w:after="200"/>
      <w:ind w:left="360" w:hanging="360"/>
    </w:pPr>
    <w:rPr>
      <w:sz w:val="21"/>
    </w:rPr>
  </w:style>
  <w:style w:type="paragraph" w:customStyle="1" w:styleId="563">
    <w:name w:val="投标正文"/>
    <w:basedOn w:val="1"/>
    <w:qFormat/>
    <w:uiPriority w:val="0"/>
    <w:pPr>
      <w:spacing w:line="360" w:lineRule="auto"/>
      <w:ind w:left="100" w:firstLine="480" w:firstLineChars="200"/>
    </w:pPr>
    <w:rPr>
      <w:sz w:val="24"/>
      <w:szCs w:val="24"/>
    </w:rPr>
  </w:style>
  <w:style w:type="paragraph" w:customStyle="1" w:styleId="564">
    <w:name w:val="目录3"/>
    <w:basedOn w:val="1"/>
    <w:qFormat/>
    <w:uiPriority w:val="0"/>
    <w:pPr>
      <w:adjustRightInd w:val="0"/>
      <w:spacing w:line="420" w:lineRule="atLeast"/>
      <w:ind w:left="454"/>
      <w:textAlignment w:val="baseline"/>
    </w:pPr>
    <w:rPr>
      <w:kern w:val="0"/>
      <w:sz w:val="21"/>
    </w:rPr>
  </w:style>
  <w:style w:type="paragraph" w:customStyle="1" w:styleId="56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6">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567">
    <w:name w:val="章标题"/>
    <w:next w:val="369"/>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68">
    <w:name w:val="样式 三号 加粗 居中"/>
    <w:basedOn w:val="1"/>
    <w:qFormat/>
    <w:uiPriority w:val="0"/>
    <w:pPr>
      <w:spacing w:line="360" w:lineRule="auto"/>
      <w:jc w:val="center"/>
    </w:pPr>
    <w:rPr>
      <w:b/>
      <w:sz w:val="32"/>
    </w:rPr>
  </w:style>
  <w:style w:type="paragraph" w:customStyle="1" w:styleId="56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570">
    <w:name w:val="标题3"/>
    <w:basedOn w:val="6"/>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571">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2">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73">
    <w:name w:val="目录1"/>
    <w:basedOn w:val="1"/>
    <w:qFormat/>
    <w:uiPriority w:val="0"/>
    <w:pPr>
      <w:adjustRightInd w:val="0"/>
      <w:spacing w:line="420" w:lineRule="atLeast"/>
      <w:textAlignment w:val="baseline"/>
    </w:pPr>
    <w:rPr>
      <w:rFonts w:eastAsia="黑体"/>
      <w:b/>
      <w:kern w:val="0"/>
      <w:sz w:val="21"/>
    </w:rPr>
  </w:style>
  <w:style w:type="paragraph" w:customStyle="1" w:styleId="574">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575">
    <w:name w:val="正文 A"/>
    <w:qFormat/>
    <w:uiPriority w:val="0"/>
    <w:rPr>
      <w:rFonts w:ascii="Calibri" w:hAnsi="Calibri" w:eastAsia="ヒラギノ角ゴ Pro W3" w:cs="Times New Roman"/>
      <w:color w:val="000000"/>
      <w:sz w:val="24"/>
      <w:lang w:val="en-US" w:eastAsia="zh-CN" w:bidi="ar-SA"/>
    </w:rPr>
  </w:style>
  <w:style w:type="paragraph" w:customStyle="1" w:styleId="576">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577">
    <w:name w:val="参考文献、索引标题"/>
    <w:basedOn w:val="438"/>
    <w:next w:val="1"/>
    <w:qFormat/>
    <w:uiPriority w:val="0"/>
    <w:pPr>
      <w:spacing w:after="200"/>
    </w:pPr>
    <w:rPr>
      <w:sz w:val="21"/>
    </w:rPr>
  </w:style>
  <w:style w:type="paragraph" w:customStyle="1" w:styleId="578">
    <w:name w:val="Char Char Char 字元 字元"/>
    <w:basedOn w:val="1"/>
    <w:qFormat/>
    <w:uiPriority w:val="0"/>
    <w:rPr>
      <w:rFonts w:ascii="Tahoma" w:hAnsi="Tahoma"/>
      <w:sz w:val="24"/>
    </w:rPr>
  </w:style>
  <w:style w:type="paragraph" w:customStyle="1" w:styleId="579">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580">
    <w:name w:val="表格一"/>
    <w:basedOn w:val="1"/>
    <w:qFormat/>
    <w:uiPriority w:val="0"/>
    <w:pPr>
      <w:spacing w:line="240" w:lineRule="exact"/>
      <w:ind w:left="105" w:leftChars="50"/>
    </w:pPr>
    <w:rPr>
      <w:sz w:val="18"/>
    </w:rPr>
  </w:style>
  <w:style w:type="paragraph" w:customStyle="1" w:styleId="581">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82">
    <w:name w:val="font8"/>
    <w:basedOn w:val="1"/>
    <w:qFormat/>
    <w:uiPriority w:val="0"/>
    <w:pPr>
      <w:widowControl/>
      <w:spacing w:before="100" w:beforeAutospacing="1" w:after="100" w:afterAutospacing="1"/>
    </w:pPr>
    <w:rPr>
      <w:rFonts w:eastAsia="Arial Unicode MS"/>
      <w:kern w:val="0"/>
      <w:sz w:val="24"/>
    </w:rPr>
  </w:style>
  <w:style w:type="paragraph" w:customStyle="1" w:styleId="583">
    <w:name w:val="正文文本 31"/>
    <w:basedOn w:val="1"/>
    <w:qFormat/>
    <w:uiPriority w:val="0"/>
    <w:rPr>
      <w:rFonts w:eastAsia="隶书"/>
      <w:kern w:val="0"/>
      <w:sz w:val="24"/>
    </w:rPr>
  </w:style>
  <w:style w:type="paragraph" w:customStyle="1" w:styleId="584">
    <w:name w:val="p17"/>
    <w:basedOn w:val="1"/>
    <w:qFormat/>
    <w:uiPriority w:val="0"/>
    <w:pPr>
      <w:widowControl/>
      <w:spacing w:before="100" w:after="100" w:line="432" w:lineRule="auto"/>
      <w:jc w:val="left"/>
    </w:pPr>
    <w:rPr>
      <w:rFonts w:ascii="宋体" w:hAnsi="宋体"/>
      <w:kern w:val="0"/>
      <w:sz w:val="27"/>
    </w:rPr>
  </w:style>
  <w:style w:type="paragraph" w:customStyle="1" w:styleId="585">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586">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587">
    <w:name w:val="列出段落4"/>
    <w:basedOn w:val="1"/>
    <w:qFormat/>
    <w:uiPriority w:val="34"/>
    <w:pPr>
      <w:ind w:firstLine="420" w:firstLineChars="200"/>
    </w:pPr>
  </w:style>
  <w:style w:type="paragraph" w:customStyle="1" w:styleId="588">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89">
    <w:name w:val="表内居中"/>
    <w:qFormat/>
    <w:uiPriority w:val="0"/>
    <w:pPr>
      <w:jc w:val="center"/>
    </w:pPr>
    <w:rPr>
      <w:rFonts w:ascii="Calibri" w:hAnsi="Calibri" w:eastAsia="宋体" w:cs="Times New Roman"/>
      <w:lang w:val="en-US" w:eastAsia="zh-CN" w:bidi="ar-SA"/>
    </w:rPr>
  </w:style>
  <w:style w:type="paragraph" w:customStyle="1" w:styleId="590">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59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2">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593">
    <w:name w:val="Char1"/>
    <w:basedOn w:val="1"/>
    <w:qFormat/>
    <w:uiPriority w:val="0"/>
    <w:rPr>
      <w:rFonts w:ascii="仿宋_GB2312" w:eastAsia="仿宋_GB2312"/>
      <w:b/>
      <w:sz w:val="32"/>
    </w:rPr>
  </w:style>
  <w:style w:type="paragraph" w:customStyle="1" w:styleId="594">
    <w:name w:val="Char Char Char1 Char"/>
    <w:basedOn w:val="1"/>
    <w:next w:val="1"/>
    <w:qFormat/>
    <w:uiPriority w:val="0"/>
    <w:rPr>
      <w:sz w:val="21"/>
    </w:rPr>
  </w:style>
  <w:style w:type="paragraph" w:customStyle="1" w:styleId="595">
    <w:name w:val="纯文本1"/>
    <w:basedOn w:val="596"/>
    <w:qFormat/>
    <w:uiPriority w:val="0"/>
    <w:pPr>
      <w:widowControl/>
      <w:jc w:val="left"/>
    </w:pPr>
    <w:rPr>
      <w:rFonts w:ascii="宋体" w:hAnsi="Courier New"/>
    </w:rPr>
  </w:style>
  <w:style w:type="paragraph" w:customStyle="1" w:styleId="596">
    <w:name w:val="正文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59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98">
    <w:name w:val="示例"/>
    <w:next w:val="369"/>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599">
    <w:name w:val="实施日期"/>
    <w:basedOn w:val="465"/>
    <w:qFormat/>
    <w:uiPriority w:val="0"/>
    <w:pPr>
      <w:jc w:val="right"/>
    </w:pPr>
  </w:style>
  <w:style w:type="paragraph" w:customStyle="1" w:styleId="60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1">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02">
    <w:name w:val="标题 0"/>
    <w:basedOn w:val="2"/>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603">
    <w:name w:val="样式3"/>
    <w:basedOn w:val="6"/>
    <w:qFormat/>
    <w:uiPriority w:val="0"/>
    <w:pPr>
      <w:widowControl w:val="0"/>
      <w:tabs>
        <w:tab w:val="clear" w:pos="720"/>
      </w:tabs>
      <w:ind w:left="0" w:firstLine="0"/>
      <w:jc w:val="both"/>
    </w:pPr>
    <w:rPr>
      <w:b w:val="0"/>
      <w:kern w:val="2"/>
      <w:sz w:val="24"/>
    </w:rPr>
  </w:style>
  <w:style w:type="paragraph" w:customStyle="1" w:styleId="604">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605">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606">
    <w:name w:val="bold_10"/>
    <w:basedOn w:val="1"/>
    <w:next w:val="1"/>
    <w:qFormat/>
    <w:uiPriority w:val="0"/>
    <w:pPr>
      <w:widowControl/>
    </w:pPr>
    <w:rPr>
      <w:rFonts w:ascii="Arial" w:hAnsi="Arial"/>
      <w:b/>
      <w:kern w:val="0"/>
      <w:sz w:val="20"/>
      <w:lang w:val="en-AU"/>
    </w:rPr>
  </w:style>
  <w:style w:type="paragraph" w:customStyle="1" w:styleId="607">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608">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609">
    <w:name w:val="Char Char Char Char Char Char3 Char Char Char Char Char Char Char"/>
    <w:basedOn w:val="1"/>
    <w:next w:val="1"/>
    <w:qFormat/>
    <w:uiPriority w:val="0"/>
    <w:rPr>
      <w:rFonts w:eastAsia="黑体"/>
    </w:rPr>
  </w:style>
  <w:style w:type="paragraph" w:customStyle="1" w:styleId="6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611">
    <w:name w:val="封面标准代替信息"/>
    <w:basedOn w:val="392"/>
    <w:qFormat/>
    <w:uiPriority w:val="0"/>
    <w:pPr>
      <w:spacing w:before="57"/>
    </w:pPr>
    <w:rPr>
      <w:rFonts w:ascii="宋体"/>
      <w:sz w:val="21"/>
    </w:rPr>
  </w:style>
  <w:style w:type="paragraph" w:customStyle="1" w:styleId="612">
    <w:name w:val="Char Char Char Char Char Char Char Char Char Char Char Char1 Char"/>
    <w:basedOn w:val="26"/>
    <w:qFormat/>
    <w:uiPriority w:val="0"/>
    <w:rPr>
      <w:rFonts w:ascii="等线" w:hAnsi="等线"/>
      <w:sz w:val="21"/>
    </w:rPr>
  </w:style>
  <w:style w:type="paragraph" w:customStyle="1" w:styleId="613">
    <w:name w:val="默认段落字体 Para Char"/>
    <w:basedOn w:val="1"/>
    <w:qFormat/>
    <w:uiPriority w:val="0"/>
    <w:pPr>
      <w:tabs>
        <w:tab w:val="left" w:pos="425"/>
      </w:tabs>
      <w:ind w:left="425" w:hanging="425"/>
    </w:pPr>
    <w:rPr>
      <w:sz w:val="21"/>
    </w:rPr>
  </w:style>
  <w:style w:type="paragraph" w:customStyle="1" w:styleId="614">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615">
    <w:name w:val="表格1"/>
    <w:basedOn w:val="1"/>
    <w:qFormat/>
    <w:uiPriority w:val="0"/>
    <w:pPr>
      <w:adjustRightInd w:val="0"/>
      <w:spacing w:line="420" w:lineRule="atLeast"/>
      <w:ind w:left="284"/>
      <w:textAlignment w:val="baseline"/>
    </w:pPr>
    <w:rPr>
      <w:kern w:val="0"/>
      <w:sz w:val="21"/>
    </w:rPr>
  </w:style>
  <w:style w:type="paragraph" w:customStyle="1" w:styleId="616">
    <w:name w:val="杭州页脚"/>
    <w:basedOn w:val="1"/>
    <w:qFormat/>
    <w:uiPriority w:val="0"/>
    <w:pPr>
      <w:tabs>
        <w:tab w:val="left" w:pos="340"/>
      </w:tabs>
      <w:adjustRightInd w:val="0"/>
      <w:snapToGrid w:val="0"/>
      <w:ind w:left="340" w:hanging="340"/>
    </w:pPr>
    <w:rPr>
      <w:rFonts w:eastAsia="HYKai U3HK"/>
      <w:sz w:val="20"/>
    </w:rPr>
  </w:style>
  <w:style w:type="paragraph" w:customStyle="1" w:styleId="617">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1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19">
    <w:name w:val="Char Char20"/>
    <w:basedOn w:val="1"/>
    <w:qFormat/>
    <w:uiPriority w:val="0"/>
    <w:pPr>
      <w:snapToGrid w:val="0"/>
      <w:spacing w:afterLines="30" w:line="360" w:lineRule="auto"/>
      <w:ind w:firstLine="200" w:firstLineChars="200"/>
    </w:pPr>
    <w:rPr>
      <w:sz w:val="21"/>
    </w:rPr>
  </w:style>
  <w:style w:type="paragraph" w:customStyle="1" w:styleId="620">
    <w:name w:val="1"/>
    <w:basedOn w:val="1"/>
    <w:qFormat/>
    <w:uiPriority w:val="0"/>
    <w:pPr>
      <w:adjustRightInd w:val="0"/>
      <w:spacing w:before="360" w:after="240" w:line="420" w:lineRule="atLeast"/>
      <w:ind w:firstLine="454"/>
      <w:textAlignment w:val="baseline"/>
    </w:pPr>
    <w:rPr>
      <w:b/>
      <w:kern w:val="0"/>
      <w:sz w:val="21"/>
    </w:rPr>
  </w:style>
  <w:style w:type="paragraph" w:customStyle="1" w:styleId="621">
    <w:name w:val="_Style 32"/>
    <w:basedOn w:val="1"/>
    <w:next w:val="399"/>
    <w:qFormat/>
    <w:uiPriority w:val="34"/>
    <w:pPr>
      <w:ind w:firstLine="420" w:firstLineChars="200"/>
    </w:pPr>
  </w:style>
  <w:style w:type="paragraph" w:customStyle="1" w:styleId="622">
    <w:name w:val="Char Char Char1 Char Char Char Char Char Char Char Char Char Char Char Char Char"/>
    <w:basedOn w:val="1"/>
    <w:qFormat/>
    <w:uiPriority w:val="0"/>
    <w:rPr>
      <w:rFonts w:ascii="Tahoma" w:hAnsi="Tahoma"/>
      <w:sz w:val="24"/>
    </w:rPr>
  </w:style>
  <w:style w:type="paragraph" w:customStyle="1" w:styleId="623">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624">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625">
    <w:name w:val="**正文"/>
    <w:basedOn w:val="1"/>
    <w:qFormat/>
    <w:uiPriority w:val="0"/>
    <w:pPr>
      <w:ind w:firstLine="200" w:firstLineChars="200"/>
    </w:pPr>
    <w:rPr>
      <w:rFonts w:ascii="Times New Roman" w:hAnsi="Times New Roman"/>
    </w:rPr>
  </w:style>
  <w:style w:type="paragraph" w:styleId="626">
    <w:name w:val="List Paragraph"/>
    <w:basedOn w:val="1"/>
    <w:link w:val="627"/>
    <w:qFormat/>
    <w:uiPriority w:val="34"/>
    <w:pPr>
      <w:ind w:firstLine="420" w:firstLineChars="200"/>
    </w:pPr>
  </w:style>
  <w:style w:type="character" w:customStyle="1" w:styleId="627">
    <w:name w:val="列表段落 字符"/>
    <w:link w:val="626"/>
    <w:qFormat/>
    <w:uiPriority w:val="34"/>
    <w:rPr>
      <w:rFonts w:ascii="Calibri" w:hAnsi="Calibri" w:eastAsia="宋体" w:cs="Times New Roman"/>
      <w:sz w:val="28"/>
      <w:szCs w:val="20"/>
    </w:rPr>
  </w:style>
  <w:style w:type="paragraph" w:customStyle="1" w:styleId="628">
    <w:name w:val="纯文本4"/>
    <w:basedOn w:val="1"/>
    <w:qFormat/>
    <w:uiPriority w:val="0"/>
    <w:pPr>
      <w:widowControl/>
      <w:jc w:val="left"/>
    </w:pPr>
    <w:rPr>
      <w:rFonts w:hint="eastAsia" w:ascii="宋体" w:hAnsi="Courier New"/>
    </w:rPr>
  </w:style>
  <w:style w:type="paragraph" w:customStyle="1" w:styleId="629">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TENCENT</Company>
  <Pages>135</Pages>
  <Words>107884</Words>
  <Characters>115352</Characters>
  <Lines>914</Lines>
  <Paragraphs>257</Paragraphs>
  <TotalTime>58</TotalTime>
  <ScaleCrop>false</ScaleCrop>
  <LinksUpToDate>false</LinksUpToDate>
  <CharactersWithSpaces>119066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2023-02-08T03:16:00Z</dcterms:created>
  <dc:creator>T162316</dc:creator>
  <cp:lastModifiedBy>井</cp:lastModifiedBy>
  <cp:lastPrinted>2023-02-20T06:42:00Z</cp:lastPrinted>
  <dcterms:modified xsi:type="dcterms:W3CDTF">2023-03-07T02:13:43Z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4DE4A9CFC39D42CC91721A47FF187828</vt:lpwstr>
  </property>
</Properties>
</file>