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 w:val="left" w:pos="2140"/>
          <w:tab w:val="center" w:pos="4753"/>
        </w:tabs>
        <w:spacing w:beforeLines="10" w:line="360" w:lineRule="auto"/>
        <w:jc w:val="center"/>
        <w:rPr>
          <w:rFonts w:hint="eastAsia" w:ascii="宋体" w:hAnsi="宋体" w:eastAsia="宋体" w:cs="宋体"/>
          <w:color w:val="auto"/>
          <w:sz w:val="44"/>
          <w:highlight w:val="none"/>
        </w:rPr>
      </w:pPr>
    </w:p>
    <w:p>
      <w:pPr>
        <w:tabs>
          <w:tab w:val="left" w:pos="0"/>
          <w:tab w:val="left" w:pos="2140"/>
          <w:tab w:val="center" w:pos="4753"/>
        </w:tabs>
        <w:spacing w:beforeLines="10" w:line="360" w:lineRule="auto"/>
        <w:jc w:val="center"/>
        <w:rPr>
          <w:rFonts w:hint="eastAsia" w:ascii="宋体" w:hAnsi="宋体" w:eastAsia="宋体" w:cs="宋体"/>
          <w:b/>
          <w:color w:val="auto"/>
          <w:sz w:val="52"/>
          <w:highlight w:val="none"/>
          <w:lang w:eastAsia="zh-CN"/>
        </w:rPr>
      </w:pPr>
      <w:r>
        <w:rPr>
          <w:rFonts w:hint="eastAsia" w:ascii="宋体" w:hAnsi="宋体" w:cs="宋体"/>
          <w:b/>
          <w:color w:val="auto"/>
          <w:sz w:val="52"/>
          <w:highlight w:val="none"/>
          <w:lang w:eastAsia="zh-CN"/>
        </w:rPr>
        <w:t>衢州市柯城区教育局</w:t>
      </w:r>
    </w:p>
    <w:p>
      <w:pPr>
        <w:tabs>
          <w:tab w:val="left" w:pos="4500"/>
        </w:tabs>
        <w:autoSpaceDE w:val="0"/>
        <w:autoSpaceDN w:val="0"/>
        <w:adjustRightInd w:val="0"/>
        <w:snapToGrid w:val="0"/>
        <w:spacing w:line="360" w:lineRule="auto"/>
        <w:jc w:val="center"/>
        <w:textAlignment w:val="bottom"/>
        <w:rPr>
          <w:rFonts w:hint="eastAsia" w:ascii="宋体" w:hAnsi="宋体" w:eastAsia="宋体" w:cs="宋体"/>
          <w:color w:val="auto"/>
          <w:highlight w:val="none"/>
        </w:rPr>
      </w:pPr>
      <w:r>
        <w:rPr>
          <w:rFonts w:hint="eastAsia" w:ascii="宋体" w:hAnsi="宋体" w:eastAsia="宋体" w:cs="宋体"/>
          <w:b/>
          <w:color w:val="auto"/>
          <w:sz w:val="52"/>
          <w:highlight w:val="none"/>
        </w:rPr>
        <w:t>公开招标采购文件</w:t>
      </w:r>
    </w:p>
    <w:p>
      <w:pPr>
        <w:spacing w:beforeLines="10" w:line="360" w:lineRule="auto"/>
        <w:ind w:firstLine="361" w:firstLineChars="100"/>
        <w:jc w:val="left"/>
        <w:rPr>
          <w:rFonts w:hint="eastAsia" w:ascii="宋体" w:hAnsi="宋体" w:eastAsia="宋体" w:cs="宋体"/>
          <w:b/>
          <w:color w:val="auto"/>
          <w:sz w:val="36"/>
          <w:highlight w:val="none"/>
        </w:rPr>
      </w:pPr>
    </w:p>
    <w:p>
      <w:pPr>
        <w:spacing w:beforeLines="10" w:line="360" w:lineRule="auto"/>
        <w:ind w:firstLine="361" w:firstLineChars="100"/>
        <w:jc w:val="left"/>
        <w:rPr>
          <w:rFonts w:hint="eastAsia" w:ascii="宋体" w:hAnsi="宋体" w:eastAsia="宋体" w:cs="宋体"/>
          <w:b/>
          <w:color w:val="auto"/>
          <w:sz w:val="36"/>
          <w:highlight w:val="none"/>
        </w:rPr>
      </w:pPr>
    </w:p>
    <w:p>
      <w:pPr>
        <w:spacing w:beforeLines="10" w:line="360" w:lineRule="auto"/>
        <w:ind w:firstLine="361" w:firstLineChars="100"/>
        <w:jc w:val="left"/>
        <w:rPr>
          <w:rFonts w:hint="eastAsia" w:ascii="宋体" w:hAnsi="宋体" w:eastAsia="宋体" w:cs="宋体"/>
          <w:b/>
          <w:color w:val="auto"/>
          <w:sz w:val="36"/>
          <w:highlight w:val="none"/>
          <w:lang w:eastAsia="zh-CN"/>
        </w:rPr>
      </w:pPr>
      <w:r>
        <w:rPr>
          <w:rFonts w:hint="eastAsia" w:ascii="宋体" w:hAnsi="宋体" w:eastAsia="宋体" w:cs="宋体"/>
          <w:b/>
          <w:color w:val="auto"/>
          <w:sz w:val="36"/>
          <w:highlight w:val="none"/>
        </w:rPr>
        <w:t>项目编号：</w:t>
      </w:r>
      <w:r>
        <w:rPr>
          <w:rFonts w:hint="eastAsia" w:ascii="宋体" w:hAnsi="宋体" w:cs="宋体"/>
          <w:b/>
          <w:color w:val="auto"/>
          <w:sz w:val="36"/>
          <w:highlight w:val="none"/>
          <w:u w:val="single"/>
          <w:lang w:eastAsia="zh-CN"/>
        </w:rPr>
        <w:t>ZZCG2023107</w:t>
      </w:r>
      <w:r>
        <w:rPr>
          <w:rFonts w:hint="eastAsia" w:ascii="宋体" w:hAnsi="宋体" w:cs="宋体"/>
          <w:b/>
          <w:color w:val="auto"/>
          <w:sz w:val="36"/>
          <w:highlight w:val="none"/>
          <w:u w:val="single"/>
          <w:lang w:val="en-US" w:eastAsia="zh-CN"/>
        </w:rPr>
        <w:t>-1</w:t>
      </w:r>
    </w:p>
    <w:p>
      <w:pPr>
        <w:spacing w:beforeLines="10" w:line="360" w:lineRule="auto"/>
        <w:ind w:left="2165" w:leftChars="128" w:hanging="1807" w:hangingChars="500"/>
        <w:jc w:val="left"/>
        <w:rPr>
          <w:rFonts w:hint="default" w:ascii="宋体" w:hAnsi="宋体" w:eastAsia="宋体" w:cs="宋体"/>
          <w:b/>
          <w:color w:val="auto"/>
          <w:sz w:val="36"/>
          <w:highlight w:val="none"/>
          <w:u w:val="single"/>
          <w:lang w:eastAsia="zh-CN"/>
        </w:rPr>
      </w:pPr>
      <w:r>
        <w:rPr>
          <w:rFonts w:hint="eastAsia" w:ascii="宋体" w:hAnsi="宋体" w:eastAsia="宋体" w:cs="宋体"/>
          <w:b/>
          <w:color w:val="auto"/>
          <w:sz w:val="36"/>
          <w:highlight w:val="none"/>
        </w:rPr>
        <w:t>项目名称：</w:t>
      </w:r>
      <w:r>
        <w:rPr>
          <w:rFonts w:hint="eastAsia" w:ascii="宋体" w:hAnsi="宋体" w:cs="宋体"/>
          <w:b/>
          <w:color w:val="auto"/>
          <w:sz w:val="36"/>
          <w:highlight w:val="none"/>
          <w:u w:val="single"/>
          <w:lang w:eastAsia="zh-CN"/>
        </w:rPr>
        <w:t>柯城区航埠新城K12学校建设项目——航埠新城初级中学校园智能化采购项目（第二次）</w:t>
      </w:r>
    </w:p>
    <w:p>
      <w:pPr>
        <w:widowControl/>
        <w:spacing w:line="360" w:lineRule="auto"/>
        <w:ind w:right="-2"/>
        <w:jc w:val="center"/>
        <w:rPr>
          <w:rFonts w:hint="eastAsia" w:ascii="宋体" w:hAnsi="宋体" w:eastAsia="宋体" w:cs="宋体"/>
          <w:b/>
          <w:color w:val="auto"/>
          <w:highlight w:val="none"/>
        </w:rPr>
      </w:pPr>
      <w:r>
        <w:rPr>
          <w:rFonts w:hint="eastAsia" w:ascii="宋体" w:hAnsi="宋体" w:eastAsia="宋体" w:cs="宋体"/>
          <w:b/>
          <w:color w:val="auto"/>
          <w:sz w:val="36"/>
          <w:highlight w:val="none"/>
        </w:rPr>
        <w:t>（线上电子招投标）</w:t>
      </w:r>
    </w:p>
    <w:p>
      <w:pPr>
        <w:pStyle w:val="6"/>
        <w:ind w:left="560" w:firstLine="0"/>
        <w:rPr>
          <w:rFonts w:hint="eastAsia" w:ascii="宋体" w:hAnsi="宋体" w:eastAsia="宋体" w:cs="宋体"/>
          <w:color w:val="auto"/>
          <w:highlight w:val="none"/>
        </w:rPr>
      </w:pPr>
    </w:p>
    <w:p>
      <w:pPr>
        <w:autoSpaceDE w:val="0"/>
        <w:autoSpaceDN w:val="0"/>
        <w:adjustRightInd w:val="0"/>
        <w:snapToGrid w:val="0"/>
        <w:spacing w:beforeLines="10" w:line="360" w:lineRule="auto"/>
        <w:jc w:val="center"/>
        <w:textAlignment w:val="bottom"/>
        <w:rPr>
          <w:rFonts w:hint="eastAsia" w:ascii="宋体" w:hAnsi="宋体" w:eastAsia="宋体" w:cs="宋体"/>
          <w:b/>
          <w:color w:val="auto"/>
          <w:highlight w:val="none"/>
        </w:rPr>
      </w:pPr>
    </w:p>
    <w:p>
      <w:pPr>
        <w:autoSpaceDE w:val="0"/>
        <w:autoSpaceDN w:val="0"/>
        <w:adjustRightInd w:val="0"/>
        <w:snapToGrid w:val="0"/>
        <w:spacing w:beforeLines="10" w:line="360" w:lineRule="auto"/>
        <w:jc w:val="center"/>
        <w:textAlignment w:val="bottom"/>
        <w:rPr>
          <w:rFonts w:hint="eastAsia" w:ascii="宋体" w:hAnsi="宋体" w:eastAsia="宋体" w:cs="宋体"/>
          <w:b/>
          <w:color w:val="auto"/>
          <w:highlight w:val="none"/>
        </w:rPr>
      </w:pPr>
    </w:p>
    <w:p>
      <w:pPr>
        <w:pStyle w:val="2"/>
        <w:ind w:left="560"/>
        <w:rPr>
          <w:rFonts w:hint="eastAsia" w:ascii="宋体" w:hAnsi="宋体" w:eastAsia="宋体" w:cs="宋体"/>
          <w:color w:val="auto"/>
          <w:highlight w:val="none"/>
        </w:rPr>
      </w:pPr>
    </w:p>
    <w:p>
      <w:pPr>
        <w:pStyle w:val="19"/>
        <w:ind w:firstLine="210"/>
        <w:rPr>
          <w:rFonts w:hint="eastAsia" w:ascii="宋体" w:hAnsi="宋体" w:eastAsia="宋体" w:cs="宋体"/>
          <w:color w:val="auto"/>
          <w:highlight w:val="none"/>
        </w:rPr>
      </w:pPr>
    </w:p>
    <w:p>
      <w:pPr>
        <w:pStyle w:val="19"/>
        <w:ind w:firstLine="0" w:firstLineChars="0"/>
        <w:rPr>
          <w:rFonts w:hint="eastAsia" w:ascii="宋体" w:hAnsi="宋体" w:eastAsia="宋体" w:cs="宋体"/>
          <w:color w:val="auto"/>
          <w:highlight w:val="none"/>
        </w:rPr>
      </w:pPr>
    </w:p>
    <w:p>
      <w:pPr>
        <w:autoSpaceDE w:val="0"/>
        <w:autoSpaceDN w:val="0"/>
        <w:adjustRightInd w:val="0"/>
        <w:snapToGrid w:val="0"/>
        <w:spacing w:beforeLines="10" w:line="360" w:lineRule="auto"/>
        <w:jc w:val="center"/>
        <w:textAlignment w:val="bottom"/>
        <w:rPr>
          <w:rFonts w:hint="eastAsia" w:ascii="宋体" w:hAnsi="宋体" w:eastAsia="宋体" w:cs="宋体"/>
          <w:b/>
          <w:color w:val="auto"/>
          <w:highlight w:val="none"/>
        </w:rPr>
      </w:pPr>
    </w:p>
    <w:p>
      <w:pPr>
        <w:autoSpaceDE w:val="0"/>
        <w:autoSpaceDN w:val="0"/>
        <w:adjustRightInd w:val="0"/>
        <w:snapToGrid w:val="0"/>
        <w:spacing w:line="360" w:lineRule="auto"/>
        <w:ind w:firstLine="361" w:firstLineChars="100"/>
        <w:textAlignment w:val="bottom"/>
        <w:rPr>
          <w:rFonts w:hint="eastAsia" w:ascii="宋体" w:hAnsi="宋体" w:eastAsia="宋体" w:cs="宋体"/>
          <w:b/>
          <w:color w:val="auto"/>
          <w:sz w:val="36"/>
          <w:highlight w:val="none"/>
        </w:rPr>
      </w:pPr>
      <w:r>
        <w:rPr>
          <w:rFonts w:hint="eastAsia" w:ascii="宋体" w:hAnsi="宋体" w:eastAsia="宋体" w:cs="宋体"/>
          <w:b/>
          <w:color w:val="auto"/>
          <w:sz w:val="36"/>
          <w:highlight w:val="none"/>
        </w:rPr>
        <w:t>招   标   人：</w:t>
      </w:r>
      <w:r>
        <w:rPr>
          <w:rFonts w:hint="eastAsia" w:ascii="宋体" w:hAnsi="宋体" w:cs="宋体"/>
          <w:b/>
          <w:color w:val="auto"/>
          <w:sz w:val="36"/>
          <w:highlight w:val="none"/>
          <w:lang w:eastAsia="zh-CN"/>
        </w:rPr>
        <w:t>衢州市柯城区教育局</w:t>
      </w:r>
    </w:p>
    <w:p>
      <w:pPr>
        <w:autoSpaceDE w:val="0"/>
        <w:autoSpaceDN w:val="0"/>
        <w:adjustRightInd w:val="0"/>
        <w:snapToGrid w:val="0"/>
        <w:spacing w:line="360" w:lineRule="auto"/>
        <w:ind w:firstLine="361" w:firstLineChars="100"/>
        <w:textAlignment w:val="bottom"/>
        <w:rPr>
          <w:rFonts w:hint="eastAsia" w:ascii="宋体" w:hAnsi="宋体" w:eastAsia="宋体" w:cs="宋体"/>
          <w:b/>
          <w:color w:val="auto"/>
          <w:sz w:val="36"/>
          <w:highlight w:val="none"/>
        </w:rPr>
      </w:pPr>
      <w:r>
        <w:rPr>
          <w:rFonts w:hint="eastAsia" w:ascii="宋体" w:hAnsi="宋体" w:eastAsia="宋体" w:cs="宋体"/>
          <w:b/>
          <w:color w:val="auto"/>
          <w:sz w:val="36"/>
          <w:highlight w:val="none"/>
        </w:rPr>
        <w:t>招标代理机构：浙江中正工程项目管理有限公司</w:t>
      </w:r>
    </w:p>
    <w:p>
      <w:pPr>
        <w:pStyle w:val="55"/>
        <w:spacing w:beforeLines="10" w:line="360" w:lineRule="auto"/>
        <w:ind w:firstLine="361" w:firstLineChars="100"/>
        <w:jc w:val="both"/>
        <w:rPr>
          <w:rFonts w:hint="eastAsia" w:ascii="宋体" w:hAnsi="宋体" w:eastAsia="宋体" w:cs="宋体"/>
          <w:color w:val="auto"/>
          <w:highlight w:val="none"/>
        </w:rPr>
      </w:pPr>
      <w:r>
        <w:rPr>
          <w:rFonts w:hint="eastAsia" w:ascii="宋体" w:hAnsi="宋体" w:eastAsia="宋体" w:cs="宋体"/>
          <w:color w:val="auto"/>
          <w:sz w:val="36"/>
          <w:highlight w:val="none"/>
        </w:rPr>
        <w:t>日        期：</w:t>
      </w:r>
      <w:r>
        <w:rPr>
          <w:rFonts w:hint="eastAsia" w:ascii="宋体" w:hAnsi="宋体" w:eastAsia="宋体" w:cs="宋体"/>
          <w:color w:val="auto"/>
          <w:sz w:val="36"/>
          <w:highlight w:val="none"/>
          <w:lang w:eastAsia="zh-CN"/>
        </w:rPr>
        <w:t>2024</w:t>
      </w:r>
      <w:r>
        <w:rPr>
          <w:rFonts w:hint="eastAsia" w:ascii="宋体" w:hAnsi="宋体" w:eastAsia="宋体" w:cs="宋体"/>
          <w:color w:val="auto"/>
          <w:sz w:val="36"/>
          <w:highlight w:val="none"/>
        </w:rPr>
        <w:t>年</w:t>
      </w:r>
      <w:r>
        <w:rPr>
          <w:rFonts w:hint="eastAsia" w:ascii="宋体" w:hAnsi="宋体" w:eastAsia="宋体" w:cs="宋体"/>
          <w:color w:val="auto"/>
          <w:sz w:val="36"/>
          <w:highlight w:val="none"/>
          <w:lang w:val="en-US" w:eastAsia="zh-CN"/>
        </w:rPr>
        <w:t>3</w:t>
      </w:r>
      <w:r>
        <w:rPr>
          <w:rFonts w:hint="eastAsia" w:ascii="宋体" w:hAnsi="宋体" w:eastAsia="宋体" w:cs="宋体"/>
          <w:color w:val="auto"/>
          <w:sz w:val="36"/>
          <w:highlight w:val="none"/>
        </w:rPr>
        <w:t>月</w:t>
      </w:r>
      <w:r>
        <w:rPr>
          <w:rFonts w:hint="eastAsia" w:ascii="宋体" w:hAnsi="宋体" w:eastAsia="宋体" w:cs="宋体"/>
          <w:color w:val="auto"/>
          <w:highlight w:val="none"/>
        </w:rPr>
        <w:br w:type="page"/>
      </w:r>
    </w:p>
    <w:p>
      <w:pPr>
        <w:pStyle w:val="55"/>
        <w:spacing w:beforeLines="10" w:line="360" w:lineRule="auto"/>
        <w:ind w:firstLine="360" w:firstLineChars="100"/>
        <w:jc w:val="center"/>
        <w:rPr>
          <w:rFonts w:hint="eastAsia" w:ascii="宋体" w:hAnsi="宋体" w:eastAsia="宋体" w:cs="宋体"/>
          <w:b w:val="0"/>
          <w:color w:val="auto"/>
          <w:sz w:val="36"/>
          <w:highlight w:val="none"/>
        </w:rPr>
      </w:pPr>
      <w:r>
        <w:rPr>
          <w:rFonts w:hint="eastAsia" w:ascii="宋体" w:hAnsi="宋体" w:eastAsia="宋体" w:cs="宋体"/>
          <w:b w:val="0"/>
          <w:color w:val="auto"/>
          <w:sz w:val="36"/>
          <w:highlight w:val="none"/>
        </w:rPr>
        <w:t>目  录</w:t>
      </w:r>
    </w:p>
    <w:p>
      <w:pPr>
        <w:rPr>
          <w:rFonts w:hint="eastAsia" w:ascii="宋体" w:hAnsi="宋体" w:eastAsia="宋体" w:cs="宋体"/>
          <w:color w:val="auto"/>
          <w:highlight w:val="none"/>
        </w:rPr>
      </w:pPr>
    </w:p>
    <w:p>
      <w:pPr>
        <w:pStyle w:val="63"/>
        <w:tabs>
          <w:tab w:val="right" w:leader="dot" w:pos="9026"/>
          <w:tab w:val="clear" w:pos="8364"/>
        </w:tabs>
        <w:rPr>
          <w:rFonts w:hint="eastAsia" w:ascii="宋体" w:hAnsi="宋体" w:eastAsia="宋体" w:cs="宋体"/>
          <w:b/>
          <w:caps w:val="0"/>
          <w:smallCaps w:val="0"/>
          <w:color w:val="auto"/>
          <w:sz w:val="24"/>
          <w:szCs w:val="24"/>
          <w:highlight w:val="none"/>
        </w:rPr>
      </w:pPr>
      <w:r>
        <w:rPr>
          <w:rFonts w:hint="eastAsia" w:ascii="宋体" w:hAnsi="宋体" w:eastAsia="宋体" w:cs="宋体"/>
          <w:b w:val="0"/>
          <w:color w:val="auto"/>
          <w:sz w:val="24"/>
          <w:szCs w:val="24"/>
          <w:highlight w:val="none"/>
        </w:rPr>
        <w:fldChar w:fldCharType="begin"/>
      </w:r>
      <w:r>
        <w:rPr>
          <w:rFonts w:hint="eastAsia" w:ascii="宋体" w:hAnsi="宋体" w:eastAsia="宋体" w:cs="宋体"/>
          <w:b w:val="0"/>
          <w:color w:val="auto"/>
          <w:sz w:val="24"/>
          <w:szCs w:val="24"/>
          <w:highlight w:val="none"/>
        </w:rPr>
        <w:instrText xml:space="preserve">TOC \o "1-2" \h \z \u</w:instrText>
      </w:r>
      <w:r>
        <w:rPr>
          <w:rFonts w:hint="eastAsia" w:ascii="宋体" w:hAnsi="宋体" w:eastAsia="宋体" w:cs="宋体"/>
          <w:b w:val="0"/>
          <w:color w:val="auto"/>
          <w:sz w:val="24"/>
          <w:szCs w:val="24"/>
          <w:highlight w:val="none"/>
        </w:rPr>
        <w:fldChar w:fldCharType="separate"/>
      </w:r>
      <w:r>
        <w:rPr>
          <w:rFonts w:hint="eastAsia" w:ascii="宋体" w:hAnsi="宋体" w:eastAsia="宋体" w:cs="宋体"/>
          <w:b/>
          <w:caps w:val="0"/>
          <w:smallCaps w:val="0"/>
          <w:color w:val="auto"/>
          <w:highlight w:val="none"/>
        </w:rPr>
        <w:fldChar w:fldCharType="begin"/>
      </w:r>
      <w:r>
        <w:rPr>
          <w:rFonts w:hint="eastAsia" w:ascii="宋体" w:hAnsi="宋体" w:eastAsia="宋体" w:cs="宋体"/>
          <w:b/>
          <w:caps w:val="0"/>
          <w:smallCaps w:val="0"/>
          <w:color w:val="auto"/>
          <w:highlight w:val="none"/>
        </w:rPr>
        <w:instrText xml:space="preserve"> HYPERLINK \l "_Toc32624" </w:instrText>
      </w:r>
      <w:r>
        <w:rPr>
          <w:rFonts w:hint="eastAsia" w:ascii="宋体" w:hAnsi="宋体" w:eastAsia="宋体" w:cs="宋体"/>
          <w:b/>
          <w:caps w:val="0"/>
          <w:smallCaps w:val="0"/>
          <w:color w:val="auto"/>
          <w:highlight w:val="none"/>
        </w:rPr>
        <w:fldChar w:fldCharType="separate"/>
      </w:r>
      <w:r>
        <w:rPr>
          <w:rFonts w:hint="eastAsia" w:ascii="宋体" w:hAnsi="宋体" w:eastAsia="宋体" w:cs="宋体"/>
          <w:b/>
          <w:caps w:val="0"/>
          <w:smallCaps w:val="0"/>
          <w:color w:val="auto"/>
          <w:sz w:val="24"/>
          <w:szCs w:val="24"/>
          <w:highlight w:val="none"/>
        </w:rPr>
        <w:t>第一部分  招标公告</w:t>
      </w:r>
      <w:r>
        <w:rPr>
          <w:rFonts w:hint="eastAsia" w:ascii="宋体" w:hAnsi="宋体" w:eastAsia="宋体" w:cs="宋体"/>
          <w:b/>
          <w:caps w:val="0"/>
          <w:smallCaps w:val="0"/>
          <w:color w:val="auto"/>
          <w:sz w:val="24"/>
          <w:szCs w:val="24"/>
          <w:highlight w:val="none"/>
        </w:rPr>
        <w:tab/>
      </w:r>
      <w:r>
        <w:rPr>
          <w:rFonts w:hint="eastAsia" w:ascii="宋体" w:hAnsi="宋体" w:eastAsia="宋体" w:cs="宋体"/>
          <w:b/>
          <w:caps w:val="0"/>
          <w:smallCaps w:val="0"/>
          <w:color w:val="auto"/>
          <w:sz w:val="24"/>
          <w:szCs w:val="24"/>
          <w:highlight w:val="none"/>
        </w:rPr>
        <w:fldChar w:fldCharType="begin"/>
      </w:r>
      <w:r>
        <w:rPr>
          <w:rFonts w:hint="eastAsia" w:ascii="宋体" w:hAnsi="宋体" w:eastAsia="宋体" w:cs="宋体"/>
          <w:b/>
          <w:caps w:val="0"/>
          <w:smallCaps w:val="0"/>
          <w:color w:val="auto"/>
          <w:sz w:val="24"/>
          <w:szCs w:val="24"/>
          <w:highlight w:val="none"/>
        </w:rPr>
        <w:instrText xml:space="preserve"> PAGEREF _Toc32624 </w:instrText>
      </w:r>
      <w:r>
        <w:rPr>
          <w:rFonts w:hint="eastAsia" w:ascii="宋体" w:hAnsi="宋体" w:eastAsia="宋体" w:cs="宋体"/>
          <w:b/>
          <w:caps w:val="0"/>
          <w:smallCaps w:val="0"/>
          <w:color w:val="auto"/>
          <w:sz w:val="24"/>
          <w:szCs w:val="24"/>
          <w:highlight w:val="none"/>
        </w:rPr>
        <w:fldChar w:fldCharType="separate"/>
      </w:r>
      <w:r>
        <w:rPr>
          <w:rFonts w:hint="eastAsia" w:ascii="宋体" w:hAnsi="宋体" w:eastAsia="宋体" w:cs="宋体"/>
          <w:b/>
          <w:caps w:val="0"/>
          <w:smallCaps w:val="0"/>
          <w:color w:val="auto"/>
          <w:sz w:val="24"/>
          <w:szCs w:val="24"/>
          <w:highlight w:val="none"/>
        </w:rPr>
        <w:t>3</w:t>
      </w:r>
      <w:r>
        <w:rPr>
          <w:rFonts w:hint="eastAsia" w:ascii="宋体" w:hAnsi="宋体" w:eastAsia="宋体" w:cs="宋体"/>
          <w:b/>
          <w:caps w:val="0"/>
          <w:smallCaps w:val="0"/>
          <w:color w:val="auto"/>
          <w:sz w:val="24"/>
          <w:szCs w:val="24"/>
          <w:highlight w:val="none"/>
        </w:rPr>
        <w:fldChar w:fldCharType="end"/>
      </w:r>
      <w:r>
        <w:rPr>
          <w:rFonts w:hint="eastAsia" w:ascii="宋体" w:hAnsi="宋体" w:eastAsia="宋体" w:cs="宋体"/>
          <w:b/>
          <w:caps w:val="0"/>
          <w:smallCaps w:val="0"/>
          <w:color w:val="auto"/>
          <w:sz w:val="24"/>
          <w:szCs w:val="24"/>
          <w:highlight w:val="none"/>
        </w:rPr>
        <w:fldChar w:fldCharType="end"/>
      </w:r>
    </w:p>
    <w:p>
      <w:pPr>
        <w:pStyle w:val="63"/>
        <w:tabs>
          <w:tab w:val="right" w:leader="dot" w:pos="9026"/>
          <w:tab w:val="clear" w:pos="8364"/>
        </w:tabs>
        <w:rPr>
          <w:rFonts w:hint="eastAsia" w:ascii="宋体" w:hAnsi="宋体" w:eastAsia="宋体" w:cs="宋体"/>
          <w:b/>
          <w:caps w:val="0"/>
          <w:smallCaps w:val="0"/>
          <w:color w:val="auto"/>
          <w:sz w:val="24"/>
          <w:szCs w:val="24"/>
          <w:highlight w:val="none"/>
        </w:rPr>
      </w:pPr>
      <w:r>
        <w:rPr>
          <w:rFonts w:hint="eastAsia" w:ascii="宋体" w:hAnsi="宋体" w:eastAsia="宋体" w:cs="宋体"/>
          <w:b/>
          <w:caps w:val="0"/>
          <w:smallCaps w:val="0"/>
          <w:color w:val="auto"/>
          <w:highlight w:val="none"/>
        </w:rPr>
        <w:fldChar w:fldCharType="begin"/>
      </w:r>
      <w:r>
        <w:rPr>
          <w:rFonts w:hint="eastAsia" w:ascii="宋体" w:hAnsi="宋体" w:eastAsia="宋体" w:cs="宋体"/>
          <w:b/>
          <w:caps w:val="0"/>
          <w:smallCaps w:val="0"/>
          <w:color w:val="auto"/>
          <w:highlight w:val="none"/>
        </w:rPr>
        <w:instrText xml:space="preserve"> HYPERLINK \l "_Toc31506" </w:instrText>
      </w:r>
      <w:r>
        <w:rPr>
          <w:rFonts w:hint="eastAsia" w:ascii="宋体" w:hAnsi="宋体" w:eastAsia="宋体" w:cs="宋体"/>
          <w:b/>
          <w:caps w:val="0"/>
          <w:smallCaps w:val="0"/>
          <w:color w:val="auto"/>
          <w:highlight w:val="none"/>
        </w:rPr>
        <w:fldChar w:fldCharType="separate"/>
      </w:r>
      <w:r>
        <w:rPr>
          <w:rFonts w:hint="eastAsia" w:ascii="宋体" w:hAnsi="宋体" w:eastAsia="宋体" w:cs="宋体"/>
          <w:b/>
          <w:caps w:val="0"/>
          <w:smallCaps w:val="0"/>
          <w:color w:val="auto"/>
          <w:sz w:val="24"/>
          <w:szCs w:val="24"/>
          <w:highlight w:val="none"/>
        </w:rPr>
        <w:t>第二部分  投标人须知</w:t>
      </w:r>
      <w:r>
        <w:rPr>
          <w:rFonts w:hint="eastAsia" w:ascii="宋体" w:hAnsi="宋体" w:eastAsia="宋体" w:cs="宋体"/>
          <w:b/>
          <w:caps w:val="0"/>
          <w:smallCaps w:val="0"/>
          <w:color w:val="auto"/>
          <w:sz w:val="24"/>
          <w:szCs w:val="24"/>
          <w:highlight w:val="none"/>
        </w:rPr>
        <w:tab/>
      </w:r>
      <w:r>
        <w:rPr>
          <w:rFonts w:hint="eastAsia" w:ascii="宋体" w:hAnsi="宋体" w:eastAsia="宋体" w:cs="宋体"/>
          <w:b/>
          <w:caps w:val="0"/>
          <w:smallCaps w:val="0"/>
          <w:color w:val="auto"/>
          <w:sz w:val="24"/>
          <w:szCs w:val="24"/>
          <w:highlight w:val="none"/>
        </w:rPr>
        <w:t>7</w:t>
      </w:r>
      <w:r>
        <w:rPr>
          <w:rFonts w:hint="eastAsia" w:ascii="宋体" w:hAnsi="宋体" w:eastAsia="宋体" w:cs="宋体"/>
          <w:b/>
          <w:caps w:val="0"/>
          <w:smallCaps w:val="0"/>
          <w:color w:val="auto"/>
          <w:sz w:val="24"/>
          <w:szCs w:val="24"/>
          <w:highlight w:val="none"/>
        </w:rPr>
        <w:fldChar w:fldCharType="end"/>
      </w:r>
    </w:p>
    <w:p>
      <w:pPr>
        <w:pStyle w:val="63"/>
        <w:tabs>
          <w:tab w:val="right" w:leader="dot" w:pos="9026"/>
          <w:tab w:val="clear" w:pos="8364"/>
        </w:tabs>
        <w:rPr>
          <w:rFonts w:hint="eastAsia" w:ascii="宋体" w:hAnsi="宋体" w:eastAsia="宋体" w:cs="宋体"/>
          <w:b/>
          <w:caps w:val="0"/>
          <w:smallCaps w:val="0"/>
          <w:color w:val="auto"/>
          <w:sz w:val="24"/>
          <w:szCs w:val="24"/>
          <w:highlight w:val="none"/>
        </w:rPr>
      </w:pPr>
      <w:r>
        <w:rPr>
          <w:rFonts w:hint="eastAsia" w:ascii="宋体" w:hAnsi="宋体" w:eastAsia="宋体" w:cs="宋体"/>
          <w:b/>
          <w:caps w:val="0"/>
          <w:smallCaps w:val="0"/>
          <w:color w:val="auto"/>
          <w:highlight w:val="none"/>
        </w:rPr>
        <w:fldChar w:fldCharType="begin"/>
      </w:r>
      <w:r>
        <w:rPr>
          <w:rFonts w:hint="eastAsia" w:ascii="宋体" w:hAnsi="宋体" w:eastAsia="宋体" w:cs="宋体"/>
          <w:b/>
          <w:caps w:val="0"/>
          <w:smallCaps w:val="0"/>
          <w:color w:val="auto"/>
          <w:highlight w:val="none"/>
        </w:rPr>
        <w:instrText xml:space="preserve"> HYPERLINK \l "_Toc4895" </w:instrText>
      </w:r>
      <w:r>
        <w:rPr>
          <w:rFonts w:hint="eastAsia" w:ascii="宋体" w:hAnsi="宋体" w:eastAsia="宋体" w:cs="宋体"/>
          <w:b/>
          <w:caps w:val="0"/>
          <w:smallCaps w:val="0"/>
          <w:color w:val="auto"/>
          <w:highlight w:val="none"/>
        </w:rPr>
        <w:fldChar w:fldCharType="separate"/>
      </w:r>
      <w:r>
        <w:rPr>
          <w:rFonts w:hint="eastAsia" w:ascii="宋体" w:hAnsi="宋体" w:eastAsia="宋体" w:cs="宋体"/>
          <w:b/>
          <w:caps w:val="0"/>
          <w:smallCaps w:val="0"/>
          <w:color w:val="auto"/>
          <w:sz w:val="24"/>
          <w:szCs w:val="24"/>
          <w:highlight w:val="none"/>
        </w:rPr>
        <w:t>第三部分  采购需求</w:t>
      </w:r>
      <w:r>
        <w:rPr>
          <w:rFonts w:hint="eastAsia" w:ascii="宋体" w:hAnsi="宋体" w:eastAsia="宋体" w:cs="宋体"/>
          <w:b/>
          <w:caps w:val="0"/>
          <w:smallCaps w:val="0"/>
          <w:color w:val="auto"/>
          <w:sz w:val="24"/>
          <w:szCs w:val="24"/>
          <w:highlight w:val="none"/>
        </w:rPr>
        <w:tab/>
      </w:r>
      <w:r>
        <w:rPr>
          <w:rFonts w:hint="eastAsia" w:ascii="宋体" w:hAnsi="宋体" w:eastAsia="宋体" w:cs="宋体"/>
          <w:b/>
          <w:caps w:val="0"/>
          <w:smallCaps w:val="0"/>
          <w:color w:val="auto"/>
          <w:sz w:val="24"/>
          <w:szCs w:val="24"/>
          <w:highlight w:val="none"/>
        </w:rPr>
        <w:t>2</w:t>
      </w:r>
      <w:r>
        <w:rPr>
          <w:rFonts w:hint="eastAsia" w:ascii="宋体" w:hAnsi="宋体" w:eastAsia="宋体" w:cs="宋体"/>
          <w:b/>
          <w:caps w:val="0"/>
          <w:smallCaps w:val="0"/>
          <w:color w:val="auto"/>
          <w:sz w:val="24"/>
          <w:szCs w:val="24"/>
          <w:highlight w:val="none"/>
        </w:rPr>
        <w:fldChar w:fldCharType="end"/>
      </w:r>
      <w:r>
        <w:rPr>
          <w:rFonts w:hint="eastAsia" w:ascii="宋体" w:hAnsi="宋体" w:eastAsia="宋体" w:cs="宋体"/>
          <w:b/>
          <w:caps w:val="0"/>
          <w:smallCaps w:val="0"/>
          <w:color w:val="auto"/>
          <w:sz w:val="24"/>
          <w:szCs w:val="24"/>
          <w:highlight w:val="none"/>
        </w:rPr>
        <w:t>5</w:t>
      </w:r>
    </w:p>
    <w:p>
      <w:pPr>
        <w:pStyle w:val="63"/>
        <w:tabs>
          <w:tab w:val="right" w:leader="dot" w:pos="9026"/>
          <w:tab w:val="clear" w:pos="8364"/>
        </w:tabs>
        <w:rPr>
          <w:rFonts w:hint="eastAsia" w:ascii="宋体" w:hAnsi="宋体" w:eastAsia="宋体" w:cs="宋体"/>
          <w:b/>
          <w:caps w:val="0"/>
          <w:smallCaps w:val="0"/>
          <w:color w:val="auto"/>
          <w:sz w:val="24"/>
          <w:szCs w:val="24"/>
          <w:highlight w:val="none"/>
        </w:rPr>
      </w:pPr>
      <w:r>
        <w:rPr>
          <w:rFonts w:hint="eastAsia" w:ascii="宋体" w:hAnsi="宋体" w:eastAsia="宋体" w:cs="宋体"/>
          <w:b/>
          <w:caps w:val="0"/>
          <w:smallCaps w:val="0"/>
          <w:color w:val="auto"/>
          <w:highlight w:val="none"/>
        </w:rPr>
        <w:fldChar w:fldCharType="begin"/>
      </w:r>
      <w:r>
        <w:rPr>
          <w:rFonts w:hint="eastAsia" w:ascii="宋体" w:hAnsi="宋体" w:eastAsia="宋体" w:cs="宋体"/>
          <w:b/>
          <w:caps w:val="0"/>
          <w:smallCaps w:val="0"/>
          <w:color w:val="auto"/>
          <w:highlight w:val="none"/>
        </w:rPr>
        <w:instrText xml:space="preserve"> HYPERLINK \l "_Toc1203" </w:instrText>
      </w:r>
      <w:r>
        <w:rPr>
          <w:rFonts w:hint="eastAsia" w:ascii="宋体" w:hAnsi="宋体" w:eastAsia="宋体" w:cs="宋体"/>
          <w:b/>
          <w:caps w:val="0"/>
          <w:smallCaps w:val="0"/>
          <w:color w:val="auto"/>
          <w:highlight w:val="none"/>
        </w:rPr>
        <w:fldChar w:fldCharType="separate"/>
      </w:r>
      <w:r>
        <w:rPr>
          <w:rFonts w:hint="eastAsia" w:ascii="宋体" w:hAnsi="宋体" w:eastAsia="宋体" w:cs="宋体"/>
          <w:b/>
          <w:caps w:val="0"/>
          <w:smallCaps w:val="0"/>
          <w:color w:val="auto"/>
          <w:sz w:val="24"/>
          <w:szCs w:val="24"/>
          <w:highlight w:val="none"/>
        </w:rPr>
        <w:t>第四部分  合同文本</w:t>
      </w:r>
      <w:r>
        <w:rPr>
          <w:rFonts w:hint="eastAsia" w:ascii="宋体" w:hAnsi="宋体" w:eastAsia="宋体" w:cs="宋体"/>
          <w:b/>
          <w:caps w:val="0"/>
          <w:smallCaps w:val="0"/>
          <w:color w:val="auto"/>
          <w:sz w:val="24"/>
          <w:szCs w:val="24"/>
          <w:highlight w:val="none"/>
        </w:rPr>
        <w:tab/>
      </w:r>
      <w:r>
        <w:rPr>
          <w:rFonts w:hint="eastAsia" w:ascii="宋体" w:hAnsi="宋体" w:cs="宋体"/>
          <w:b/>
          <w:caps w:val="0"/>
          <w:smallCaps w:val="0"/>
          <w:color w:val="auto"/>
          <w:sz w:val="24"/>
          <w:szCs w:val="24"/>
          <w:highlight w:val="none"/>
          <w:lang w:val="en-US" w:eastAsia="zh-CN"/>
        </w:rPr>
        <w:t>1</w:t>
      </w:r>
      <w:r>
        <w:rPr>
          <w:rFonts w:hint="eastAsia" w:ascii="宋体" w:hAnsi="宋体" w:eastAsia="宋体" w:cs="宋体"/>
          <w:b/>
          <w:caps w:val="0"/>
          <w:smallCaps w:val="0"/>
          <w:color w:val="auto"/>
          <w:sz w:val="24"/>
          <w:szCs w:val="24"/>
          <w:highlight w:val="none"/>
        </w:rPr>
        <w:fldChar w:fldCharType="end"/>
      </w:r>
      <w:r>
        <w:rPr>
          <w:rFonts w:hint="eastAsia" w:ascii="宋体" w:hAnsi="宋体" w:cs="宋体"/>
          <w:b/>
          <w:caps w:val="0"/>
          <w:smallCaps w:val="0"/>
          <w:color w:val="auto"/>
          <w:sz w:val="24"/>
          <w:szCs w:val="24"/>
          <w:highlight w:val="none"/>
          <w:lang w:val="en-US" w:eastAsia="zh-CN"/>
        </w:rPr>
        <w:t>06</w:t>
      </w:r>
    </w:p>
    <w:p>
      <w:pPr>
        <w:pStyle w:val="78"/>
        <w:tabs>
          <w:tab w:val="right" w:leader="dot" w:pos="9026"/>
          <w:tab w:val="clear" w:pos="8364"/>
        </w:tabs>
        <w:ind w:left="0"/>
        <w:rPr>
          <w:rFonts w:hint="eastAsia" w:ascii="宋体" w:hAnsi="宋体" w:eastAsia="宋体" w:cs="宋体"/>
          <w:b/>
          <w:caps w:val="0"/>
          <w:smallCaps w:val="0"/>
          <w:color w:val="auto"/>
          <w:szCs w:val="24"/>
          <w:highlight w:val="none"/>
        </w:rPr>
      </w:pPr>
      <w:r>
        <w:rPr>
          <w:rFonts w:hint="eastAsia" w:ascii="宋体" w:hAnsi="宋体" w:eastAsia="宋体" w:cs="宋体"/>
          <w:b/>
          <w:caps w:val="0"/>
          <w:smallCaps w:val="0"/>
          <w:color w:val="auto"/>
          <w:szCs w:val="24"/>
          <w:highlight w:val="none"/>
        </w:rPr>
        <w:t xml:space="preserve">第五部分  </w:t>
      </w:r>
      <w:r>
        <w:rPr>
          <w:rFonts w:hint="eastAsia" w:ascii="宋体" w:hAnsi="宋体" w:eastAsia="宋体" w:cs="宋体"/>
          <w:b/>
          <w:caps w:val="0"/>
          <w:smallCaps w:val="0"/>
          <w:color w:val="auto"/>
          <w:highlight w:val="none"/>
        </w:rPr>
        <w:fldChar w:fldCharType="begin"/>
      </w:r>
      <w:r>
        <w:rPr>
          <w:rFonts w:hint="eastAsia" w:ascii="宋体" w:hAnsi="宋体" w:eastAsia="宋体" w:cs="宋体"/>
          <w:b/>
          <w:caps w:val="0"/>
          <w:smallCaps w:val="0"/>
          <w:color w:val="auto"/>
          <w:highlight w:val="none"/>
        </w:rPr>
        <w:instrText xml:space="preserve"> HYPERLINK \l "_Toc2553" </w:instrText>
      </w:r>
      <w:r>
        <w:rPr>
          <w:rFonts w:hint="eastAsia" w:ascii="宋体" w:hAnsi="宋体" w:eastAsia="宋体" w:cs="宋体"/>
          <w:b/>
          <w:caps w:val="0"/>
          <w:smallCaps w:val="0"/>
          <w:color w:val="auto"/>
          <w:highlight w:val="none"/>
        </w:rPr>
        <w:fldChar w:fldCharType="separate"/>
      </w:r>
      <w:r>
        <w:rPr>
          <w:rFonts w:hint="eastAsia" w:ascii="宋体" w:hAnsi="宋体" w:eastAsia="宋体" w:cs="宋体"/>
          <w:b/>
          <w:caps w:val="0"/>
          <w:smallCaps w:val="0"/>
          <w:color w:val="auto"/>
          <w:szCs w:val="24"/>
          <w:highlight w:val="none"/>
        </w:rPr>
        <w:t>投标文件部分格式文件</w:t>
      </w:r>
      <w:r>
        <w:rPr>
          <w:rFonts w:hint="eastAsia" w:ascii="宋体" w:hAnsi="宋体" w:eastAsia="宋体" w:cs="宋体"/>
          <w:b/>
          <w:caps w:val="0"/>
          <w:smallCaps w:val="0"/>
          <w:color w:val="auto"/>
          <w:szCs w:val="24"/>
          <w:highlight w:val="none"/>
        </w:rPr>
        <w:tab/>
      </w:r>
      <w:r>
        <w:rPr>
          <w:rFonts w:hint="eastAsia" w:ascii="宋体" w:hAnsi="宋体" w:eastAsia="宋体" w:cs="宋体"/>
          <w:b/>
          <w:caps w:val="0"/>
          <w:smallCaps w:val="0"/>
          <w:color w:val="auto"/>
          <w:szCs w:val="24"/>
          <w:highlight w:val="none"/>
        </w:rPr>
        <w:fldChar w:fldCharType="end"/>
      </w:r>
      <w:r>
        <w:rPr>
          <w:rFonts w:hint="eastAsia" w:ascii="宋体" w:hAnsi="宋体" w:eastAsia="宋体" w:cs="宋体"/>
          <w:b/>
          <w:caps w:val="0"/>
          <w:smallCaps w:val="0"/>
          <w:color w:val="auto"/>
          <w:szCs w:val="24"/>
          <w:highlight w:val="none"/>
          <w:lang w:val="en-US" w:eastAsia="zh-CN"/>
        </w:rPr>
        <w:t>109</w:t>
      </w:r>
    </w:p>
    <w:p>
      <w:pPr>
        <w:pStyle w:val="63"/>
        <w:tabs>
          <w:tab w:val="right" w:leader="dot" w:pos="9026"/>
          <w:tab w:val="clear" w:pos="8364"/>
        </w:tabs>
        <w:rPr>
          <w:rFonts w:hint="eastAsia" w:ascii="宋体" w:hAnsi="宋体" w:eastAsia="宋体" w:cs="宋体"/>
          <w:b/>
          <w:caps w:val="0"/>
          <w:smallCaps w:val="0"/>
          <w:color w:val="auto"/>
          <w:sz w:val="24"/>
          <w:szCs w:val="24"/>
          <w:highlight w:val="none"/>
        </w:rPr>
      </w:pPr>
      <w:r>
        <w:rPr>
          <w:rFonts w:hint="eastAsia" w:ascii="宋体" w:hAnsi="宋体" w:eastAsia="宋体" w:cs="宋体"/>
          <w:b/>
          <w:caps w:val="0"/>
          <w:smallCaps w:val="0"/>
          <w:color w:val="auto"/>
          <w:highlight w:val="none"/>
        </w:rPr>
        <w:fldChar w:fldCharType="begin"/>
      </w:r>
      <w:r>
        <w:rPr>
          <w:rFonts w:hint="eastAsia" w:ascii="宋体" w:hAnsi="宋体" w:eastAsia="宋体" w:cs="宋体"/>
          <w:b/>
          <w:caps w:val="0"/>
          <w:smallCaps w:val="0"/>
          <w:color w:val="auto"/>
          <w:highlight w:val="none"/>
        </w:rPr>
        <w:instrText xml:space="preserve"> HYPERLINK \l "_Toc15453" </w:instrText>
      </w:r>
      <w:r>
        <w:rPr>
          <w:rFonts w:hint="eastAsia" w:ascii="宋体" w:hAnsi="宋体" w:eastAsia="宋体" w:cs="宋体"/>
          <w:b/>
          <w:caps w:val="0"/>
          <w:smallCaps w:val="0"/>
          <w:color w:val="auto"/>
          <w:highlight w:val="none"/>
        </w:rPr>
        <w:fldChar w:fldCharType="separate"/>
      </w:r>
      <w:r>
        <w:rPr>
          <w:rFonts w:hint="eastAsia" w:ascii="宋体" w:hAnsi="宋体" w:eastAsia="宋体" w:cs="宋体"/>
          <w:b/>
          <w:caps w:val="0"/>
          <w:smallCaps w:val="0"/>
          <w:color w:val="auto"/>
          <w:sz w:val="24"/>
          <w:szCs w:val="24"/>
          <w:highlight w:val="none"/>
        </w:rPr>
        <w:t>第六部分  评分办法</w:t>
      </w:r>
      <w:r>
        <w:rPr>
          <w:rFonts w:hint="eastAsia" w:ascii="宋体" w:hAnsi="宋体" w:eastAsia="宋体" w:cs="宋体"/>
          <w:b/>
          <w:caps w:val="0"/>
          <w:smallCaps w:val="0"/>
          <w:color w:val="auto"/>
          <w:sz w:val="24"/>
          <w:szCs w:val="24"/>
          <w:highlight w:val="none"/>
        </w:rPr>
        <w:tab/>
      </w:r>
      <w:r>
        <w:rPr>
          <w:rFonts w:hint="eastAsia" w:ascii="宋体" w:hAnsi="宋体" w:cs="宋体"/>
          <w:b/>
          <w:caps w:val="0"/>
          <w:smallCaps w:val="0"/>
          <w:color w:val="auto"/>
          <w:sz w:val="24"/>
          <w:szCs w:val="24"/>
          <w:highlight w:val="none"/>
          <w:lang w:val="en-US" w:eastAsia="zh-CN"/>
        </w:rPr>
        <w:t>2</w:t>
      </w:r>
      <w:r>
        <w:rPr>
          <w:rFonts w:hint="eastAsia" w:ascii="宋体" w:hAnsi="宋体" w:eastAsia="宋体" w:cs="宋体"/>
          <w:b/>
          <w:caps w:val="0"/>
          <w:smallCaps w:val="0"/>
          <w:color w:val="auto"/>
          <w:sz w:val="24"/>
          <w:szCs w:val="24"/>
          <w:highlight w:val="none"/>
        </w:rPr>
        <w:fldChar w:fldCharType="end"/>
      </w:r>
      <w:r>
        <w:rPr>
          <w:rFonts w:hint="eastAsia" w:ascii="宋体" w:hAnsi="宋体" w:cs="宋体"/>
          <w:b/>
          <w:caps w:val="0"/>
          <w:smallCaps w:val="0"/>
          <w:color w:val="auto"/>
          <w:sz w:val="24"/>
          <w:szCs w:val="24"/>
          <w:highlight w:val="none"/>
          <w:lang w:val="en-US" w:eastAsia="zh-CN"/>
        </w:rPr>
        <w:t>10</w:t>
      </w:r>
    </w:p>
    <w:p>
      <w:pPr>
        <w:rPr>
          <w:rFonts w:hint="eastAsia" w:ascii="宋体" w:hAnsi="宋体" w:eastAsia="宋体" w:cs="宋体"/>
          <w:color w:val="auto"/>
          <w:sz w:val="24"/>
          <w:szCs w:val="24"/>
          <w:highlight w:val="none"/>
        </w:rPr>
      </w:pPr>
    </w:p>
    <w:p>
      <w:pPr>
        <w:pStyle w:val="49"/>
        <w:pageBreakBefore/>
        <w:adjustRightInd w:val="0"/>
        <w:snapToGrid w:val="0"/>
        <w:spacing w:line="360" w:lineRule="auto"/>
        <w:jc w:val="center"/>
        <w:outlineLvl w:val="0"/>
        <w:rPr>
          <w:rFonts w:hint="eastAsia" w:ascii="宋体" w:hAnsi="宋体" w:eastAsia="宋体" w:cs="宋体"/>
          <w:b/>
          <w:color w:val="auto"/>
          <w:sz w:val="36"/>
          <w:highlight w:val="none"/>
        </w:rPr>
      </w:pPr>
      <w:r>
        <w:rPr>
          <w:rFonts w:hint="eastAsia" w:ascii="宋体" w:hAnsi="宋体" w:eastAsia="宋体" w:cs="宋体"/>
          <w:color w:val="auto"/>
          <w:sz w:val="24"/>
          <w:szCs w:val="24"/>
          <w:highlight w:val="none"/>
        </w:rPr>
        <w:fldChar w:fldCharType="end"/>
      </w:r>
      <w:bookmarkStart w:id="0" w:name="_Toc32624"/>
      <w:r>
        <w:rPr>
          <w:rFonts w:hint="eastAsia" w:ascii="宋体" w:hAnsi="宋体" w:eastAsia="宋体" w:cs="宋体"/>
          <w:b/>
          <w:color w:val="auto"/>
          <w:sz w:val="36"/>
          <w:highlight w:val="none"/>
        </w:rPr>
        <w:t xml:space="preserve"> 第一部分  招标公告</w:t>
      </w:r>
      <w:bookmarkEnd w:id="0"/>
    </w:p>
    <w:tbl>
      <w:tblPr>
        <w:tblStyle w:val="99"/>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242" w:type="dxa"/>
          </w:tcPr>
          <w:p>
            <w:pPr>
              <w:pStyle w:val="85"/>
              <w:spacing w:before="0" w:beforeAutospacing="0" w:after="0" w:afterAutospacing="0" w:line="360" w:lineRule="auto"/>
              <w:ind w:firstLine="480" w:firstLineChars="200"/>
              <w:rPr>
                <w:rFonts w:hint="eastAsia" w:ascii="宋体" w:hAnsi="宋体" w:eastAsia="宋体" w:cs="宋体"/>
                <w:color w:val="auto"/>
                <w:szCs w:val="24"/>
                <w:highlight w:val="none"/>
              </w:rPr>
            </w:pPr>
            <w:bookmarkStart w:id="1" w:name="_Toc225840107"/>
            <w:r>
              <w:rPr>
                <w:rFonts w:hint="eastAsia" w:ascii="宋体" w:hAnsi="宋体" w:eastAsia="宋体" w:cs="宋体"/>
                <w:color w:val="auto"/>
                <w:szCs w:val="24"/>
                <w:highlight w:val="none"/>
              </w:rPr>
              <w:t>项目概况：</w:t>
            </w:r>
          </w:p>
          <w:p>
            <w:pPr>
              <w:pStyle w:val="85"/>
              <w:spacing w:before="0" w:beforeAutospacing="0" w:after="0" w:afterAutospacing="0" w:line="360" w:lineRule="auto"/>
              <w:ind w:firstLine="480" w:firstLineChars="200"/>
              <w:rPr>
                <w:rFonts w:hint="eastAsia" w:ascii="宋体" w:hAnsi="宋体" w:eastAsia="宋体" w:cs="宋体"/>
                <w:b/>
                <w:bCs/>
                <w:color w:val="auto"/>
                <w:sz w:val="21"/>
                <w:szCs w:val="21"/>
                <w:highlight w:val="none"/>
              </w:rPr>
            </w:pPr>
            <w:r>
              <w:rPr>
                <w:rFonts w:hint="eastAsia" w:cs="宋体"/>
                <w:color w:val="auto"/>
                <w:szCs w:val="24"/>
                <w:highlight w:val="none"/>
                <w:u w:val="single"/>
                <w:lang w:eastAsia="zh-CN"/>
              </w:rPr>
              <w:t>柯城区航埠新城K12学校建设项目——航埠新城初级中学校园智能化采购项目（第二次）</w:t>
            </w:r>
            <w:r>
              <w:rPr>
                <w:rFonts w:hint="eastAsia" w:ascii="宋体" w:hAnsi="宋体" w:eastAsia="宋体" w:cs="宋体"/>
                <w:color w:val="auto"/>
                <w:szCs w:val="24"/>
                <w:highlight w:val="none"/>
              </w:rPr>
              <w:t>的潜在投标人应在政采云平台（http://zfcg.czt.zj.gov.cn）获取（下载）招标文件，并于</w:t>
            </w:r>
            <w:r>
              <w:rPr>
                <w:rFonts w:hint="eastAsia" w:ascii="宋体" w:hAnsi="宋体" w:cs="宋体"/>
                <w:color w:val="auto"/>
                <w:sz w:val="24"/>
                <w:szCs w:val="24"/>
                <w:highlight w:val="none"/>
                <w:lang w:eastAsia="zh-CN"/>
              </w:rPr>
              <w:t>2024</w:t>
            </w:r>
            <w:r>
              <w:rPr>
                <w:rFonts w:hint="eastAsia" w:ascii="宋体" w:hAnsi="宋体" w:eastAsia="宋体" w:cs="宋体"/>
                <w:color w:val="auto"/>
                <w:sz w:val="24"/>
                <w:szCs w:val="24"/>
                <w:highlight w:val="none"/>
              </w:rPr>
              <w:t>年</w:t>
            </w: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rPr>
              <w:t>月</w:t>
            </w:r>
            <w:r>
              <w:rPr>
                <w:rFonts w:hint="eastAsia" w:cs="宋体"/>
                <w:color w:val="auto"/>
                <w:sz w:val="24"/>
                <w:szCs w:val="24"/>
                <w:highlight w:val="none"/>
                <w:lang w:val="en-US" w:eastAsia="zh-CN"/>
              </w:rPr>
              <w:t>22</w:t>
            </w:r>
            <w:r>
              <w:rPr>
                <w:rFonts w:hint="eastAsia" w:ascii="宋体" w:hAnsi="宋体" w:eastAsia="宋体" w:cs="宋体"/>
                <w:color w:val="auto"/>
                <w:sz w:val="24"/>
                <w:szCs w:val="24"/>
                <w:highlight w:val="none"/>
              </w:rPr>
              <w:t>日</w:t>
            </w:r>
            <w:r>
              <w:rPr>
                <w:rFonts w:hint="eastAsia" w:cs="宋体"/>
                <w:color w:val="auto"/>
                <w:sz w:val="24"/>
                <w:szCs w:val="24"/>
                <w:highlight w:val="none"/>
                <w:lang w:val="en-US" w:eastAsia="zh-CN"/>
              </w:rPr>
              <w:t>9</w:t>
            </w:r>
            <w:r>
              <w:rPr>
                <w:rFonts w:hint="eastAsia" w:ascii="宋体" w:hAnsi="宋体" w:eastAsia="宋体" w:cs="宋体"/>
                <w:color w:val="auto"/>
                <w:sz w:val="24"/>
                <w:szCs w:val="24"/>
                <w:highlight w:val="none"/>
              </w:rPr>
              <w:t>:</w:t>
            </w:r>
            <w:r>
              <w:rPr>
                <w:rFonts w:hint="eastAsia" w:cs="宋体"/>
                <w:color w:val="auto"/>
                <w:sz w:val="24"/>
                <w:szCs w:val="24"/>
                <w:highlight w:val="none"/>
                <w:lang w:val="en-US" w:eastAsia="zh-CN"/>
              </w:rPr>
              <w:t>30</w:t>
            </w:r>
            <w:r>
              <w:rPr>
                <w:rFonts w:hint="eastAsia" w:ascii="宋体" w:hAnsi="宋体" w:eastAsia="宋体" w:cs="宋体"/>
                <w:color w:val="auto"/>
                <w:szCs w:val="24"/>
                <w:highlight w:val="none"/>
              </w:rPr>
              <w:t>（北京时间）前提交（上传）</w:t>
            </w:r>
            <w:r>
              <w:rPr>
                <w:rFonts w:hint="eastAsia" w:ascii="宋体" w:hAnsi="宋体" w:eastAsia="宋体" w:cs="宋体"/>
                <w:color w:val="auto"/>
                <w:szCs w:val="24"/>
                <w:highlight w:val="none"/>
                <w:lang w:val="en-US" w:eastAsia="zh-CN"/>
              </w:rPr>
              <w:t>投标</w:t>
            </w:r>
            <w:r>
              <w:rPr>
                <w:rFonts w:hint="eastAsia" w:ascii="宋体" w:hAnsi="宋体" w:eastAsia="宋体" w:cs="宋体"/>
                <w:color w:val="auto"/>
                <w:szCs w:val="24"/>
                <w:highlight w:val="none"/>
              </w:rPr>
              <w:t>文件。</w:t>
            </w:r>
          </w:p>
        </w:tc>
      </w:tr>
    </w:tbl>
    <w:p>
      <w:pPr>
        <w:autoSpaceDE w:val="0"/>
        <w:autoSpaceDN w:val="0"/>
        <w:adjustRightInd w:val="0"/>
        <w:spacing w:line="360" w:lineRule="auto"/>
        <w:ind w:right="-23" w:firstLine="482" w:firstLineChars="200"/>
        <w:rPr>
          <w:rStyle w:val="90"/>
          <w:rFonts w:hint="eastAsia" w:ascii="宋体" w:hAnsi="宋体" w:eastAsia="宋体" w:cs="宋体"/>
          <w:color w:val="auto"/>
          <w:sz w:val="24"/>
          <w:szCs w:val="24"/>
          <w:highlight w:val="none"/>
        </w:rPr>
      </w:pPr>
      <w:r>
        <w:rPr>
          <w:rStyle w:val="90"/>
          <w:rFonts w:hint="eastAsia" w:ascii="宋体" w:hAnsi="宋体" w:eastAsia="宋体" w:cs="宋体"/>
          <w:color w:val="auto"/>
          <w:sz w:val="24"/>
          <w:szCs w:val="24"/>
          <w:highlight w:val="none"/>
        </w:rPr>
        <w:t>一、项目基本情况</w:t>
      </w:r>
    </w:p>
    <w:p>
      <w:pPr>
        <w:autoSpaceDE w:val="0"/>
        <w:autoSpaceDN w:val="0"/>
        <w:adjustRightInd w:val="0"/>
        <w:spacing w:line="360" w:lineRule="auto"/>
        <w:ind w:right="-23"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项目编号：</w:t>
      </w:r>
      <w:r>
        <w:rPr>
          <w:rFonts w:hint="eastAsia" w:ascii="宋体" w:hAnsi="宋体" w:cs="宋体"/>
          <w:color w:val="auto"/>
          <w:sz w:val="24"/>
          <w:szCs w:val="24"/>
          <w:highlight w:val="none"/>
          <w:lang w:eastAsia="zh-CN"/>
        </w:rPr>
        <w:t>ZZCG2023107-1</w:t>
      </w:r>
    </w:p>
    <w:p>
      <w:pPr>
        <w:autoSpaceDE w:val="0"/>
        <w:autoSpaceDN w:val="0"/>
        <w:adjustRightInd w:val="0"/>
        <w:spacing w:line="360" w:lineRule="auto"/>
        <w:ind w:right="-23" w:firstLine="480" w:firstLineChars="200"/>
        <w:rPr>
          <w:rFonts w:hint="default"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ascii="宋体" w:hAnsi="宋体" w:cs="宋体"/>
          <w:color w:val="auto"/>
          <w:sz w:val="24"/>
          <w:szCs w:val="24"/>
          <w:highlight w:val="none"/>
          <w:lang w:eastAsia="zh-CN"/>
        </w:rPr>
        <w:t>柯城区航埠新城K12学校建设项目——航埠新城初级中学校园智能化采购项目（第二次）</w:t>
      </w:r>
    </w:p>
    <w:p>
      <w:pPr>
        <w:autoSpaceDE w:val="0"/>
        <w:autoSpaceDN w:val="0"/>
        <w:adjustRightInd w:val="0"/>
        <w:spacing w:line="360" w:lineRule="auto"/>
        <w:ind w:right="-23" w:firstLine="480" w:firstLineChars="200"/>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预算金额（元）</w:t>
      </w:r>
      <w:r>
        <w:rPr>
          <w:rFonts w:hint="eastAsia" w:ascii="宋体" w:hAnsi="宋体" w:cs="宋体"/>
          <w:color w:val="auto"/>
          <w:sz w:val="24"/>
          <w:szCs w:val="24"/>
          <w:highlight w:val="none"/>
          <w:lang w:val="en-US" w:eastAsia="zh-CN"/>
        </w:rPr>
        <w:t>:14285759</w:t>
      </w:r>
    </w:p>
    <w:p>
      <w:pPr>
        <w:autoSpaceDE w:val="0"/>
        <w:autoSpaceDN w:val="0"/>
        <w:adjustRightInd w:val="0"/>
        <w:spacing w:line="360" w:lineRule="auto"/>
        <w:ind w:right="-23" w:firstLine="480" w:firstLineChars="200"/>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最高限价（元）：</w:t>
      </w:r>
      <w:r>
        <w:rPr>
          <w:rFonts w:hint="eastAsia" w:ascii="宋体" w:hAnsi="宋体" w:cs="宋体"/>
          <w:color w:val="auto"/>
          <w:sz w:val="24"/>
          <w:szCs w:val="24"/>
          <w:highlight w:val="none"/>
          <w:lang w:val="en-US" w:eastAsia="zh-CN"/>
        </w:rPr>
        <w:t xml:space="preserve">12015416 </w:t>
      </w:r>
    </w:p>
    <w:p>
      <w:pPr>
        <w:autoSpaceDE w:val="0"/>
        <w:autoSpaceDN w:val="0"/>
        <w:adjustRightInd w:val="0"/>
        <w:spacing w:line="360" w:lineRule="auto"/>
        <w:ind w:right="-23"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采购需求：</w:t>
      </w:r>
    </w:p>
    <w:p>
      <w:pPr>
        <w:autoSpaceDE w:val="0"/>
        <w:autoSpaceDN w:val="0"/>
        <w:adjustRightInd w:val="0"/>
        <w:spacing w:line="360" w:lineRule="auto"/>
        <w:ind w:right="-23"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标项一:</w:t>
      </w:r>
    </w:p>
    <w:p>
      <w:pPr>
        <w:autoSpaceDE w:val="0"/>
        <w:autoSpaceDN w:val="0"/>
        <w:adjustRightInd w:val="0"/>
        <w:spacing w:line="360" w:lineRule="auto"/>
        <w:ind w:right="-23" w:firstLine="480" w:firstLineChars="200"/>
        <w:rPr>
          <w:rFonts w:hint="eastAsia" w:ascii="宋体" w:hAnsi="宋体" w:eastAsia="宋体" w:cs="宋体"/>
          <w:color w:val="auto"/>
          <w:sz w:val="24"/>
          <w:szCs w:val="22"/>
          <w:highlight w:val="none"/>
          <w:u w:val="none"/>
        </w:rPr>
      </w:pPr>
      <w:r>
        <w:rPr>
          <w:rFonts w:hint="eastAsia" w:ascii="宋体" w:hAnsi="宋体" w:eastAsia="宋体" w:cs="宋体"/>
          <w:color w:val="auto"/>
          <w:sz w:val="24"/>
          <w:szCs w:val="24"/>
          <w:highlight w:val="none"/>
        </w:rPr>
        <w:t>标项</w:t>
      </w:r>
      <w:r>
        <w:rPr>
          <w:rFonts w:hint="eastAsia" w:ascii="宋体" w:hAnsi="宋体" w:eastAsia="宋体" w:cs="宋体"/>
          <w:color w:val="auto"/>
          <w:sz w:val="24"/>
          <w:szCs w:val="22"/>
          <w:highlight w:val="none"/>
        </w:rPr>
        <w:t>名称:</w:t>
      </w:r>
      <w:r>
        <w:rPr>
          <w:rFonts w:hint="eastAsia" w:ascii="宋体" w:hAnsi="宋体" w:cs="宋体"/>
          <w:color w:val="auto"/>
          <w:sz w:val="24"/>
          <w:szCs w:val="24"/>
          <w:highlight w:val="none"/>
          <w:u w:val="none"/>
          <w:lang w:eastAsia="zh-CN"/>
        </w:rPr>
        <w:t>柯城区航埠新城K12学校建设项目——航埠新城初级中学校园智能化采购项目（第二次）</w:t>
      </w:r>
    </w:p>
    <w:p>
      <w:pPr>
        <w:autoSpaceDE w:val="0"/>
        <w:autoSpaceDN w:val="0"/>
        <w:adjustRightInd w:val="0"/>
        <w:spacing w:line="360" w:lineRule="auto"/>
        <w:ind w:right="-20"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数量: 1  </w:t>
      </w:r>
    </w:p>
    <w:p>
      <w:pPr>
        <w:autoSpaceDE w:val="0"/>
        <w:autoSpaceDN w:val="0"/>
        <w:adjustRightInd w:val="0"/>
        <w:spacing w:line="360" w:lineRule="auto"/>
        <w:ind w:right="-20" w:firstLine="480" w:firstLineChars="200"/>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rPr>
        <w:t>预算金额（元）:14285759</w:t>
      </w:r>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2"/>
          <w:highlight w:val="none"/>
        </w:rPr>
        <w:t>简要规格描述或项目基本概况介绍、用途：</w:t>
      </w:r>
      <w:r>
        <w:rPr>
          <w:rFonts w:hint="eastAsia" w:ascii="宋体" w:hAnsi="宋体" w:eastAsia="宋体" w:cs="宋体"/>
          <w:color w:val="auto"/>
          <w:sz w:val="24"/>
          <w:szCs w:val="24"/>
          <w:highlight w:val="none"/>
        </w:rPr>
        <w:t>主要针对</w:t>
      </w:r>
      <w:r>
        <w:rPr>
          <w:rFonts w:hint="eastAsia" w:ascii="宋体" w:hAnsi="宋体" w:cs="宋体"/>
          <w:color w:val="auto"/>
          <w:sz w:val="24"/>
          <w:szCs w:val="24"/>
          <w:highlight w:val="none"/>
          <w:lang w:eastAsia="zh-CN"/>
        </w:rPr>
        <w:t>航埠新城初级中学校园智能化采购</w:t>
      </w:r>
      <w:r>
        <w:rPr>
          <w:rFonts w:hint="eastAsia" w:ascii="宋体" w:hAnsi="宋体" w:eastAsia="宋体" w:cs="宋体"/>
          <w:color w:val="auto"/>
          <w:sz w:val="24"/>
          <w:szCs w:val="24"/>
          <w:highlight w:val="none"/>
        </w:rPr>
        <w:t>（具体详见第三部分</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采购需求）</w:t>
      </w:r>
      <w:r>
        <w:rPr>
          <w:rFonts w:hint="eastAsia" w:ascii="宋体" w:hAnsi="宋体" w:eastAsia="宋体" w:cs="宋体"/>
          <w:color w:val="auto"/>
          <w:sz w:val="24"/>
          <w:szCs w:val="24"/>
          <w:highlight w:val="none"/>
          <w:lang w:eastAsia="zh-CN"/>
        </w:rPr>
        <w:t>。</w:t>
      </w:r>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合同履约期限：</w:t>
      </w:r>
      <w:r>
        <w:rPr>
          <w:rFonts w:hint="eastAsia" w:ascii="宋体" w:hAnsi="宋体" w:cs="宋体"/>
          <w:color w:val="auto"/>
          <w:sz w:val="24"/>
          <w:szCs w:val="24"/>
          <w:highlight w:val="none"/>
          <w:lang w:val="en-US" w:eastAsia="zh-CN"/>
        </w:rPr>
        <w:t>合同签订后5个月内完成供货及安装、调试、试运行</w:t>
      </w:r>
      <w:r>
        <w:rPr>
          <w:rFonts w:hint="eastAsia" w:ascii="宋体" w:hAnsi="宋体" w:cs="宋体"/>
          <w:color w:val="auto"/>
          <w:sz w:val="24"/>
          <w:szCs w:val="24"/>
          <w:highlight w:val="none"/>
          <w:lang w:eastAsia="zh-CN"/>
        </w:rPr>
        <w:t>，具体时间以采购人书面通知为准。</w:t>
      </w:r>
    </w:p>
    <w:p>
      <w:pPr>
        <w:autoSpaceDE w:val="0"/>
        <w:autoSpaceDN w:val="0"/>
        <w:adjustRightInd w:val="0"/>
        <w:spacing w:line="360" w:lineRule="auto"/>
        <w:ind w:right="-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2"/>
          <w:highlight w:val="none"/>
        </w:rPr>
        <w:t>本项目</w:t>
      </w:r>
      <w:r>
        <w:rPr>
          <w:rFonts w:ascii="宋体" w:hAnsi="宋体" w:eastAsia="宋体" w:cs="宋体"/>
          <w:color w:val="auto"/>
          <w:spacing w:val="-9"/>
          <w:sz w:val="24"/>
          <w:szCs w:val="24"/>
          <w:highlight w:val="none"/>
        </w:rPr>
        <w:t>（</w:t>
      </w:r>
      <w:r>
        <w:rPr>
          <w:rFonts w:hint="eastAsia" w:ascii="宋体" w:hAnsi="宋体" w:eastAsia="宋体" w:cs="宋体"/>
          <w:color w:val="auto"/>
          <w:spacing w:val="-9"/>
          <w:sz w:val="24"/>
          <w:szCs w:val="24"/>
          <w:highlight w:val="none"/>
          <w:lang w:eastAsia="zh-CN"/>
        </w:rPr>
        <w:t>否</w:t>
      </w:r>
      <w:r>
        <w:rPr>
          <w:rFonts w:ascii="宋体" w:hAnsi="宋体" w:eastAsia="宋体" w:cs="宋体"/>
          <w:color w:val="auto"/>
          <w:spacing w:val="-9"/>
          <w:sz w:val="24"/>
          <w:szCs w:val="24"/>
          <w:highlight w:val="none"/>
        </w:rPr>
        <w:t>）</w:t>
      </w:r>
      <w:r>
        <w:rPr>
          <w:rFonts w:ascii="宋体" w:hAnsi="宋体" w:eastAsia="宋体" w:cs="宋体"/>
          <w:color w:val="auto"/>
          <w:spacing w:val="-5"/>
          <w:sz w:val="24"/>
          <w:szCs w:val="24"/>
          <w:highlight w:val="none"/>
        </w:rPr>
        <w:t xml:space="preserve"> </w:t>
      </w:r>
      <w:r>
        <w:rPr>
          <w:rFonts w:hint="eastAsia" w:ascii="宋体" w:hAnsi="宋体" w:eastAsia="宋体" w:cs="宋体"/>
          <w:color w:val="auto"/>
          <w:sz w:val="24"/>
          <w:szCs w:val="22"/>
          <w:highlight w:val="none"/>
        </w:rPr>
        <w:t>接受联合体投标。</w:t>
      </w:r>
    </w:p>
    <w:p>
      <w:pPr>
        <w:autoSpaceDE w:val="0"/>
        <w:autoSpaceDN w:val="0"/>
        <w:adjustRightInd w:val="0"/>
        <w:spacing w:line="360" w:lineRule="auto"/>
        <w:ind w:right="-23" w:firstLine="482" w:firstLineChars="200"/>
        <w:rPr>
          <w:rFonts w:hint="eastAsia" w:ascii="宋体" w:hAnsi="宋体" w:eastAsia="宋体" w:cs="宋体"/>
          <w:color w:val="auto"/>
          <w:highlight w:val="none"/>
        </w:rPr>
      </w:pPr>
      <w:r>
        <w:rPr>
          <w:rStyle w:val="90"/>
          <w:rFonts w:hint="eastAsia" w:ascii="宋体" w:hAnsi="宋体" w:eastAsia="宋体" w:cs="宋体"/>
          <w:color w:val="auto"/>
          <w:sz w:val="24"/>
          <w:szCs w:val="24"/>
          <w:highlight w:val="none"/>
        </w:rPr>
        <w:t>二、申请人的资格要求</w:t>
      </w:r>
    </w:p>
    <w:p>
      <w:pPr>
        <w:autoSpaceDE w:val="0"/>
        <w:autoSpaceDN w:val="0"/>
        <w:adjustRightInd w:val="0"/>
        <w:spacing w:line="360" w:lineRule="auto"/>
        <w:ind w:right="-23"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满足《中华人民共和国政府采购法》第二十二条规定；未被“信用中国”（www.creditchina.gov.cn)、中国政府采购网（www.ccgp.gov.cn）列入失信被执行人、重大税收违法案件当事人名单、政府采购严重违法失信行为记录名单。</w:t>
      </w:r>
    </w:p>
    <w:p>
      <w:pPr>
        <w:pageBreakBefore w:val="0"/>
        <w:numPr>
          <w:ilvl w:val="0"/>
          <w:numId w:val="0"/>
        </w:numPr>
        <w:kinsoku/>
        <w:wordWrap/>
        <w:overflowPunct/>
        <w:topLinePunct w:val="0"/>
        <w:autoSpaceDE w:val="0"/>
        <w:autoSpaceDN w:val="0"/>
        <w:bidi w:val="0"/>
        <w:adjustRightInd w:val="0"/>
        <w:spacing w:line="360" w:lineRule="auto"/>
        <w:ind w:firstLine="480" w:firstLineChars="200"/>
        <w:textAlignment w:val="auto"/>
        <w:rPr>
          <w:rFonts w:hint="eastAsia" w:ascii="宋体" w:hAnsi="宋体" w:cs="宋体"/>
          <w:b/>
          <w:bCs w:val="0"/>
          <w:color w:val="auto"/>
          <w:sz w:val="24"/>
          <w:szCs w:val="24"/>
          <w:highlight w:val="none"/>
        </w:rPr>
      </w:pPr>
      <w:r>
        <w:rPr>
          <w:rFonts w:hint="eastAsia" w:ascii="宋体" w:hAnsi="宋体" w:eastAsia="宋体" w:cs="宋体"/>
          <w:color w:val="auto"/>
          <w:sz w:val="24"/>
          <w:szCs w:val="24"/>
          <w:highlight w:val="none"/>
        </w:rPr>
        <w:t>落实政府采购政策需满足的资格要求：</w:t>
      </w:r>
      <w:r>
        <w:rPr>
          <w:rStyle w:val="90"/>
          <w:rFonts w:hint="eastAsia" w:ascii="宋体" w:hAnsi="宋体" w:eastAsia="宋体" w:cs="宋体"/>
          <w:b/>
          <w:bCs w:val="0"/>
          <w:i w:val="0"/>
          <w:caps w:val="0"/>
          <w:color w:val="auto"/>
          <w:spacing w:val="0"/>
          <w:sz w:val="24"/>
          <w:szCs w:val="24"/>
          <w:highlight w:val="none"/>
        </w:rPr>
        <w:t>本项目属于预留份额专门面向中小企业</w:t>
      </w:r>
      <w:r>
        <w:rPr>
          <w:rStyle w:val="90"/>
          <w:rFonts w:hint="eastAsia" w:ascii="宋体" w:hAnsi="宋体" w:cs="宋体"/>
          <w:b/>
          <w:bCs w:val="0"/>
          <w:i w:val="0"/>
          <w:caps w:val="0"/>
          <w:color w:val="auto"/>
          <w:spacing w:val="0"/>
          <w:sz w:val="24"/>
          <w:szCs w:val="24"/>
          <w:highlight w:val="none"/>
          <w:lang w:eastAsia="zh-CN"/>
        </w:rPr>
        <w:t>采购的项目，预留给</w:t>
      </w:r>
      <w:r>
        <w:rPr>
          <w:rStyle w:val="90"/>
          <w:rFonts w:hint="eastAsia" w:ascii="宋体" w:hAnsi="宋体" w:eastAsia="宋体" w:cs="宋体"/>
          <w:b/>
          <w:bCs w:val="0"/>
          <w:i w:val="0"/>
          <w:caps w:val="0"/>
          <w:color w:val="auto"/>
          <w:spacing w:val="0"/>
          <w:sz w:val="24"/>
          <w:szCs w:val="24"/>
          <w:highlight w:val="none"/>
        </w:rPr>
        <w:t>中小企业</w:t>
      </w:r>
      <w:r>
        <w:rPr>
          <w:rFonts w:hint="eastAsia" w:ascii="宋体" w:hAnsi="宋体" w:eastAsia="宋体" w:cs="宋体"/>
          <w:b/>
          <w:bCs w:val="0"/>
          <w:color w:val="auto"/>
          <w:sz w:val="24"/>
          <w:szCs w:val="24"/>
          <w:highlight w:val="none"/>
          <w:lang w:eastAsia="zh-CN"/>
        </w:rPr>
        <w:t>的份额比例</w:t>
      </w:r>
      <w:r>
        <w:rPr>
          <w:rFonts w:hint="eastAsia" w:ascii="宋体" w:hAnsi="宋体" w:eastAsia="宋体" w:cs="宋体"/>
          <w:b/>
          <w:bCs w:val="0"/>
          <w:color w:val="auto"/>
          <w:sz w:val="24"/>
          <w:szCs w:val="24"/>
          <w:highlight w:val="none"/>
        </w:rPr>
        <w:t>不得少于40%</w:t>
      </w:r>
      <w:r>
        <w:rPr>
          <w:rStyle w:val="90"/>
          <w:rFonts w:hint="eastAsia" w:ascii="宋体" w:hAnsi="宋体" w:cs="宋体"/>
          <w:b/>
          <w:bCs w:val="0"/>
          <w:i w:val="0"/>
          <w:caps w:val="0"/>
          <w:color w:val="auto"/>
          <w:spacing w:val="0"/>
          <w:sz w:val="24"/>
          <w:szCs w:val="24"/>
          <w:highlight w:val="none"/>
          <w:lang w:val="en-US" w:eastAsia="zh-CN"/>
        </w:rPr>
        <w:t>；</w:t>
      </w:r>
      <w:r>
        <w:rPr>
          <w:rStyle w:val="90"/>
          <w:rFonts w:hint="eastAsia" w:ascii="宋体" w:hAnsi="宋体" w:eastAsia="宋体" w:cs="宋体"/>
          <w:b/>
          <w:bCs w:val="0"/>
          <w:i w:val="0"/>
          <w:caps w:val="0"/>
          <w:color w:val="auto"/>
          <w:spacing w:val="0"/>
          <w:sz w:val="24"/>
          <w:szCs w:val="24"/>
          <w:highlight w:val="none"/>
        </w:rPr>
        <w:t>如大型企业参与的，须承诺分包给中小企业预留份额不得低于预算总额的40%，其中预留给小微企业的比例不得低于70%。</w:t>
      </w:r>
    </w:p>
    <w:p>
      <w:pPr>
        <w:autoSpaceDE w:val="0"/>
        <w:autoSpaceDN w:val="0"/>
        <w:adjustRightInd w:val="0"/>
        <w:spacing w:line="360" w:lineRule="auto"/>
        <w:ind w:right="-23"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3.本项目的特定资格要求：</w:t>
      </w:r>
    </w:p>
    <w:p>
      <w:pPr>
        <w:keepNext w:val="0"/>
        <w:keepLines w:val="0"/>
        <w:pageBreakBefore w:val="0"/>
        <w:widowControl w:val="0"/>
        <w:kinsoku/>
        <w:wordWrap/>
        <w:overflowPunct/>
        <w:topLinePunct w:val="0"/>
        <w:autoSpaceDE w:val="0"/>
        <w:autoSpaceDN w:val="0"/>
        <w:bidi w:val="0"/>
        <w:adjustRightInd w:val="0"/>
        <w:snapToGrid/>
        <w:spacing w:line="360" w:lineRule="auto"/>
        <w:ind w:right="-2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（1）单位负责人为同一人或者存在直接控股、管理关系的不同投标人，不得参加同一合同项下的政府采购活动；</w:t>
      </w:r>
    </w:p>
    <w:p>
      <w:pPr>
        <w:keepNext w:val="0"/>
        <w:keepLines w:val="0"/>
        <w:pageBreakBefore w:val="0"/>
        <w:widowControl/>
        <w:kinsoku/>
        <w:wordWrap/>
        <w:overflowPunct/>
        <w:topLinePunct w:val="0"/>
        <w:autoSpaceDE/>
        <w:autoSpaceDN/>
        <w:bidi w:val="0"/>
        <w:adjustRightInd w:val="0"/>
        <w:spacing w:line="420" w:lineRule="exact"/>
        <w:ind w:left="0" w:leftChars="0" w:right="0" w:rightChars="0"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lang w:eastAsia="zh-CN"/>
        </w:rPr>
        <w:t>）</w:t>
      </w:r>
      <w:r>
        <w:rPr>
          <w:rFonts w:hint="eastAsia" w:ascii="宋体" w:hAnsi="宋体" w:eastAsia="宋体" w:cs="宋体"/>
          <w:color w:val="auto"/>
          <w:sz w:val="24"/>
          <w:szCs w:val="24"/>
          <w:highlight w:val="none"/>
          <w:lang w:val="en-US" w:eastAsia="zh-CN"/>
        </w:rPr>
        <w:t>根据《关于规范政府采购投标人资格设定及资格审查的通知》（浙财采监[2013]24 号）第 6 条规定接受金融、保险、通讯等特定行业的全国性企业所设立的区域性分支机构以及个体工商户、个人独资企业、合伙企业（应依法办理了工商、税务和社保登记手续，并且获得总公司（总机构）授权或能够提供房产权证或其他有效财产证明材料（在投标文件中提供相关材料），能证明其具备实际承担责任的能力和法定的缔结合同能力，可以独立参加采购活动，由单位负责人签署相关文件材料）；</w:t>
      </w:r>
    </w:p>
    <w:p>
      <w:pPr>
        <w:spacing w:before="134" w:line="360" w:lineRule="auto"/>
        <w:ind w:firstLine="531" w:firstLineChars="231"/>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w:t>
      </w:r>
      <w:r>
        <w:rPr>
          <w:rFonts w:hint="eastAsia" w:ascii="宋体" w:hAnsi="宋体" w:cs="宋体"/>
          <w:color w:val="auto"/>
          <w:spacing w:val="-5"/>
          <w:sz w:val="24"/>
          <w:szCs w:val="24"/>
          <w:highlight w:val="none"/>
          <w:lang w:val="en-US" w:eastAsia="zh-CN"/>
        </w:rPr>
        <w:t>3</w:t>
      </w:r>
      <w:r>
        <w:rPr>
          <w:rFonts w:ascii="宋体" w:hAnsi="宋体" w:eastAsia="宋体" w:cs="宋体"/>
          <w:color w:val="auto"/>
          <w:spacing w:val="-5"/>
          <w:sz w:val="24"/>
          <w:szCs w:val="24"/>
          <w:highlight w:val="none"/>
        </w:rPr>
        <w:t>）</w:t>
      </w:r>
      <w:r>
        <w:rPr>
          <w:rFonts w:hint="eastAsia" w:ascii="宋体" w:hAnsi="宋体" w:eastAsia="宋体" w:cs="宋体"/>
          <w:color w:val="auto"/>
          <w:spacing w:val="-5"/>
          <w:sz w:val="24"/>
          <w:szCs w:val="24"/>
          <w:highlight w:val="none"/>
        </w:rPr>
        <w:t>非联合体投标。</w:t>
      </w:r>
    </w:p>
    <w:p>
      <w:pPr>
        <w:autoSpaceDE w:val="0"/>
        <w:autoSpaceDN w:val="0"/>
        <w:adjustRightInd w:val="0"/>
        <w:spacing w:line="360" w:lineRule="auto"/>
        <w:ind w:right="-23" w:firstLine="482" w:firstLineChars="200"/>
        <w:rPr>
          <w:rStyle w:val="90"/>
          <w:rFonts w:hint="eastAsia" w:ascii="宋体" w:hAnsi="宋体" w:eastAsia="宋体" w:cs="宋体"/>
          <w:color w:val="auto"/>
          <w:sz w:val="24"/>
          <w:szCs w:val="24"/>
          <w:highlight w:val="none"/>
        </w:rPr>
      </w:pPr>
      <w:r>
        <w:rPr>
          <w:rStyle w:val="90"/>
          <w:rFonts w:hint="eastAsia" w:ascii="宋体" w:hAnsi="宋体" w:eastAsia="宋体" w:cs="宋体"/>
          <w:color w:val="auto"/>
          <w:sz w:val="24"/>
          <w:szCs w:val="24"/>
          <w:highlight w:val="none"/>
        </w:rPr>
        <w:t>三、获取采购文件</w:t>
      </w:r>
    </w:p>
    <w:p>
      <w:pPr>
        <w:autoSpaceDE w:val="0"/>
        <w:autoSpaceDN w:val="0"/>
        <w:adjustRightInd w:val="0"/>
        <w:spacing w:line="360" w:lineRule="auto"/>
        <w:ind w:right="-23"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时间：/至</w:t>
      </w:r>
      <w:r>
        <w:rPr>
          <w:rFonts w:hint="eastAsia" w:ascii="宋体" w:hAnsi="宋体" w:cs="宋体"/>
          <w:color w:val="auto"/>
          <w:sz w:val="24"/>
          <w:szCs w:val="24"/>
          <w:highlight w:val="none"/>
          <w:lang w:eastAsia="zh-CN"/>
        </w:rPr>
        <w:t>2024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22</w:t>
      </w:r>
      <w:r>
        <w:rPr>
          <w:rFonts w:hint="eastAsia" w:ascii="宋体" w:hAnsi="宋体" w:eastAsia="宋体" w:cs="宋体"/>
          <w:color w:val="auto"/>
          <w:sz w:val="24"/>
          <w:szCs w:val="24"/>
          <w:highlight w:val="none"/>
        </w:rPr>
        <w:t>日，每天上午00:00至12:00，下午12:00至23:59（北京时间，线上获取法定节假日均可，线下获取文件法定节假日除外）</w:t>
      </w:r>
    </w:p>
    <w:p>
      <w:pPr>
        <w:autoSpaceDE w:val="0"/>
        <w:autoSpaceDN w:val="0"/>
        <w:adjustRightInd w:val="0"/>
        <w:spacing w:line="360" w:lineRule="auto"/>
        <w:ind w:right="-23"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地点（网址）：政采云平台（http://zfcg.czt.zj.gov.cn） </w:t>
      </w:r>
    </w:p>
    <w:p>
      <w:pPr>
        <w:autoSpaceDE w:val="0"/>
        <w:autoSpaceDN w:val="0"/>
        <w:adjustRightInd w:val="0"/>
        <w:spacing w:line="360" w:lineRule="auto"/>
        <w:ind w:right="-23"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方式： 潜在投标人登陆政采云平台，在线申请获取招标文件（进入“项目采购”应用，在获取招标文件菜单中选择项目，申请获取招标文件，本项目招标文件不收取工本费；仅需浏览招标文件的投标人可点击“游客，浏览招标文件”直接下载招标文件浏览）。 </w:t>
      </w:r>
    </w:p>
    <w:p>
      <w:pPr>
        <w:autoSpaceDE w:val="0"/>
        <w:autoSpaceDN w:val="0"/>
        <w:adjustRightInd w:val="0"/>
        <w:spacing w:line="360" w:lineRule="auto"/>
        <w:ind w:right="-23"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售价（元）：0 </w:t>
      </w:r>
    </w:p>
    <w:p>
      <w:pPr>
        <w:autoSpaceDE w:val="0"/>
        <w:autoSpaceDN w:val="0"/>
        <w:adjustRightInd w:val="0"/>
        <w:spacing w:line="360" w:lineRule="auto"/>
        <w:ind w:right="-23"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pPr>
        <w:autoSpaceDE w:val="0"/>
        <w:autoSpaceDN w:val="0"/>
        <w:adjustRightInd w:val="0"/>
        <w:spacing w:line="360" w:lineRule="auto"/>
        <w:ind w:right="-23" w:firstLine="480" w:firstLineChars="200"/>
        <w:rPr>
          <w:rFonts w:hint="eastAsia" w:ascii="宋体" w:hAnsi="宋体" w:eastAsia="宋体" w:cs="宋体"/>
          <w:color w:val="auto"/>
          <w:highlight w:val="none"/>
        </w:rPr>
      </w:pPr>
      <w:r>
        <w:rPr>
          <w:rFonts w:hint="eastAsia" w:ascii="宋体" w:hAnsi="宋体" w:eastAsia="宋体" w:cs="宋体"/>
          <w:color w:val="auto"/>
          <w:sz w:val="24"/>
          <w:szCs w:val="24"/>
          <w:highlight w:val="none"/>
        </w:rPr>
        <w:t>注：请供应商按上述要求获取招标文件，如未在“政采云”系统内完成相关流程，引起的投标无效责任自负。</w:t>
      </w:r>
    </w:p>
    <w:p>
      <w:pPr>
        <w:autoSpaceDE w:val="0"/>
        <w:autoSpaceDN w:val="0"/>
        <w:adjustRightInd w:val="0"/>
        <w:spacing w:line="360" w:lineRule="auto"/>
        <w:ind w:right="-23" w:firstLine="482" w:firstLineChars="200"/>
        <w:rPr>
          <w:rStyle w:val="90"/>
          <w:rFonts w:hint="eastAsia" w:ascii="宋体" w:hAnsi="宋体" w:eastAsia="宋体" w:cs="宋体"/>
          <w:color w:val="auto"/>
          <w:sz w:val="24"/>
          <w:szCs w:val="24"/>
          <w:highlight w:val="none"/>
        </w:rPr>
      </w:pPr>
      <w:r>
        <w:rPr>
          <w:rStyle w:val="90"/>
          <w:rFonts w:hint="eastAsia" w:ascii="宋体" w:hAnsi="宋体" w:eastAsia="宋体" w:cs="宋体"/>
          <w:color w:val="auto"/>
          <w:sz w:val="24"/>
          <w:szCs w:val="24"/>
          <w:highlight w:val="none"/>
        </w:rPr>
        <w:t>四、提交投标文件截止时间、开标时间和地点</w:t>
      </w:r>
    </w:p>
    <w:p>
      <w:pPr>
        <w:autoSpaceDE w:val="0"/>
        <w:autoSpaceDN w:val="0"/>
        <w:adjustRightInd w:val="0"/>
        <w:spacing w:line="360" w:lineRule="auto"/>
        <w:ind w:right="-23"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提交投标文件截止时间：</w:t>
      </w:r>
      <w:r>
        <w:rPr>
          <w:rFonts w:hint="eastAsia" w:ascii="宋体" w:hAnsi="宋体" w:cs="宋体"/>
          <w:color w:val="auto"/>
          <w:sz w:val="24"/>
          <w:szCs w:val="24"/>
          <w:highlight w:val="none"/>
          <w:lang w:eastAsia="zh-CN"/>
        </w:rPr>
        <w:t>2024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22</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（北京时间）</w:t>
      </w:r>
    </w:p>
    <w:p>
      <w:pPr>
        <w:autoSpaceDE w:val="0"/>
        <w:autoSpaceDN w:val="0"/>
        <w:adjustRightInd w:val="0"/>
        <w:spacing w:line="360" w:lineRule="auto"/>
        <w:ind w:right="-23"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autoSpaceDE w:val="0"/>
        <w:autoSpaceDN w:val="0"/>
        <w:adjustRightInd w:val="0"/>
        <w:spacing w:line="360" w:lineRule="auto"/>
        <w:ind w:right="-23"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投标地点（网址）：政采云平台（http://zfcg.czt.zj.gov.cn） </w:t>
      </w:r>
    </w:p>
    <w:p>
      <w:pPr>
        <w:autoSpaceDE w:val="0"/>
        <w:autoSpaceDN w:val="0"/>
        <w:adjustRightInd w:val="0"/>
        <w:spacing w:line="360" w:lineRule="auto"/>
        <w:ind w:right="-23"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开标时间：</w:t>
      </w:r>
      <w:r>
        <w:rPr>
          <w:rFonts w:hint="eastAsia" w:ascii="宋体" w:hAnsi="宋体" w:cs="宋体"/>
          <w:color w:val="auto"/>
          <w:sz w:val="24"/>
          <w:szCs w:val="24"/>
          <w:highlight w:val="none"/>
          <w:lang w:eastAsia="zh-CN"/>
        </w:rPr>
        <w:t>2024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22</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 xml:space="preserve">（北京时间） </w:t>
      </w:r>
    </w:p>
    <w:p>
      <w:pPr>
        <w:autoSpaceDE w:val="0"/>
        <w:autoSpaceDN w:val="0"/>
        <w:adjustRightInd w:val="0"/>
        <w:spacing w:line="360" w:lineRule="auto"/>
        <w:ind w:right="-23"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开标地点（网址）：柯城区公共资源交易中心（荷花三路229号7楼开标厅），同步在政府采购云平台（https://www.zcygov.cn）上开启响应文件。</w:t>
      </w:r>
    </w:p>
    <w:p>
      <w:pPr>
        <w:autoSpaceDE w:val="0"/>
        <w:autoSpaceDN w:val="0"/>
        <w:adjustRightInd w:val="0"/>
        <w:spacing w:line="360" w:lineRule="auto"/>
        <w:ind w:right="-23"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五、采购意向公开链接</w:t>
      </w:r>
    </w:p>
    <w:p>
      <w:pPr>
        <w:keepNext w:val="0"/>
        <w:keepLines w:val="0"/>
        <w:pageBreakBefore w:val="0"/>
        <w:kinsoku/>
        <w:wordWrap/>
        <w:overflowPunct/>
        <w:topLinePunct w:val="0"/>
        <w:autoSpaceDE w:val="0"/>
        <w:autoSpaceDN w:val="0"/>
        <w:bidi w:val="0"/>
        <w:adjustRightInd w:val="0"/>
        <w:spacing w:line="360" w:lineRule="auto"/>
        <w:ind w:left="0" w:leftChars="0" w:right="-23" w:firstLine="480" w:firstLineChars="200"/>
        <w:textAlignment w:val="auto"/>
        <w:rPr>
          <w:rStyle w:val="90"/>
          <w:rFonts w:hint="eastAsia" w:ascii="宋体" w:hAnsi="宋体" w:eastAsia="宋体" w:cs="宋体"/>
          <w:b w:val="0"/>
          <w:bCs/>
          <w:color w:val="auto"/>
          <w:sz w:val="24"/>
          <w:szCs w:val="24"/>
          <w:highlight w:val="none"/>
          <w:lang w:eastAsia="zh-CN"/>
        </w:rPr>
      </w:pPr>
      <w:r>
        <w:rPr>
          <w:rStyle w:val="90"/>
          <w:rFonts w:hint="eastAsia" w:ascii="宋体" w:hAnsi="宋体" w:eastAsia="宋体" w:cs="宋体"/>
          <w:b w:val="0"/>
          <w:bCs/>
          <w:color w:val="auto"/>
          <w:sz w:val="24"/>
          <w:szCs w:val="24"/>
          <w:highlight w:val="none"/>
          <w:lang w:eastAsia="zh-CN"/>
        </w:rPr>
        <w:t>https://zfcg.czt.zj.gov.cn/site/detail?categoryCode=ZcyAnnouncement&amp;parentId=600007&amp;articleId=HBhwzJWPGhx8BA0Hod+00Q==&amp;utm=site.site-PC-36449.972-pc-websitegroup-zhejiang-mainSearchPage-front.3.98a96340927911ee9ccea71f106a6bf5</w:t>
      </w:r>
    </w:p>
    <w:p>
      <w:pPr>
        <w:autoSpaceDE w:val="0"/>
        <w:autoSpaceDN w:val="0"/>
        <w:adjustRightInd w:val="0"/>
        <w:spacing w:line="360" w:lineRule="auto"/>
        <w:ind w:right="-23" w:firstLine="482" w:firstLineChars="200"/>
        <w:rPr>
          <w:rStyle w:val="90"/>
          <w:rFonts w:hint="eastAsia" w:ascii="宋体" w:hAnsi="宋体" w:eastAsia="宋体" w:cs="宋体"/>
          <w:color w:val="auto"/>
          <w:sz w:val="24"/>
          <w:szCs w:val="24"/>
          <w:highlight w:val="none"/>
        </w:rPr>
      </w:pPr>
      <w:r>
        <w:rPr>
          <w:rStyle w:val="90"/>
          <w:rFonts w:hint="eastAsia" w:ascii="宋体" w:hAnsi="宋体" w:cs="宋体"/>
          <w:color w:val="auto"/>
          <w:sz w:val="24"/>
          <w:szCs w:val="24"/>
          <w:highlight w:val="none"/>
          <w:lang w:eastAsia="zh-CN"/>
        </w:rPr>
        <w:t>六、</w:t>
      </w:r>
      <w:r>
        <w:rPr>
          <w:rStyle w:val="90"/>
          <w:rFonts w:hint="eastAsia" w:ascii="宋体" w:hAnsi="宋体" w:eastAsia="宋体" w:cs="宋体"/>
          <w:color w:val="auto"/>
          <w:sz w:val="24"/>
          <w:szCs w:val="24"/>
          <w:highlight w:val="none"/>
        </w:rPr>
        <w:t>公告期限：</w:t>
      </w:r>
    </w:p>
    <w:p>
      <w:pPr>
        <w:autoSpaceDE w:val="0"/>
        <w:autoSpaceDN w:val="0"/>
        <w:adjustRightInd w:val="0"/>
        <w:spacing w:line="360" w:lineRule="auto"/>
        <w:ind w:right="-23"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自本公告发布之日起5个工作日。</w:t>
      </w:r>
    </w:p>
    <w:p>
      <w:pPr>
        <w:autoSpaceDE w:val="0"/>
        <w:autoSpaceDN w:val="0"/>
        <w:adjustRightInd w:val="0"/>
        <w:spacing w:line="360" w:lineRule="auto"/>
        <w:ind w:right="-23" w:firstLine="482" w:firstLineChars="200"/>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七</w:t>
      </w:r>
      <w:r>
        <w:rPr>
          <w:rFonts w:hint="eastAsia" w:ascii="宋体" w:hAnsi="宋体" w:eastAsia="宋体" w:cs="宋体"/>
          <w:b/>
          <w:bCs/>
          <w:color w:val="auto"/>
          <w:sz w:val="24"/>
          <w:szCs w:val="24"/>
          <w:highlight w:val="none"/>
        </w:rPr>
        <w:t>、其他补充事宜</w:t>
      </w:r>
    </w:p>
    <w:p>
      <w:pPr>
        <w:autoSpaceDE w:val="0"/>
        <w:autoSpaceDN w:val="0"/>
        <w:adjustRightInd w:val="0"/>
        <w:spacing w:line="360" w:lineRule="auto"/>
        <w:ind w:right="-23"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1.《浙江省财政厅关于进一步发挥政府采购政策功能全力推动经济稳进提质的通知》（浙财采监（2022） 3 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《浙江省财政厅关于进一步促进政府采购公平竞争打造最优营商环境的通知》 （浙财采监（2021） 22 号） 已分别于 2022年</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29</w:t>
      </w:r>
      <w:r>
        <w:rPr>
          <w:rFonts w:hint="eastAsia" w:ascii="宋体" w:hAnsi="宋体" w:eastAsia="宋体" w:cs="宋体"/>
          <w:color w:val="auto"/>
          <w:sz w:val="24"/>
          <w:szCs w:val="24"/>
          <w:highlight w:val="none"/>
        </w:rPr>
        <w:t>日和</w:t>
      </w:r>
      <w:r>
        <w:rPr>
          <w:rFonts w:hint="eastAsia" w:ascii="宋体" w:hAnsi="宋体" w:cs="宋体"/>
          <w:color w:val="auto"/>
          <w:sz w:val="24"/>
          <w:szCs w:val="24"/>
          <w:highlight w:val="none"/>
          <w:lang w:val="en-US" w:eastAsia="zh-CN"/>
        </w:rPr>
        <w:t>2022</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月1日开始实施，此前有关规定与上述文件内容不一致的，按上述文件要求执行。</w:t>
      </w:r>
    </w:p>
    <w:p>
      <w:pPr>
        <w:autoSpaceDE w:val="0"/>
        <w:autoSpaceDN w:val="0"/>
        <w:adjustRightInd w:val="0"/>
        <w:spacing w:line="360" w:lineRule="auto"/>
        <w:ind w:right="-23"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2.根据《浙江省财政厅关于进一步促进政府采购公平竞争打造最优营商环境的通 知》 （浙财采监（2021） 22 号） 文件关于“健全行政裁决机制”要求，鼓励供应商在线提起询问，路径为： 政采云-项目采购-询问质疑投诉-询问列表:鼓励供应商在线提起质 疑，路径为：政采云-项目采购-询问质疑投诉-质疑列表。质疑供应商对在线质疑答复不满意的，可在线提起投诉，路径</w:t>
      </w:r>
      <w:r>
        <w:rPr>
          <w:rFonts w:ascii="宋体" w:hAnsi="宋体" w:eastAsia="宋体" w:cs="宋体"/>
          <w:color w:val="auto"/>
          <w:spacing w:val="-6"/>
          <w:sz w:val="24"/>
          <w:szCs w:val="24"/>
          <w:highlight w:val="none"/>
        </w:rPr>
        <w:t>为：浙江政府服务网-政府采购投诉处理-在线办理。</w:t>
      </w:r>
    </w:p>
    <w:p>
      <w:pPr>
        <w:autoSpaceDE w:val="0"/>
        <w:autoSpaceDN w:val="0"/>
        <w:adjustRightInd w:val="0"/>
        <w:spacing w:line="360" w:lineRule="auto"/>
        <w:ind w:right="-23"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3.供应商认为采购文件使自己的权益受到损害的，可以自获取采购文件之日或者 采购公告期限届满之日（公告期限届满后获取采购文件的，以公告期限届满之日为准） 起 7 个工作日内，对采购文件需求的以书面形式向招标人提出质疑，对其他内容的以书 面形式向招标人和采购代理机构提出质疑。质疑供应商对招标人、采购代理机构的答复 不满意或者招标人、采购代理机构未在规定的时间内作出答复的，可以在答复期满后十五个工作日内向同级政府采购监督管理部门投诉。质疑函范本、投诉书范本请到浙江政府采购网下载专区下载。</w:t>
      </w:r>
    </w:p>
    <w:p>
      <w:pPr>
        <w:autoSpaceDE w:val="0"/>
        <w:autoSpaceDN w:val="0"/>
        <w:adjustRightInd w:val="0"/>
        <w:spacing w:line="360" w:lineRule="auto"/>
        <w:ind w:right="-23"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其他事项：</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包括节约资源、保护环境、支持创新、促进中小企业发展等。 详见招标文件的第二部分</w:t>
      </w:r>
      <w:r>
        <w:rPr>
          <w:rFonts w:hint="eastAsia" w:ascii="宋体" w:hAnsi="宋体" w:cs="宋体"/>
          <w:color w:val="auto"/>
          <w:sz w:val="24"/>
          <w:szCs w:val="24"/>
          <w:highlight w:val="none"/>
          <w:lang w:eastAsia="zh-CN"/>
        </w:rPr>
        <w:t>前附表</w:t>
      </w:r>
      <w:r>
        <w:rPr>
          <w:rFonts w:hint="eastAsia" w:ascii="宋体" w:hAnsi="宋体" w:eastAsia="宋体" w:cs="宋体"/>
          <w:color w:val="auto"/>
          <w:sz w:val="24"/>
          <w:szCs w:val="24"/>
          <w:highlight w:val="none"/>
        </w:rPr>
        <w:t>。</w:t>
      </w:r>
    </w:p>
    <w:p>
      <w:pPr>
        <w:autoSpaceDE w:val="0"/>
        <w:autoSpaceDN w:val="0"/>
        <w:adjustRightInd w:val="0"/>
        <w:spacing w:line="360" w:lineRule="auto"/>
        <w:ind w:right="-23"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经招标人确认，</w:t>
      </w:r>
      <w:r>
        <w:rPr>
          <w:rStyle w:val="90"/>
          <w:rFonts w:hint="eastAsia" w:ascii="宋体" w:hAnsi="宋体" w:eastAsia="宋体" w:cs="宋体"/>
          <w:b/>
          <w:bCs w:val="0"/>
          <w:i w:val="0"/>
          <w:caps w:val="0"/>
          <w:color w:val="auto"/>
          <w:spacing w:val="0"/>
          <w:sz w:val="24"/>
          <w:szCs w:val="24"/>
          <w:highlight w:val="none"/>
        </w:rPr>
        <w:t>本项目属于预留份额专门面向中小企业</w:t>
      </w:r>
      <w:r>
        <w:rPr>
          <w:rStyle w:val="90"/>
          <w:rFonts w:hint="eastAsia" w:ascii="宋体" w:hAnsi="宋体" w:cs="宋体"/>
          <w:b/>
          <w:bCs w:val="0"/>
          <w:i w:val="0"/>
          <w:caps w:val="0"/>
          <w:color w:val="auto"/>
          <w:spacing w:val="0"/>
          <w:sz w:val="24"/>
          <w:szCs w:val="24"/>
          <w:highlight w:val="none"/>
          <w:lang w:eastAsia="zh-CN"/>
        </w:rPr>
        <w:t>采购的项目，预留给</w:t>
      </w:r>
      <w:r>
        <w:rPr>
          <w:rStyle w:val="90"/>
          <w:rFonts w:hint="eastAsia" w:ascii="宋体" w:hAnsi="宋体" w:eastAsia="宋体" w:cs="宋体"/>
          <w:b/>
          <w:bCs w:val="0"/>
          <w:i w:val="0"/>
          <w:caps w:val="0"/>
          <w:color w:val="auto"/>
          <w:spacing w:val="0"/>
          <w:sz w:val="24"/>
          <w:szCs w:val="24"/>
          <w:highlight w:val="none"/>
        </w:rPr>
        <w:t>中小企业</w:t>
      </w:r>
      <w:r>
        <w:rPr>
          <w:rFonts w:hint="eastAsia" w:ascii="宋体" w:hAnsi="宋体" w:eastAsia="宋体" w:cs="宋体"/>
          <w:b/>
          <w:bCs w:val="0"/>
          <w:color w:val="auto"/>
          <w:sz w:val="24"/>
          <w:szCs w:val="24"/>
          <w:highlight w:val="none"/>
          <w:lang w:eastAsia="zh-CN"/>
        </w:rPr>
        <w:t>的份额比例</w:t>
      </w:r>
      <w:r>
        <w:rPr>
          <w:rFonts w:hint="eastAsia" w:ascii="宋体" w:hAnsi="宋体" w:eastAsia="宋体" w:cs="宋体"/>
          <w:b/>
          <w:bCs w:val="0"/>
          <w:color w:val="auto"/>
          <w:sz w:val="24"/>
          <w:szCs w:val="24"/>
          <w:highlight w:val="none"/>
        </w:rPr>
        <w:t>不得少于40%</w:t>
      </w:r>
      <w:r>
        <w:rPr>
          <w:rStyle w:val="90"/>
          <w:rFonts w:hint="eastAsia" w:ascii="宋体" w:hAnsi="宋体" w:cs="宋体"/>
          <w:b/>
          <w:bCs w:val="0"/>
          <w:i w:val="0"/>
          <w:caps w:val="0"/>
          <w:color w:val="auto"/>
          <w:spacing w:val="0"/>
          <w:sz w:val="24"/>
          <w:szCs w:val="24"/>
          <w:highlight w:val="none"/>
          <w:lang w:val="en-US" w:eastAsia="zh-CN"/>
        </w:rPr>
        <w:t>；</w:t>
      </w:r>
      <w:r>
        <w:rPr>
          <w:rStyle w:val="90"/>
          <w:rFonts w:hint="eastAsia" w:ascii="宋体" w:hAnsi="宋体" w:eastAsia="宋体" w:cs="宋体"/>
          <w:b/>
          <w:bCs w:val="0"/>
          <w:i w:val="0"/>
          <w:caps w:val="0"/>
          <w:color w:val="auto"/>
          <w:spacing w:val="0"/>
          <w:sz w:val="24"/>
          <w:szCs w:val="24"/>
          <w:highlight w:val="none"/>
        </w:rPr>
        <w:t>如大型企业参与的，须承诺分包给中小企业预留份额不得低于预算总额的40%，其中预留给小微企业的比例不得低于70%</w:t>
      </w:r>
      <w:r>
        <w:rPr>
          <w:rFonts w:hint="eastAsia" w:ascii="宋体" w:hAnsi="宋体" w:eastAsia="宋体" w:cs="宋体"/>
          <w:b/>
          <w:bCs/>
          <w:color w:val="auto"/>
          <w:sz w:val="24"/>
          <w:szCs w:val="24"/>
          <w:highlight w:val="none"/>
        </w:rPr>
        <w:t>。</w:t>
      </w:r>
    </w:p>
    <w:p>
      <w:pPr>
        <w:keepNext w:val="0"/>
        <w:keepLines w:val="0"/>
        <w:pageBreakBefore w:val="0"/>
        <w:kinsoku/>
        <w:wordWrap/>
        <w:overflowPunct/>
        <w:topLinePunct w:val="0"/>
        <w:autoSpaceDE w:val="0"/>
        <w:autoSpaceDN w:val="0"/>
        <w:bidi w:val="0"/>
        <w:adjustRightInd w:val="0"/>
        <w:spacing w:line="360" w:lineRule="auto"/>
        <w:ind w:left="0" w:leftChars="0" w:right="-23"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（2）在线投标响应（电子投标）说明：</w:t>
      </w:r>
    </w:p>
    <w:p>
      <w:pPr>
        <w:keepNext w:val="0"/>
        <w:keepLines w:val="0"/>
        <w:pageBreakBefore w:val="0"/>
        <w:kinsoku/>
        <w:wordWrap/>
        <w:overflowPunct/>
        <w:topLinePunct w:val="0"/>
        <w:autoSpaceDE w:val="0"/>
        <w:autoSpaceDN w:val="0"/>
        <w:bidi w:val="0"/>
        <w:adjustRightInd w:val="0"/>
        <w:spacing w:line="360" w:lineRule="auto"/>
        <w:ind w:left="0" w:leftChars="0" w:right="-23"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政采云电子交易客户端”请自行前往“浙江政府采购网-下载专区-电子交易客户端”进行下载；通过“政府采购云平台”参与在线投标时如遇平台技术问题详询95763）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3）投标供应商应当在投标截止时间前，将生成的“电子加密投标文件”上传递交至“政府采购云平台”。投标截止时间以后上传递交的投标文件将被“政府采购云平台”拒收。4）投标供应商在“政府采购云平台”完成“电子加密投标文件”的上传递交后，还可以（EMS或顺丰邮寄形式）在投标截止时间前递交以介质（U盘）存储的数据电文形式的“备份投标文件”，“备份投标文件”应当密封包装并在包装上标注投标项目名称、投标单位名称并加盖公章。5）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6）投标人无需到现场投标，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autoSpaceDE w:val="0"/>
        <w:autoSpaceDN w:val="0"/>
        <w:adjustRightInd w:val="0"/>
        <w:spacing w:line="360" w:lineRule="auto"/>
        <w:ind w:right="-23"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（3）融资政策，企业质押融资： 取得政府采购合同的供应商，均可通过浙江政府采购 网（https://zfcg.czt.zj.gov.cn/） 首页的“浙江政采贷”模块进入申请贷款或通过 政府采购云平台（</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"https://www.zcygov.cn/%EF%BC%89%E9%A6%96%E9%A1%B5%E7%9A%84%E2%80%9C%E9%87%91%E8%9E%8D%E6%9C%8D%E5%8A%A1%E2%80%9D%E6%A8%A1%E5%9D%97%E8%BF%9B%E5%85%A5%E7%94%B3%E8%AF%B7"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https://www.zcygov.cn/） 首页的“金融服务”模块进入申请</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贷款。 也可通过“浙江政务网”登录到“衢融通”平台，发起政府采购质押融资申请。</w:t>
      </w:r>
    </w:p>
    <w:p>
      <w:pPr>
        <w:autoSpaceDE w:val="0"/>
        <w:autoSpaceDN w:val="0"/>
        <w:adjustRightInd w:val="0"/>
        <w:spacing w:line="360" w:lineRule="auto"/>
        <w:ind w:right="-23" w:firstLine="240" w:firstLineChars="1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w:t>
      </w:r>
      <w:r>
        <w:rPr>
          <w:rFonts w:hint="eastAsia" w:ascii="宋体" w:hAnsi="宋体" w:cs="宋体"/>
          <w:color w:val="auto"/>
          <w:sz w:val="24"/>
          <w:szCs w:val="22"/>
          <w:highlight w:val="none"/>
          <w:lang w:val="en-US" w:eastAsia="zh-CN"/>
        </w:rPr>
        <w:t>4</w:t>
      </w:r>
      <w:r>
        <w:rPr>
          <w:rFonts w:hint="eastAsia" w:ascii="宋体" w:hAnsi="宋体" w:eastAsia="宋体" w:cs="宋体"/>
          <w:color w:val="auto"/>
          <w:sz w:val="24"/>
          <w:szCs w:val="22"/>
          <w:highlight w:val="none"/>
        </w:rPr>
        <w:t>）本项目相关公告（包括招标公告、中标公告及更正公告等）均以浙江政府采购网（http://zfcg.czt.zj.gov.cn/）发布的为准。</w:t>
      </w:r>
    </w:p>
    <w:p>
      <w:pPr>
        <w:autoSpaceDE w:val="0"/>
        <w:autoSpaceDN w:val="0"/>
        <w:adjustRightInd w:val="0"/>
        <w:spacing w:line="360" w:lineRule="auto"/>
        <w:ind w:right="-23" w:firstLine="482" w:firstLineChars="200"/>
        <w:rPr>
          <w:rStyle w:val="90"/>
          <w:rFonts w:hint="eastAsia" w:ascii="宋体" w:hAnsi="宋体" w:eastAsia="宋体" w:cs="宋体"/>
          <w:color w:val="auto"/>
          <w:sz w:val="24"/>
          <w:szCs w:val="24"/>
          <w:highlight w:val="none"/>
        </w:rPr>
      </w:pPr>
      <w:r>
        <w:rPr>
          <w:rStyle w:val="90"/>
          <w:rFonts w:hint="eastAsia" w:ascii="宋体" w:hAnsi="宋体" w:cs="宋体"/>
          <w:color w:val="auto"/>
          <w:sz w:val="24"/>
          <w:szCs w:val="24"/>
          <w:highlight w:val="none"/>
          <w:lang w:eastAsia="zh-CN"/>
        </w:rPr>
        <w:t>八</w:t>
      </w:r>
      <w:r>
        <w:rPr>
          <w:rStyle w:val="90"/>
          <w:rFonts w:hint="eastAsia" w:ascii="宋体" w:hAnsi="宋体" w:eastAsia="宋体" w:cs="宋体"/>
          <w:color w:val="auto"/>
          <w:sz w:val="24"/>
          <w:szCs w:val="24"/>
          <w:highlight w:val="none"/>
        </w:rPr>
        <w:t>、对本次采购提出询问、质疑、投诉，请按以下方式联系</w:t>
      </w:r>
    </w:p>
    <w:p>
      <w:pPr>
        <w:autoSpaceDE w:val="0"/>
        <w:autoSpaceDN w:val="0"/>
        <w:adjustRightInd w:val="0"/>
        <w:spacing w:line="360" w:lineRule="auto"/>
        <w:ind w:right="-20"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1.采购人信息</w:t>
      </w:r>
    </w:p>
    <w:p>
      <w:pPr>
        <w:keepNext w:val="0"/>
        <w:keepLines w:val="0"/>
        <w:pageBreakBefore w:val="0"/>
        <w:kinsoku/>
        <w:wordWrap/>
        <w:overflowPunct/>
        <w:topLinePunct w:val="0"/>
        <w:autoSpaceDE w:val="0"/>
        <w:autoSpaceDN w:val="0"/>
        <w:bidi w:val="0"/>
        <w:adjustRightInd w:val="0"/>
        <w:spacing w:line="360" w:lineRule="auto"/>
        <w:ind w:right="-20" w:firstLine="480" w:firstLineChars="200"/>
        <w:textAlignment w:val="auto"/>
        <w:rPr>
          <w:rFonts w:hint="eastAsia" w:ascii="宋体" w:hAnsi="宋体" w:eastAsia="宋体" w:cs="宋体"/>
          <w:color w:val="auto"/>
          <w:sz w:val="24"/>
          <w:szCs w:val="24"/>
          <w:highlight w:val="none"/>
          <w:lang w:eastAsia="zh-CN"/>
        </w:rPr>
      </w:pPr>
      <w:bookmarkStart w:id="2" w:name="_Toc31506"/>
      <w:r>
        <w:rPr>
          <w:rFonts w:hint="eastAsia" w:ascii="宋体" w:hAnsi="宋体" w:eastAsia="宋体" w:cs="宋体"/>
          <w:color w:val="auto"/>
          <w:sz w:val="24"/>
          <w:szCs w:val="24"/>
          <w:highlight w:val="none"/>
          <w:lang w:eastAsia="zh-CN"/>
        </w:rPr>
        <w:t>名称：</w:t>
      </w:r>
      <w:r>
        <w:rPr>
          <w:rFonts w:hint="eastAsia" w:ascii="宋体" w:hAnsi="宋体" w:cs="宋体"/>
          <w:color w:val="auto"/>
          <w:sz w:val="24"/>
          <w:szCs w:val="24"/>
          <w:highlight w:val="none"/>
          <w:lang w:eastAsia="zh-CN"/>
        </w:rPr>
        <w:t>衢州市柯城区教育局</w:t>
      </w:r>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地址：浙江省衢州市柯城区</w:t>
      </w:r>
      <w:r>
        <w:rPr>
          <w:rFonts w:hint="eastAsia" w:ascii="宋体" w:hAnsi="宋体" w:cs="宋体"/>
          <w:color w:val="auto"/>
          <w:sz w:val="24"/>
          <w:szCs w:val="24"/>
          <w:highlight w:val="none"/>
          <w:lang w:eastAsia="zh-CN"/>
        </w:rPr>
        <w:t>紫荆东路</w:t>
      </w:r>
      <w:r>
        <w:rPr>
          <w:rFonts w:hint="eastAsia" w:ascii="宋体" w:hAnsi="宋体" w:cs="宋体"/>
          <w:color w:val="auto"/>
          <w:sz w:val="24"/>
          <w:szCs w:val="24"/>
          <w:highlight w:val="none"/>
          <w:lang w:val="en-US" w:eastAsia="zh-CN"/>
        </w:rPr>
        <w:t>81号</w:t>
      </w:r>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传真：/  </w:t>
      </w:r>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项目联系人（询问）：</w:t>
      </w:r>
      <w:r>
        <w:rPr>
          <w:rFonts w:hint="eastAsia" w:ascii="宋体" w:hAnsi="宋体" w:cs="宋体"/>
          <w:color w:val="auto"/>
          <w:sz w:val="24"/>
          <w:szCs w:val="24"/>
          <w:highlight w:val="none"/>
          <w:lang w:eastAsia="zh-CN"/>
        </w:rPr>
        <w:t>巫老师</w:t>
      </w:r>
      <w:r>
        <w:rPr>
          <w:rFonts w:hint="eastAsia" w:ascii="宋体" w:hAnsi="宋体" w:cs="宋体"/>
          <w:color w:val="auto"/>
          <w:sz w:val="24"/>
          <w:szCs w:val="24"/>
          <w:highlight w:val="none"/>
          <w:lang w:val="en-US" w:eastAsia="zh-CN"/>
        </w:rPr>
        <w:t xml:space="preserve"> </w:t>
      </w:r>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项目联系方式（询问）：0570-</w:t>
      </w:r>
      <w:r>
        <w:rPr>
          <w:rFonts w:hint="eastAsia" w:ascii="宋体" w:hAnsi="宋体" w:cs="宋体"/>
          <w:color w:val="auto"/>
          <w:sz w:val="24"/>
          <w:szCs w:val="24"/>
          <w:highlight w:val="none"/>
          <w:lang w:val="en-US" w:eastAsia="zh-CN"/>
        </w:rPr>
        <w:t>3032561</w:t>
      </w:r>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质疑联系人：</w:t>
      </w:r>
      <w:r>
        <w:rPr>
          <w:rFonts w:hint="eastAsia" w:ascii="宋体" w:hAnsi="宋体" w:cs="宋体"/>
          <w:color w:val="auto"/>
          <w:sz w:val="24"/>
          <w:szCs w:val="24"/>
          <w:highlight w:val="none"/>
          <w:lang w:eastAsia="zh-CN"/>
        </w:rPr>
        <w:t>吴</w:t>
      </w:r>
      <w:r>
        <w:rPr>
          <w:rFonts w:hint="eastAsia" w:ascii="宋体" w:hAnsi="宋体" w:cs="宋体"/>
          <w:color w:val="auto"/>
          <w:sz w:val="24"/>
          <w:szCs w:val="24"/>
          <w:highlight w:val="none"/>
          <w:lang w:val="en-US" w:eastAsia="zh-CN"/>
        </w:rPr>
        <w:t>老师</w:t>
      </w:r>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质疑联系方式：0570-</w:t>
      </w:r>
      <w:r>
        <w:rPr>
          <w:rFonts w:hint="eastAsia" w:ascii="宋体" w:hAnsi="宋体" w:cs="宋体"/>
          <w:color w:val="auto"/>
          <w:sz w:val="24"/>
          <w:szCs w:val="24"/>
          <w:highlight w:val="none"/>
          <w:lang w:val="en-US" w:eastAsia="zh-CN"/>
        </w:rPr>
        <w:t xml:space="preserve">3032311   </w:t>
      </w:r>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2.采购代理机构信息            </w:t>
      </w:r>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名称：浙江中正工程项目管理有限公司             </w:t>
      </w:r>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eastAsia="zh-CN"/>
        </w:rPr>
        <w:t>衢州市九华北大道509号合屹大厦2号楼2单元9楼</w:t>
      </w:r>
      <w:r>
        <w:rPr>
          <w:rFonts w:hint="eastAsia" w:ascii="宋体" w:hAnsi="宋体" w:eastAsia="宋体" w:cs="宋体"/>
          <w:color w:val="auto"/>
          <w:sz w:val="24"/>
          <w:szCs w:val="24"/>
          <w:highlight w:val="none"/>
        </w:rPr>
        <w:t xml:space="preserve">             </w:t>
      </w:r>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传真：0570-3850156             </w:t>
      </w:r>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项目联系人（询问）：</w:t>
      </w:r>
      <w:r>
        <w:rPr>
          <w:rFonts w:hint="eastAsia" w:ascii="宋体" w:hAnsi="宋体" w:eastAsia="宋体" w:cs="宋体"/>
          <w:color w:val="auto"/>
          <w:sz w:val="24"/>
          <w:szCs w:val="24"/>
          <w:highlight w:val="none"/>
          <w:lang w:eastAsia="zh-CN"/>
        </w:rPr>
        <w:t>留云霞</w:t>
      </w:r>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项目联系方式（询问）：0570-3850116 </w:t>
      </w:r>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质疑联系人：周丽爱             </w:t>
      </w:r>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质疑联系方式：0570-3850117 　　　　　　</w:t>
      </w:r>
    </w:p>
    <w:p>
      <w:pPr>
        <w:autoSpaceDE w:val="0"/>
        <w:autoSpaceDN w:val="0"/>
        <w:adjustRightInd w:val="0"/>
        <w:spacing w:line="360" w:lineRule="auto"/>
        <w:ind w:right="-20"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 xml:space="preserve">3.同级政府采购监督管理部门            </w:t>
      </w:r>
    </w:p>
    <w:p>
      <w:pPr>
        <w:autoSpaceDE w:val="0"/>
        <w:autoSpaceDN w:val="0"/>
        <w:adjustRightInd w:val="0"/>
        <w:spacing w:line="360" w:lineRule="auto"/>
        <w:ind w:right="-20"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 xml:space="preserve">名称：衢州市柯城区财政局             </w:t>
      </w:r>
    </w:p>
    <w:p>
      <w:pPr>
        <w:autoSpaceDE w:val="0"/>
        <w:autoSpaceDN w:val="0"/>
        <w:adjustRightInd w:val="0"/>
        <w:spacing w:line="360" w:lineRule="auto"/>
        <w:ind w:right="-20"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 xml:space="preserve">地址：荷三路行政中心9号楼210办公室      </w:t>
      </w:r>
    </w:p>
    <w:p>
      <w:pPr>
        <w:autoSpaceDE w:val="0"/>
        <w:autoSpaceDN w:val="0"/>
        <w:adjustRightInd w:val="0"/>
        <w:spacing w:line="360" w:lineRule="auto"/>
        <w:ind w:right="-20"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传真：</w:t>
      </w:r>
      <w:r>
        <w:rPr>
          <w:rFonts w:hint="eastAsia" w:ascii="宋体" w:hAnsi="宋体" w:eastAsia="宋体" w:cs="宋体"/>
          <w:color w:val="auto"/>
          <w:sz w:val="24"/>
          <w:szCs w:val="22"/>
          <w:highlight w:val="none"/>
          <w:lang w:val="en-US" w:eastAsia="zh-CN"/>
        </w:rPr>
        <w:t>/</w:t>
      </w:r>
      <w:r>
        <w:rPr>
          <w:rFonts w:hint="eastAsia" w:ascii="宋体" w:hAnsi="宋体" w:eastAsia="宋体" w:cs="宋体"/>
          <w:color w:val="auto"/>
          <w:sz w:val="24"/>
          <w:szCs w:val="22"/>
          <w:highlight w:val="none"/>
        </w:rPr>
        <w:t xml:space="preserve">             </w:t>
      </w:r>
    </w:p>
    <w:p>
      <w:pPr>
        <w:autoSpaceDE w:val="0"/>
        <w:autoSpaceDN w:val="0"/>
        <w:adjustRightInd w:val="0"/>
        <w:spacing w:line="360" w:lineRule="auto"/>
        <w:ind w:right="-20"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联系人 ：</w:t>
      </w:r>
      <w:r>
        <w:rPr>
          <w:rFonts w:hint="eastAsia" w:ascii="宋体" w:hAnsi="宋体" w:eastAsia="宋体" w:cs="宋体"/>
          <w:color w:val="auto"/>
          <w:sz w:val="24"/>
          <w:szCs w:val="22"/>
          <w:highlight w:val="none"/>
          <w:lang w:eastAsia="zh-CN"/>
        </w:rPr>
        <w:t>蒋志斌</w:t>
      </w:r>
      <w:r>
        <w:rPr>
          <w:rFonts w:hint="eastAsia" w:ascii="宋体" w:hAnsi="宋体" w:eastAsia="宋体" w:cs="宋体"/>
          <w:color w:val="auto"/>
          <w:sz w:val="24"/>
          <w:szCs w:val="22"/>
          <w:highlight w:val="none"/>
        </w:rPr>
        <w:t xml:space="preserve">             </w:t>
      </w:r>
    </w:p>
    <w:p>
      <w:pPr>
        <w:autoSpaceDE w:val="0"/>
        <w:autoSpaceDN w:val="0"/>
        <w:adjustRightInd w:val="0"/>
        <w:spacing w:line="360" w:lineRule="auto"/>
        <w:ind w:right="-20" w:firstLine="480" w:firstLineChars="200"/>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rPr>
        <w:t>监督投诉电话：0570-302</w:t>
      </w:r>
      <w:r>
        <w:rPr>
          <w:rFonts w:hint="eastAsia" w:ascii="宋体" w:hAnsi="宋体" w:eastAsia="宋体" w:cs="宋体"/>
          <w:color w:val="auto"/>
          <w:sz w:val="24"/>
          <w:szCs w:val="22"/>
          <w:highlight w:val="none"/>
          <w:lang w:val="en-US" w:eastAsia="zh-CN"/>
        </w:rPr>
        <w:t>0829</w:t>
      </w:r>
    </w:p>
    <w:p>
      <w:pPr>
        <w:pStyle w:val="49"/>
        <w:pageBreakBefore/>
        <w:adjustRightInd w:val="0"/>
        <w:snapToGrid w:val="0"/>
        <w:spacing w:line="360" w:lineRule="auto"/>
        <w:jc w:val="center"/>
        <w:outlineLvl w:val="0"/>
        <w:rPr>
          <w:rFonts w:hint="eastAsia" w:ascii="宋体" w:hAnsi="宋体" w:eastAsia="宋体" w:cs="宋体"/>
          <w:b/>
          <w:color w:val="auto"/>
          <w:sz w:val="36"/>
          <w:highlight w:val="none"/>
        </w:rPr>
      </w:pPr>
      <w:r>
        <w:rPr>
          <w:rFonts w:hint="eastAsia" w:ascii="宋体" w:hAnsi="宋体" w:eastAsia="宋体" w:cs="宋体"/>
          <w:b/>
          <w:color w:val="auto"/>
          <w:sz w:val="36"/>
          <w:highlight w:val="none"/>
        </w:rPr>
        <w:t>第二部分  投标人须知</w:t>
      </w:r>
      <w:bookmarkEnd w:id="2"/>
    </w:p>
    <w:p>
      <w:pPr>
        <w:pStyle w:val="6"/>
        <w:ind w:left="560" w:firstLine="0"/>
        <w:jc w:val="center"/>
        <w:rPr>
          <w:rFonts w:hint="eastAsia" w:ascii="宋体" w:hAnsi="宋体" w:eastAsia="宋体" w:cs="宋体"/>
          <w:color w:val="auto"/>
          <w:sz w:val="32"/>
          <w:highlight w:val="none"/>
        </w:rPr>
      </w:pPr>
      <w:bookmarkStart w:id="3" w:name="_Toc519670190"/>
      <w:bookmarkStart w:id="4" w:name="_Toc522530040"/>
      <w:bookmarkStart w:id="5" w:name="_Toc16117"/>
      <w:r>
        <w:rPr>
          <w:rFonts w:hint="eastAsia" w:ascii="宋体" w:hAnsi="宋体" w:eastAsia="宋体" w:cs="宋体"/>
          <w:color w:val="auto"/>
          <w:sz w:val="32"/>
          <w:highlight w:val="none"/>
        </w:rPr>
        <w:t>前 附 表</w:t>
      </w:r>
      <w:bookmarkEnd w:id="3"/>
      <w:bookmarkEnd w:id="4"/>
      <w:bookmarkEnd w:id="5"/>
    </w:p>
    <w:tbl>
      <w:tblPr>
        <w:tblStyle w:val="98"/>
        <w:tblW w:w="9242" w:type="dxa"/>
        <w:jc w:val="center"/>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254"/>
        <w:gridCol w:w="7208"/>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80"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254"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7208"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内容</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0"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254"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是否允许分包</w:t>
            </w:r>
          </w:p>
        </w:tc>
        <w:tc>
          <w:tcPr>
            <w:tcW w:w="7208" w:type="dxa"/>
            <w:vAlign w:val="center"/>
          </w:tcPr>
          <w:p>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不允许</w:t>
            </w:r>
          </w:p>
          <w:p>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sym w:font="Wingdings" w:char="00FE"/>
            </w:r>
            <w:r>
              <w:rPr>
                <w:rFonts w:hint="eastAsia" w:ascii="宋体" w:hAnsi="宋体" w:eastAsia="宋体" w:cs="宋体"/>
                <w:color w:val="auto"/>
                <w:sz w:val="24"/>
                <w:highlight w:val="none"/>
              </w:rPr>
              <w:t>允许  分包内容要求：      分包金额要求：</w:t>
            </w:r>
            <w:r>
              <w:rPr>
                <w:rStyle w:val="90"/>
                <w:rFonts w:hint="eastAsia" w:ascii="宋体" w:hAnsi="宋体" w:eastAsia="宋体" w:cs="宋体"/>
                <w:b/>
                <w:bCs w:val="0"/>
                <w:i w:val="0"/>
                <w:caps w:val="0"/>
                <w:color w:val="auto"/>
                <w:spacing w:val="0"/>
                <w:sz w:val="24"/>
                <w:szCs w:val="24"/>
                <w:highlight w:val="none"/>
              </w:rPr>
              <w:t>本项目属于预留份额专门面向中小企业</w:t>
            </w:r>
            <w:r>
              <w:rPr>
                <w:rStyle w:val="90"/>
                <w:rFonts w:hint="eastAsia" w:ascii="宋体" w:hAnsi="宋体" w:cs="宋体"/>
                <w:b/>
                <w:bCs w:val="0"/>
                <w:i w:val="0"/>
                <w:caps w:val="0"/>
                <w:color w:val="auto"/>
                <w:spacing w:val="0"/>
                <w:sz w:val="24"/>
                <w:szCs w:val="24"/>
                <w:highlight w:val="none"/>
                <w:lang w:eastAsia="zh-CN"/>
              </w:rPr>
              <w:t>采购的项目，预留给</w:t>
            </w:r>
            <w:r>
              <w:rPr>
                <w:rStyle w:val="90"/>
                <w:rFonts w:hint="eastAsia" w:ascii="宋体" w:hAnsi="宋体" w:eastAsia="宋体" w:cs="宋体"/>
                <w:b/>
                <w:bCs w:val="0"/>
                <w:i w:val="0"/>
                <w:caps w:val="0"/>
                <w:color w:val="auto"/>
                <w:spacing w:val="0"/>
                <w:sz w:val="24"/>
                <w:szCs w:val="24"/>
                <w:highlight w:val="none"/>
              </w:rPr>
              <w:t>中小企业</w:t>
            </w:r>
            <w:r>
              <w:rPr>
                <w:rFonts w:hint="eastAsia" w:ascii="宋体" w:hAnsi="宋体" w:eastAsia="宋体" w:cs="宋体"/>
                <w:b/>
                <w:bCs w:val="0"/>
                <w:color w:val="auto"/>
                <w:sz w:val="24"/>
                <w:szCs w:val="24"/>
                <w:highlight w:val="none"/>
                <w:lang w:eastAsia="zh-CN"/>
              </w:rPr>
              <w:t>的份额比例</w:t>
            </w:r>
            <w:r>
              <w:rPr>
                <w:rFonts w:hint="eastAsia" w:ascii="宋体" w:hAnsi="宋体" w:eastAsia="宋体" w:cs="宋体"/>
                <w:b/>
                <w:bCs w:val="0"/>
                <w:color w:val="auto"/>
                <w:sz w:val="24"/>
                <w:szCs w:val="24"/>
                <w:highlight w:val="none"/>
              </w:rPr>
              <w:t>不得少于40%</w:t>
            </w:r>
            <w:r>
              <w:rPr>
                <w:rStyle w:val="90"/>
                <w:rFonts w:hint="eastAsia" w:ascii="宋体" w:hAnsi="宋体" w:cs="宋体"/>
                <w:b/>
                <w:bCs w:val="0"/>
                <w:i w:val="0"/>
                <w:caps w:val="0"/>
                <w:color w:val="auto"/>
                <w:spacing w:val="0"/>
                <w:sz w:val="24"/>
                <w:szCs w:val="24"/>
                <w:highlight w:val="none"/>
                <w:lang w:val="en-US" w:eastAsia="zh-CN"/>
              </w:rPr>
              <w:t>；</w:t>
            </w:r>
            <w:r>
              <w:rPr>
                <w:rStyle w:val="90"/>
                <w:rFonts w:hint="eastAsia" w:ascii="宋体" w:hAnsi="宋体" w:eastAsia="宋体" w:cs="宋体"/>
                <w:b/>
                <w:bCs w:val="0"/>
                <w:i w:val="0"/>
                <w:caps w:val="0"/>
                <w:color w:val="auto"/>
                <w:spacing w:val="0"/>
                <w:sz w:val="24"/>
                <w:szCs w:val="24"/>
                <w:highlight w:val="none"/>
              </w:rPr>
              <w:t>如大型企业参与的，须承诺分包给中小企业预留份额不得低于预算总额的40%，其中预留给小微企业的比例不得低于70%。</w:t>
            </w:r>
            <w:r>
              <w:rPr>
                <w:rFonts w:hint="eastAsia" w:ascii="宋体" w:hAnsi="宋体" w:eastAsia="宋体" w:cs="宋体"/>
                <w:color w:val="auto"/>
                <w:sz w:val="24"/>
                <w:highlight w:val="none"/>
              </w:rPr>
              <w:t>接受分包的第三人资质要求：符合相应资质规定</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blHeader/>
          <w:jc w:val="center"/>
        </w:trPr>
        <w:tc>
          <w:tcPr>
            <w:tcW w:w="780"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254" w:type="dxa"/>
            <w:vAlign w:val="center"/>
          </w:tcPr>
          <w:p>
            <w:pPr>
              <w:spacing w:line="360" w:lineRule="auto"/>
              <w:jc w:val="center"/>
              <w:rPr>
                <w:rFonts w:hint="eastAsia" w:ascii="宋体" w:hAnsi="宋体" w:eastAsia="宋体" w:cs="宋体"/>
                <w:color w:val="auto"/>
                <w:spacing w:val="-2"/>
                <w:kern w:val="0"/>
                <w:position w:val="-3"/>
                <w:sz w:val="24"/>
                <w:highlight w:val="none"/>
              </w:rPr>
            </w:pPr>
            <w:r>
              <w:rPr>
                <w:rFonts w:hint="eastAsia" w:ascii="宋体" w:hAnsi="宋体" w:eastAsia="宋体" w:cs="宋体"/>
                <w:color w:val="auto"/>
                <w:spacing w:val="-2"/>
                <w:kern w:val="0"/>
                <w:position w:val="-3"/>
                <w:sz w:val="24"/>
                <w:highlight w:val="none"/>
              </w:rPr>
              <w:t>踏勘现场</w:t>
            </w:r>
          </w:p>
        </w:tc>
        <w:tc>
          <w:tcPr>
            <w:tcW w:w="7208" w:type="dxa"/>
            <w:vAlign w:val="center"/>
          </w:tcPr>
          <w:p>
            <w:pPr>
              <w:spacing w:line="360" w:lineRule="auto"/>
              <w:rPr>
                <w:rFonts w:hint="eastAsia" w:ascii="宋体" w:hAnsi="宋体" w:eastAsia="宋体" w:cs="宋体"/>
                <w:color w:val="auto"/>
                <w:spacing w:val="-2"/>
                <w:kern w:val="0"/>
                <w:position w:val="-3"/>
                <w:sz w:val="24"/>
                <w:highlight w:val="none"/>
              </w:rPr>
            </w:pPr>
            <w:r>
              <w:rPr>
                <w:rFonts w:hint="eastAsia" w:ascii="宋体" w:hAnsi="宋体" w:eastAsia="宋体" w:cs="宋体"/>
                <w:color w:val="auto"/>
                <w:spacing w:val="-2"/>
                <w:kern w:val="0"/>
                <w:position w:val="-3"/>
                <w:sz w:val="24"/>
                <w:highlight w:val="none"/>
              </w:rPr>
              <w:sym w:font="Wingdings" w:char="F0FE"/>
            </w:r>
            <w:r>
              <w:rPr>
                <w:rFonts w:hint="eastAsia" w:ascii="宋体" w:hAnsi="宋体" w:eastAsia="宋体" w:cs="宋体"/>
                <w:color w:val="auto"/>
                <w:spacing w:val="-2"/>
                <w:kern w:val="0"/>
                <w:position w:val="-3"/>
                <w:sz w:val="24"/>
                <w:highlight w:val="none"/>
              </w:rPr>
              <w:t>不组织  投标人如有需要可自行前往踏勘，联系方式见招标公告。</w:t>
            </w:r>
          </w:p>
          <w:p>
            <w:pPr>
              <w:spacing w:line="360" w:lineRule="auto"/>
              <w:rPr>
                <w:rFonts w:hint="eastAsia" w:ascii="宋体" w:hAnsi="宋体" w:eastAsia="宋体" w:cs="宋体"/>
                <w:color w:val="auto"/>
                <w:spacing w:val="-2"/>
                <w:kern w:val="0"/>
                <w:position w:val="-3"/>
                <w:sz w:val="24"/>
                <w:highlight w:val="none"/>
              </w:rPr>
            </w:pPr>
            <w:r>
              <w:rPr>
                <w:rFonts w:hint="eastAsia" w:ascii="宋体" w:hAnsi="宋体" w:eastAsia="宋体" w:cs="宋体"/>
                <w:color w:val="auto"/>
                <w:spacing w:val="-2"/>
                <w:kern w:val="0"/>
                <w:position w:val="-3"/>
                <w:sz w:val="24"/>
                <w:highlight w:val="none"/>
              </w:rPr>
              <w:t xml:space="preserve">□统一组织踏勘时间：踏勘集中地点： </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80"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254" w:type="dxa"/>
            <w:vAlign w:val="center"/>
          </w:tcPr>
          <w:p>
            <w:pPr>
              <w:spacing w:line="360" w:lineRule="auto"/>
              <w:jc w:val="center"/>
              <w:rPr>
                <w:rFonts w:hint="eastAsia" w:ascii="宋体" w:hAnsi="宋体" w:eastAsia="宋体" w:cs="宋体"/>
                <w:color w:val="auto"/>
                <w:spacing w:val="-2"/>
                <w:kern w:val="0"/>
                <w:position w:val="-3"/>
                <w:sz w:val="24"/>
                <w:highlight w:val="none"/>
              </w:rPr>
            </w:pPr>
            <w:r>
              <w:rPr>
                <w:rFonts w:hint="eastAsia" w:ascii="宋体" w:hAnsi="宋体" w:eastAsia="宋体" w:cs="宋体"/>
                <w:color w:val="auto"/>
                <w:spacing w:val="-2"/>
                <w:kern w:val="0"/>
                <w:position w:val="-3"/>
                <w:sz w:val="24"/>
                <w:highlight w:val="none"/>
              </w:rPr>
              <w:t>投标预备答疑会</w:t>
            </w:r>
          </w:p>
        </w:tc>
        <w:tc>
          <w:tcPr>
            <w:tcW w:w="7208" w:type="dxa"/>
            <w:vAlign w:val="center"/>
          </w:tcPr>
          <w:p>
            <w:pPr>
              <w:spacing w:line="360" w:lineRule="auto"/>
              <w:rPr>
                <w:rFonts w:hint="eastAsia" w:ascii="宋体" w:hAnsi="宋体" w:eastAsia="宋体" w:cs="宋体"/>
                <w:color w:val="auto"/>
                <w:spacing w:val="-2"/>
                <w:kern w:val="0"/>
                <w:position w:val="-3"/>
                <w:sz w:val="24"/>
                <w:highlight w:val="none"/>
              </w:rPr>
            </w:pPr>
            <w:r>
              <w:rPr>
                <w:rFonts w:hint="eastAsia" w:ascii="宋体" w:hAnsi="宋体" w:eastAsia="宋体" w:cs="宋体"/>
                <w:color w:val="auto"/>
                <w:spacing w:val="-2"/>
                <w:kern w:val="0"/>
                <w:position w:val="-3"/>
                <w:sz w:val="24"/>
                <w:highlight w:val="none"/>
              </w:rPr>
              <w:sym w:font="Wingdings" w:char="F0FE"/>
            </w:r>
            <w:r>
              <w:rPr>
                <w:rFonts w:hint="eastAsia" w:ascii="宋体" w:hAnsi="宋体" w:eastAsia="宋体" w:cs="宋体"/>
                <w:color w:val="auto"/>
                <w:spacing w:val="-2"/>
                <w:kern w:val="0"/>
                <w:position w:val="-3"/>
                <w:sz w:val="24"/>
                <w:highlight w:val="none"/>
              </w:rPr>
              <w:t>不召开</w:t>
            </w:r>
          </w:p>
          <w:p>
            <w:pPr>
              <w:spacing w:line="360" w:lineRule="auto"/>
              <w:rPr>
                <w:rFonts w:hint="eastAsia" w:ascii="宋体" w:hAnsi="宋体" w:eastAsia="宋体" w:cs="宋体"/>
                <w:color w:val="auto"/>
                <w:spacing w:val="-2"/>
                <w:kern w:val="0"/>
                <w:position w:val="-3"/>
                <w:sz w:val="24"/>
                <w:highlight w:val="none"/>
              </w:rPr>
            </w:pPr>
            <w:r>
              <w:rPr>
                <w:rFonts w:hint="eastAsia" w:ascii="宋体" w:hAnsi="宋体" w:eastAsia="宋体" w:cs="宋体"/>
                <w:color w:val="auto"/>
                <w:spacing w:val="-2"/>
                <w:kern w:val="0"/>
                <w:position w:val="-3"/>
                <w:sz w:val="24"/>
                <w:highlight w:val="none"/>
              </w:rPr>
              <w:t>□召开时间：召开地点：</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80"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254"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kern w:val="0"/>
                <w:position w:val="-3"/>
                <w:sz w:val="24"/>
                <w:highlight w:val="none"/>
              </w:rPr>
              <w:t>是否</w:t>
            </w:r>
            <w:r>
              <w:rPr>
                <w:rFonts w:hint="eastAsia" w:ascii="宋体" w:hAnsi="宋体" w:eastAsia="宋体" w:cs="宋体"/>
                <w:color w:val="auto"/>
                <w:spacing w:val="-2"/>
                <w:kern w:val="0"/>
                <w:position w:val="-3"/>
                <w:sz w:val="24"/>
                <w:highlight w:val="none"/>
              </w:rPr>
              <w:t>接</w:t>
            </w:r>
            <w:r>
              <w:rPr>
                <w:rFonts w:hint="eastAsia" w:ascii="宋体" w:hAnsi="宋体" w:eastAsia="宋体" w:cs="宋体"/>
                <w:color w:val="auto"/>
                <w:kern w:val="0"/>
                <w:position w:val="-3"/>
                <w:sz w:val="24"/>
                <w:highlight w:val="none"/>
              </w:rPr>
              <w:t>受</w:t>
            </w:r>
            <w:r>
              <w:rPr>
                <w:rFonts w:hint="eastAsia" w:ascii="宋体" w:hAnsi="宋体" w:eastAsia="宋体" w:cs="宋体"/>
                <w:color w:val="auto"/>
                <w:spacing w:val="-2"/>
                <w:kern w:val="0"/>
                <w:position w:val="-3"/>
                <w:sz w:val="24"/>
                <w:highlight w:val="none"/>
              </w:rPr>
              <w:t>联</w:t>
            </w:r>
            <w:r>
              <w:rPr>
                <w:rFonts w:hint="eastAsia" w:ascii="宋体" w:hAnsi="宋体" w:eastAsia="宋体" w:cs="宋体"/>
                <w:color w:val="auto"/>
                <w:kern w:val="0"/>
                <w:position w:val="-3"/>
                <w:sz w:val="24"/>
                <w:highlight w:val="none"/>
              </w:rPr>
              <w:t>合</w:t>
            </w:r>
            <w:r>
              <w:rPr>
                <w:rFonts w:hint="eastAsia" w:ascii="宋体" w:hAnsi="宋体" w:eastAsia="宋体" w:cs="宋体"/>
                <w:color w:val="auto"/>
                <w:spacing w:val="-2"/>
                <w:kern w:val="0"/>
                <w:position w:val="-3"/>
                <w:sz w:val="24"/>
                <w:highlight w:val="none"/>
              </w:rPr>
              <w:t>体</w:t>
            </w:r>
            <w:r>
              <w:rPr>
                <w:rFonts w:hint="eastAsia" w:ascii="宋体" w:hAnsi="宋体" w:eastAsia="宋体" w:cs="宋体"/>
                <w:color w:val="auto"/>
                <w:kern w:val="0"/>
                <w:position w:val="-3"/>
                <w:sz w:val="24"/>
                <w:highlight w:val="none"/>
              </w:rPr>
              <w:t>投标</w:t>
            </w:r>
          </w:p>
        </w:tc>
        <w:tc>
          <w:tcPr>
            <w:tcW w:w="7208" w:type="dxa"/>
            <w:vAlign w:val="center"/>
          </w:tcPr>
          <w:p>
            <w:pPr>
              <w:autoSpaceDE w:val="0"/>
              <w:autoSpaceDN w:val="0"/>
              <w:adjustRightInd w:val="0"/>
              <w:spacing w:line="360" w:lineRule="auto"/>
              <w:ind w:right="-2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sym w:font="Wingdings" w:char="F0FE"/>
            </w:r>
            <w:r>
              <w:rPr>
                <w:rFonts w:hint="eastAsia" w:ascii="宋体" w:hAnsi="宋体" w:eastAsia="宋体" w:cs="宋体"/>
                <w:color w:val="auto"/>
                <w:sz w:val="24"/>
                <w:highlight w:val="none"/>
                <w:lang w:val="zh-CN"/>
              </w:rPr>
              <w:t>否。</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□是。</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80"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254" w:type="dxa"/>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是否允许进口产品投标</w:t>
            </w:r>
          </w:p>
        </w:tc>
        <w:tc>
          <w:tcPr>
            <w:tcW w:w="7208" w:type="dxa"/>
            <w:vAlign w:val="center"/>
          </w:tcPr>
          <w:p>
            <w:pPr>
              <w:autoSpaceDE w:val="0"/>
              <w:autoSpaceDN w:val="0"/>
              <w:adjustRightInd w:val="0"/>
              <w:spacing w:line="360" w:lineRule="auto"/>
              <w:ind w:right="-2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sym w:font="Wingdings" w:char="F0FE"/>
            </w:r>
            <w:r>
              <w:rPr>
                <w:rFonts w:hint="eastAsia" w:ascii="宋体" w:hAnsi="宋体" w:eastAsia="宋体" w:cs="宋体"/>
                <w:color w:val="auto"/>
                <w:sz w:val="24"/>
                <w:highlight w:val="none"/>
                <w:lang w:val="zh-CN"/>
              </w:rPr>
              <w:t>不允许。</w:t>
            </w:r>
          </w:p>
          <w:p>
            <w:pPr>
              <w:autoSpaceDE w:val="0"/>
              <w:autoSpaceDN w:val="0"/>
              <w:adjustRightInd w:val="0"/>
              <w:spacing w:line="360" w:lineRule="auto"/>
              <w:ind w:right="-20"/>
              <w:rPr>
                <w:rFonts w:hint="eastAsia" w:ascii="宋体" w:hAnsi="宋体" w:eastAsia="宋体" w:cs="宋体"/>
                <w:color w:val="auto"/>
                <w:sz w:val="24"/>
                <w:highlight w:val="none"/>
              </w:rPr>
            </w:pPr>
            <w:r>
              <w:rPr>
                <w:rFonts w:hint="eastAsia" w:ascii="宋体" w:hAnsi="宋体" w:eastAsia="宋体" w:cs="宋体"/>
                <w:color w:val="auto"/>
                <w:sz w:val="24"/>
                <w:highlight w:val="none"/>
              </w:rPr>
              <w:t>□允许，详见招标文件第三部分 采购需求。</w:t>
            </w:r>
          </w:p>
          <w:p>
            <w:pPr>
              <w:autoSpaceDE w:val="0"/>
              <w:autoSpaceDN w:val="0"/>
              <w:adjustRightInd w:val="0"/>
              <w:spacing w:line="360" w:lineRule="auto"/>
              <w:ind w:right="-20"/>
              <w:rPr>
                <w:rFonts w:hint="eastAsia" w:ascii="宋体" w:hAnsi="宋体" w:eastAsia="宋体" w:cs="宋体"/>
                <w:color w:val="auto"/>
                <w:sz w:val="24"/>
                <w:highlight w:val="none"/>
              </w:rPr>
            </w:pPr>
            <w:r>
              <w:rPr>
                <w:rFonts w:hint="eastAsia" w:ascii="宋体" w:hAnsi="宋体" w:eastAsia="宋体" w:cs="宋体"/>
                <w:color w:val="auto"/>
                <w:sz w:val="24"/>
                <w:highlight w:val="none"/>
              </w:rPr>
              <w:t>□部分允许，详见招标文件第三部分 采购需求。</w:t>
            </w:r>
          </w:p>
          <w:p>
            <w:pPr>
              <w:autoSpaceDE w:val="0"/>
              <w:autoSpaceDN w:val="0"/>
              <w:adjustRightInd w:val="0"/>
              <w:spacing w:line="360" w:lineRule="auto"/>
              <w:ind w:right="-20"/>
              <w:rPr>
                <w:rFonts w:hint="eastAsia" w:ascii="宋体" w:hAnsi="宋体" w:eastAsia="宋体" w:cs="宋体"/>
                <w:color w:val="auto"/>
                <w:sz w:val="24"/>
                <w:highlight w:val="none"/>
              </w:rPr>
            </w:pPr>
            <w:r>
              <w:rPr>
                <w:rFonts w:hint="eastAsia" w:ascii="宋体" w:hAnsi="宋体" w:eastAsia="宋体" w:cs="宋体"/>
                <w:color w:val="auto"/>
                <w:sz w:val="24"/>
                <w:highlight w:val="none"/>
              </w:rPr>
              <w:t>报价及交货方式：□CIP</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□CIF。</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0"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254"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kern w:val="0"/>
                <w:position w:val="-5"/>
                <w:sz w:val="24"/>
                <w:highlight w:val="none"/>
              </w:rPr>
              <w:t>投标</w:t>
            </w:r>
            <w:r>
              <w:rPr>
                <w:rFonts w:hint="eastAsia" w:ascii="宋体" w:hAnsi="宋体" w:eastAsia="宋体" w:cs="宋体"/>
                <w:color w:val="auto"/>
                <w:spacing w:val="-2"/>
                <w:kern w:val="0"/>
                <w:position w:val="-5"/>
                <w:sz w:val="24"/>
                <w:highlight w:val="none"/>
              </w:rPr>
              <w:t>文</w:t>
            </w:r>
            <w:r>
              <w:rPr>
                <w:rFonts w:hint="eastAsia" w:ascii="宋体" w:hAnsi="宋体" w:eastAsia="宋体" w:cs="宋体"/>
                <w:color w:val="auto"/>
                <w:kern w:val="0"/>
                <w:position w:val="-5"/>
                <w:sz w:val="24"/>
                <w:highlight w:val="none"/>
              </w:rPr>
              <w:t>件</w:t>
            </w:r>
            <w:r>
              <w:rPr>
                <w:rFonts w:hint="eastAsia" w:ascii="宋体" w:hAnsi="宋体" w:eastAsia="宋体" w:cs="宋体"/>
                <w:color w:val="auto"/>
                <w:spacing w:val="-2"/>
                <w:kern w:val="0"/>
                <w:position w:val="-5"/>
                <w:sz w:val="24"/>
                <w:highlight w:val="none"/>
              </w:rPr>
              <w:t>份</w:t>
            </w:r>
            <w:r>
              <w:rPr>
                <w:rFonts w:hint="eastAsia" w:ascii="宋体" w:hAnsi="宋体" w:eastAsia="宋体" w:cs="宋体"/>
                <w:color w:val="auto"/>
                <w:kern w:val="0"/>
                <w:position w:val="-5"/>
                <w:sz w:val="24"/>
                <w:highlight w:val="none"/>
              </w:rPr>
              <w:t>数</w:t>
            </w:r>
          </w:p>
        </w:tc>
        <w:tc>
          <w:tcPr>
            <w:tcW w:w="7208" w:type="dxa"/>
            <w:vAlign w:val="center"/>
          </w:tcPr>
          <w:p>
            <w:pPr>
              <w:autoSpaceDE w:val="0"/>
              <w:autoSpaceDN w:val="0"/>
              <w:adjustRightInd w:val="0"/>
              <w:spacing w:line="360" w:lineRule="auto"/>
              <w:ind w:right="-20"/>
              <w:rPr>
                <w:rFonts w:hint="eastAsia" w:ascii="宋体" w:hAnsi="宋体" w:eastAsia="宋体" w:cs="宋体"/>
                <w:color w:val="auto"/>
                <w:sz w:val="24"/>
                <w:highlight w:val="none"/>
              </w:rPr>
            </w:pPr>
            <w:r>
              <w:rPr>
                <w:rFonts w:hint="eastAsia" w:ascii="宋体" w:hAnsi="宋体" w:eastAsia="宋体" w:cs="宋体"/>
                <w:color w:val="auto"/>
                <w:sz w:val="24"/>
                <w:highlight w:val="none"/>
              </w:rPr>
              <w:t>⑴“电子加密投标文件”：在线上传递交、一份。</w:t>
            </w:r>
          </w:p>
          <w:p>
            <w:pPr>
              <w:autoSpaceDE w:val="0"/>
              <w:autoSpaceDN w:val="0"/>
              <w:adjustRightInd w:val="0"/>
              <w:spacing w:line="360" w:lineRule="auto"/>
              <w:ind w:right="-20"/>
              <w:rPr>
                <w:rFonts w:hint="eastAsia" w:ascii="宋体" w:hAnsi="宋体" w:eastAsia="宋体" w:cs="宋体"/>
                <w:color w:val="auto"/>
                <w:sz w:val="24"/>
                <w:highlight w:val="none"/>
              </w:rPr>
            </w:pPr>
            <w:r>
              <w:rPr>
                <w:rFonts w:hint="eastAsia" w:ascii="宋体" w:hAnsi="宋体" w:eastAsia="宋体" w:cs="宋体"/>
                <w:color w:val="auto"/>
                <w:sz w:val="24"/>
                <w:highlight w:val="none"/>
              </w:rPr>
              <w:t>⑵“备份投标文件”：密封包装后（建议顺丰或EMS邮寄形式）投标截止时间前递交一份，邮寄地址：衢州市九华北大道509号2#楼二单元九楼。</w:t>
            </w:r>
          </w:p>
          <w:p>
            <w:pPr>
              <w:autoSpaceDE w:val="0"/>
              <w:autoSpaceDN w:val="0"/>
              <w:adjustRightInd w:val="0"/>
              <w:spacing w:line="360" w:lineRule="auto"/>
              <w:ind w:right="-20"/>
              <w:rPr>
                <w:rFonts w:hint="eastAsia"/>
                <w:color w:val="auto"/>
                <w:highlight w:val="none"/>
              </w:rPr>
            </w:pPr>
            <w:r>
              <w:rPr>
                <w:rFonts w:hint="eastAsia" w:ascii="宋体" w:hAnsi="宋体" w:eastAsia="宋体" w:cs="宋体"/>
                <w:b/>
                <w:bCs/>
                <w:color w:val="auto"/>
                <w:sz w:val="24"/>
                <w:highlight w:val="none"/>
              </w:rPr>
              <w:t>⑶演示环节投标人需提供影像、视频解说等电子资料，存储介质（U盘）密封完整，并标记单位名称、项目名称和项目编号，于投标截止时间前递交（建议顺丰邮寄形式）给招标代理机构（地址：衢州市九华北大道509号2#楼二单元九楼)。</w:t>
            </w:r>
            <w:r>
              <w:rPr>
                <w:rFonts w:hint="eastAsia" w:ascii="宋体" w:hAnsi="宋体" w:eastAsia="宋体" w:cs="宋体"/>
                <w:b/>
                <w:bCs/>
                <w:color w:val="auto"/>
                <w:sz w:val="24"/>
                <w:highlight w:val="none"/>
                <w:lang w:eastAsia="zh-CN"/>
              </w:rPr>
              <w:t>联系电话：</w:t>
            </w:r>
            <w:r>
              <w:rPr>
                <w:rFonts w:hint="eastAsia" w:ascii="宋体" w:hAnsi="宋体" w:eastAsia="宋体" w:cs="宋体"/>
                <w:b/>
                <w:bCs/>
                <w:color w:val="auto"/>
                <w:sz w:val="24"/>
                <w:highlight w:val="none"/>
                <w:lang w:val="en-US" w:eastAsia="zh-CN"/>
              </w:rPr>
              <w:t>13357009676</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80"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254" w:type="dxa"/>
            <w:vAlign w:val="center"/>
          </w:tcPr>
          <w:p>
            <w:pPr>
              <w:autoSpaceDE w:val="0"/>
              <w:autoSpaceDN w:val="0"/>
              <w:adjustRightInd w:val="0"/>
              <w:spacing w:line="360" w:lineRule="auto"/>
              <w:ind w:right="-20"/>
              <w:jc w:val="center"/>
              <w:rPr>
                <w:rFonts w:hint="eastAsia" w:ascii="宋体" w:hAnsi="宋体" w:eastAsia="宋体" w:cs="宋体"/>
                <w:color w:val="auto"/>
                <w:kern w:val="0"/>
                <w:sz w:val="24"/>
                <w:highlight w:val="none"/>
              </w:rPr>
            </w:pPr>
            <w:r>
              <w:rPr>
                <w:rFonts w:hint="eastAsia" w:ascii="宋体" w:hAnsi="宋体" w:eastAsia="宋体" w:cs="宋体"/>
                <w:color w:val="auto"/>
                <w:kern w:val="0"/>
                <w:position w:val="-5"/>
                <w:sz w:val="24"/>
                <w:szCs w:val="22"/>
                <w:highlight w:val="none"/>
              </w:rPr>
              <w:t>投标文件的组成和编制</w:t>
            </w:r>
          </w:p>
        </w:tc>
        <w:tc>
          <w:tcPr>
            <w:tcW w:w="7208" w:type="dxa"/>
            <w:vAlign w:val="center"/>
          </w:tcPr>
          <w:p>
            <w:pPr>
              <w:autoSpaceDE w:val="0"/>
              <w:autoSpaceDN w:val="0"/>
              <w:adjustRightInd w:val="0"/>
              <w:spacing w:line="360" w:lineRule="auto"/>
              <w:ind w:right="-2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本项目完整的《投标文件》由“资格文件”、“商务技术文件”和“报价文件”三个部分组成。</w:t>
            </w:r>
          </w:p>
          <w:p>
            <w:pPr>
              <w:autoSpaceDE w:val="0"/>
              <w:autoSpaceDN w:val="0"/>
              <w:adjustRightInd w:val="0"/>
              <w:spacing w:line="360" w:lineRule="auto"/>
              <w:ind w:right="-2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投标人应先安装“政采云电子交易客户端”，并按照本招标文件和“政府采购云平台”的要求，通过“政采云电子交易客户端”编制并加密投标文件。</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0"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254" w:type="dxa"/>
            <w:vAlign w:val="center"/>
          </w:tcPr>
          <w:p>
            <w:pPr>
              <w:autoSpaceDE w:val="0"/>
              <w:autoSpaceDN w:val="0"/>
              <w:adjustRightInd w:val="0"/>
              <w:spacing w:line="360" w:lineRule="auto"/>
              <w:ind w:right="-20"/>
              <w:jc w:val="center"/>
              <w:rPr>
                <w:rFonts w:hint="eastAsia" w:ascii="宋体" w:hAnsi="宋体" w:eastAsia="宋体" w:cs="宋体"/>
                <w:color w:val="auto"/>
                <w:kern w:val="0"/>
                <w:position w:val="-3"/>
                <w:sz w:val="24"/>
                <w:highlight w:val="none"/>
              </w:rPr>
            </w:pPr>
            <w:r>
              <w:rPr>
                <w:rFonts w:hint="eastAsia" w:ascii="宋体" w:hAnsi="宋体" w:eastAsia="宋体" w:cs="宋体"/>
                <w:color w:val="auto"/>
                <w:kern w:val="0"/>
                <w:position w:val="-5"/>
                <w:sz w:val="24"/>
                <w:szCs w:val="22"/>
                <w:highlight w:val="none"/>
              </w:rPr>
              <w:t>投标文件的签章</w:t>
            </w:r>
          </w:p>
        </w:tc>
        <w:tc>
          <w:tcPr>
            <w:tcW w:w="7208" w:type="dxa"/>
            <w:vAlign w:val="center"/>
          </w:tcPr>
          <w:p>
            <w:pPr>
              <w:autoSpaceDE w:val="0"/>
              <w:autoSpaceDN w:val="0"/>
              <w:adjustRightInd w:val="0"/>
              <w:spacing w:line="360" w:lineRule="auto"/>
              <w:ind w:right="-20"/>
              <w:rPr>
                <w:rFonts w:hint="eastAsia" w:ascii="宋体" w:hAnsi="宋体" w:eastAsia="宋体" w:cs="宋体"/>
                <w:color w:val="auto"/>
                <w:kern w:val="0"/>
                <w:position w:val="-2"/>
                <w:sz w:val="24"/>
                <w:highlight w:val="none"/>
              </w:rPr>
            </w:pPr>
            <w:r>
              <w:rPr>
                <w:rFonts w:hint="eastAsia" w:ascii="宋体" w:hAnsi="宋体" w:eastAsia="宋体" w:cs="宋体"/>
                <w:color w:val="auto"/>
                <w:sz w:val="24"/>
                <w:highlight w:val="none"/>
              </w:rPr>
              <w:t>电子签章</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780"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254" w:type="dxa"/>
            <w:vAlign w:val="center"/>
          </w:tcPr>
          <w:p>
            <w:pPr>
              <w:autoSpaceDE w:val="0"/>
              <w:autoSpaceDN w:val="0"/>
              <w:adjustRightInd w:val="0"/>
              <w:spacing w:line="360" w:lineRule="auto"/>
              <w:ind w:right="-20"/>
              <w:jc w:val="center"/>
              <w:rPr>
                <w:rFonts w:hint="eastAsia" w:ascii="宋体" w:hAnsi="宋体" w:eastAsia="宋体" w:cs="宋体"/>
                <w:color w:val="auto"/>
                <w:kern w:val="0"/>
                <w:sz w:val="24"/>
                <w:highlight w:val="none"/>
              </w:rPr>
            </w:pPr>
            <w:r>
              <w:rPr>
                <w:rFonts w:hint="eastAsia" w:ascii="宋体" w:hAnsi="宋体" w:eastAsia="宋体" w:cs="宋体"/>
                <w:color w:val="auto"/>
                <w:kern w:val="0"/>
                <w:position w:val="-3"/>
                <w:sz w:val="24"/>
                <w:highlight w:val="none"/>
              </w:rPr>
              <w:t>投标</w:t>
            </w:r>
            <w:r>
              <w:rPr>
                <w:rFonts w:hint="eastAsia" w:ascii="宋体" w:hAnsi="宋体" w:eastAsia="宋体" w:cs="宋体"/>
                <w:color w:val="auto"/>
                <w:spacing w:val="-2"/>
                <w:kern w:val="0"/>
                <w:position w:val="-3"/>
                <w:sz w:val="24"/>
                <w:highlight w:val="none"/>
              </w:rPr>
              <w:t>文</w:t>
            </w:r>
            <w:r>
              <w:rPr>
                <w:rFonts w:hint="eastAsia" w:ascii="宋体" w:hAnsi="宋体" w:eastAsia="宋体" w:cs="宋体"/>
                <w:color w:val="auto"/>
                <w:kern w:val="0"/>
                <w:position w:val="-3"/>
                <w:sz w:val="24"/>
                <w:highlight w:val="none"/>
              </w:rPr>
              <w:t>件</w:t>
            </w:r>
            <w:r>
              <w:rPr>
                <w:rFonts w:hint="eastAsia" w:ascii="宋体" w:hAnsi="宋体" w:eastAsia="宋体" w:cs="宋体"/>
                <w:color w:val="auto"/>
                <w:spacing w:val="-2"/>
                <w:kern w:val="0"/>
                <w:position w:val="-3"/>
                <w:sz w:val="24"/>
                <w:highlight w:val="none"/>
              </w:rPr>
              <w:t>有</w:t>
            </w:r>
            <w:r>
              <w:rPr>
                <w:rFonts w:hint="eastAsia" w:ascii="宋体" w:hAnsi="宋体" w:eastAsia="宋体" w:cs="宋体"/>
                <w:color w:val="auto"/>
                <w:kern w:val="0"/>
                <w:position w:val="-3"/>
                <w:sz w:val="24"/>
                <w:highlight w:val="none"/>
              </w:rPr>
              <w:t>效期</w:t>
            </w:r>
          </w:p>
        </w:tc>
        <w:tc>
          <w:tcPr>
            <w:tcW w:w="7208" w:type="dxa"/>
            <w:vAlign w:val="center"/>
          </w:tcPr>
          <w:p>
            <w:pPr>
              <w:autoSpaceDE w:val="0"/>
              <w:autoSpaceDN w:val="0"/>
              <w:adjustRightInd w:val="0"/>
              <w:spacing w:line="360" w:lineRule="auto"/>
              <w:ind w:right="-20"/>
              <w:rPr>
                <w:rFonts w:hint="eastAsia" w:ascii="宋体" w:hAnsi="宋体" w:eastAsia="宋体" w:cs="宋体"/>
                <w:color w:val="auto"/>
                <w:kern w:val="0"/>
                <w:sz w:val="24"/>
                <w:highlight w:val="none"/>
              </w:rPr>
            </w:pPr>
            <w:r>
              <w:rPr>
                <w:rFonts w:hint="eastAsia" w:ascii="宋体" w:hAnsi="宋体" w:eastAsia="宋体" w:cs="宋体"/>
                <w:color w:val="auto"/>
                <w:kern w:val="0"/>
                <w:position w:val="-2"/>
                <w:sz w:val="24"/>
                <w:highlight w:val="none"/>
              </w:rPr>
              <w:t>自投</w:t>
            </w:r>
            <w:r>
              <w:rPr>
                <w:rFonts w:hint="eastAsia" w:ascii="宋体" w:hAnsi="宋体" w:eastAsia="宋体" w:cs="宋体"/>
                <w:color w:val="auto"/>
                <w:spacing w:val="-2"/>
                <w:kern w:val="0"/>
                <w:position w:val="-2"/>
                <w:sz w:val="24"/>
                <w:highlight w:val="none"/>
              </w:rPr>
              <w:t>标</w:t>
            </w:r>
            <w:r>
              <w:rPr>
                <w:rFonts w:hint="eastAsia" w:ascii="宋体" w:hAnsi="宋体" w:eastAsia="宋体" w:cs="宋体"/>
                <w:color w:val="auto"/>
                <w:kern w:val="0"/>
                <w:position w:val="-2"/>
                <w:sz w:val="24"/>
                <w:highlight w:val="none"/>
              </w:rPr>
              <w:t>截</w:t>
            </w:r>
            <w:r>
              <w:rPr>
                <w:rFonts w:hint="eastAsia" w:ascii="宋体" w:hAnsi="宋体" w:eastAsia="宋体" w:cs="宋体"/>
                <w:color w:val="auto"/>
                <w:spacing w:val="-2"/>
                <w:kern w:val="0"/>
                <w:position w:val="-2"/>
                <w:sz w:val="24"/>
                <w:highlight w:val="none"/>
              </w:rPr>
              <w:t>止</w:t>
            </w:r>
            <w:r>
              <w:rPr>
                <w:rFonts w:hint="eastAsia" w:ascii="宋体" w:hAnsi="宋体" w:eastAsia="宋体" w:cs="宋体"/>
                <w:color w:val="auto"/>
                <w:kern w:val="0"/>
                <w:position w:val="-2"/>
                <w:sz w:val="24"/>
                <w:highlight w:val="none"/>
              </w:rPr>
              <w:t>时</w:t>
            </w:r>
            <w:r>
              <w:rPr>
                <w:rFonts w:hint="eastAsia" w:ascii="宋体" w:hAnsi="宋体" w:eastAsia="宋体" w:cs="宋体"/>
                <w:color w:val="auto"/>
                <w:spacing w:val="-2"/>
                <w:kern w:val="0"/>
                <w:position w:val="-2"/>
                <w:sz w:val="24"/>
                <w:highlight w:val="none"/>
              </w:rPr>
              <w:t>间</w:t>
            </w:r>
            <w:r>
              <w:rPr>
                <w:rFonts w:hint="eastAsia" w:ascii="宋体" w:hAnsi="宋体" w:eastAsia="宋体" w:cs="宋体"/>
                <w:color w:val="auto"/>
                <w:kern w:val="0"/>
                <w:position w:val="-2"/>
                <w:sz w:val="24"/>
                <w:highlight w:val="none"/>
              </w:rPr>
              <w:t>起不少于</w:t>
            </w:r>
            <w:r>
              <w:rPr>
                <w:rFonts w:hint="eastAsia" w:ascii="宋体" w:hAnsi="宋体" w:eastAsia="宋体" w:cs="宋体"/>
                <w:color w:val="auto"/>
                <w:spacing w:val="-2"/>
                <w:kern w:val="0"/>
                <w:position w:val="-2"/>
                <w:sz w:val="24"/>
                <w:highlight w:val="none"/>
              </w:rPr>
              <w:t>90天。</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0"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254" w:type="dxa"/>
            <w:vAlign w:val="center"/>
          </w:tcPr>
          <w:p>
            <w:pPr>
              <w:autoSpaceDE w:val="0"/>
              <w:autoSpaceDN w:val="0"/>
              <w:adjustRightInd w:val="0"/>
              <w:spacing w:line="360" w:lineRule="auto"/>
              <w:ind w:right="-20"/>
              <w:jc w:val="center"/>
              <w:rPr>
                <w:rFonts w:hint="eastAsia" w:ascii="宋体" w:hAnsi="宋体" w:eastAsia="宋体" w:cs="宋体"/>
                <w:color w:val="auto"/>
                <w:kern w:val="0"/>
                <w:sz w:val="24"/>
                <w:highlight w:val="none"/>
              </w:rPr>
            </w:pPr>
            <w:r>
              <w:rPr>
                <w:rFonts w:hint="eastAsia" w:ascii="宋体" w:hAnsi="宋体" w:eastAsia="宋体" w:cs="宋体"/>
                <w:color w:val="auto"/>
                <w:kern w:val="0"/>
                <w:position w:val="-3"/>
                <w:sz w:val="24"/>
                <w:szCs w:val="22"/>
                <w:highlight w:val="none"/>
              </w:rPr>
              <w:t>投标文件的形式</w:t>
            </w:r>
          </w:p>
        </w:tc>
        <w:tc>
          <w:tcPr>
            <w:tcW w:w="7208" w:type="dxa"/>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☑电子投标文件（包括“电子加密投标文件”和“备份投标文件”，在投标文件编制完成后同时生成）；</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（1）“电子加密投标文件”是指通过“政采云电子交易客户端”完成投标文件编制后生成并加密的数据电文形式的投标文件。</w:t>
            </w:r>
          </w:p>
          <w:p>
            <w:pPr>
              <w:autoSpaceDE w:val="0"/>
              <w:autoSpaceDN w:val="0"/>
              <w:adjustRightInd w:val="0"/>
              <w:spacing w:line="360" w:lineRule="auto"/>
              <w:ind w:right="-2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（2）“备份投标文件”是指与“电子加密投标文件”同时生成的数据电文形式的电子文件（备份标书），其他方式编制的备份投标文件视为无效备份投标文件。</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0"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254" w:type="dxa"/>
            <w:vAlign w:val="center"/>
          </w:tcPr>
          <w:p>
            <w:pPr>
              <w:autoSpaceDE w:val="0"/>
              <w:autoSpaceDN w:val="0"/>
              <w:adjustRightInd w:val="0"/>
              <w:spacing w:line="360" w:lineRule="auto"/>
              <w:ind w:right="-20"/>
              <w:jc w:val="center"/>
              <w:rPr>
                <w:rFonts w:hint="eastAsia" w:ascii="宋体" w:hAnsi="宋体" w:eastAsia="宋体" w:cs="宋体"/>
                <w:color w:val="auto"/>
                <w:kern w:val="0"/>
                <w:position w:val="-3"/>
                <w:sz w:val="24"/>
                <w:highlight w:val="none"/>
              </w:rPr>
            </w:pPr>
            <w:r>
              <w:rPr>
                <w:rFonts w:hint="eastAsia" w:ascii="宋体" w:hAnsi="宋体" w:eastAsia="宋体" w:cs="宋体"/>
                <w:color w:val="auto"/>
                <w:kern w:val="0"/>
                <w:position w:val="-3"/>
                <w:sz w:val="24"/>
                <w:highlight w:val="none"/>
              </w:rPr>
              <w:t>投标样品</w:t>
            </w:r>
          </w:p>
        </w:tc>
        <w:tc>
          <w:tcPr>
            <w:tcW w:w="7208" w:type="dxa"/>
            <w:vAlign w:val="center"/>
          </w:tcPr>
          <w:p>
            <w:pPr>
              <w:autoSpaceDE w:val="0"/>
              <w:autoSpaceDN w:val="0"/>
              <w:adjustRightInd w:val="0"/>
              <w:spacing w:line="360" w:lineRule="auto"/>
              <w:ind w:right="-20"/>
              <w:rPr>
                <w:rFonts w:hint="eastAsia" w:ascii="宋体" w:hAnsi="宋体" w:eastAsia="宋体" w:cs="宋体"/>
                <w:color w:val="auto"/>
                <w:sz w:val="24"/>
                <w:highlight w:val="none"/>
                <w:lang w:val="zh-CN"/>
              </w:rPr>
            </w:pPr>
            <w:r>
              <w:rPr>
                <w:rFonts w:hint="eastAsia" w:ascii="宋体" w:hAnsi="宋体" w:eastAsia="宋体" w:cs="宋体"/>
                <w:snapToGrid w:val="0"/>
                <w:color w:val="auto"/>
                <w:kern w:val="10"/>
                <w:sz w:val="24"/>
                <w:highlight w:val="none"/>
              </w:rPr>
              <w:t>1、本项目是否需要样品：</w:t>
            </w:r>
            <w:r>
              <w:rPr>
                <w:rFonts w:hint="eastAsia" w:ascii="宋体" w:hAnsi="宋体" w:eastAsia="宋体" w:cs="宋体"/>
                <w:color w:val="auto"/>
                <w:sz w:val="24"/>
                <w:highlight w:val="none"/>
              </w:rPr>
              <w:sym w:font="Wingdings" w:char="F0FE"/>
            </w:r>
            <w:r>
              <w:rPr>
                <w:rFonts w:hint="eastAsia" w:ascii="宋体" w:hAnsi="宋体" w:eastAsia="宋体" w:cs="宋体"/>
                <w:color w:val="auto"/>
                <w:sz w:val="24"/>
                <w:highlight w:val="none"/>
                <w:lang w:val="zh-CN"/>
              </w:rPr>
              <w:t>否；</w:t>
            </w:r>
            <w:r>
              <w:rPr>
                <w:rFonts w:hint="eastAsia" w:ascii="宋体" w:hAnsi="宋体" w:eastAsia="宋体" w:cs="宋体"/>
                <w:color w:val="auto"/>
                <w:sz w:val="24"/>
                <w:highlight w:val="none"/>
              </w:rPr>
              <w:t>□是，详见第三部分要求。</w:t>
            </w:r>
          </w:p>
          <w:p>
            <w:pPr>
              <w:autoSpaceDE w:val="0"/>
              <w:autoSpaceDN w:val="0"/>
              <w:adjustRightInd w:val="0"/>
              <w:spacing w:line="360" w:lineRule="auto"/>
              <w:ind w:right="-20"/>
              <w:rPr>
                <w:rFonts w:hint="eastAsia" w:ascii="宋体" w:hAnsi="宋体" w:eastAsia="宋体" w:cs="宋体"/>
                <w:snapToGrid w:val="0"/>
                <w:color w:val="auto"/>
                <w:kern w:val="10"/>
                <w:sz w:val="24"/>
                <w:highlight w:val="none"/>
              </w:rPr>
            </w:pPr>
            <w:r>
              <w:rPr>
                <w:rFonts w:hint="eastAsia" w:ascii="宋体" w:hAnsi="宋体" w:eastAsia="宋体" w:cs="宋体"/>
                <w:snapToGrid w:val="0"/>
                <w:color w:val="auto"/>
                <w:kern w:val="10"/>
                <w:sz w:val="24"/>
                <w:highlight w:val="none"/>
              </w:rPr>
              <w:t>2、样品标识：</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明标；</w:t>
            </w:r>
            <w:r>
              <w:rPr>
                <w:rFonts w:hint="eastAsia" w:ascii="宋体" w:hAnsi="宋体" w:eastAsia="宋体" w:cs="宋体"/>
                <w:color w:val="auto"/>
                <w:sz w:val="24"/>
                <w:highlight w:val="none"/>
              </w:rPr>
              <w:t>□暗标。</w:t>
            </w:r>
          </w:p>
          <w:p>
            <w:pPr>
              <w:autoSpaceDE w:val="0"/>
              <w:autoSpaceDN w:val="0"/>
              <w:adjustRightInd w:val="0"/>
              <w:spacing w:line="360" w:lineRule="auto"/>
              <w:ind w:right="-20"/>
              <w:rPr>
                <w:rFonts w:hint="eastAsia" w:ascii="宋体" w:hAnsi="宋体" w:eastAsia="宋体" w:cs="宋体"/>
                <w:snapToGrid w:val="0"/>
                <w:color w:val="auto"/>
                <w:kern w:val="10"/>
                <w:sz w:val="24"/>
                <w:highlight w:val="none"/>
              </w:rPr>
            </w:pPr>
            <w:r>
              <w:rPr>
                <w:rFonts w:hint="eastAsia" w:ascii="宋体" w:hAnsi="宋体" w:eastAsia="宋体" w:cs="宋体"/>
                <w:snapToGrid w:val="0"/>
                <w:color w:val="auto"/>
                <w:kern w:val="10"/>
                <w:sz w:val="24"/>
                <w:highlight w:val="none"/>
              </w:rPr>
              <w:t>3、样品送至地点：______________________________</w:t>
            </w:r>
          </w:p>
          <w:p>
            <w:pPr>
              <w:autoSpaceDE w:val="0"/>
              <w:autoSpaceDN w:val="0"/>
              <w:adjustRightInd w:val="0"/>
              <w:spacing w:line="360" w:lineRule="auto"/>
              <w:ind w:right="-20"/>
              <w:rPr>
                <w:rFonts w:hint="eastAsia" w:ascii="宋体" w:hAnsi="宋体" w:eastAsia="宋体" w:cs="宋体"/>
                <w:snapToGrid w:val="0"/>
                <w:color w:val="auto"/>
                <w:kern w:val="10"/>
                <w:sz w:val="24"/>
                <w:highlight w:val="none"/>
              </w:rPr>
            </w:pPr>
            <w:r>
              <w:rPr>
                <w:rFonts w:hint="eastAsia" w:ascii="宋体" w:hAnsi="宋体" w:eastAsia="宋体" w:cs="宋体"/>
                <w:snapToGrid w:val="0"/>
                <w:color w:val="auto"/>
                <w:kern w:val="10"/>
                <w:sz w:val="24"/>
                <w:highlight w:val="none"/>
              </w:rPr>
              <w:t>4、中标人样品处理：</w:t>
            </w:r>
            <w:r>
              <w:rPr>
                <w:rFonts w:hint="eastAsia" w:ascii="宋体" w:hAnsi="宋体" w:eastAsia="宋体" w:cs="宋体"/>
                <w:color w:val="auto"/>
                <w:sz w:val="24"/>
                <w:highlight w:val="none"/>
              </w:rPr>
              <w:t>□退还；□封存至验收；□抵扣采购数量。</w:t>
            </w:r>
          </w:p>
          <w:p>
            <w:pPr>
              <w:autoSpaceDE w:val="0"/>
              <w:autoSpaceDN w:val="0"/>
              <w:adjustRightInd w:val="0"/>
              <w:spacing w:line="360" w:lineRule="auto"/>
              <w:ind w:right="-20"/>
              <w:rPr>
                <w:rFonts w:hint="eastAsia" w:ascii="宋体" w:hAnsi="宋体" w:eastAsia="宋体" w:cs="宋体"/>
                <w:snapToGrid w:val="0"/>
                <w:color w:val="auto"/>
                <w:kern w:val="10"/>
                <w:sz w:val="24"/>
                <w:highlight w:val="none"/>
              </w:rPr>
            </w:pPr>
            <w:r>
              <w:rPr>
                <w:rFonts w:hint="eastAsia" w:ascii="宋体" w:hAnsi="宋体" w:eastAsia="宋体" w:cs="宋体"/>
                <w:snapToGrid w:val="0"/>
                <w:color w:val="auto"/>
                <w:kern w:val="10"/>
                <w:sz w:val="24"/>
                <w:highlight w:val="none"/>
              </w:rPr>
              <w:t>5、样品退还时间：</w:t>
            </w:r>
            <w:r>
              <w:rPr>
                <w:rFonts w:hint="eastAsia" w:ascii="宋体" w:hAnsi="宋体" w:eastAsia="宋体" w:cs="宋体"/>
                <w:snapToGrid w:val="0"/>
                <w:color w:val="auto"/>
                <w:kern w:val="10"/>
                <w:sz w:val="24"/>
                <w:highlight w:val="none"/>
                <w:u w:val="single"/>
              </w:rPr>
              <w:t xml:space="preserve">（另行通知）                    </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780" w:type="dxa"/>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w:t>
            </w:r>
          </w:p>
        </w:tc>
        <w:tc>
          <w:tcPr>
            <w:tcW w:w="1254" w:type="dxa"/>
            <w:vAlign w:val="center"/>
          </w:tcPr>
          <w:p>
            <w:pPr>
              <w:pStyle w:val="49"/>
              <w:keepNext w:val="0"/>
              <w:keepLines w:val="0"/>
              <w:pageBreakBefore w:val="0"/>
              <w:widowControl w:val="0"/>
              <w:kinsoku/>
              <w:wordWrap/>
              <w:overflowPunct/>
              <w:topLinePunct w:val="0"/>
              <w:bidi w:val="0"/>
              <w:snapToGrid w:val="0"/>
              <w:spacing w:line="360" w:lineRule="auto"/>
              <w:ind w:left="0" w:leftChars="0"/>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履约保证金交纳</w:t>
            </w:r>
          </w:p>
        </w:tc>
        <w:tc>
          <w:tcPr>
            <w:tcW w:w="7208" w:type="dxa"/>
            <w:vAlign w:val="center"/>
          </w:tcPr>
          <w:p>
            <w:pPr>
              <w:pStyle w:val="49"/>
              <w:keepNext w:val="0"/>
              <w:keepLines w:val="0"/>
              <w:pageBreakBefore w:val="0"/>
              <w:widowControl w:val="0"/>
              <w:kinsoku/>
              <w:wordWrap/>
              <w:overflowPunct/>
              <w:topLinePunct w:val="0"/>
              <w:bidi w:val="0"/>
              <w:snapToGrid w:val="0"/>
              <w:spacing w:line="360" w:lineRule="auto"/>
              <w:ind w:left="0" w:leftChars="0"/>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sz w:val="24"/>
                <w:szCs w:val="24"/>
                <w:highlight w:val="none"/>
                <w:lang w:val="en-US" w:eastAsia="zh-CN"/>
              </w:rPr>
              <w:t>中标人通过电汇、转账、银行或保险公司出具履约保函向采购人交纳中标金额</w:t>
            </w:r>
            <w:r>
              <w:rPr>
                <w:rFonts w:hint="eastAsia"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%的履约保证金</w:t>
            </w:r>
            <w:r>
              <w:rPr>
                <w:rFonts w:hint="eastAsia" w:hAnsi="宋体" w:cs="宋体"/>
                <w:color w:val="auto"/>
                <w:sz w:val="24"/>
                <w:szCs w:val="24"/>
                <w:highlight w:val="none"/>
                <w:lang w:val="en-US" w:eastAsia="zh-CN"/>
              </w:rPr>
              <w:t>,项目验收合格后15个工作日内退还</w:t>
            </w:r>
            <w:r>
              <w:rPr>
                <w:rFonts w:hint="eastAsia" w:hAnsi="宋体" w:cs="宋体"/>
                <w:color w:val="auto"/>
                <w:sz w:val="24"/>
                <w:szCs w:val="24"/>
                <w:highlight w:val="none"/>
                <w:lang w:eastAsia="zh-CN"/>
              </w:rPr>
              <w:t>。</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961" w:hRule="atLeast"/>
          <w:jc w:val="center"/>
        </w:trPr>
        <w:tc>
          <w:tcPr>
            <w:tcW w:w="780" w:type="dxa"/>
            <w:vMerge w:val="restart"/>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3</w:t>
            </w:r>
          </w:p>
        </w:tc>
        <w:tc>
          <w:tcPr>
            <w:tcW w:w="1254" w:type="dxa"/>
            <w:vMerge w:val="restart"/>
            <w:vAlign w:val="center"/>
          </w:tcPr>
          <w:p>
            <w:pPr>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其他注意事项</w:t>
            </w:r>
          </w:p>
        </w:tc>
        <w:tc>
          <w:tcPr>
            <w:tcW w:w="7208" w:type="dxa"/>
            <w:vAlign w:val="center"/>
          </w:tcPr>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招标文件中部分加“▲”的条款，属于招标文件的实质性要求和条件，着重提醒各投标人注意，并认真查看招标文件中的每一个条款及要求，因误读招标文件而造成的后果，招标人概不负责。</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780" w:type="dxa"/>
            <w:vMerge w:val="continue"/>
            <w:vAlign w:val="center"/>
          </w:tcPr>
          <w:p>
            <w:pPr>
              <w:spacing w:line="360" w:lineRule="auto"/>
              <w:jc w:val="center"/>
              <w:rPr>
                <w:rFonts w:hint="eastAsia" w:ascii="宋体" w:hAnsi="宋体" w:eastAsia="宋体" w:cs="宋体"/>
                <w:color w:val="auto"/>
                <w:sz w:val="24"/>
                <w:highlight w:val="none"/>
              </w:rPr>
            </w:pPr>
          </w:p>
        </w:tc>
        <w:tc>
          <w:tcPr>
            <w:tcW w:w="1254" w:type="dxa"/>
            <w:vMerge w:val="continue"/>
            <w:vAlign w:val="center"/>
          </w:tcPr>
          <w:p>
            <w:pPr>
              <w:spacing w:line="360" w:lineRule="auto"/>
              <w:rPr>
                <w:rFonts w:hint="eastAsia" w:ascii="宋体" w:hAnsi="宋体" w:eastAsia="宋体" w:cs="宋体"/>
                <w:color w:val="auto"/>
                <w:sz w:val="24"/>
                <w:highlight w:val="none"/>
              </w:rPr>
            </w:pPr>
          </w:p>
        </w:tc>
        <w:tc>
          <w:tcPr>
            <w:tcW w:w="7208" w:type="dxa"/>
            <w:vAlign w:val="center"/>
          </w:tcPr>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以上内容如有变化将另行通知，如通知其中某一项内容发生变化，其余未提及的内容将不作变动。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053" w:hRule="atLeast"/>
          <w:jc w:val="center"/>
        </w:trPr>
        <w:tc>
          <w:tcPr>
            <w:tcW w:w="780" w:type="dxa"/>
            <w:vMerge w:val="continue"/>
            <w:vAlign w:val="center"/>
          </w:tcPr>
          <w:p>
            <w:pPr>
              <w:spacing w:line="360" w:lineRule="auto"/>
              <w:jc w:val="center"/>
              <w:rPr>
                <w:rFonts w:hint="eastAsia" w:ascii="宋体" w:hAnsi="宋体" w:eastAsia="宋体" w:cs="宋体"/>
                <w:color w:val="auto"/>
                <w:sz w:val="24"/>
                <w:highlight w:val="none"/>
              </w:rPr>
            </w:pPr>
          </w:p>
        </w:tc>
        <w:tc>
          <w:tcPr>
            <w:tcW w:w="1254" w:type="dxa"/>
            <w:vMerge w:val="continue"/>
            <w:vAlign w:val="center"/>
          </w:tcPr>
          <w:p>
            <w:pPr>
              <w:spacing w:line="360" w:lineRule="auto"/>
              <w:rPr>
                <w:rFonts w:hint="eastAsia" w:ascii="宋体" w:hAnsi="宋体" w:eastAsia="宋体" w:cs="宋体"/>
                <w:color w:val="auto"/>
                <w:sz w:val="24"/>
                <w:highlight w:val="none"/>
              </w:rPr>
            </w:pPr>
          </w:p>
        </w:tc>
        <w:tc>
          <w:tcPr>
            <w:tcW w:w="7208" w:type="dxa"/>
            <w:vAlign w:val="center"/>
          </w:tcPr>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根据浙江省财政厅文件浙财采监[2015]13号文件《关于印发浙江省政府采购活动现场组织管理办法的通知》要求，本项目按浙江省政府采购活动现场组织管理办法实施。</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0" w:type="dxa"/>
            <w:vMerge w:val="continue"/>
            <w:vAlign w:val="center"/>
          </w:tcPr>
          <w:p>
            <w:pPr>
              <w:spacing w:line="360" w:lineRule="auto"/>
              <w:jc w:val="center"/>
              <w:rPr>
                <w:rFonts w:hint="eastAsia" w:ascii="宋体" w:hAnsi="宋体" w:eastAsia="宋体" w:cs="宋体"/>
                <w:color w:val="auto"/>
                <w:sz w:val="24"/>
                <w:highlight w:val="none"/>
              </w:rPr>
            </w:pPr>
          </w:p>
        </w:tc>
        <w:tc>
          <w:tcPr>
            <w:tcW w:w="1254" w:type="dxa"/>
            <w:vMerge w:val="continue"/>
            <w:vAlign w:val="center"/>
          </w:tcPr>
          <w:p>
            <w:pPr>
              <w:spacing w:line="360" w:lineRule="auto"/>
              <w:rPr>
                <w:rFonts w:hint="eastAsia" w:ascii="宋体" w:hAnsi="宋体" w:eastAsia="宋体" w:cs="宋体"/>
                <w:color w:val="auto"/>
                <w:sz w:val="24"/>
                <w:highlight w:val="none"/>
              </w:rPr>
            </w:pPr>
          </w:p>
        </w:tc>
        <w:tc>
          <w:tcPr>
            <w:tcW w:w="7208" w:type="dxa"/>
            <w:vAlign w:val="center"/>
          </w:tcPr>
          <w:p>
            <w:pPr>
              <w:keepNext w:val="0"/>
              <w:keepLines w:val="0"/>
              <w:pageBreakBefore w:val="0"/>
              <w:widowControl w:val="0"/>
              <w:kinsoku/>
              <w:wordWrap/>
              <w:overflowPunct/>
              <w:topLinePunct w:val="0"/>
              <w:bidi w:val="0"/>
              <w:adjustRightInd w:val="0"/>
              <w:snapToGrid w:val="0"/>
              <w:spacing w:line="360" w:lineRule="auto"/>
              <w:ind w:left="0" w:leftChars="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企业质押融资：取得衢州市政府采购合同的供应商，均可在政采云里实施政采贷或凭政府采购合同及应收账款收益权，向银行申请质押融资。申请质押融资时，供应商需先注册“衢州金融服务信用信息平台”用户，登录后通过“中征融资”模快进入“中征应收账款融资服务平台”，完善企业信息后，向合作银行推送中标采购信息。</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szCs w:val="22"/>
                <w:highlight w:val="none"/>
              </w:rPr>
              <w:t>采购合同签订前已与银行机构达成融资意向的，供应商应向采购单位或采购代理机构申明该合同将用于质押融资，并在合同中注明融资银行机构名称及在该银行机构的唯一收款账号。供应商在合同签订后出现融资需求的，供应商应根据银行机构要求向采购单位申请修改合同收款账号，并在开具发票时提供给采购人用于支付合同款项。</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684" w:hRule="atLeast"/>
          <w:jc w:val="center"/>
        </w:trPr>
        <w:tc>
          <w:tcPr>
            <w:tcW w:w="780" w:type="dxa"/>
            <w:vMerge w:val="continue"/>
            <w:vAlign w:val="center"/>
          </w:tcPr>
          <w:p>
            <w:pPr>
              <w:spacing w:line="360" w:lineRule="auto"/>
              <w:jc w:val="center"/>
              <w:rPr>
                <w:rFonts w:hint="eastAsia" w:ascii="宋体" w:hAnsi="宋体" w:eastAsia="宋体" w:cs="宋体"/>
                <w:color w:val="auto"/>
                <w:sz w:val="24"/>
                <w:highlight w:val="none"/>
              </w:rPr>
            </w:pPr>
          </w:p>
        </w:tc>
        <w:tc>
          <w:tcPr>
            <w:tcW w:w="1254" w:type="dxa"/>
            <w:vMerge w:val="continue"/>
            <w:vAlign w:val="center"/>
          </w:tcPr>
          <w:p>
            <w:pPr>
              <w:spacing w:line="360" w:lineRule="auto"/>
              <w:rPr>
                <w:rFonts w:hint="eastAsia" w:ascii="宋体" w:hAnsi="宋体" w:eastAsia="宋体" w:cs="宋体"/>
                <w:color w:val="auto"/>
                <w:sz w:val="24"/>
                <w:highlight w:val="none"/>
              </w:rPr>
            </w:pPr>
          </w:p>
        </w:tc>
        <w:tc>
          <w:tcPr>
            <w:tcW w:w="7208" w:type="dxa"/>
            <w:vAlign w:val="center"/>
          </w:tcPr>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根据《关于在政府采购活动中查询及使用信用记录有关问题的通知》财库[2016]125号的规定：</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1）采购人或采购代理机构将对本项目投标人的信用记录进行查询。查询渠道为信用中国网站（www.creditchina.gov.cn）、中国政府采购网（www.ccgp.gov.cn）；</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2）截止时点：提交投标文件（响应文件）截止时间前3年内；</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3）查询记录和证据的留存：信用信息查询记录和证据以网页截图等方式留存。</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4）使用规则：被列入失信被执行人、重大税收违法案件当事人名单、政府采购严重违法失信行为记录名单及其它不符合《中华人民共和国政府采购法》第二十二条规定条件的，其投标将被拒绝。</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5）联合体成员任意一方存在不良信用记录的，视同联合体存在不良信用记录。</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jc w:val="center"/>
        </w:trPr>
        <w:tc>
          <w:tcPr>
            <w:tcW w:w="780" w:type="dxa"/>
            <w:vMerge w:val="continue"/>
            <w:vAlign w:val="center"/>
          </w:tcPr>
          <w:p>
            <w:pPr>
              <w:spacing w:line="360" w:lineRule="auto"/>
              <w:jc w:val="center"/>
              <w:rPr>
                <w:rFonts w:hint="eastAsia" w:ascii="宋体" w:hAnsi="宋体" w:eastAsia="宋体" w:cs="宋体"/>
                <w:color w:val="auto"/>
                <w:sz w:val="24"/>
                <w:highlight w:val="none"/>
              </w:rPr>
            </w:pPr>
          </w:p>
        </w:tc>
        <w:tc>
          <w:tcPr>
            <w:tcW w:w="1254" w:type="dxa"/>
            <w:vMerge w:val="continue"/>
            <w:vAlign w:val="center"/>
          </w:tcPr>
          <w:p>
            <w:pPr>
              <w:spacing w:line="360" w:lineRule="auto"/>
              <w:rPr>
                <w:rFonts w:hint="eastAsia" w:ascii="宋体" w:hAnsi="宋体" w:eastAsia="宋体" w:cs="宋体"/>
                <w:color w:val="auto"/>
                <w:sz w:val="24"/>
                <w:highlight w:val="none"/>
              </w:rPr>
            </w:pPr>
          </w:p>
        </w:tc>
        <w:tc>
          <w:tcPr>
            <w:tcW w:w="7208" w:type="dxa"/>
            <w:vAlign w:val="center"/>
          </w:tcPr>
          <w:p>
            <w:pPr>
              <w:adjustRightInd w:val="0"/>
              <w:snapToGrid w:val="0"/>
              <w:spacing w:line="360" w:lineRule="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本项目需要落实的政府采购政策：</w:t>
            </w:r>
          </w:p>
          <w:p>
            <w:pPr>
              <w:adjustRightInd w:val="0"/>
              <w:snapToGrid w:val="0"/>
              <w:spacing w:line="360" w:lineRule="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（1）《财政部发展改革委 生态环境部 市场监管总局关于调整优化节能产品、环境标志产品政府采购执行机制的通知》（财库〔2019〕9号）；</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szCs w:val="22"/>
                <w:highlight w:val="none"/>
              </w:rPr>
              <w:t>（2）《政府采购促进中小企业发展管理办法》（财库[2020]46号）。</w:t>
            </w: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lang w:val="en-US" w:eastAsia="zh-CN"/>
              </w:rPr>
              <w:t>3</w:t>
            </w:r>
            <w:r>
              <w:rPr>
                <w:rFonts w:hint="eastAsia" w:ascii="宋体" w:hAnsi="宋体" w:eastAsia="宋体" w:cs="宋体"/>
                <w:color w:val="auto"/>
                <w:sz w:val="24"/>
                <w:szCs w:val="22"/>
                <w:highlight w:val="none"/>
                <w:lang w:eastAsia="zh-CN"/>
              </w:rPr>
              <w:t>）本项目所属行业</w:t>
            </w:r>
            <w:r>
              <w:rPr>
                <w:rFonts w:hint="eastAsia" w:ascii="宋体" w:hAnsi="宋体" w:eastAsia="宋体" w:cs="宋体"/>
                <w:color w:val="auto"/>
                <w:sz w:val="24"/>
                <w:szCs w:val="22"/>
                <w:highlight w:val="none"/>
                <w:u w:val="single"/>
                <w:lang w:val="en-US" w:eastAsia="zh-CN"/>
              </w:rPr>
              <w:t xml:space="preserve"> </w:t>
            </w:r>
            <w:r>
              <w:rPr>
                <w:rFonts w:hint="eastAsia" w:ascii="宋体" w:hAnsi="宋体" w:eastAsia="宋体" w:cs="宋体"/>
                <w:b/>
                <w:bCs/>
                <w:color w:val="auto"/>
                <w:sz w:val="24"/>
                <w:szCs w:val="22"/>
                <w:highlight w:val="none"/>
                <w:u w:val="single"/>
                <w:lang w:val="en-US" w:eastAsia="zh-CN"/>
              </w:rPr>
              <w:t>其他未列明行业</w:t>
            </w:r>
            <w:r>
              <w:rPr>
                <w:rFonts w:hint="eastAsia" w:ascii="宋体" w:hAnsi="宋体" w:eastAsia="宋体" w:cs="宋体"/>
                <w:color w:val="auto"/>
                <w:sz w:val="24"/>
                <w:szCs w:val="22"/>
                <w:highlight w:val="none"/>
                <w:u w:val="none"/>
                <w:lang w:val="en-US" w:eastAsia="zh-CN"/>
              </w:rPr>
              <w:t xml:space="preserve"> 。</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jc w:val="center"/>
        </w:trPr>
        <w:tc>
          <w:tcPr>
            <w:tcW w:w="780" w:type="dxa"/>
            <w:vMerge w:val="continue"/>
            <w:vAlign w:val="center"/>
          </w:tcPr>
          <w:p>
            <w:pPr>
              <w:spacing w:line="360" w:lineRule="auto"/>
              <w:jc w:val="center"/>
              <w:rPr>
                <w:rFonts w:hint="eastAsia" w:ascii="宋体" w:hAnsi="宋体" w:eastAsia="宋体" w:cs="宋体"/>
                <w:color w:val="auto"/>
                <w:sz w:val="24"/>
                <w:highlight w:val="none"/>
              </w:rPr>
            </w:pPr>
          </w:p>
        </w:tc>
        <w:tc>
          <w:tcPr>
            <w:tcW w:w="1254" w:type="dxa"/>
            <w:vMerge w:val="continue"/>
            <w:vAlign w:val="center"/>
          </w:tcPr>
          <w:p>
            <w:pPr>
              <w:spacing w:line="360" w:lineRule="auto"/>
              <w:rPr>
                <w:rFonts w:hint="eastAsia" w:ascii="宋体" w:hAnsi="宋体" w:eastAsia="宋体" w:cs="宋体"/>
                <w:color w:val="auto"/>
                <w:sz w:val="24"/>
                <w:highlight w:val="none"/>
              </w:rPr>
            </w:pPr>
          </w:p>
        </w:tc>
        <w:tc>
          <w:tcPr>
            <w:tcW w:w="7208" w:type="dxa"/>
            <w:vAlign w:val="center"/>
          </w:tcPr>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1、本次采购为预留份额专门面向小微企业采购的项目。</w:t>
            </w: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2、根据《浙江省财政厅关于进一步发挥政府采购政策功能全力推进经济稳进提质的通知》浙财采监【2022】3号规定，对符合财库〔2020〕46号的相关规定的小微企业的投标报价给予10%的扣除，用扣除后的价格参与评审（扣除后的价格仅作为价格分计算）。允许大中型企业向一家或者多家小微企业分包的政府采购货物或服务项目，对于分包承诺约定小微企业的合同份额占到合同总金额30%以上的，对大中型企业的报价给予</w:t>
            </w:r>
            <w:r>
              <w:rPr>
                <w:rFonts w:hint="eastAsia" w:ascii="宋体" w:hAnsi="宋体" w:cs="宋体"/>
                <w:b/>
                <w:bCs/>
                <w:color w:val="auto"/>
                <w:kern w:val="2"/>
                <w:sz w:val="24"/>
                <w:szCs w:val="24"/>
                <w:highlight w:val="none"/>
                <w:lang w:val="en-US" w:eastAsia="zh-CN" w:bidi="ar-SA"/>
              </w:rPr>
              <w:t>4</w:t>
            </w:r>
            <w:r>
              <w:rPr>
                <w:rFonts w:hint="eastAsia" w:ascii="宋体" w:hAnsi="宋体" w:eastAsia="宋体" w:cs="宋体"/>
                <w:b/>
                <w:bCs/>
                <w:color w:val="auto"/>
                <w:kern w:val="2"/>
                <w:sz w:val="24"/>
                <w:szCs w:val="24"/>
                <w:highlight w:val="none"/>
                <w:lang w:val="en-US" w:eastAsia="zh-CN" w:bidi="ar-SA"/>
              </w:rPr>
              <w:t>%的扣除，用扣除后的价格参加评审（扣除后的价格仅作为价格分计算）。接受分包的小微企业与分包企业之间存在直接控股、管理关系的，不享受价格扣除优惠政策。中小企业参加政府采购活动，应当出具财库〔2020〕46号规定的《中小企业声明函》，否则不得享受相关中小企业扶持政策。</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2"/>
                <w:highlight w:val="none"/>
              </w:rPr>
            </w:pPr>
            <w:r>
              <w:rPr>
                <w:rFonts w:hint="eastAsia" w:ascii="宋体" w:hAnsi="宋体" w:eastAsia="宋体" w:cs="宋体"/>
                <w:b/>
                <w:bCs/>
                <w:color w:val="auto"/>
                <w:kern w:val="2"/>
                <w:sz w:val="24"/>
                <w:szCs w:val="24"/>
                <w:highlight w:val="none"/>
                <w:lang w:val="en-US" w:eastAsia="zh-CN" w:bidi="ar-SA"/>
              </w:rPr>
              <w:t>3、</w:t>
            </w:r>
            <w:r>
              <w:rPr>
                <w:rFonts w:hint="eastAsia" w:ascii="宋体" w:hAnsi="宋体" w:eastAsia="宋体" w:cs="宋体"/>
                <w:b/>
                <w:bCs/>
                <w:color w:val="auto"/>
                <w:kern w:val="0"/>
                <w:sz w:val="24"/>
                <w:szCs w:val="24"/>
                <w:highlight w:val="none"/>
              </w:rPr>
              <w:t xml:space="preserve">中标供应商为中小企业、残疾人福利性单位、监狱企业的，应当随中标结果同时公告其《中小企业声明函》、《残疾人福利性单位声明函》、《监狱企业声明函》，接受社会监督。）属于小型、微型企业的残疾人福利性单位、监狱企业，不重复享受政策。供应商提供的《中小企业声明函》、《残疾人福利性单位声明函》、《监狱企业声明函》与事实不符的，依照《政府采购法》第七十七条第一款的规定追究法律责任。 </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80" w:type="dxa"/>
            <w:vMerge w:val="continue"/>
            <w:vAlign w:val="center"/>
          </w:tcPr>
          <w:p>
            <w:pPr>
              <w:spacing w:line="360" w:lineRule="auto"/>
              <w:jc w:val="center"/>
              <w:rPr>
                <w:rFonts w:hint="eastAsia" w:ascii="宋体" w:hAnsi="宋体" w:eastAsia="宋体" w:cs="宋体"/>
                <w:color w:val="auto"/>
                <w:sz w:val="24"/>
                <w:highlight w:val="none"/>
              </w:rPr>
            </w:pPr>
          </w:p>
        </w:tc>
        <w:tc>
          <w:tcPr>
            <w:tcW w:w="1254" w:type="dxa"/>
            <w:vMerge w:val="continue"/>
            <w:vAlign w:val="center"/>
          </w:tcPr>
          <w:p>
            <w:pPr>
              <w:spacing w:line="360" w:lineRule="auto"/>
              <w:rPr>
                <w:rFonts w:hint="eastAsia" w:ascii="宋体" w:hAnsi="宋体" w:eastAsia="宋体" w:cs="宋体"/>
                <w:color w:val="auto"/>
                <w:sz w:val="24"/>
                <w:highlight w:val="none"/>
              </w:rPr>
            </w:pPr>
          </w:p>
        </w:tc>
        <w:tc>
          <w:tcPr>
            <w:tcW w:w="7208" w:type="dxa"/>
            <w:vAlign w:val="center"/>
          </w:tcPr>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节能环保要求：</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财政部、国家发展改革委、生态环境部、国家市场监管总局《关于调整优化节能产品、环境标志产品政府采购执行机制的通知》财库〔2019〕9号文件规定，对政府采购节能产品、环境标志产品实施品目清单管理，依据品目清单和认证证书实施政府优先采购和强制采购。</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次采购对属于节能产品政府采购品目清单规定的政府强制采购产品范围内的产品实施强制采购。投标人应当在响应文件中提供国家确定的认证机构出具的、处于有效期之内的节能产品认证证书（复制件）。不能提供上述证书的，响应文件无效。</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次采购对属于品目清单范围但不属于政府强制采购产品的，实施优先采购，具体按评审办法。投标人在响应文件中提供国家确定的认证机构出具的、处于有效期之内的节能产品或环境标志产品认证证书（复制件）。</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节能产品政府采购品目清单，以财政部、国家发改委发布的最新一期节能产品政府采购品目清单为准。环境标志产品政府采购品目清单，以财政部、生态环境部发布的最新一期环境标志产品政府采购品目清单为准。国家确定的认证机构以国家市场监管总局发布的参与实施政府采购节能产品、环境标志产品认证机构名录为准。</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780" w:type="dxa"/>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4</w:t>
            </w:r>
          </w:p>
        </w:tc>
        <w:tc>
          <w:tcPr>
            <w:tcW w:w="1254" w:type="dxa"/>
            <w:vAlign w:val="center"/>
          </w:tcPr>
          <w:p>
            <w:pPr>
              <w:pStyle w:val="49"/>
              <w:snapToGrid w:val="0"/>
              <w:spacing w:line="360" w:lineRule="auto"/>
              <w:rPr>
                <w:rFonts w:hint="eastAsia" w:ascii="宋体" w:hAnsi="宋体" w:eastAsia="宋体" w:cs="宋体"/>
                <w:color w:val="auto"/>
                <w:sz w:val="24"/>
                <w:highlight w:val="none"/>
              </w:rPr>
            </w:pPr>
            <w:r>
              <w:rPr>
                <w:rFonts w:hint="eastAsia" w:ascii="宋体" w:hAnsi="宋体" w:eastAsia="宋体" w:cs="宋体"/>
                <w:b/>
                <w:bCs/>
                <w:color w:val="auto"/>
                <w:sz w:val="24"/>
                <w:szCs w:val="24"/>
                <w:highlight w:val="none"/>
                <w:lang w:eastAsia="zh-CN"/>
              </w:rPr>
              <w:t>特别提醒</w:t>
            </w:r>
          </w:p>
        </w:tc>
        <w:tc>
          <w:tcPr>
            <w:tcW w:w="7208" w:type="dxa"/>
            <w:vAlign w:val="center"/>
          </w:tcPr>
          <w:p>
            <w:pPr>
              <w:pStyle w:val="49"/>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1.所有询标流程，均在线上完成，请各投标人务必不要离开电脑太久，并留意手机短信。（请提前检查“政采云”内，关于“项目采购”的岗位权限是否已勾选上。如有问题，请致电</w:t>
            </w:r>
            <w:r>
              <w:rPr>
                <w:rFonts w:hint="eastAsia" w:hAnsi="宋体" w:cs="宋体"/>
                <w:b/>
                <w:bCs/>
                <w:color w:val="auto"/>
                <w:sz w:val="24"/>
                <w:szCs w:val="24"/>
                <w:highlight w:val="none"/>
                <w:lang w:eastAsia="zh-CN"/>
              </w:rPr>
              <w:t>95763</w:t>
            </w:r>
            <w:r>
              <w:rPr>
                <w:rFonts w:hint="eastAsia" w:ascii="宋体" w:hAnsi="宋体" w:eastAsia="宋体" w:cs="宋体"/>
                <w:b/>
                <w:bCs/>
                <w:color w:val="auto"/>
                <w:sz w:val="24"/>
                <w:szCs w:val="24"/>
                <w:highlight w:val="none"/>
              </w:rPr>
              <w:t>）</w:t>
            </w:r>
          </w:p>
          <w:p>
            <w:pPr>
              <w:pStyle w:val="49"/>
              <w:snapToGrid w:val="0"/>
              <w:spacing w:line="360" w:lineRule="auto"/>
              <w:rPr>
                <w:rFonts w:hint="eastAsia" w:ascii="宋体" w:hAnsi="宋体" w:eastAsia="宋体" w:cs="宋体"/>
                <w:color w:val="auto"/>
                <w:sz w:val="24"/>
                <w:highlight w:val="none"/>
              </w:rPr>
            </w:pPr>
            <w:r>
              <w:rPr>
                <w:rFonts w:hint="eastAsia" w:ascii="宋体" w:hAnsi="宋体" w:eastAsia="宋体" w:cs="宋体"/>
                <w:b/>
                <w:bCs/>
                <w:color w:val="auto"/>
                <w:sz w:val="24"/>
                <w:szCs w:val="24"/>
                <w:highlight w:val="none"/>
              </w:rPr>
              <w:t>2.投标人无须到开标现场，只需自备电脑在规定时间前进行在线解密文件即可。</w:t>
            </w:r>
          </w:p>
        </w:tc>
      </w:tr>
      <w:bookmarkEnd w:id="1"/>
    </w:tbl>
    <w:p>
      <w:pPr>
        <w:adjustRightInd w:val="0"/>
        <w:snapToGrid w:val="0"/>
        <w:spacing w:line="360" w:lineRule="auto"/>
        <w:jc w:val="center"/>
        <w:outlineLvl w:val="1"/>
        <w:rPr>
          <w:rFonts w:hint="eastAsia" w:ascii="宋体" w:hAnsi="宋体" w:eastAsia="宋体" w:cs="宋体"/>
          <w:b/>
          <w:color w:val="auto"/>
          <w:sz w:val="32"/>
          <w:highlight w:val="none"/>
        </w:rPr>
      </w:pPr>
      <w:bookmarkStart w:id="6" w:name="_Toc233618972"/>
      <w:bookmarkStart w:id="7" w:name="_Toc994"/>
      <w:bookmarkStart w:id="8" w:name="_Toc522530041"/>
      <w:bookmarkStart w:id="9" w:name="_Toc226521904"/>
      <w:bookmarkStart w:id="10" w:name="_Toc226106467"/>
      <w:bookmarkStart w:id="11" w:name="_Toc225840109"/>
      <w:bookmarkStart w:id="12" w:name="_Toc226106516"/>
      <w:r>
        <w:rPr>
          <w:rFonts w:hint="eastAsia" w:ascii="宋体" w:hAnsi="宋体" w:eastAsia="宋体" w:cs="宋体"/>
          <w:b/>
          <w:color w:val="auto"/>
          <w:sz w:val="32"/>
          <w:highlight w:val="none"/>
        </w:rPr>
        <w:t>一、总 则</w:t>
      </w:r>
      <w:bookmarkEnd w:id="6"/>
      <w:bookmarkEnd w:id="7"/>
      <w:bookmarkEnd w:id="8"/>
    </w:p>
    <w:p>
      <w:pPr>
        <w:pStyle w:val="49"/>
        <w:adjustRightInd w:val="0"/>
        <w:snapToGrid w:val="0"/>
        <w:spacing w:line="360" w:lineRule="auto"/>
        <w:rPr>
          <w:rFonts w:hint="eastAsia" w:ascii="宋体" w:hAnsi="宋体" w:eastAsia="宋体" w:cs="宋体"/>
          <w:b/>
          <w:color w:val="auto"/>
          <w:sz w:val="24"/>
          <w:highlight w:val="none"/>
        </w:rPr>
      </w:pPr>
      <w:bookmarkStart w:id="13" w:name="_Hlt74730295"/>
      <w:bookmarkEnd w:id="13"/>
      <w:bookmarkStart w:id="14" w:name="_Hlt74714665"/>
      <w:bookmarkEnd w:id="14"/>
      <w:bookmarkStart w:id="15" w:name="_Hlt74730112"/>
      <w:bookmarkStart w:id="16" w:name="_Hlt74730208"/>
      <w:r>
        <w:rPr>
          <w:rFonts w:hint="eastAsia" w:ascii="宋体" w:hAnsi="宋体" w:eastAsia="宋体" w:cs="宋体"/>
          <w:b/>
          <w:color w:val="auto"/>
          <w:sz w:val="24"/>
          <w:highlight w:val="none"/>
        </w:rPr>
        <w:t>（一）实施依据</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本次招标工作按照《中华人民共和国政府采购法》等政府采购有关法律、法规、规章、文件的规定组织和实施。</w:t>
      </w:r>
    </w:p>
    <w:p>
      <w:pPr>
        <w:pStyle w:val="49"/>
        <w:adjustRightInd w:val="0"/>
        <w:snapToGrid w:val="0"/>
        <w:spacing w:line="360" w:lineRule="auto"/>
        <w:rPr>
          <w:rFonts w:hint="eastAsia" w:ascii="宋体" w:hAnsi="宋体" w:eastAsia="宋体" w:cs="宋体"/>
          <w:b/>
          <w:color w:val="auto"/>
          <w:sz w:val="24"/>
          <w:highlight w:val="none"/>
        </w:rPr>
      </w:pPr>
      <w:bookmarkStart w:id="17" w:name="_Toc91899873"/>
      <w:r>
        <w:rPr>
          <w:rFonts w:hint="eastAsia" w:ascii="宋体" w:hAnsi="宋体" w:eastAsia="宋体" w:cs="宋体"/>
          <w:b/>
          <w:color w:val="auto"/>
          <w:sz w:val="24"/>
          <w:highlight w:val="none"/>
        </w:rPr>
        <w:t>（二）采购方式</w:t>
      </w:r>
      <w:bookmarkEnd w:id="17"/>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公开招标。</w:t>
      </w:r>
      <w:bookmarkEnd w:id="15"/>
      <w:bookmarkEnd w:id="16"/>
      <w:bookmarkStart w:id="18" w:name="_Hlt74388212"/>
      <w:bookmarkEnd w:id="18"/>
      <w:bookmarkStart w:id="19" w:name="_Hlt68516771"/>
      <w:bookmarkEnd w:id="19"/>
    </w:p>
    <w:p>
      <w:pPr>
        <w:adjustRightInd w:val="0"/>
        <w:snapToGrid w:val="0"/>
        <w:spacing w:line="360" w:lineRule="auto"/>
        <w:rPr>
          <w:rFonts w:hint="eastAsia" w:ascii="宋体" w:hAnsi="宋体" w:eastAsia="宋体" w:cs="宋体"/>
          <w:b/>
          <w:color w:val="auto"/>
          <w:kern w:val="0"/>
          <w:sz w:val="24"/>
          <w:highlight w:val="none"/>
          <w:lang w:val="zh-CN"/>
        </w:rPr>
      </w:pPr>
      <w:bookmarkStart w:id="20" w:name="_Toc91899877"/>
      <w:bookmarkStart w:id="21" w:name="_Hlt74730303"/>
      <w:r>
        <w:rPr>
          <w:rFonts w:hint="eastAsia" w:ascii="宋体" w:hAnsi="宋体" w:eastAsia="宋体" w:cs="宋体"/>
          <w:b/>
          <w:color w:val="auto"/>
          <w:sz w:val="24"/>
          <w:highlight w:val="none"/>
        </w:rPr>
        <w:t>（三）</w:t>
      </w:r>
      <w:r>
        <w:rPr>
          <w:rFonts w:hint="eastAsia" w:ascii="宋体" w:hAnsi="宋体" w:eastAsia="宋体" w:cs="宋体"/>
          <w:b/>
          <w:color w:val="auto"/>
          <w:kern w:val="0"/>
          <w:sz w:val="24"/>
          <w:highlight w:val="none"/>
          <w:lang w:val="zh-CN"/>
        </w:rPr>
        <w:t>定义</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招标（采购）人：是指依法进行政府采购的国家机关、事业单位、团体组织，见本项目“招标公告”；</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招标（采购）代理机构：受招标人委托，在委托的范围内办理政府采购事宜并组织招标活动的机构，见本项目“招标公告”；</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投标人（投标人）：是指参加本政府采购项目投标的投标人；</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中标人：是指经评审获得本项目最终合同签订资格的投标人。</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买方（甲方）：是指合同签订的一方，一般与招标人、用户相同；</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卖方（乙方）：是指合同签订的另一方，一般与中标人相同；</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制造商：包括是指拥有投标产品自主知识产权的单位；</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政府采购监管部门：</w:t>
      </w:r>
      <w:r>
        <w:rPr>
          <w:rFonts w:hint="eastAsia" w:ascii="宋体" w:hAnsi="宋体" w:eastAsia="宋体" w:cs="宋体"/>
          <w:color w:val="auto"/>
          <w:sz w:val="24"/>
          <w:szCs w:val="22"/>
          <w:highlight w:val="none"/>
        </w:rPr>
        <w:t>衢州市柯城区财政局</w:t>
      </w:r>
      <w:r>
        <w:rPr>
          <w:rFonts w:hint="eastAsia" w:ascii="宋体" w:hAnsi="宋体" w:eastAsia="宋体" w:cs="宋体"/>
          <w:color w:val="auto"/>
          <w:sz w:val="24"/>
          <w:highlight w:val="none"/>
        </w:rPr>
        <w:t>；</w:t>
      </w:r>
    </w:p>
    <w:p>
      <w:pPr>
        <w:adjustRightInd w:val="0"/>
        <w:snapToGrid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产品（货物）：系指按招标文件规定，须向招标人提供的一切设备及配套备品备件、工具、手册及其他有关技术资料和材料；</w:t>
      </w:r>
    </w:p>
    <w:p>
      <w:pPr>
        <w:adjustRightInd w:val="0"/>
        <w:snapToGrid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应保证提供的产品为合法企业生产的合法产品，符合中华人民共和国有关法律、法规、规章、文件、标准、规范的规定。按国家规定应通过有关部门鉴定（批准）的产品，应保证已按国家规定通过了鉴定（批准）；实行产品许可证制度的产品须获得国家许可；实行强制性认证的产品须通过国家认可认证；产品应符合国家节能环保要求；投标人在投标文件中提供相关证明材料。</w:t>
      </w:r>
    </w:p>
    <w:p>
      <w:pPr>
        <w:tabs>
          <w:tab w:val="left" w:pos="0"/>
        </w:tabs>
        <w:autoSpaceDE w:val="0"/>
        <w:autoSpaceDN w:val="0"/>
        <w:adjustRightIn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服务：</w:t>
      </w:r>
      <w:r>
        <w:rPr>
          <w:rFonts w:hint="eastAsia" w:ascii="宋体" w:hAnsi="宋体" w:eastAsia="宋体" w:cs="宋体"/>
          <w:color w:val="auto"/>
          <w:kern w:val="0"/>
          <w:sz w:val="24"/>
          <w:highlight w:val="none"/>
          <w:lang w:val="zh-CN"/>
        </w:rPr>
        <w:t>系指按招标文件规定，须向招标人提供</w:t>
      </w:r>
      <w:r>
        <w:rPr>
          <w:rFonts w:hint="eastAsia" w:ascii="宋体" w:hAnsi="宋体" w:eastAsia="宋体" w:cs="宋体"/>
          <w:color w:val="auto"/>
          <w:sz w:val="24"/>
          <w:highlight w:val="none"/>
          <w:lang w:val="zh-CN"/>
        </w:rPr>
        <w:t xml:space="preserve">的与供货有关的辅助服务，如运输、保险、培训安装、调试、验收、技术支持和交付使用后质保期内应履行的售后服务等义务； </w:t>
      </w:r>
    </w:p>
    <w:p>
      <w:pPr>
        <w:tabs>
          <w:tab w:val="left" w:pos="0"/>
        </w:tabs>
        <w:autoSpaceDE w:val="0"/>
        <w:autoSpaceDN w:val="0"/>
        <w:adjustRightInd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培训：系指按招标文件规定，向招标人提供操作使用培训、系统管理培训和其他相关培训等。</w:t>
      </w:r>
    </w:p>
    <w:p>
      <w:pPr>
        <w:tabs>
          <w:tab w:val="left" w:pos="0"/>
        </w:tabs>
        <w:autoSpaceDE w:val="0"/>
        <w:autoSpaceDN w:val="0"/>
        <w:adjustRightInd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书面形式：包括纸质文件、电子邮件、传真、信函、电报等。</w:t>
      </w:r>
    </w:p>
    <w:p>
      <w:pPr>
        <w:adjustRightInd w:val="0"/>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实质性响应:系指投标文件符合招标文件规定的实质性内容、条件和规定。</w:t>
      </w:r>
    </w:p>
    <w:p>
      <w:pPr>
        <w:adjustRightInd w:val="0"/>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重大偏离或保留：系指将会影响到招标文件规定的服务范围、质量标准，或会给合同中规定的招标人的权利和投标人的责任造成实质性限制，而纠正这些偏离或保留将对其他提交了实质性响应的投标文件的投标人产生不公平影响的。</w:t>
      </w:r>
    </w:p>
    <w:p>
      <w:pPr>
        <w:tabs>
          <w:tab w:val="left" w:pos="0"/>
        </w:tabs>
        <w:autoSpaceDE w:val="0"/>
        <w:autoSpaceDN w:val="0"/>
        <w:adjustRightIn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val="zh-CN"/>
        </w:rPr>
        <w:t>细微偏离：系指投标文件对招标文件的非实质性内容存在不完全响应或不响应。</w:t>
      </w:r>
    </w:p>
    <w:p>
      <w:pPr>
        <w:adjustRightInd w:val="0"/>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（四）采购项目需要落实的政府采购政策</w:t>
      </w:r>
    </w:p>
    <w:p>
      <w:pPr>
        <w:spacing w:before="131" w:line="360" w:lineRule="auto"/>
        <w:ind w:left="7" w:right="86" w:firstLine="246"/>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lang w:val="en-US" w:eastAsia="zh-CN"/>
        </w:rPr>
        <w:t>4</w:t>
      </w:r>
      <w:r>
        <w:rPr>
          <w:rFonts w:ascii="宋体" w:hAnsi="宋体" w:eastAsia="宋体" w:cs="宋体"/>
          <w:color w:val="auto"/>
          <w:spacing w:val="-2"/>
          <w:sz w:val="24"/>
          <w:szCs w:val="24"/>
          <w:highlight w:val="none"/>
        </w:rPr>
        <w:t>.1</w:t>
      </w:r>
      <w:r>
        <w:rPr>
          <w:rFonts w:ascii="宋体" w:hAnsi="宋体" w:eastAsia="宋体" w:cs="宋体"/>
          <w:color w:val="auto"/>
          <w:spacing w:val="11"/>
          <w:sz w:val="24"/>
          <w:szCs w:val="24"/>
          <w:highlight w:val="none"/>
        </w:rPr>
        <w:t xml:space="preserve"> </w:t>
      </w:r>
      <w:r>
        <w:rPr>
          <w:rFonts w:ascii="宋体" w:hAnsi="宋体" w:eastAsia="宋体" w:cs="宋体"/>
          <w:color w:val="auto"/>
          <w:spacing w:val="-2"/>
          <w:sz w:val="24"/>
          <w:szCs w:val="24"/>
          <w:highlight w:val="none"/>
        </w:rPr>
        <w:t>本项目原则上采购本国生产的货物、工程和服务，不允许采购进口产品。除非招</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标人采购进口产品，已经在招标活动开始前向财政部门提出申请并获得财政部门审核同</w:t>
      </w:r>
      <w:r>
        <w:rPr>
          <w:rFonts w:ascii="宋体" w:hAnsi="宋体" w:eastAsia="宋体" w:cs="宋体"/>
          <w:color w:val="auto"/>
          <w:spacing w:val="18"/>
          <w:sz w:val="24"/>
          <w:szCs w:val="24"/>
          <w:highlight w:val="none"/>
        </w:rPr>
        <w:t xml:space="preserve"> </w:t>
      </w:r>
      <w:r>
        <w:rPr>
          <w:rFonts w:ascii="宋体" w:hAnsi="宋体" w:eastAsia="宋体" w:cs="宋体"/>
          <w:color w:val="auto"/>
          <w:spacing w:val="-2"/>
          <w:sz w:val="24"/>
          <w:szCs w:val="24"/>
          <w:highlight w:val="none"/>
        </w:rPr>
        <w:t>意，且在采购需求中明确规定可以采购进口产品（但如果因信息不对称等原因，仍有满</w:t>
      </w:r>
      <w:r>
        <w:rPr>
          <w:rFonts w:ascii="宋体" w:hAnsi="宋体" w:eastAsia="宋体" w:cs="宋体"/>
          <w:color w:val="auto"/>
          <w:spacing w:val="18"/>
          <w:sz w:val="24"/>
          <w:szCs w:val="24"/>
          <w:highlight w:val="none"/>
        </w:rPr>
        <w:t xml:space="preserve"> </w:t>
      </w:r>
      <w:r>
        <w:rPr>
          <w:rFonts w:ascii="宋体" w:hAnsi="宋体" w:eastAsia="宋体" w:cs="宋体"/>
          <w:color w:val="auto"/>
          <w:spacing w:val="-2"/>
          <w:sz w:val="24"/>
          <w:szCs w:val="24"/>
          <w:highlight w:val="none"/>
        </w:rPr>
        <w:t>足需求的国内产品要求参与采购竞争的，招标人、招标代理机构不会对其加以限制，仍</w:t>
      </w:r>
      <w:r>
        <w:rPr>
          <w:rFonts w:ascii="宋体" w:hAnsi="宋体" w:eastAsia="宋体" w:cs="宋体"/>
          <w:color w:val="auto"/>
          <w:spacing w:val="18"/>
          <w:sz w:val="24"/>
          <w:szCs w:val="24"/>
          <w:highlight w:val="none"/>
        </w:rPr>
        <w:t xml:space="preserve"> </w:t>
      </w:r>
      <w:r>
        <w:rPr>
          <w:rFonts w:ascii="宋体" w:hAnsi="宋体" w:eastAsia="宋体" w:cs="宋体"/>
          <w:color w:val="auto"/>
          <w:spacing w:val="-10"/>
          <w:sz w:val="24"/>
          <w:szCs w:val="24"/>
          <w:highlight w:val="none"/>
        </w:rPr>
        <w:t>将按照公平竞争原则实施采购）</w:t>
      </w:r>
      <w:r>
        <w:rPr>
          <w:rFonts w:ascii="宋体" w:hAnsi="宋体" w:eastAsia="宋体" w:cs="宋体"/>
          <w:color w:val="auto"/>
          <w:spacing w:val="22"/>
          <w:sz w:val="24"/>
          <w:szCs w:val="24"/>
          <w:highlight w:val="none"/>
        </w:rPr>
        <w:t xml:space="preserve"> </w:t>
      </w:r>
      <w:r>
        <w:rPr>
          <w:rFonts w:ascii="宋体" w:hAnsi="宋体" w:eastAsia="宋体" w:cs="宋体"/>
          <w:color w:val="auto"/>
          <w:spacing w:val="-10"/>
          <w:sz w:val="24"/>
          <w:szCs w:val="24"/>
          <w:highlight w:val="none"/>
        </w:rPr>
        <w:t>。</w:t>
      </w:r>
    </w:p>
    <w:p>
      <w:pPr>
        <w:spacing w:before="132" w:line="360" w:lineRule="auto"/>
        <w:ind w:firstLine="254"/>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lang w:val="en-US" w:eastAsia="zh-CN"/>
        </w:rPr>
        <w:t>4</w:t>
      </w:r>
      <w:r>
        <w:rPr>
          <w:rFonts w:ascii="宋体" w:hAnsi="宋体" w:eastAsia="宋体" w:cs="宋体"/>
          <w:color w:val="auto"/>
          <w:spacing w:val="-3"/>
          <w:sz w:val="24"/>
          <w:szCs w:val="24"/>
          <w:highlight w:val="none"/>
        </w:rPr>
        <w:t>.2</w:t>
      </w:r>
      <w:r>
        <w:rPr>
          <w:rFonts w:ascii="宋体" w:hAnsi="宋体" w:eastAsia="宋体" w:cs="宋体"/>
          <w:color w:val="auto"/>
          <w:spacing w:val="12"/>
          <w:sz w:val="24"/>
          <w:szCs w:val="24"/>
          <w:highlight w:val="none"/>
        </w:rPr>
        <w:t xml:space="preserve"> </w:t>
      </w:r>
      <w:r>
        <w:rPr>
          <w:rFonts w:ascii="宋体" w:hAnsi="宋体" w:eastAsia="宋体" w:cs="宋体"/>
          <w:color w:val="auto"/>
          <w:spacing w:val="-3"/>
          <w:sz w:val="24"/>
          <w:szCs w:val="24"/>
          <w:highlight w:val="none"/>
        </w:rPr>
        <w:t>支持绿色发展</w:t>
      </w:r>
    </w:p>
    <w:p>
      <w:pPr>
        <w:spacing w:before="135" w:line="360" w:lineRule="auto"/>
        <w:ind w:left="7" w:right="52" w:firstLine="486"/>
        <w:rPr>
          <w:rFonts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lang w:val="en-US" w:eastAsia="zh-CN"/>
        </w:rPr>
        <w:t>4</w:t>
      </w:r>
      <w:r>
        <w:rPr>
          <w:rFonts w:ascii="宋体" w:hAnsi="宋体" w:eastAsia="宋体" w:cs="宋体"/>
          <w:color w:val="auto"/>
          <w:spacing w:val="-1"/>
          <w:sz w:val="24"/>
          <w:szCs w:val="24"/>
          <w:highlight w:val="none"/>
        </w:rPr>
        <w:t>.2.1</w:t>
      </w:r>
      <w:r>
        <w:rPr>
          <w:rFonts w:ascii="宋体" w:hAnsi="宋体" w:eastAsia="宋体" w:cs="宋体"/>
          <w:color w:val="auto"/>
          <w:spacing w:val="-29"/>
          <w:sz w:val="24"/>
          <w:szCs w:val="24"/>
          <w:highlight w:val="none"/>
        </w:rPr>
        <w:t xml:space="preserve"> </w:t>
      </w:r>
      <w:r>
        <w:rPr>
          <w:rFonts w:ascii="宋体" w:hAnsi="宋体" w:eastAsia="宋体" w:cs="宋体"/>
          <w:color w:val="auto"/>
          <w:spacing w:val="-1"/>
          <w:sz w:val="24"/>
          <w:szCs w:val="24"/>
          <w:highlight w:val="none"/>
        </w:rPr>
        <w:t>招标人拟采购的产品属于品目清单范围的，招标人及其委托的采购代理机构</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将依据国家确定的认证机构出具的、处于有效期之内的节能产品、环境标志产品认证证</w:t>
      </w:r>
      <w:r>
        <w:rPr>
          <w:rFonts w:ascii="宋体" w:hAnsi="宋体" w:eastAsia="宋体" w:cs="宋体"/>
          <w:color w:val="auto"/>
          <w:spacing w:val="18"/>
          <w:sz w:val="24"/>
          <w:szCs w:val="24"/>
          <w:highlight w:val="none"/>
        </w:rPr>
        <w:t xml:space="preserve"> </w:t>
      </w:r>
      <w:r>
        <w:rPr>
          <w:rFonts w:ascii="宋体" w:hAnsi="宋体" w:eastAsia="宋体" w:cs="宋体"/>
          <w:color w:val="auto"/>
          <w:spacing w:val="-2"/>
          <w:sz w:val="24"/>
          <w:szCs w:val="24"/>
          <w:highlight w:val="none"/>
        </w:rPr>
        <w:t>书，对获得证书的产品实施政府优先采购或强制采购。投标人须按招标文件要求提供相</w:t>
      </w:r>
      <w:r>
        <w:rPr>
          <w:rFonts w:ascii="宋体" w:hAnsi="宋体" w:eastAsia="宋体" w:cs="宋体"/>
          <w:color w:val="auto"/>
          <w:spacing w:val="18"/>
          <w:sz w:val="24"/>
          <w:szCs w:val="24"/>
          <w:highlight w:val="none"/>
        </w:rPr>
        <w:t xml:space="preserve"> </w:t>
      </w:r>
      <w:r>
        <w:rPr>
          <w:rFonts w:ascii="宋体" w:hAnsi="宋体" w:eastAsia="宋体" w:cs="宋体"/>
          <w:color w:val="auto"/>
          <w:spacing w:val="5"/>
          <w:sz w:val="24"/>
          <w:szCs w:val="24"/>
          <w:highlight w:val="none"/>
        </w:rPr>
        <w:t>关产品认证证书。▲</w:t>
      </w:r>
      <w:r>
        <w:rPr>
          <w:b/>
          <w:bCs/>
          <w:color w:val="auto"/>
          <w:sz w:val="24"/>
          <w:szCs w:val="18"/>
          <w:highlight w:val="none"/>
        </w:rPr>
        <w:t>招标人拟采购的产品属于政府强制采购的节能产品品目清单范围 的，投标人未按招标文件要求提供国家确定的认证机构出具的、处于有效期之内的节能 产品认证证书的，投标无效。</w:t>
      </w:r>
    </w:p>
    <w:p>
      <w:pPr>
        <w:spacing w:before="2" w:line="360" w:lineRule="auto"/>
        <w:ind w:left="11" w:right="86" w:firstLine="482"/>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lang w:val="en-US" w:eastAsia="zh-CN"/>
        </w:rPr>
        <w:t>4</w:t>
      </w:r>
      <w:r>
        <w:rPr>
          <w:rFonts w:ascii="宋体" w:hAnsi="宋体" w:eastAsia="宋体" w:cs="宋体"/>
          <w:color w:val="auto"/>
          <w:spacing w:val="-2"/>
          <w:sz w:val="24"/>
          <w:szCs w:val="24"/>
          <w:highlight w:val="none"/>
        </w:rPr>
        <w:t>.2.2</w:t>
      </w:r>
      <w:r>
        <w:rPr>
          <w:rFonts w:ascii="宋体" w:hAnsi="宋体" w:eastAsia="宋体" w:cs="宋体"/>
          <w:color w:val="auto"/>
          <w:spacing w:val="11"/>
          <w:sz w:val="24"/>
          <w:szCs w:val="24"/>
          <w:highlight w:val="none"/>
        </w:rPr>
        <w:t xml:space="preserve"> </w:t>
      </w:r>
      <w:r>
        <w:rPr>
          <w:rFonts w:ascii="宋体" w:hAnsi="宋体" w:eastAsia="宋体" w:cs="宋体"/>
          <w:color w:val="auto"/>
          <w:spacing w:val="-2"/>
          <w:sz w:val="24"/>
          <w:szCs w:val="24"/>
          <w:highlight w:val="none"/>
        </w:rPr>
        <w:t>修缮、装修类项目采购建材的，招标人应将绿色建筑和绿色建材性能、指标</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等作为实质性条件纳入招标文件和合同。</w:t>
      </w:r>
    </w:p>
    <w:p>
      <w:pPr>
        <w:spacing w:before="2" w:line="360" w:lineRule="auto"/>
        <w:ind w:left="10" w:firstLine="483"/>
        <w:rPr>
          <w:rFonts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lang w:val="en-US" w:eastAsia="zh-CN"/>
        </w:rPr>
        <w:t>4</w:t>
      </w:r>
      <w:r>
        <w:rPr>
          <w:rFonts w:ascii="宋体" w:hAnsi="宋体" w:eastAsia="宋体" w:cs="宋体"/>
          <w:color w:val="auto"/>
          <w:spacing w:val="-1"/>
          <w:sz w:val="24"/>
          <w:szCs w:val="24"/>
          <w:highlight w:val="none"/>
        </w:rPr>
        <w:t>.2.3</w:t>
      </w:r>
      <w:r>
        <w:rPr>
          <w:rFonts w:ascii="宋体" w:hAnsi="宋体" w:eastAsia="宋体" w:cs="宋体"/>
          <w:color w:val="auto"/>
          <w:spacing w:val="-27"/>
          <w:sz w:val="24"/>
          <w:szCs w:val="24"/>
          <w:highlight w:val="none"/>
        </w:rPr>
        <w:t xml:space="preserve"> </w:t>
      </w:r>
      <w:r>
        <w:rPr>
          <w:rFonts w:ascii="宋体" w:hAnsi="宋体" w:eastAsia="宋体" w:cs="宋体"/>
          <w:color w:val="auto"/>
          <w:spacing w:val="-1"/>
          <w:sz w:val="24"/>
          <w:szCs w:val="24"/>
          <w:highlight w:val="none"/>
        </w:rPr>
        <w:t>为助力打好污染防治攻坚战，推广使用绿色包装，政府采购货物、工程和服</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务项目中涉及商品包装和快递包装的，供应商提供产品及相关快递服务的具体包装要求</w:t>
      </w:r>
      <w:r>
        <w:rPr>
          <w:rFonts w:ascii="宋体" w:hAnsi="宋体" w:eastAsia="宋体" w:cs="宋体"/>
          <w:color w:val="auto"/>
          <w:spacing w:val="15"/>
          <w:sz w:val="24"/>
          <w:szCs w:val="24"/>
          <w:highlight w:val="none"/>
        </w:rPr>
        <w:t xml:space="preserve"> </w:t>
      </w:r>
      <w:r>
        <w:rPr>
          <w:rFonts w:ascii="宋体" w:hAnsi="宋体" w:eastAsia="宋体" w:cs="宋体"/>
          <w:color w:val="auto"/>
          <w:spacing w:val="-17"/>
          <w:sz w:val="24"/>
          <w:szCs w:val="24"/>
          <w:highlight w:val="none"/>
        </w:rPr>
        <w:t>要参考《商品包装政府采购需求标准（试行）》、《快递包装政府采购需求标准（试行）》。</w:t>
      </w:r>
    </w:p>
    <w:p>
      <w:pPr>
        <w:spacing w:before="1" w:line="360" w:lineRule="auto"/>
        <w:ind w:firstLine="254"/>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lang w:val="en-US" w:eastAsia="zh-CN"/>
        </w:rPr>
        <w:t>4</w:t>
      </w:r>
      <w:r>
        <w:rPr>
          <w:rFonts w:ascii="宋体" w:hAnsi="宋体" w:eastAsia="宋体" w:cs="宋体"/>
          <w:color w:val="auto"/>
          <w:spacing w:val="-3"/>
          <w:sz w:val="24"/>
          <w:szCs w:val="24"/>
          <w:highlight w:val="none"/>
        </w:rPr>
        <w:t>.3</w:t>
      </w:r>
      <w:r>
        <w:rPr>
          <w:rFonts w:ascii="宋体" w:hAnsi="宋体" w:eastAsia="宋体" w:cs="宋体"/>
          <w:color w:val="auto"/>
          <w:spacing w:val="-42"/>
          <w:sz w:val="24"/>
          <w:szCs w:val="24"/>
          <w:highlight w:val="none"/>
        </w:rPr>
        <w:t xml:space="preserve"> </w:t>
      </w:r>
      <w:r>
        <w:rPr>
          <w:rFonts w:ascii="宋体" w:hAnsi="宋体" w:eastAsia="宋体" w:cs="宋体"/>
          <w:color w:val="auto"/>
          <w:spacing w:val="-3"/>
          <w:sz w:val="24"/>
          <w:szCs w:val="24"/>
          <w:highlight w:val="none"/>
        </w:rPr>
        <w:t>支持中小企业发展</w:t>
      </w:r>
    </w:p>
    <w:p>
      <w:pPr>
        <w:spacing w:before="110" w:line="360" w:lineRule="auto"/>
        <w:ind w:left="8" w:right="86" w:firstLine="485"/>
        <w:rPr>
          <w:rFonts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lang w:val="en-US" w:eastAsia="zh-CN"/>
        </w:rPr>
        <w:t>4</w:t>
      </w:r>
      <w:r>
        <w:rPr>
          <w:rFonts w:ascii="宋体" w:hAnsi="宋体" w:eastAsia="宋体" w:cs="宋体"/>
          <w:color w:val="auto"/>
          <w:spacing w:val="-1"/>
          <w:sz w:val="24"/>
          <w:szCs w:val="24"/>
          <w:highlight w:val="none"/>
        </w:rPr>
        <w:t>.3.1</w:t>
      </w:r>
      <w:r>
        <w:rPr>
          <w:rFonts w:ascii="宋体" w:hAnsi="宋体" w:eastAsia="宋体" w:cs="宋体"/>
          <w:color w:val="auto"/>
          <w:spacing w:val="-27"/>
          <w:sz w:val="24"/>
          <w:szCs w:val="24"/>
          <w:highlight w:val="none"/>
        </w:rPr>
        <w:t xml:space="preserve"> </w:t>
      </w:r>
      <w:r>
        <w:rPr>
          <w:rFonts w:ascii="宋体" w:hAnsi="宋体" w:eastAsia="宋体" w:cs="宋体"/>
          <w:color w:val="auto"/>
          <w:spacing w:val="-1"/>
          <w:sz w:val="24"/>
          <w:szCs w:val="24"/>
          <w:highlight w:val="none"/>
        </w:rPr>
        <w:t>中小企业，是指在中华人民共和国境内依法设立，依据国务院批准的中小企</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业划分标准确定的中型企业、小型企业和微型企业，但与大企业的负责人为同一人，或</w:t>
      </w:r>
      <w:r>
        <w:rPr>
          <w:rFonts w:ascii="宋体" w:hAnsi="宋体" w:eastAsia="宋体" w:cs="宋体"/>
          <w:color w:val="auto"/>
          <w:spacing w:val="-1"/>
          <w:sz w:val="24"/>
          <w:szCs w:val="24"/>
          <w:highlight w:val="none"/>
        </w:rPr>
        <w:t>者与大企业存在直接控股、管理关系的除外。</w:t>
      </w:r>
    </w:p>
    <w:p>
      <w:pPr>
        <w:spacing w:before="133" w:line="360" w:lineRule="auto"/>
        <w:ind w:firstLine="49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符合中小企业划分标准的个体工商户，在政府采购活动中视同中小企业。</w:t>
      </w:r>
    </w:p>
    <w:p>
      <w:pPr>
        <w:spacing w:before="130" w:line="360" w:lineRule="auto"/>
        <w:ind w:left="14" w:right="113" w:firstLine="480"/>
        <w:rPr>
          <w:rFonts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lang w:val="en-US" w:eastAsia="zh-CN"/>
        </w:rPr>
        <w:t>4</w:t>
      </w:r>
      <w:r>
        <w:rPr>
          <w:rFonts w:ascii="宋体" w:hAnsi="宋体" w:eastAsia="宋体" w:cs="宋体"/>
          <w:color w:val="auto"/>
          <w:spacing w:val="-1"/>
          <w:sz w:val="24"/>
          <w:szCs w:val="24"/>
          <w:highlight w:val="none"/>
        </w:rPr>
        <w:t>.3.2</w:t>
      </w:r>
      <w:r>
        <w:rPr>
          <w:rFonts w:ascii="宋体" w:hAnsi="宋体" w:eastAsia="宋体" w:cs="宋体"/>
          <w:color w:val="auto"/>
          <w:spacing w:val="-37"/>
          <w:sz w:val="24"/>
          <w:szCs w:val="24"/>
          <w:highlight w:val="none"/>
        </w:rPr>
        <w:t xml:space="preserve"> </w:t>
      </w:r>
      <w:r>
        <w:rPr>
          <w:rFonts w:ascii="宋体" w:hAnsi="宋体" w:eastAsia="宋体" w:cs="宋体"/>
          <w:color w:val="auto"/>
          <w:spacing w:val="-1"/>
          <w:sz w:val="24"/>
          <w:szCs w:val="24"/>
          <w:highlight w:val="none"/>
        </w:rPr>
        <w:t>在政府采购活动中，投标人提供的货物、工程或者服务符合下列情形的，享</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受中小企业扶持政策：</w:t>
      </w:r>
    </w:p>
    <w:p>
      <w:pPr>
        <w:spacing w:before="134" w:line="360" w:lineRule="auto"/>
        <w:ind w:left="13" w:right="113" w:firstLine="480"/>
        <w:rPr>
          <w:rFonts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lang w:val="en-US" w:eastAsia="zh-CN"/>
        </w:rPr>
        <w:t>4</w:t>
      </w:r>
      <w:r>
        <w:rPr>
          <w:rFonts w:ascii="宋体" w:hAnsi="宋体" w:eastAsia="宋体" w:cs="宋体"/>
          <w:color w:val="auto"/>
          <w:spacing w:val="-6"/>
          <w:sz w:val="24"/>
          <w:szCs w:val="24"/>
          <w:highlight w:val="none"/>
        </w:rPr>
        <w:t>.3.2.1</w:t>
      </w:r>
      <w:r>
        <w:rPr>
          <w:rFonts w:ascii="宋体" w:hAnsi="宋体" w:eastAsia="宋体" w:cs="宋体"/>
          <w:color w:val="auto"/>
          <w:spacing w:val="-19"/>
          <w:sz w:val="24"/>
          <w:szCs w:val="24"/>
          <w:highlight w:val="none"/>
        </w:rPr>
        <w:t xml:space="preserve"> </w:t>
      </w:r>
      <w:r>
        <w:rPr>
          <w:rFonts w:ascii="宋体" w:hAnsi="宋体" w:eastAsia="宋体" w:cs="宋体"/>
          <w:color w:val="auto"/>
          <w:spacing w:val="-6"/>
          <w:sz w:val="24"/>
          <w:szCs w:val="24"/>
          <w:highlight w:val="none"/>
        </w:rPr>
        <w:t>在货物采购项目中，货物由中小企业制造，即货物由中小企业生产且使用</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该中小企业商号或者注册商标；</w:t>
      </w:r>
    </w:p>
    <w:p>
      <w:pPr>
        <w:spacing w:before="2" w:line="360" w:lineRule="auto"/>
        <w:ind w:firstLine="494"/>
        <w:rPr>
          <w:rFonts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lang w:val="en-US" w:eastAsia="zh-CN"/>
        </w:rPr>
        <w:t>4</w:t>
      </w:r>
      <w:r>
        <w:rPr>
          <w:rFonts w:ascii="宋体" w:hAnsi="宋体" w:eastAsia="宋体" w:cs="宋体"/>
          <w:color w:val="auto"/>
          <w:spacing w:val="-6"/>
          <w:sz w:val="24"/>
          <w:szCs w:val="24"/>
          <w:highlight w:val="none"/>
        </w:rPr>
        <w:t>.3.2.2</w:t>
      </w:r>
      <w:r>
        <w:rPr>
          <w:rFonts w:ascii="宋体" w:hAnsi="宋体" w:eastAsia="宋体" w:cs="宋体"/>
          <w:color w:val="auto"/>
          <w:spacing w:val="-16"/>
          <w:sz w:val="24"/>
          <w:szCs w:val="24"/>
          <w:highlight w:val="none"/>
        </w:rPr>
        <w:t xml:space="preserve"> </w:t>
      </w:r>
      <w:r>
        <w:rPr>
          <w:rFonts w:ascii="宋体" w:hAnsi="宋体" w:eastAsia="宋体" w:cs="宋体"/>
          <w:color w:val="auto"/>
          <w:spacing w:val="-6"/>
          <w:sz w:val="24"/>
          <w:szCs w:val="24"/>
          <w:highlight w:val="none"/>
        </w:rPr>
        <w:t>在工程采购项目中，工程由中小企业承建，即工程施工单位为中小企业；</w:t>
      </w:r>
    </w:p>
    <w:p>
      <w:pPr>
        <w:spacing w:before="109" w:line="360" w:lineRule="auto"/>
        <w:ind w:firstLine="494"/>
        <w:rPr>
          <w:rFonts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lang w:val="en-US" w:eastAsia="zh-CN"/>
        </w:rPr>
        <w:t>4</w:t>
      </w:r>
      <w:r>
        <w:rPr>
          <w:rFonts w:ascii="宋体" w:hAnsi="宋体" w:eastAsia="宋体" w:cs="宋体"/>
          <w:color w:val="auto"/>
          <w:spacing w:val="-6"/>
          <w:sz w:val="24"/>
          <w:szCs w:val="24"/>
          <w:highlight w:val="none"/>
        </w:rPr>
        <w:t>.3.2.3</w:t>
      </w:r>
      <w:r>
        <w:rPr>
          <w:rFonts w:ascii="宋体" w:hAnsi="宋体" w:eastAsia="宋体" w:cs="宋体"/>
          <w:color w:val="auto"/>
          <w:spacing w:val="-13"/>
          <w:sz w:val="24"/>
          <w:szCs w:val="24"/>
          <w:highlight w:val="none"/>
        </w:rPr>
        <w:t xml:space="preserve"> </w:t>
      </w:r>
      <w:r>
        <w:rPr>
          <w:rFonts w:ascii="宋体" w:hAnsi="宋体" w:eastAsia="宋体" w:cs="宋体"/>
          <w:color w:val="auto"/>
          <w:spacing w:val="-6"/>
          <w:sz w:val="24"/>
          <w:szCs w:val="24"/>
          <w:highlight w:val="none"/>
        </w:rPr>
        <w:t>在服务采购项目中，服务由中小企业承接，即提供服务的人员为中小企业</w:t>
      </w:r>
    </w:p>
    <w:p>
      <w:pPr>
        <w:spacing w:before="134" w:line="360" w:lineRule="auto"/>
        <w:ind w:firstLine="11"/>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依照《中华人民共和国劳动合同法》订立劳动合同的从业人员。</w:t>
      </w:r>
    </w:p>
    <w:p>
      <w:pPr>
        <w:spacing w:before="134" w:line="360" w:lineRule="auto"/>
        <w:ind w:left="15" w:right="104" w:firstLine="47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在货物采购项目中，投标人提供的货物既有中小企业制造货物，也有大型企业制造</w:t>
      </w:r>
      <w:r>
        <w:rPr>
          <w:rFonts w:ascii="宋体" w:hAnsi="宋体" w:eastAsia="宋体" w:cs="宋体"/>
          <w:color w:val="auto"/>
          <w:spacing w:val="13"/>
          <w:sz w:val="24"/>
          <w:szCs w:val="24"/>
          <w:highlight w:val="none"/>
        </w:rPr>
        <w:t xml:space="preserve"> </w:t>
      </w:r>
      <w:r>
        <w:rPr>
          <w:rFonts w:ascii="宋体" w:hAnsi="宋体" w:eastAsia="宋体" w:cs="宋体"/>
          <w:color w:val="auto"/>
          <w:spacing w:val="-1"/>
          <w:sz w:val="24"/>
          <w:szCs w:val="24"/>
          <w:highlight w:val="none"/>
        </w:rPr>
        <w:t>货物的，不享受中小企业扶持政策。</w:t>
      </w:r>
    </w:p>
    <w:p>
      <w:pPr>
        <w:spacing w:before="1" w:line="360" w:lineRule="auto"/>
        <w:ind w:left="8" w:right="104" w:firstLine="508"/>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以联合体形式参加政府采购活动，联合体各方均为中小企业的，联合体视同中小企</w:t>
      </w:r>
      <w:r>
        <w:rPr>
          <w:rFonts w:ascii="宋体" w:hAnsi="宋体" w:eastAsia="宋体" w:cs="宋体"/>
          <w:color w:val="auto"/>
          <w:spacing w:val="21"/>
          <w:sz w:val="24"/>
          <w:szCs w:val="24"/>
          <w:highlight w:val="none"/>
        </w:rPr>
        <w:t xml:space="preserve"> </w:t>
      </w:r>
      <w:r>
        <w:rPr>
          <w:rFonts w:ascii="宋体" w:hAnsi="宋体" w:eastAsia="宋体" w:cs="宋体"/>
          <w:color w:val="auto"/>
          <w:spacing w:val="-1"/>
          <w:sz w:val="24"/>
          <w:szCs w:val="24"/>
          <w:highlight w:val="none"/>
        </w:rPr>
        <w:t>业。其中，联合体各方均为小微企业的，联合体视同小微企业。</w:t>
      </w:r>
    </w:p>
    <w:p>
      <w:pPr>
        <w:spacing w:before="128" w:line="360" w:lineRule="auto"/>
        <w:ind w:left="9" w:right="104" w:firstLine="484"/>
        <w:rPr>
          <w:rFonts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lang w:val="en-US" w:eastAsia="zh-CN"/>
        </w:rPr>
        <w:t>4</w:t>
      </w:r>
      <w:r>
        <w:rPr>
          <w:rFonts w:ascii="宋体" w:hAnsi="宋体" w:eastAsia="宋体" w:cs="宋体"/>
          <w:color w:val="auto"/>
          <w:spacing w:val="-1"/>
          <w:sz w:val="24"/>
          <w:szCs w:val="24"/>
          <w:highlight w:val="none"/>
        </w:rPr>
        <w:t>.3.3</w:t>
      </w:r>
      <w:r>
        <w:rPr>
          <w:rFonts w:ascii="宋体" w:hAnsi="宋体" w:eastAsia="宋体" w:cs="宋体"/>
          <w:color w:val="auto"/>
          <w:spacing w:val="-27"/>
          <w:sz w:val="24"/>
          <w:szCs w:val="24"/>
          <w:highlight w:val="none"/>
        </w:rPr>
        <w:t xml:space="preserve"> </w:t>
      </w:r>
      <w:r>
        <w:rPr>
          <w:rFonts w:ascii="宋体" w:hAnsi="宋体" w:eastAsia="宋体" w:cs="宋体"/>
          <w:color w:val="auto"/>
          <w:spacing w:val="-1"/>
          <w:sz w:val="24"/>
          <w:szCs w:val="24"/>
          <w:highlight w:val="none"/>
        </w:rPr>
        <w:t>对于未预留份额专门面向中小企业的政府采购货物或服务项目，以及预留份</w:t>
      </w:r>
      <w:r>
        <w:rPr>
          <w:rFonts w:ascii="宋体" w:hAnsi="宋体" w:eastAsia="宋体" w:cs="宋体"/>
          <w:color w:val="auto"/>
          <w:sz w:val="24"/>
          <w:szCs w:val="24"/>
          <w:highlight w:val="none"/>
        </w:rPr>
        <w:t xml:space="preserve"> </w:t>
      </w:r>
      <w:r>
        <w:rPr>
          <w:rFonts w:ascii="宋体" w:hAnsi="宋体" w:eastAsia="宋体" w:cs="宋体"/>
          <w:color w:val="auto"/>
          <w:spacing w:val="4"/>
          <w:sz w:val="24"/>
          <w:szCs w:val="24"/>
          <w:highlight w:val="none"/>
        </w:rPr>
        <w:t>额政府采购货物或服务项目中的非预留部分标项，对小型和微型企业的投标报价给予</w:t>
      </w:r>
      <w:r>
        <w:rPr>
          <w:rFonts w:ascii="宋体" w:hAnsi="宋体" w:eastAsia="宋体" w:cs="宋体"/>
          <w:color w:val="auto"/>
          <w:spacing w:val="1"/>
          <w:sz w:val="24"/>
          <w:szCs w:val="24"/>
          <w:highlight w:val="none"/>
        </w:rPr>
        <w:t>10%的扣除，用扣除后的价格参与评审。接受大中型企业与小微企业组成联合体或者允</w:t>
      </w:r>
      <w:r>
        <w:rPr>
          <w:rFonts w:ascii="宋体" w:hAnsi="宋体" w:eastAsia="宋体" w:cs="宋体"/>
          <w:color w:val="auto"/>
          <w:spacing w:val="-2"/>
          <w:sz w:val="24"/>
          <w:szCs w:val="24"/>
          <w:highlight w:val="none"/>
        </w:rPr>
        <w:t>许大中型企业向一家或者多家小微企业分包的政府采购货物或服务项目，对于联合协议</w:t>
      </w:r>
      <w:r>
        <w:rPr>
          <w:rFonts w:ascii="宋体" w:hAnsi="宋体" w:eastAsia="宋体" w:cs="宋体"/>
          <w:color w:val="auto"/>
          <w:spacing w:val="-1"/>
          <w:sz w:val="24"/>
          <w:szCs w:val="24"/>
          <w:highlight w:val="none"/>
        </w:rPr>
        <w:t>或者分包意向协议约定小微企业的合同份额占到合同总金额</w:t>
      </w:r>
      <w:r>
        <w:rPr>
          <w:rFonts w:ascii="宋体" w:hAnsi="宋体" w:eastAsia="宋体" w:cs="宋体"/>
          <w:color w:val="auto"/>
          <w:spacing w:val="-21"/>
          <w:sz w:val="24"/>
          <w:szCs w:val="24"/>
          <w:highlight w:val="none"/>
        </w:rPr>
        <w:t xml:space="preserve"> </w:t>
      </w:r>
      <w:r>
        <w:rPr>
          <w:rFonts w:ascii="宋体" w:hAnsi="宋体" w:eastAsia="宋体" w:cs="宋体"/>
          <w:color w:val="auto"/>
          <w:spacing w:val="-1"/>
          <w:sz w:val="24"/>
          <w:szCs w:val="24"/>
          <w:highlight w:val="none"/>
        </w:rPr>
        <w:t>30%以上的，对联合体或者</w:t>
      </w:r>
      <w:r>
        <w:rPr>
          <w:rFonts w:ascii="宋体" w:hAnsi="宋体" w:eastAsia="宋体" w:cs="宋体"/>
          <w:color w:val="auto"/>
          <w:spacing w:val="-4"/>
          <w:sz w:val="24"/>
          <w:szCs w:val="24"/>
          <w:highlight w:val="none"/>
        </w:rPr>
        <w:t>大中型企业的报价给予</w:t>
      </w:r>
      <w:r>
        <w:rPr>
          <w:rFonts w:hint="eastAsia" w:ascii="宋体" w:hAnsi="宋体" w:cs="宋体"/>
          <w:color w:val="auto"/>
          <w:spacing w:val="-24"/>
          <w:sz w:val="24"/>
          <w:szCs w:val="24"/>
          <w:highlight w:val="none"/>
          <w:lang w:val="en-US" w:eastAsia="zh-CN"/>
        </w:rPr>
        <w:t>4%</w:t>
      </w:r>
      <w:r>
        <w:rPr>
          <w:rFonts w:ascii="宋体" w:hAnsi="宋体" w:eastAsia="宋体" w:cs="宋体"/>
          <w:color w:val="auto"/>
          <w:spacing w:val="-4"/>
          <w:sz w:val="24"/>
          <w:szCs w:val="24"/>
          <w:highlight w:val="none"/>
        </w:rPr>
        <w:t>的扣除，用扣除后的价格参加评审。组成联合体或者接受分包</w:t>
      </w:r>
      <w:r>
        <w:rPr>
          <w:rFonts w:ascii="宋体" w:hAnsi="宋体" w:eastAsia="宋体" w:cs="宋体"/>
          <w:color w:val="auto"/>
          <w:spacing w:val="-2"/>
          <w:sz w:val="24"/>
          <w:szCs w:val="24"/>
          <w:highlight w:val="none"/>
        </w:rPr>
        <w:t>的小微企业与联合体内其他企业、分包企业之间存在直接控股、管理关系的，不享受价格扣除优惠政策。</w:t>
      </w:r>
    </w:p>
    <w:p>
      <w:pPr>
        <w:spacing w:before="132" w:line="360" w:lineRule="auto"/>
        <w:ind w:left="8" w:right="104" w:firstLine="485"/>
        <w:rPr>
          <w:rFonts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lang w:val="en-US" w:eastAsia="zh-CN"/>
        </w:rPr>
        <w:t>4</w:t>
      </w:r>
      <w:r>
        <w:rPr>
          <w:rFonts w:ascii="宋体" w:hAnsi="宋体" w:eastAsia="宋体" w:cs="宋体"/>
          <w:color w:val="auto"/>
          <w:spacing w:val="-7"/>
          <w:sz w:val="24"/>
          <w:szCs w:val="24"/>
          <w:highlight w:val="none"/>
        </w:rPr>
        <w:t>.3.4</w:t>
      </w:r>
      <w:r>
        <w:rPr>
          <w:rFonts w:ascii="宋体" w:hAnsi="宋体" w:eastAsia="宋体" w:cs="宋体"/>
          <w:color w:val="auto"/>
          <w:spacing w:val="-36"/>
          <w:sz w:val="24"/>
          <w:szCs w:val="24"/>
          <w:highlight w:val="none"/>
        </w:rPr>
        <w:t xml:space="preserve"> </w:t>
      </w:r>
      <w:r>
        <w:rPr>
          <w:rFonts w:ascii="宋体" w:hAnsi="宋体" w:eastAsia="宋体" w:cs="宋体"/>
          <w:color w:val="auto"/>
          <w:spacing w:val="-7"/>
          <w:sz w:val="24"/>
          <w:szCs w:val="24"/>
          <w:highlight w:val="none"/>
        </w:rPr>
        <w:t>符合《关于促进残疾人就业政府采购政策的通知》</w:t>
      </w:r>
      <w:r>
        <w:rPr>
          <w:rFonts w:ascii="宋体" w:hAnsi="宋体" w:eastAsia="宋体" w:cs="宋体"/>
          <w:color w:val="auto"/>
          <w:spacing w:val="-12"/>
          <w:sz w:val="24"/>
          <w:szCs w:val="24"/>
          <w:highlight w:val="none"/>
        </w:rPr>
        <w:t xml:space="preserve"> </w:t>
      </w:r>
      <w:r>
        <w:rPr>
          <w:rFonts w:ascii="宋体" w:hAnsi="宋体" w:eastAsia="宋体" w:cs="宋体"/>
          <w:color w:val="auto"/>
          <w:spacing w:val="-7"/>
          <w:sz w:val="24"/>
          <w:szCs w:val="24"/>
          <w:highlight w:val="none"/>
        </w:rPr>
        <w:t>（财库〔2017〕</w:t>
      </w:r>
      <w:r>
        <w:rPr>
          <w:rFonts w:ascii="宋体" w:hAnsi="宋体" w:eastAsia="宋体" w:cs="宋体"/>
          <w:color w:val="auto"/>
          <w:spacing w:val="57"/>
          <w:sz w:val="24"/>
          <w:szCs w:val="24"/>
          <w:highlight w:val="none"/>
        </w:rPr>
        <w:t xml:space="preserve"> </w:t>
      </w:r>
      <w:r>
        <w:rPr>
          <w:rFonts w:ascii="宋体" w:hAnsi="宋体" w:eastAsia="宋体" w:cs="宋体"/>
          <w:color w:val="auto"/>
          <w:spacing w:val="-7"/>
          <w:sz w:val="24"/>
          <w:szCs w:val="24"/>
          <w:highlight w:val="none"/>
        </w:rPr>
        <w:t>141</w:t>
      </w:r>
      <w:r>
        <w:rPr>
          <w:rFonts w:ascii="宋体" w:hAnsi="宋体" w:eastAsia="宋体" w:cs="宋体"/>
          <w:color w:val="auto"/>
          <w:spacing w:val="-43"/>
          <w:sz w:val="24"/>
          <w:szCs w:val="24"/>
          <w:highlight w:val="none"/>
        </w:rPr>
        <w:t xml:space="preserve"> </w:t>
      </w:r>
      <w:r>
        <w:rPr>
          <w:rFonts w:ascii="宋体" w:hAnsi="宋体" w:eastAsia="宋体" w:cs="宋体"/>
          <w:color w:val="auto"/>
          <w:spacing w:val="-7"/>
          <w:sz w:val="24"/>
          <w:szCs w:val="24"/>
          <w:highlight w:val="none"/>
        </w:rPr>
        <w:t>号）</w:t>
      </w:r>
      <w:r>
        <w:rPr>
          <w:rFonts w:ascii="宋体" w:hAnsi="宋体" w:eastAsia="宋体" w:cs="宋体"/>
          <w:color w:val="auto"/>
          <w:sz w:val="24"/>
          <w:szCs w:val="24"/>
          <w:highlight w:val="none"/>
        </w:rPr>
        <w:t xml:space="preserve"> </w:t>
      </w:r>
      <w:r>
        <w:rPr>
          <w:rFonts w:ascii="宋体" w:hAnsi="宋体" w:eastAsia="宋体" w:cs="宋体"/>
          <w:color w:val="auto"/>
          <w:spacing w:val="-5"/>
          <w:sz w:val="24"/>
          <w:szCs w:val="24"/>
          <w:highlight w:val="none"/>
        </w:rPr>
        <w:t>规定的条件并提供《残疾人福利性单位声明函》</w:t>
      </w:r>
      <w:r>
        <w:rPr>
          <w:rFonts w:ascii="宋体" w:hAnsi="宋体" w:eastAsia="宋体" w:cs="宋体"/>
          <w:color w:val="auto"/>
          <w:spacing w:val="11"/>
          <w:sz w:val="24"/>
          <w:szCs w:val="24"/>
          <w:highlight w:val="none"/>
        </w:rPr>
        <w:t xml:space="preserve"> </w:t>
      </w:r>
      <w:r>
        <w:rPr>
          <w:rFonts w:ascii="宋体" w:hAnsi="宋体" w:eastAsia="宋体" w:cs="宋体"/>
          <w:color w:val="auto"/>
          <w:spacing w:val="-5"/>
          <w:sz w:val="24"/>
          <w:szCs w:val="24"/>
          <w:highlight w:val="none"/>
        </w:rPr>
        <w:t>的残疾人福利性单位视同小型、微型企</w:t>
      </w:r>
      <w:r>
        <w:rPr>
          <w:rFonts w:ascii="宋体" w:hAnsi="宋体" w:eastAsia="宋体" w:cs="宋体"/>
          <w:color w:val="auto"/>
          <w:sz w:val="24"/>
          <w:szCs w:val="24"/>
          <w:highlight w:val="none"/>
        </w:rPr>
        <w:t xml:space="preserve"> </w:t>
      </w:r>
      <w:r>
        <w:rPr>
          <w:rFonts w:ascii="宋体" w:hAnsi="宋体" w:eastAsia="宋体" w:cs="宋体"/>
          <w:color w:val="auto"/>
          <w:spacing w:val="-5"/>
          <w:sz w:val="24"/>
          <w:szCs w:val="24"/>
          <w:highlight w:val="none"/>
        </w:rPr>
        <w:t>业；</w:t>
      </w:r>
    </w:p>
    <w:p>
      <w:pPr>
        <w:spacing w:before="1" w:line="360" w:lineRule="auto"/>
        <w:ind w:left="10" w:firstLine="483"/>
        <w:rPr>
          <w:rFonts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lang w:val="en-US" w:eastAsia="zh-CN"/>
        </w:rPr>
        <w:t>4</w:t>
      </w:r>
      <w:r>
        <w:rPr>
          <w:rFonts w:ascii="宋体" w:hAnsi="宋体" w:eastAsia="宋体" w:cs="宋体"/>
          <w:color w:val="auto"/>
          <w:spacing w:val="-6"/>
          <w:sz w:val="24"/>
          <w:szCs w:val="24"/>
          <w:highlight w:val="none"/>
        </w:rPr>
        <w:t>.3.5</w:t>
      </w:r>
      <w:r>
        <w:rPr>
          <w:rFonts w:ascii="宋体" w:hAnsi="宋体" w:eastAsia="宋体" w:cs="宋体"/>
          <w:color w:val="auto"/>
          <w:spacing w:val="-18"/>
          <w:sz w:val="24"/>
          <w:szCs w:val="24"/>
          <w:highlight w:val="none"/>
        </w:rPr>
        <w:t xml:space="preserve"> </w:t>
      </w:r>
      <w:r>
        <w:rPr>
          <w:rFonts w:ascii="宋体" w:hAnsi="宋体" w:eastAsia="宋体" w:cs="宋体"/>
          <w:color w:val="auto"/>
          <w:spacing w:val="-6"/>
          <w:sz w:val="24"/>
          <w:szCs w:val="24"/>
          <w:highlight w:val="none"/>
        </w:rPr>
        <w:t>符合《关于政府采购支持监狱企业发展有关问题的通知》（财库[2014]68</w:t>
      </w:r>
      <w:r>
        <w:rPr>
          <w:rFonts w:ascii="宋体" w:hAnsi="宋体" w:eastAsia="宋体" w:cs="宋体"/>
          <w:color w:val="auto"/>
          <w:spacing w:val="-45"/>
          <w:sz w:val="24"/>
          <w:szCs w:val="24"/>
          <w:highlight w:val="none"/>
        </w:rPr>
        <w:t xml:space="preserve"> </w:t>
      </w:r>
      <w:r>
        <w:rPr>
          <w:rFonts w:ascii="宋体" w:hAnsi="宋体" w:eastAsia="宋体" w:cs="宋体"/>
          <w:color w:val="auto"/>
          <w:spacing w:val="-6"/>
          <w:sz w:val="24"/>
          <w:szCs w:val="24"/>
          <w:highlight w:val="none"/>
        </w:rPr>
        <w:t>号）</w:t>
      </w:r>
      <w:r>
        <w:rPr>
          <w:rFonts w:ascii="宋体" w:hAnsi="宋体" w:eastAsia="宋体" w:cs="宋体"/>
          <w:color w:val="auto"/>
          <w:sz w:val="24"/>
          <w:szCs w:val="24"/>
          <w:highlight w:val="none"/>
        </w:rPr>
        <w:t xml:space="preserve"> </w:t>
      </w:r>
      <w:r>
        <w:rPr>
          <w:rFonts w:ascii="宋体" w:hAnsi="宋体" w:eastAsia="宋体" w:cs="宋体"/>
          <w:color w:val="auto"/>
          <w:spacing w:val="-5"/>
          <w:sz w:val="24"/>
          <w:szCs w:val="24"/>
          <w:highlight w:val="none"/>
        </w:rPr>
        <w:t>规定的监狱企业并提供由省级以上监狱管理局、戒毒管理局（含新疆生产建设兵团）</w:t>
      </w:r>
      <w:r>
        <w:rPr>
          <w:rFonts w:ascii="宋体" w:hAnsi="宋体" w:eastAsia="宋体" w:cs="宋体"/>
          <w:color w:val="auto"/>
          <w:spacing w:val="9"/>
          <w:sz w:val="24"/>
          <w:szCs w:val="24"/>
          <w:highlight w:val="none"/>
        </w:rPr>
        <w:t xml:space="preserve"> </w:t>
      </w:r>
      <w:r>
        <w:rPr>
          <w:rFonts w:ascii="宋体" w:hAnsi="宋体" w:eastAsia="宋体" w:cs="宋体"/>
          <w:color w:val="auto"/>
          <w:spacing w:val="-5"/>
          <w:sz w:val="24"/>
          <w:szCs w:val="24"/>
          <w:highlight w:val="none"/>
        </w:rPr>
        <w:t>出</w:t>
      </w:r>
      <w:r>
        <w:rPr>
          <w:rFonts w:ascii="宋体" w:hAnsi="宋体" w:eastAsia="宋体" w:cs="宋体"/>
          <w:color w:val="auto"/>
          <w:spacing w:val="-1"/>
          <w:sz w:val="24"/>
          <w:szCs w:val="24"/>
          <w:highlight w:val="none"/>
        </w:rPr>
        <w:t>具的属于监狱企业证明文件的，视同为小型、微型企业。</w:t>
      </w:r>
    </w:p>
    <w:p>
      <w:pPr>
        <w:spacing w:before="2" w:line="360" w:lineRule="auto"/>
        <w:ind w:left="8" w:right="104" w:firstLine="485"/>
        <w:rPr>
          <w:rFonts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lang w:val="en-US" w:eastAsia="zh-CN"/>
        </w:rPr>
        <w:t>4</w:t>
      </w:r>
      <w:r>
        <w:rPr>
          <w:rFonts w:ascii="宋体" w:hAnsi="宋体" w:eastAsia="宋体" w:cs="宋体"/>
          <w:color w:val="auto"/>
          <w:spacing w:val="-1"/>
          <w:sz w:val="24"/>
          <w:szCs w:val="24"/>
          <w:highlight w:val="none"/>
        </w:rPr>
        <w:t>.3.6</w:t>
      </w:r>
      <w:r>
        <w:rPr>
          <w:rFonts w:ascii="宋体" w:hAnsi="宋体" w:eastAsia="宋体" w:cs="宋体"/>
          <w:color w:val="auto"/>
          <w:spacing w:val="-27"/>
          <w:sz w:val="24"/>
          <w:szCs w:val="24"/>
          <w:highlight w:val="none"/>
        </w:rPr>
        <w:t xml:space="preserve"> </w:t>
      </w:r>
      <w:r>
        <w:rPr>
          <w:rFonts w:ascii="宋体" w:hAnsi="宋体" w:eastAsia="宋体" w:cs="宋体"/>
          <w:color w:val="auto"/>
          <w:spacing w:val="-1"/>
          <w:sz w:val="24"/>
          <w:szCs w:val="24"/>
          <w:highlight w:val="none"/>
        </w:rPr>
        <w:t>可享受中小企业扶持政策的投标人应按照招标文件格式要求提供《中小企业</w:t>
      </w:r>
      <w:r>
        <w:rPr>
          <w:rFonts w:ascii="宋体" w:hAnsi="宋体" w:eastAsia="宋体" w:cs="宋体"/>
          <w:color w:val="auto"/>
          <w:sz w:val="24"/>
          <w:szCs w:val="24"/>
          <w:highlight w:val="none"/>
        </w:rPr>
        <w:t xml:space="preserve"> </w:t>
      </w:r>
      <w:r>
        <w:rPr>
          <w:rFonts w:ascii="宋体" w:hAnsi="宋体" w:eastAsia="宋体" w:cs="宋体"/>
          <w:color w:val="auto"/>
          <w:spacing w:val="-9"/>
          <w:sz w:val="24"/>
          <w:szCs w:val="24"/>
          <w:highlight w:val="none"/>
        </w:rPr>
        <w:t>声明函》，投标人提供的《中小企业声明函》 与实际情况不符的，不享受中小企业扶持</w:t>
      </w:r>
      <w:r>
        <w:rPr>
          <w:rFonts w:ascii="宋体" w:hAnsi="宋体" w:eastAsia="宋体" w:cs="宋体"/>
          <w:color w:val="auto"/>
          <w:spacing w:val="-1"/>
          <w:sz w:val="24"/>
          <w:szCs w:val="24"/>
          <w:highlight w:val="none"/>
        </w:rPr>
        <w:t>政策。声明内容不实的，属于提供虚假材料谋取中标、成交的，依法承担法律责任。</w:t>
      </w:r>
    </w:p>
    <w:p>
      <w:pPr>
        <w:spacing w:before="1" w:line="360" w:lineRule="auto"/>
        <w:ind w:left="32" w:right="104" w:firstLine="462"/>
        <w:rPr>
          <w:rFonts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lang w:val="en-US" w:eastAsia="zh-CN"/>
        </w:rPr>
        <w:t>4</w:t>
      </w:r>
      <w:r>
        <w:rPr>
          <w:rFonts w:ascii="宋体" w:hAnsi="宋体" w:eastAsia="宋体" w:cs="宋体"/>
          <w:color w:val="auto"/>
          <w:spacing w:val="-1"/>
          <w:sz w:val="24"/>
          <w:szCs w:val="24"/>
          <w:highlight w:val="none"/>
        </w:rPr>
        <w:t>.3.7</w:t>
      </w:r>
      <w:r>
        <w:rPr>
          <w:rFonts w:ascii="宋体" w:hAnsi="宋体" w:eastAsia="宋体" w:cs="宋体"/>
          <w:color w:val="auto"/>
          <w:spacing w:val="-27"/>
          <w:sz w:val="24"/>
          <w:szCs w:val="24"/>
          <w:highlight w:val="none"/>
        </w:rPr>
        <w:t xml:space="preserve"> </w:t>
      </w:r>
      <w:r>
        <w:rPr>
          <w:rFonts w:ascii="宋体" w:hAnsi="宋体" w:eastAsia="宋体" w:cs="宋体"/>
          <w:color w:val="auto"/>
          <w:spacing w:val="-1"/>
          <w:sz w:val="24"/>
          <w:szCs w:val="24"/>
          <w:highlight w:val="none"/>
        </w:rPr>
        <w:t>中小企业享受扶持政策获得政府采购合同的，小微企业不得将合同分包给大</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中型企业，中型企业不得将合同分包给大型企业。</w:t>
      </w:r>
    </w:p>
    <w:p>
      <w:pPr>
        <w:spacing w:before="3" w:line="360" w:lineRule="auto"/>
        <w:ind w:firstLine="254"/>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lang w:val="en-US" w:eastAsia="zh-CN"/>
        </w:rPr>
        <w:t>4</w:t>
      </w:r>
      <w:r>
        <w:rPr>
          <w:rFonts w:ascii="宋体" w:hAnsi="宋体" w:eastAsia="宋体" w:cs="宋体"/>
          <w:color w:val="auto"/>
          <w:spacing w:val="-3"/>
          <w:sz w:val="24"/>
          <w:szCs w:val="24"/>
          <w:highlight w:val="none"/>
        </w:rPr>
        <w:t>.4</w:t>
      </w:r>
      <w:r>
        <w:rPr>
          <w:rFonts w:ascii="宋体" w:hAnsi="宋体" w:eastAsia="宋体" w:cs="宋体"/>
          <w:color w:val="auto"/>
          <w:spacing w:val="-48"/>
          <w:sz w:val="24"/>
          <w:szCs w:val="24"/>
          <w:highlight w:val="none"/>
        </w:rPr>
        <w:t xml:space="preserve"> </w:t>
      </w:r>
      <w:r>
        <w:rPr>
          <w:rFonts w:ascii="宋体" w:hAnsi="宋体" w:eastAsia="宋体" w:cs="宋体"/>
          <w:color w:val="auto"/>
          <w:spacing w:val="-3"/>
          <w:sz w:val="24"/>
          <w:szCs w:val="24"/>
          <w:highlight w:val="none"/>
        </w:rPr>
        <w:t>支持创新发展</w:t>
      </w:r>
    </w:p>
    <w:p>
      <w:pPr>
        <w:spacing w:before="112" w:line="360" w:lineRule="auto"/>
        <w:ind w:firstLine="494"/>
        <w:rPr>
          <w:rFonts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lang w:val="en-US" w:eastAsia="zh-CN"/>
        </w:rPr>
        <w:t>4</w:t>
      </w:r>
      <w:r>
        <w:rPr>
          <w:rFonts w:ascii="宋体" w:hAnsi="宋体" w:eastAsia="宋体" w:cs="宋体"/>
          <w:color w:val="auto"/>
          <w:spacing w:val="-1"/>
          <w:sz w:val="24"/>
          <w:szCs w:val="24"/>
          <w:highlight w:val="none"/>
        </w:rPr>
        <w:t>.4.1</w:t>
      </w:r>
      <w:r>
        <w:rPr>
          <w:rFonts w:ascii="宋体" w:hAnsi="宋体" w:eastAsia="宋体" w:cs="宋体"/>
          <w:color w:val="auto"/>
          <w:spacing w:val="21"/>
          <w:sz w:val="24"/>
          <w:szCs w:val="24"/>
          <w:highlight w:val="none"/>
        </w:rPr>
        <w:t xml:space="preserve"> </w:t>
      </w:r>
      <w:r>
        <w:rPr>
          <w:rFonts w:ascii="宋体" w:hAnsi="宋体" w:eastAsia="宋体" w:cs="宋体"/>
          <w:color w:val="auto"/>
          <w:spacing w:val="-1"/>
          <w:sz w:val="24"/>
          <w:szCs w:val="24"/>
          <w:highlight w:val="none"/>
        </w:rPr>
        <w:t>招标人优先采购被认定为首台套产品和“制造精品”的自主创新产品。</w:t>
      </w:r>
    </w:p>
    <w:p>
      <w:pPr>
        <w:spacing w:before="131" w:line="360" w:lineRule="auto"/>
        <w:ind w:left="16" w:right="18" w:firstLine="478"/>
        <w:rPr>
          <w:rFonts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lang w:val="en-US" w:eastAsia="zh-CN"/>
        </w:rPr>
        <w:t>4</w:t>
      </w:r>
      <w:r>
        <w:rPr>
          <w:rFonts w:ascii="宋体" w:hAnsi="宋体" w:eastAsia="宋体" w:cs="宋体"/>
          <w:color w:val="auto"/>
          <w:spacing w:val="-4"/>
          <w:sz w:val="24"/>
          <w:szCs w:val="24"/>
          <w:highlight w:val="none"/>
        </w:rPr>
        <w:t>.4.2</w:t>
      </w:r>
      <w:r>
        <w:rPr>
          <w:rFonts w:ascii="宋体" w:hAnsi="宋体" w:eastAsia="宋体" w:cs="宋体"/>
          <w:color w:val="auto"/>
          <w:spacing w:val="-24"/>
          <w:sz w:val="24"/>
          <w:szCs w:val="24"/>
          <w:highlight w:val="none"/>
        </w:rPr>
        <w:t xml:space="preserve"> </w:t>
      </w:r>
      <w:r>
        <w:rPr>
          <w:rFonts w:ascii="宋体" w:hAnsi="宋体" w:eastAsia="宋体" w:cs="宋体"/>
          <w:color w:val="auto"/>
          <w:spacing w:val="-4"/>
          <w:sz w:val="24"/>
          <w:szCs w:val="24"/>
          <w:highlight w:val="none"/>
        </w:rPr>
        <w:t>降低创新产品政府采购市场准入门槛，首台（套）</w:t>
      </w:r>
      <w:r>
        <w:rPr>
          <w:rFonts w:ascii="宋体" w:hAnsi="宋体" w:eastAsia="宋体" w:cs="宋体"/>
          <w:color w:val="auto"/>
          <w:spacing w:val="-9"/>
          <w:sz w:val="24"/>
          <w:szCs w:val="24"/>
          <w:highlight w:val="none"/>
        </w:rPr>
        <w:t xml:space="preserve"> </w:t>
      </w:r>
      <w:r>
        <w:rPr>
          <w:rFonts w:ascii="宋体" w:hAnsi="宋体" w:eastAsia="宋体" w:cs="宋体"/>
          <w:color w:val="auto"/>
          <w:spacing w:val="-4"/>
          <w:sz w:val="24"/>
          <w:szCs w:val="24"/>
          <w:highlight w:val="none"/>
        </w:rPr>
        <w:t>产品纳入《省推广应用指</w:t>
      </w:r>
      <w:r>
        <w:rPr>
          <w:rFonts w:ascii="宋体" w:hAnsi="宋体" w:eastAsia="宋体" w:cs="宋体"/>
          <w:color w:val="auto"/>
          <w:sz w:val="24"/>
          <w:szCs w:val="24"/>
          <w:highlight w:val="none"/>
        </w:rPr>
        <w:t xml:space="preserve"> </w:t>
      </w:r>
      <w:r>
        <w:rPr>
          <w:rFonts w:ascii="宋体" w:hAnsi="宋体" w:eastAsia="宋体" w:cs="宋体"/>
          <w:color w:val="auto"/>
          <w:spacing w:val="-8"/>
          <w:sz w:val="24"/>
          <w:szCs w:val="24"/>
          <w:highlight w:val="none"/>
        </w:rPr>
        <w:t>导目录》之日起</w:t>
      </w:r>
      <w:r>
        <w:rPr>
          <w:rFonts w:ascii="宋体" w:hAnsi="宋体" w:eastAsia="宋体" w:cs="宋体"/>
          <w:color w:val="auto"/>
          <w:spacing w:val="-39"/>
          <w:sz w:val="24"/>
          <w:szCs w:val="24"/>
          <w:highlight w:val="none"/>
        </w:rPr>
        <w:t xml:space="preserve"> </w:t>
      </w:r>
      <w:r>
        <w:rPr>
          <w:rFonts w:ascii="宋体" w:hAnsi="宋体" w:eastAsia="宋体" w:cs="宋体"/>
          <w:color w:val="auto"/>
          <w:spacing w:val="-8"/>
          <w:sz w:val="24"/>
          <w:szCs w:val="24"/>
          <w:highlight w:val="none"/>
        </w:rPr>
        <w:t>3</w:t>
      </w:r>
      <w:r>
        <w:rPr>
          <w:rFonts w:ascii="宋体" w:hAnsi="宋体" w:eastAsia="宋体" w:cs="宋体"/>
          <w:color w:val="auto"/>
          <w:spacing w:val="10"/>
          <w:sz w:val="24"/>
          <w:szCs w:val="24"/>
          <w:highlight w:val="none"/>
        </w:rPr>
        <w:t xml:space="preserve"> </w:t>
      </w:r>
      <w:r>
        <w:rPr>
          <w:rFonts w:ascii="宋体" w:hAnsi="宋体" w:eastAsia="宋体" w:cs="宋体"/>
          <w:color w:val="auto"/>
          <w:spacing w:val="-8"/>
          <w:sz w:val="24"/>
          <w:szCs w:val="24"/>
          <w:highlight w:val="none"/>
        </w:rPr>
        <w:t>年内参加政府采购活动时视同已具备相关销售业绩，业绩分值为满分。</w:t>
      </w:r>
    </w:p>
    <w:p>
      <w:pPr>
        <w:pStyle w:val="49"/>
        <w:adjustRightInd w:val="0"/>
        <w:snapToGrid w:val="0"/>
        <w:spacing w:line="360" w:lineRule="auto"/>
        <w:rPr>
          <w:rFonts w:hint="eastAsia" w:ascii="宋体" w:hAnsi="宋体" w:eastAsia="宋体" w:cs="宋体"/>
          <w:b/>
          <w:color w:val="auto"/>
          <w:sz w:val="24"/>
          <w:highlight w:val="none"/>
        </w:rPr>
      </w:pPr>
      <w:r>
        <w:rPr>
          <w:rFonts w:hint="eastAsia" w:hAnsi="宋体" w:cs="宋体"/>
          <w:b/>
          <w:color w:val="auto"/>
          <w:sz w:val="24"/>
          <w:highlight w:val="none"/>
          <w:lang w:eastAsia="zh-CN"/>
        </w:rPr>
        <w:t>（五）</w:t>
      </w:r>
      <w:r>
        <w:rPr>
          <w:rFonts w:hint="eastAsia" w:ascii="宋体" w:hAnsi="宋体" w:eastAsia="宋体" w:cs="宋体"/>
          <w:b/>
          <w:color w:val="auto"/>
          <w:sz w:val="24"/>
          <w:highlight w:val="none"/>
        </w:rPr>
        <w:t>投标费用</w:t>
      </w:r>
    </w:p>
    <w:p>
      <w:pPr>
        <w:adjustRightInd w:val="0"/>
        <w:snapToGrid w:val="0"/>
        <w:spacing w:line="360" w:lineRule="auto"/>
        <w:ind w:firstLine="523" w:firstLineChars="218"/>
        <w:rPr>
          <w:rFonts w:hint="eastAsia" w:ascii="宋体" w:hAnsi="宋体" w:eastAsia="宋体" w:cs="宋体"/>
          <w:color w:val="auto"/>
          <w:kern w:val="0"/>
          <w:position w:val="-5"/>
          <w:sz w:val="24"/>
          <w:highlight w:val="none"/>
        </w:rPr>
      </w:pPr>
      <w:r>
        <w:rPr>
          <w:rFonts w:hint="eastAsia" w:ascii="宋体" w:hAnsi="宋体" w:eastAsia="宋体" w:cs="宋体"/>
          <w:color w:val="auto"/>
          <w:kern w:val="0"/>
          <w:position w:val="-5"/>
          <w:sz w:val="24"/>
          <w:highlight w:val="none"/>
        </w:rPr>
        <w:t>无论招投标过程中的做法和结果如何，投标人自行承担招投标活动中所发生的全部费用。</w:t>
      </w:r>
    </w:p>
    <w:p>
      <w:pPr>
        <w:adjustRightInd w:val="0"/>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w:t>
      </w:r>
      <w:r>
        <w:rPr>
          <w:rFonts w:hint="eastAsia" w:ascii="宋体" w:hAnsi="宋体" w:cs="宋体"/>
          <w:b/>
          <w:color w:val="auto"/>
          <w:sz w:val="24"/>
          <w:highlight w:val="none"/>
          <w:lang w:eastAsia="zh-CN"/>
        </w:rPr>
        <w:t>六</w:t>
      </w:r>
      <w:r>
        <w:rPr>
          <w:rFonts w:hint="eastAsia" w:ascii="宋体" w:hAnsi="宋体" w:eastAsia="宋体" w:cs="宋体"/>
          <w:b/>
          <w:color w:val="auto"/>
          <w:sz w:val="24"/>
          <w:highlight w:val="none"/>
        </w:rPr>
        <w:t>）语言文字</w:t>
      </w:r>
    </w:p>
    <w:bookmarkEnd w:id="20"/>
    <w:bookmarkEnd w:id="21"/>
    <w:p>
      <w:pPr>
        <w:adjustRightInd w:val="0"/>
        <w:snapToGrid w:val="0"/>
        <w:spacing w:line="360" w:lineRule="auto"/>
        <w:ind w:firstLine="523" w:firstLineChars="218"/>
        <w:rPr>
          <w:rFonts w:hint="eastAsia" w:ascii="宋体" w:hAnsi="宋体" w:eastAsia="宋体" w:cs="宋体"/>
          <w:color w:val="auto"/>
          <w:sz w:val="24"/>
          <w:highlight w:val="none"/>
        </w:rPr>
      </w:pPr>
      <w:bookmarkStart w:id="22" w:name="_Hlt74729768"/>
      <w:bookmarkEnd w:id="22"/>
      <w:bookmarkStart w:id="23" w:name="_Hlt68072990"/>
      <w:bookmarkEnd w:id="23"/>
      <w:bookmarkStart w:id="24" w:name="_Hlt75236290"/>
      <w:bookmarkEnd w:id="24"/>
      <w:bookmarkStart w:id="25" w:name="_Hlt74707468"/>
      <w:bookmarkEnd w:id="25"/>
      <w:bookmarkStart w:id="26" w:name="_Hlt68057669"/>
      <w:bookmarkEnd w:id="26"/>
      <w:bookmarkStart w:id="27" w:name="_Toc91899879"/>
      <w:r>
        <w:rPr>
          <w:rFonts w:hint="eastAsia" w:ascii="宋体" w:hAnsi="宋体" w:eastAsia="宋体" w:cs="宋体"/>
          <w:color w:val="auto"/>
          <w:sz w:val="24"/>
          <w:highlight w:val="none"/>
        </w:rPr>
        <w:t>1、招标投标有关的语言使用中文。</w:t>
      </w:r>
    </w:p>
    <w:p>
      <w:pPr>
        <w:adjustRightInd w:val="0"/>
        <w:snapToGrid w:val="0"/>
        <w:spacing w:line="360" w:lineRule="auto"/>
        <w:ind w:firstLine="523" w:firstLineChars="218"/>
        <w:rPr>
          <w:rFonts w:hint="eastAsia" w:ascii="宋体" w:hAnsi="宋体" w:eastAsia="宋体" w:cs="宋体"/>
          <w:color w:val="auto"/>
          <w:sz w:val="24"/>
          <w:highlight w:val="none"/>
        </w:rPr>
      </w:pPr>
      <w:r>
        <w:rPr>
          <w:rFonts w:hint="eastAsia" w:ascii="宋体" w:hAnsi="宋体" w:eastAsia="宋体" w:cs="宋体"/>
          <w:color w:val="auto"/>
          <w:sz w:val="24"/>
          <w:highlight w:val="none"/>
        </w:rPr>
        <w:t>2、外文专用术语应附有中文注释。招投标文件及相关往来文件中有外文资料的（如质疑函、进口产品厂商授权书等），资料提供方应当将其翻译为中文，注明翻译人员姓名、工作单位、联系方式等信息，并对译文的完整性、客观性、真实性负责。</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w:t>
      </w:r>
      <w:r>
        <w:rPr>
          <w:rFonts w:hint="eastAsia" w:ascii="宋体" w:hAnsi="宋体" w:cs="宋体"/>
          <w:b/>
          <w:color w:val="auto"/>
          <w:sz w:val="24"/>
          <w:highlight w:val="none"/>
          <w:lang w:eastAsia="zh-CN"/>
        </w:rPr>
        <w:t>七</w:t>
      </w:r>
      <w:r>
        <w:rPr>
          <w:rFonts w:hint="eastAsia" w:ascii="宋体" w:hAnsi="宋体" w:eastAsia="宋体" w:cs="宋体"/>
          <w:b/>
          <w:color w:val="auto"/>
          <w:sz w:val="24"/>
          <w:highlight w:val="none"/>
        </w:rPr>
        <w:t>）计量单位</w:t>
      </w:r>
    </w:p>
    <w:p>
      <w:pPr>
        <w:adjustRightInd w:val="0"/>
        <w:snapToGrid w:val="0"/>
        <w:spacing w:line="360" w:lineRule="auto"/>
        <w:ind w:firstLine="523" w:firstLineChars="218"/>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招标文件有明确规定的，适用招标文件规定的计量单位；招标文件没有规定的，应采用中华人民共和国法定计量单位，否则视同未响应。</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w:t>
      </w:r>
      <w:r>
        <w:rPr>
          <w:rFonts w:hint="eastAsia" w:ascii="宋体" w:hAnsi="宋体" w:cs="宋体"/>
          <w:b/>
          <w:color w:val="auto"/>
          <w:sz w:val="24"/>
          <w:highlight w:val="none"/>
          <w:lang w:eastAsia="zh-CN"/>
        </w:rPr>
        <w:t>八</w:t>
      </w:r>
      <w:r>
        <w:rPr>
          <w:rFonts w:hint="eastAsia" w:ascii="宋体" w:hAnsi="宋体" w:eastAsia="宋体" w:cs="宋体"/>
          <w:b/>
          <w:color w:val="auto"/>
          <w:sz w:val="24"/>
          <w:highlight w:val="none"/>
        </w:rPr>
        <w:t>）转包与分包</w:t>
      </w:r>
    </w:p>
    <w:p>
      <w:pPr>
        <w:adjustRightInd w:val="0"/>
        <w:snapToGrid w:val="0"/>
        <w:spacing w:line="360" w:lineRule="auto"/>
        <w:ind w:firstLine="523" w:firstLineChars="218"/>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w:t>
      </w:r>
      <w:r>
        <w:rPr>
          <w:rFonts w:hint="eastAsia" w:ascii="宋体" w:hAnsi="宋体" w:cs="宋体"/>
          <w:color w:val="auto"/>
          <w:sz w:val="24"/>
          <w:highlight w:val="none"/>
          <w:lang w:eastAsia="zh-CN"/>
        </w:rPr>
        <w:t>不</w:t>
      </w:r>
      <w:r>
        <w:rPr>
          <w:rFonts w:hint="eastAsia" w:ascii="宋体" w:hAnsi="宋体" w:eastAsia="宋体" w:cs="宋体"/>
          <w:color w:val="auto"/>
          <w:sz w:val="24"/>
          <w:highlight w:val="none"/>
        </w:rPr>
        <w:t>允许转包。本须知“前附表”规定允许分包的，投标人应当在投标文件载明分包的具体情况，应符合招标人在本须知“前附表”规定的分包内容、分包金额和接受分包的第三人资质要求等限制条件。</w:t>
      </w:r>
    </w:p>
    <w:p>
      <w:pPr>
        <w:adjustRightInd w:val="0"/>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w:t>
      </w:r>
      <w:r>
        <w:rPr>
          <w:rFonts w:hint="eastAsia" w:ascii="宋体" w:hAnsi="宋体" w:cs="宋体"/>
          <w:b/>
          <w:color w:val="auto"/>
          <w:sz w:val="24"/>
          <w:highlight w:val="none"/>
          <w:lang w:eastAsia="zh-CN"/>
        </w:rPr>
        <w:t>九</w:t>
      </w:r>
      <w:r>
        <w:rPr>
          <w:rFonts w:hint="eastAsia" w:ascii="宋体" w:hAnsi="宋体" w:eastAsia="宋体" w:cs="宋体"/>
          <w:b/>
          <w:color w:val="auto"/>
          <w:sz w:val="24"/>
          <w:highlight w:val="none"/>
        </w:rPr>
        <w:t>）踏勘现场</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1、若本须知“前附表”规定统一组织的，投标人应按规定的时间、地点准时出席，否则将不予单独安排；</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2、投标人踏勘现场发生的费用自理。</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3、除招标人的原因外，投标人自行负责在踏勘现场中可能发生的人员伤亡和财产损失。</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4、招标人在踏勘现场中介绍的场地和相关的周边环境情况，投标人在编制投标文件时参考，招标人不对投标人据此作出的判断和决策负责。</w:t>
      </w:r>
    </w:p>
    <w:p>
      <w:pPr>
        <w:adjustRightInd w:val="0"/>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w:t>
      </w:r>
      <w:r>
        <w:rPr>
          <w:rFonts w:hint="eastAsia" w:ascii="宋体" w:hAnsi="宋体" w:cs="宋体"/>
          <w:b/>
          <w:color w:val="auto"/>
          <w:sz w:val="24"/>
          <w:highlight w:val="none"/>
          <w:lang w:eastAsia="zh-CN"/>
        </w:rPr>
        <w:t>十</w:t>
      </w:r>
      <w:r>
        <w:rPr>
          <w:rFonts w:hint="eastAsia" w:ascii="宋体" w:hAnsi="宋体" w:eastAsia="宋体" w:cs="宋体"/>
          <w:b/>
          <w:color w:val="auto"/>
          <w:sz w:val="24"/>
          <w:highlight w:val="none"/>
        </w:rPr>
        <w:t>）投标预备会（答疑会）</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1、若本须知“前附表”规定召开答疑会的，招标人将按规定的时间、地点准时召开答疑会，澄清投标人提出的问题，投标人应按规定准时出席，否则将不予单独安排答疑。</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2、投标人应在答疑会时间的前一天，以书面形式将提出的问题送达招标人，以便招标人在会议期间澄清。</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3、答疑会后，招标人将按规定对投标人所提问题进行书面澄清答复。</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（十</w:t>
      </w:r>
      <w:r>
        <w:rPr>
          <w:rFonts w:hint="eastAsia" w:ascii="宋体" w:hAnsi="宋体" w:cs="宋体"/>
          <w:b/>
          <w:color w:val="auto"/>
          <w:sz w:val="24"/>
          <w:highlight w:val="none"/>
          <w:lang w:eastAsia="zh-CN"/>
        </w:rPr>
        <w:t>一</w:t>
      </w:r>
      <w:r>
        <w:rPr>
          <w:rFonts w:hint="eastAsia" w:ascii="宋体" w:hAnsi="宋体" w:eastAsia="宋体" w:cs="宋体"/>
          <w:b/>
          <w:color w:val="auto"/>
          <w:sz w:val="24"/>
          <w:highlight w:val="none"/>
        </w:rPr>
        <w:t>）对投标人的限制</w:t>
      </w:r>
    </w:p>
    <w:p>
      <w:pPr>
        <w:adjustRightInd w:val="0"/>
        <w:snapToGrid w:val="0"/>
        <w:spacing w:line="360" w:lineRule="auto"/>
        <w:ind w:firstLine="523" w:firstLineChars="218"/>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指法定代表人或者法律、行政法规规定代表单位行使职权的主要负责人）为同一人或者存在直接控股、管理关系的不同投标人不得分别参加同一合同项下的采购活动。违反本条规定的，相关投标均无效；</w:t>
      </w:r>
    </w:p>
    <w:p>
      <w:pPr>
        <w:adjustRightInd w:val="0"/>
        <w:snapToGrid w:val="0"/>
        <w:spacing w:line="360" w:lineRule="auto"/>
        <w:ind w:firstLine="523" w:firstLineChars="218"/>
        <w:rPr>
          <w:rFonts w:hint="eastAsia" w:ascii="宋体" w:hAnsi="宋体" w:eastAsia="宋体" w:cs="宋体"/>
          <w:color w:val="auto"/>
          <w:sz w:val="24"/>
          <w:highlight w:val="none"/>
        </w:rPr>
      </w:pPr>
      <w:r>
        <w:rPr>
          <w:rFonts w:hint="eastAsia" w:ascii="宋体" w:hAnsi="宋体" w:eastAsia="宋体" w:cs="宋体"/>
          <w:color w:val="auto"/>
          <w:sz w:val="24"/>
          <w:highlight w:val="none"/>
        </w:rPr>
        <w:t>2、为本项目提供过整体设计、规范编制或者项目管理、监理、检测等服务的投标人，不得再参加该采购项目的其他采购活动（不包括为该项目提供整体设计、规范编制或者项目管理、监理、检测等服务）；</w:t>
      </w:r>
    </w:p>
    <w:p>
      <w:pPr>
        <w:adjustRightInd w:val="0"/>
        <w:snapToGrid w:val="0"/>
        <w:spacing w:line="360" w:lineRule="auto"/>
        <w:ind w:firstLine="523" w:firstLineChars="218"/>
        <w:rPr>
          <w:rFonts w:hint="eastAsia" w:ascii="宋体" w:hAnsi="宋体" w:eastAsia="宋体" w:cs="宋体"/>
          <w:color w:val="auto"/>
          <w:sz w:val="24"/>
          <w:highlight w:val="none"/>
        </w:rPr>
      </w:pPr>
      <w:r>
        <w:rPr>
          <w:rFonts w:hint="eastAsia" w:ascii="宋体" w:hAnsi="宋体" w:eastAsia="宋体" w:cs="宋体"/>
          <w:color w:val="auto"/>
          <w:sz w:val="24"/>
          <w:highlight w:val="none"/>
        </w:rPr>
        <w:t>3、以联合体形式参加政府采购活动的，联合体各方不得再单独参加或者与其他投标人另外组成联合体参加同一合同项下的政府采购活动；</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4、为证明投标人拥有的业绩、荣誉、知识产权、项目案例等而在投标文件中提供的证明材料必须为投标人自身所有。不同法人、其他组织的资料与投标人无关。</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5、投标人之间的利害关系：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（1）法定代表人或负责人或实际控制人是夫妻关系；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（2）法定代表人或负责人或实际控制人是直系血亲关系；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（3）法定代表人或负责人或实际控制人存在三代以内旁系血亲关系；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（4）法定代表人或负责人或实际控制人存在近姻亲关系；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（5）法定代表人或负责人或实际控制人存在股份控制或实际控制关系；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（6）存在共同直接或间接投资设立子公司、联营企业和合营企业情况；</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（7）存在分级代理或代销关系、同一生产制造商关系、管理关系、重要业务（占主营业务收入 50%以上）或重要财务往来关系（如融资）等其他实质性控制关系； 如投标人之间存在以上利害关系并且存在影响政府采购公平竞争的行为的相关投标人的投标均无效。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6、采购人若有核心产品，请根据采购项目实际需求确定核心产品，并在采购文件第三部分“采购需求”中明确标注，若没有则不需要确定及注明。</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采用最低评标价法的采购项目，提供相同品牌产品（含核心产品）的不同投标人参加同一合同项下投标的，以其中通过资格审查、符合性审查且报价最低的参加评标；报价相同的，随机抽取方式确定，其他投标无效。 </w:t>
      </w:r>
    </w:p>
    <w:p>
      <w:pPr>
        <w:spacing w:line="360" w:lineRule="auto"/>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（2）使用综合评分法的采购项目，提供相同品牌产品（含核心产品）且通过资格审查、符合性审查的不同投标人参加同一合同项下投标的，按一家投标人计算，评审后得分最高的同品牌（含核心产品） 投标人获得中标人推荐资格；评审得分相同的，随机抽取方式确定，其他同品牌投标人不作为中标候选人。</w:t>
      </w:r>
    </w:p>
    <w:p>
      <w:pPr>
        <w:adjustRightInd w:val="0"/>
        <w:snapToGrid w:val="0"/>
        <w:spacing w:line="360" w:lineRule="auto"/>
        <w:ind w:firstLine="523" w:firstLineChars="218"/>
        <w:rPr>
          <w:rFonts w:hint="eastAsia" w:ascii="宋体" w:hAnsi="宋体" w:eastAsia="宋体" w:cs="宋体"/>
          <w:color w:val="auto"/>
          <w:sz w:val="24"/>
          <w:highlight w:val="none"/>
        </w:rPr>
      </w:pPr>
      <w:r>
        <w:rPr>
          <w:rFonts w:hint="eastAsia" w:ascii="宋体" w:hAnsi="宋体" w:eastAsia="宋体" w:cs="宋体"/>
          <w:color w:val="auto"/>
          <w:sz w:val="24"/>
          <w:highlight w:val="none"/>
        </w:rPr>
        <w:t>7、因特殊情况指定单一品牌采购的或本须知“前附表”规定投标人中标后提供制造商授权的，制造商授权文件将不再作为实质性响应条款，投标人可在中标后取得制造商针对该项目的授权文件。如制造商无故不予授权的，招标人可在中标人作出保证供货且保证产品质量和售后服务的承诺后授予其合同，招标人将在合同的验收、结算和违约责任中补充增加相应的制约性条款；</w:t>
      </w:r>
    </w:p>
    <w:p>
      <w:pPr>
        <w:adjustRightInd w:val="0"/>
        <w:snapToGrid w:val="0"/>
        <w:spacing w:line="360" w:lineRule="auto"/>
        <w:ind w:firstLine="523" w:firstLineChars="218"/>
        <w:rPr>
          <w:rFonts w:hint="eastAsia" w:ascii="宋体" w:hAnsi="宋体" w:eastAsia="宋体" w:cs="宋体"/>
          <w:color w:val="auto"/>
          <w:sz w:val="24"/>
          <w:highlight w:val="none"/>
        </w:rPr>
      </w:pPr>
      <w:r>
        <w:rPr>
          <w:rFonts w:hint="eastAsia" w:ascii="宋体" w:hAnsi="宋体" w:eastAsia="宋体" w:cs="宋体"/>
          <w:color w:val="auto"/>
          <w:sz w:val="24"/>
          <w:highlight w:val="none"/>
        </w:rPr>
        <w:t>8、招标公告中明确专门面向中小微企业采购的项目，只能由中小企业或微型企业参加。</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9、投标截止前被“信用中国”网站(</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"http://www.creditchina.gov.cn"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www.creditchina.gov.cn</w:t>
      </w:r>
      <w:r>
        <w:rPr>
          <w:rFonts w:hint="eastAsia" w:ascii="宋体" w:hAnsi="宋体" w:eastAsia="宋体" w:cs="宋体"/>
          <w:color w:val="auto"/>
          <w:highlight w:val="none"/>
        </w:rPr>
        <w:fldChar w:fldCharType="end"/>
      </w:r>
      <w:r>
        <w:rPr>
          <w:rFonts w:hint="eastAsia" w:ascii="宋体" w:hAnsi="宋体" w:eastAsia="宋体" w:cs="宋体"/>
          <w:color w:val="auto"/>
          <w:sz w:val="24"/>
          <w:highlight w:val="none"/>
        </w:rPr>
        <w:t>)列入失信被执行人、重大税收违法案件当事人名单或被“中国政府采购网”(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"http://www.ccgp.gov.cn"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www.ccgp.gov.cn</w:t>
      </w:r>
      <w:r>
        <w:rPr>
          <w:rFonts w:hint="eastAsia" w:ascii="宋体" w:hAnsi="宋体" w:eastAsia="宋体" w:cs="宋体"/>
          <w:color w:val="auto"/>
          <w:highlight w:val="none"/>
        </w:rPr>
        <w:fldChar w:fldCharType="end"/>
      </w:r>
      <w:r>
        <w:rPr>
          <w:rFonts w:hint="eastAsia" w:ascii="宋体" w:hAnsi="宋体" w:eastAsia="宋体" w:cs="宋体"/>
          <w:color w:val="auto"/>
          <w:sz w:val="24"/>
          <w:highlight w:val="none"/>
        </w:rPr>
        <w:t>)列入政府采购严重违法失信行为记录名单等存在不良信用记录的投标人将被拒绝参加本项目采购活动。具体以投标截止当日招标代理机构在上述两个网站上查询到的信息为准。</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两个以上的自然人、法人或者其他组织组成一个联合体，以一个投标人的身份共同参加政府采购活动的，将对所有联合体成员进行信用记录查询，联合体成员存在不良信用记录的，视同联合体存在不良信用记录。</w:t>
      </w:r>
    </w:p>
    <w:p>
      <w:pPr>
        <w:adjustRightInd w:val="0"/>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（十</w:t>
      </w:r>
      <w:r>
        <w:rPr>
          <w:rFonts w:hint="eastAsia" w:ascii="宋体" w:hAnsi="宋体" w:cs="宋体"/>
          <w:b/>
          <w:color w:val="auto"/>
          <w:sz w:val="24"/>
          <w:highlight w:val="none"/>
          <w:lang w:eastAsia="zh-CN"/>
        </w:rPr>
        <w:t>二</w:t>
      </w:r>
      <w:r>
        <w:rPr>
          <w:rFonts w:hint="eastAsia" w:ascii="宋体" w:hAnsi="宋体" w:eastAsia="宋体" w:cs="宋体"/>
          <w:b/>
          <w:color w:val="auto"/>
          <w:sz w:val="24"/>
          <w:highlight w:val="none"/>
        </w:rPr>
        <w:t>）质疑与投诉</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认为招标文件、招标过程或中标结果使自己的合法权益受到损害的，应当在知道或者应知其权益受到损害之日起七个工作日内，以书面形式向招标人、招标代理机构提出质疑，逾期提出的，招标人与招标代理机构可以不予受理、答复。“知道或者应知其权益受到损害之日”是指：</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（1）对招标文件提出质疑的，为招标公告期限届满之日（公告期限为公告发布后5个工作日，不含发布当日）；</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（2）对采购过程提出质疑的，为各招标程序环节结束之日；</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（3）对评标结果提出质疑的，为中标结果公告期限届满之日（公告期限为公告发布后1个工作日，不含发布当日）。</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投诉应当采用书面形式，其中质疑书、投诉书均应当明确阐述招标文件、招标过程或者中标结果中使自己合法权益受到损害的实质性内容，并提供相关事实、依据和证据及其来源或线索，便于有关单位调查、答复和处理。</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投诉）函应载明质疑（投诉）人全称、地址、邮编、传真、联系人、联系电话，电子邮箱；联系人必须为投标人的在职职工，须提供法定代表人授权文件、法定代表人及联系人的身份证复印件、以及投标人为该联系人缴纳的社保凭证，联系人为法定代表人的须提供法定代表人资格证明及身份证复印件；质疑（投诉）函必须有联系人署名且加盖公章，否则不予受理（一式三份）。</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4、质疑、投诉函以电子邮件或传真形式提交的，还须在提交后以邮寄的方式提交质疑书纸质原件，以实际收到原件之日作为收到质疑之日。</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5、未按上述要求提供的质疑（投诉）函，采购组织机构有权不予受理。</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6、质疑投标人对招标人、招标代理机构的答复不满意或者招标人、招标代理机构未在规定时间内作出答复的，可以在答复期满后十五个工作日内向同级采购监管部门投诉。</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（十</w:t>
      </w:r>
      <w:r>
        <w:rPr>
          <w:rFonts w:hint="eastAsia" w:ascii="宋体" w:hAnsi="宋体" w:cs="宋体"/>
          <w:b/>
          <w:color w:val="auto"/>
          <w:sz w:val="24"/>
          <w:highlight w:val="none"/>
          <w:lang w:eastAsia="zh-CN"/>
        </w:rPr>
        <w:t>三</w:t>
      </w:r>
      <w:r>
        <w:rPr>
          <w:rFonts w:hint="eastAsia" w:ascii="宋体" w:hAnsi="宋体" w:eastAsia="宋体" w:cs="宋体"/>
          <w:b/>
          <w:color w:val="auto"/>
          <w:sz w:val="24"/>
          <w:highlight w:val="none"/>
        </w:rPr>
        <w:t>）其他注意事项</w:t>
      </w:r>
    </w:p>
    <w:p>
      <w:pPr>
        <w:adjustRightInd w:val="0"/>
        <w:snapToGrid w:val="0"/>
        <w:spacing w:line="360" w:lineRule="auto"/>
        <w:ind w:firstLine="523" w:firstLineChars="218"/>
        <w:rPr>
          <w:rFonts w:hint="eastAsia" w:ascii="宋体" w:hAnsi="宋体" w:eastAsia="宋体" w:cs="宋体"/>
          <w:color w:val="auto"/>
          <w:sz w:val="24"/>
          <w:highlight w:val="none"/>
        </w:rPr>
      </w:pPr>
      <w:r>
        <w:rPr>
          <w:rFonts w:hint="eastAsia" w:ascii="宋体" w:hAnsi="宋体" w:eastAsia="宋体" w:cs="宋体"/>
          <w:color w:val="auto"/>
          <w:sz w:val="24"/>
          <w:highlight w:val="none"/>
        </w:rPr>
        <w:t>见本须知“前附表”，同时还需注意以下事项：</w:t>
      </w:r>
    </w:p>
    <w:p>
      <w:pPr>
        <w:adjustRightInd w:val="0"/>
        <w:snapToGrid w:val="0"/>
        <w:spacing w:line="360" w:lineRule="auto"/>
        <w:ind w:firstLine="523" w:firstLineChars="218"/>
        <w:rPr>
          <w:rFonts w:hint="eastAsia" w:ascii="宋体" w:hAnsi="宋体" w:eastAsia="宋体" w:cs="宋体"/>
          <w:color w:val="auto"/>
          <w:sz w:val="24"/>
          <w:highlight w:val="none"/>
        </w:rPr>
      </w:pPr>
      <w:r>
        <w:rPr>
          <w:rFonts w:hint="eastAsia" w:ascii="宋体" w:hAnsi="宋体" w:eastAsia="宋体" w:cs="宋体"/>
          <w:color w:val="auto"/>
          <w:sz w:val="24"/>
          <w:highlight w:val="none"/>
        </w:rPr>
        <w:t>1、法定代表人授权代表须为投标人</w:t>
      </w:r>
      <w:r>
        <w:rPr>
          <w:rFonts w:hint="eastAsia" w:ascii="宋体" w:hAnsi="宋体" w:eastAsia="宋体" w:cs="宋体"/>
          <w:b/>
          <w:color w:val="auto"/>
          <w:sz w:val="24"/>
          <w:highlight w:val="none"/>
        </w:rPr>
        <w:t>在职职工</w:t>
      </w:r>
      <w:r>
        <w:rPr>
          <w:rFonts w:hint="eastAsia" w:ascii="宋体" w:hAnsi="宋体" w:eastAsia="宋体" w:cs="宋体"/>
          <w:color w:val="auto"/>
          <w:sz w:val="24"/>
          <w:highlight w:val="none"/>
        </w:rPr>
        <w:t>，投标人须在投标文件中提供附有该授权代表为投标人</w:t>
      </w:r>
      <w:r>
        <w:rPr>
          <w:rFonts w:hint="eastAsia" w:ascii="宋体" w:hAnsi="宋体" w:eastAsia="宋体" w:cs="宋体"/>
          <w:b/>
          <w:color w:val="auto"/>
          <w:sz w:val="24"/>
          <w:highlight w:val="none"/>
        </w:rPr>
        <w:t>在职员工相关证明文件（如投标人为该员工缴纳的社保记录或劳务合同等）</w:t>
      </w:r>
      <w:r>
        <w:rPr>
          <w:rFonts w:hint="eastAsia" w:ascii="宋体" w:hAnsi="宋体" w:eastAsia="宋体" w:cs="宋体"/>
          <w:color w:val="auto"/>
          <w:sz w:val="24"/>
          <w:highlight w:val="none"/>
        </w:rPr>
        <w:t>的《法定代表人授权书》。</w:t>
      </w:r>
    </w:p>
    <w:p>
      <w:pPr>
        <w:adjustRightInd w:val="0"/>
        <w:snapToGrid w:val="0"/>
        <w:spacing w:line="360" w:lineRule="auto"/>
        <w:ind w:firstLine="523" w:firstLineChars="218"/>
        <w:rPr>
          <w:rFonts w:hint="eastAsia" w:ascii="宋体" w:hAnsi="宋体" w:eastAsia="宋体" w:cs="宋体"/>
          <w:color w:val="auto"/>
          <w:sz w:val="24"/>
          <w:highlight w:val="none"/>
        </w:rPr>
      </w:pPr>
      <w:r>
        <w:rPr>
          <w:rFonts w:hint="eastAsia" w:ascii="宋体" w:hAnsi="宋体" w:eastAsia="宋体" w:cs="宋体"/>
          <w:color w:val="auto"/>
          <w:sz w:val="24"/>
          <w:highlight w:val="none"/>
        </w:rPr>
        <w:t>2、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的文件材料具有同等效力。</w:t>
      </w:r>
    </w:p>
    <w:p>
      <w:pPr>
        <w:adjustRightInd w:val="0"/>
        <w:snapToGrid w:val="0"/>
        <w:spacing w:line="360" w:lineRule="auto"/>
        <w:ind w:firstLine="523" w:firstLineChars="218"/>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3、▲投标人对所投标项内的采购内容必须全部进行投标。</w:t>
      </w:r>
    </w:p>
    <w:p>
      <w:pPr>
        <w:adjustRightInd w:val="0"/>
        <w:snapToGrid w:val="0"/>
        <w:spacing w:line="360" w:lineRule="auto"/>
        <w:ind w:firstLine="523" w:firstLineChars="218"/>
        <w:rPr>
          <w:rFonts w:hint="eastAsia" w:ascii="宋体" w:hAnsi="宋体" w:eastAsia="宋体" w:cs="宋体"/>
          <w:color w:val="auto"/>
          <w:sz w:val="24"/>
          <w:highlight w:val="none"/>
        </w:rPr>
      </w:pPr>
      <w:r>
        <w:rPr>
          <w:rFonts w:hint="eastAsia" w:ascii="宋体" w:hAnsi="宋体" w:eastAsia="宋体" w:cs="宋体"/>
          <w:color w:val="auto"/>
          <w:sz w:val="24"/>
          <w:highlight w:val="none"/>
        </w:rPr>
        <w:t>4、不论招标人、招标代理机构向投标人发送的资料文件，还是投标人提出的问题，均采用书面形式，任何口头提问及答复一律无效。</w:t>
      </w:r>
    </w:p>
    <w:p>
      <w:pPr>
        <w:adjustRightInd w:val="0"/>
        <w:snapToGrid w:val="0"/>
        <w:spacing w:line="360" w:lineRule="auto"/>
        <w:ind w:firstLine="523" w:firstLineChars="218"/>
        <w:rPr>
          <w:rFonts w:hint="eastAsia" w:ascii="宋体" w:hAnsi="宋体" w:eastAsia="宋体" w:cs="宋体"/>
          <w:color w:val="auto"/>
          <w:sz w:val="24"/>
          <w:highlight w:val="none"/>
        </w:rPr>
      </w:pPr>
      <w:r>
        <w:rPr>
          <w:rFonts w:hint="eastAsia" w:ascii="宋体" w:hAnsi="宋体" w:eastAsia="宋体" w:cs="宋体"/>
          <w:color w:val="auto"/>
          <w:sz w:val="24"/>
          <w:highlight w:val="none"/>
        </w:rPr>
        <w:t>5、若明确本项目为资格入围项目的，若出现有效投标人少于或等于入围需求家数时，将采用“末位淘汰制”，淘汰评审结果排名最后一名的投标人，其他有效投标人获得入围资格。只有二家及以下有效投标人的则重新组织招标。</w:t>
      </w:r>
    </w:p>
    <w:p>
      <w:pPr>
        <w:adjustRightInd w:val="0"/>
        <w:snapToGrid w:val="0"/>
        <w:spacing w:line="360" w:lineRule="auto"/>
        <w:ind w:firstLine="523" w:firstLineChars="218"/>
        <w:rPr>
          <w:rFonts w:hint="eastAsia" w:ascii="宋体" w:hAnsi="宋体" w:eastAsia="宋体" w:cs="宋体"/>
          <w:color w:val="auto"/>
          <w:sz w:val="24"/>
          <w:highlight w:val="none"/>
        </w:rPr>
      </w:pPr>
      <w:r>
        <w:rPr>
          <w:rFonts w:hint="eastAsia" w:ascii="宋体" w:hAnsi="宋体" w:eastAsia="宋体" w:cs="宋体"/>
          <w:color w:val="auto"/>
          <w:sz w:val="24"/>
          <w:highlight w:val="none"/>
        </w:rPr>
        <w:t>6、招标文件中所涉及的产品品牌或型号均为建议性要求或为档次选择要求或为代替部分技术指标描述，投标人可以选择其他品牌型号的产品参加投标，但投标产品须具有相当于或优于招标文件要求的指标、性能、档次。否则，评标委员会将可能对其作出不利的评审。</w:t>
      </w:r>
    </w:p>
    <w:p>
      <w:pPr>
        <w:adjustRightInd w:val="0"/>
        <w:snapToGrid w:val="0"/>
        <w:spacing w:line="360" w:lineRule="auto"/>
        <w:ind w:firstLine="523" w:firstLineChars="218"/>
        <w:rPr>
          <w:rFonts w:hint="eastAsia" w:ascii="宋体" w:hAnsi="宋体" w:eastAsia="宋体" w:cs="宋体"/>
          <w:color w:val="auto"/>
          <w:sz w:val="24"/>
          <w:highlight w:val="none"/>
        </w:rPr>
      </w:pPr>
      <w:r>
        <w:rPr>
          <w:rFonts w:hint="eastAsia" w:ascii="宋体" w:hAnsi="宋体" w:eastAsia="宋体" w:cs="宋体"/>
          <w:color w:val="auto"/>
          <w:sz w:val="24"/>
          <w:highlight w:val="none"/>
        </w:rPr>
        <w:t>7、▲投标人应保证所投产品整体或其任一部分，均免受第三方提出的侵犯其专利权、商标权、著作权或其他知识产权的起诉。投标人应承担由此可能产生的一切法律责任和费用。</w:t>
      </w:r>
    </w:p>
    <w:p>
      <w:pPr>
        <w:adjustRightInd w:val="0"/>
        <w:snapToGrid w:val="0"/>
        <w:spacing w:line="360" w:lineRule="auto"/>
        <w:ind w:firstLine="523" w:firstLineChars="218"/>
        <w:rPr>
          <w:rFonts w:hint="eastAsia" w:ascii="宋体" w:hAnsi="宋体" w:eastAsia="宋体" w:cs="宋体"/>
          <w:color w:val="auto"/>
          <w:sz w:val="24"/>
          <w:highlight w:val="none"/>
        </w:rPr>
      </w:pPr>
      <w:r>
        <w:rPr>
          <w:rFonts w:hint="eastAsia" w:ascii="宋体" w:hAnsi="宋体" w:eastAsia="宋体" w:cs="宋体"/>
          <w:color w:val="auto"/>
          <w:sz w:val="24"/>
          <w:highlight w:val="none"/>
        </w:rPr>
        <w:t>8、若本须知“前附表”规定允许进口产品投标且该货物需从中华人民共和国境外提供的，货物的最终用户须为招标人，投标人应委托招标人指定机构或者经招标人同意后自行委托具有进出口代理权的机构办理相关进口事宜，并承担因此产生的所有费用。</w:t>
      </w:r>
    </w:p>
    <w:p>
      <w:pPr>
        <w:adjustRightInd w:val="0"/>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（十</w:t>
      </w:r>
      <w:r>
        <w:rPr>
          <w:rFonts w:hint="eastAsia" w:ascii="宋体" w:hAnsi="宋体" w:cs="宋体"/>
          <w:b/>
          <w:color w:val="auto"/>
          <w:sz w:val="24"/>
          <w:highlight w:val="none"/>
          <w:lang w:eastAsia="zh-CN"/>
        </w:rPr>
        <w:t>四</w:t>
      </w:r>
      <w:r>
        <w:rPr>
          <w:rFonts w:hint="eastAsia" w:ascii="宋体" w:hAnsi="宋体" w:eastAsia="宋体" w:cs="宋体"/>
          <w:b/>
          <w:color w:val="auto"/>
          <w:sz w:val="24"/>
          <w:highlight w:val="none"/>
        </w:rPr>
        <w:t>）保密</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参与招标投标活动的各方应对招标文件和投标文件中的商业和技术等秘密保密，违者应对此造成的后果承担法律责任。</w:t>
      </w:r>
    </w:p>
    <w:bookmarkEnd w:id="27"/>
    <w:p>
      <w:pPr>
        <w:adjustRightInd w:val="0"/>
        <w:snapToGrid w:val="0"/>
        <w:spacing w:line="360" w:lineRule="auto"/>
        <w:jc w:val="center"/>
        <w:outlineLvl w:val="1"/>
        <w:rPr>
          <w:rFonts w:hint="eastAsia" w:ascii="宋体" w:hAnsi="宋体" w:eastAsia="宋体" w:cs="宋体"/>
          <w:b/>
          <w:color w:val="auto"/>
          <w:sz w:val="32"/>
          <w:highlight w:val="none"/>
        </w:rPr>
      </w:pPr>
      <w:bookmarkStart w:id="28" w:name="_Toc9352"/>
      <w:bookmarkStart w:id="29" w:name="_Toc522530042"/>
      <w:bookmarkStart w:id="30" w:name="_Toc233618973"/>
      <w:r>
        <w:rPr>
          <w:rFonts w:hint="eastAsia" w:ascii="宋体" w:hAnsi="宋体" w:eastAsia="宋体" w:cs="宋体"/>
          <w:b/>
          <w:color w:val="auto"/>
          <w:sz w:val="32"/>
          <w:highlight w:val="none"/>
        </w:rPr>
        <w:t>二、招标文件</w:t>
      </w:r>
      <w:bookmarkEnd w:id="28"/>
      <w:bookmarkEnd w:id="29"/>
      <w:bookmarkEnd w:id="30"/>
    </w:p>
    <w:p>
      <w:pPr>
        <w:pStyle w:val="49"/>
        <w:adjustRightInd w:val="0"/>
        <w:snapToGrid w:val="0"/>
        <w:spacing w:line="360" w:lineRule="auto"/>
        <w:rPr>
          <w:rFonts w:hint="eastAsia" w:ascii="宋体" w:hAnsi="宋体" w:eastAsia="宋体" w:cs="宋体"/>
          <w:b/>
          <w:color w:val="auto"/>
          <w:sz w:val="24"/>
          <w:highlight w:val="none"/>
        </w:rPr>
      </w:pPr>
      <w:bookmarkStart w:id="31" w:name="_Toc91899880"/>
      <w:bookmarkStart w:id="32" w:name="_Hlt74730307"/>
      <w:r>
        <w:rPr>
          <w:rFonts w:hint="eastAsia" w:ascii="宋体" w:hAnsi="宋体" w:eastAsia="宋体" w:cs="宋体"/>
          <w:b/>
          <w:color w:val="auto"/>
          <w:sz w:val="24"/>
          <w:highlight w:val="none"/>
        </w:rPr>
        <w:t>（一）招标文件的</w:t>
      </w:r>
      <w:bookmarkEnd w:id="31"/>
      <w:r>
        <w:rPr>
          <w:rFonts w:hint="eastAsia" w:ascii="宋体" w:hAnsi="宋体" w:eastAsia="宋体" w:cs="宋体"/>
          <w:b/>
          <w:color w:val="auto"/>
          <w:sz w:val="24"/>
          <w:highlight w:val="none"/>
        </w:rPr>
        <w:t>组成</w:t>
      </w:r>
    </w:p>
    <w:bookmarkEnd w:id="32"/>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 招标文件包括下列文件及附件</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第一部分  招标公告</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第二部分  投标人须知</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第三部分  采购需求</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第四部分  合同文本</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第五部分  投标文件部分格式文件</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第六部分  评分办法</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补充文件（如果有，包括相关的补充、更正、澄清公告和文件）</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其他附件（如果有，如图纸等）</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2、投标人应认真审阅上述招标文件组成中所有的内容。如果投标人编制的投标文件没有从实质上响应招标文件的要求，其投标文件将被拒绝。</w:t>
      </w:r>
    </w:p>
    <w:p>
      <w:pPr>
        <w:pStyle w:val="49"/>
        <w:adjustRightInd w:val="0"/>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（二）招标文件的解释</w:t>
      </w:r>
    </w:p>
    <w:p>
      <w:pPr>
        <w:adjustRightInd w:val="0"/>
        <w:snapToGrid w:val="0"/>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1、投标人一旦参与本次招标活动，即被视为接受了本招标文件的所有内容，如有任何异议，均应在答疑截止时间前提出。</w:t>
      </w:r>
    </w:p>
    <w:p>
      <w:pPr>
        <w:adjustRightInd w:val="0"/>
        <w:snapToGrid w:val="0"/>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招标文件澄清、答复、修改、补充等书面内容均作为招标文件的补充文件，是招标文件的组成部分，将以传真、网上公告、电子邮件等形式书面告知所有购买招标文件的投标人，并对所有投标人均有约束力。当招标文件与补充文件就同一内容的表述不一致时，以最后发出的书面文件为准。</w:t>
      </w:r>
    </w:p>
    <w:p>
      <w:pPr>
        <w:adjustRightInd w:val="0"/>
        <w:snapToGrid w:val="0"/>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3、招标文件的解释权归招标人、招标代理机构所有。</w:t>
      </w:r>
    </w:p>
    <w:p>
      <w:pPr>
        <w:tabs>
          <w:tab w:val="left" w:pos="3780"/>
        </w:tabs>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（三）招标文件的澄清</w:t>
      </w:r>
    </w:p>
    <w:p>
      <w:pPr>
        <w:adjustRightInd w:val="0"/>
        <w:snapToGrid w:val="0"/>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投标人对招标文件如有疑问要求澄清，或认为有必要与招标人、招标代理机构进行技术交流的，投标人需将书面资料《（项目名称）询问函》在招标公告规定的询问截止时间前（对补充文件如有疑问要求澄清的，应在 24 小时内）以书面形式送达至招标代理机构，并与招标代理机构进行确认。招标代理机构有权对逾期收到疑问将不予受理、答复。</w:t>
      </w:r>
    </w:p>
    <w:p>
      <w:pPr>
        <w:adjustRightInd w:val="0"/>
        <w:snapToGrid w:val="0"/>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2、投标人要求澄清的资料应写明投标人全称、地址、邮编、传真、联系人、联系电话、电子邮箱、询疑日期并加盖投标人公章。</w:t>
      </w:r>
    </w:p>
    <w:p>
      <w:pPr>
        <w:adjustRightInd w:val="0"/>
        <w:snapToGrid w:val="0"/>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 如有必要，招标人和招标代理机构对投标人所有要求澄清的问题都予以书面解答，澄清答复的文件为招标补充文件，作为招标文件的组成部分。</w:t>
      </w:r>
    </w:p>
    <w:p>
      <w:pPr>
        <w:adjustRightInd w:val="0"/>
        <w:snapToGrid w:val="0"/>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 投标人在招标文件规定的询疑截止时间前内未对招标文件提出疑问的，招标代理机构将视其对招标文件无异议。</w:t>
      </w:r>
    </w:p>
    <w:p>
      <w:pPr>
        <w:pStyle w:val="49"/>
        <w:adjustRightInd w:val="0"/>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（四）招标文件的修改</w:t>
      </w:r>
    </w:p>
    <w:p>
      <w:pPr>
        <w:adjustRightInd w:val="0"/>
        <w:snapToGrid w:val="0"/>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1、由于各种原因招标人可能在投标截止时间前以澄清、答复、修改、补充文件的形式修改完善招标文件。</w:t>
      </w:r>
    </w:p>
    <w:p>
      <w:pPr>
        <w:adjustRightInd w:val="0"/>
        <w:snapToGrid w:val="0"/>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澄清、答复、修改、补充文件发出后，原则上不改变招标文件规定的投标截止时间及开标时间。投标人如认为澄清、答复、修改、补充文件内容影响投标文件编制，须延长投标截止时间的，必须在收到澄清、答复、修改、补充文件后 24 小时内将意见和理由以书面形式向招标代理机构提出，否则，招标代理机构视投标人完全接受并有足够的时间编制投标文件且按规定时间进行投标。</w:t>
      </w:r>
    </w:p>
    <w:p>
      <w:pPr>
        <w:adjustRightInd w:val="0"/>
        <w:snapToGrid w:val="0"/>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3、投标人在收到澄清、答复、修改、补充文件后，应在 24 小时内以书面形式向招标代理机构确认已收到该澄清、答复、修改、补充文件，逾期未确认的招标代理机构有权视其已收到。对澄清、答复、修改、补充文件如有疑问要求澄清，应在 24 小时内将书面送达招标代理机构，并与招标代理机构进行确认，逾期提出的，招标代理机构可不予受理。如有必要，招标代理机构将以书面形式回复询疑人。</w:t>
      </w:r>
    </w:p>
    <w:p>
      <w:pPr>
        <w:adjustRightInd w:val="0"/>
        <w:snapToGrid w:val="0"/>
        <w:spacing w:line="360" w:lineRule="auto"/>
        <w:jc w:val="center"/>
        <w:outlineLvl w:val="1"/>
        <w:rPr>
          <w:rFonts w:hint="eastAsia" w:ascii="宋体" w:hAnsi="宋体" w:eastAsia="宋体" w:cs="宋体"/>
          <w:b/>
          <w:color w:val="auto"/>
          <w:sz w:val="32"/>
          <w:highlight w:val="none"/>
        </w:rPr>
      </w:pPr>
      <w:bookmarkStart w:id="33" w:name="_Toc522530043"/>
      <w:bookmarkStart w:id="34" w:name="_Toc233618974"/>
      <w:bookmarkStart w:id="35" w:name="_Toc91899884"/>
      <w:bookmarkStart w:id="36" w:name="_Toc20674"/>
      <w:r>
        <w:rPr>
          <w:rFonts w:hint="eastAsia" w:ascii="宋体" w:hAnsi="宋体" w:eastAsia="宋体" w:cs="宋体"/>
          <w:b/>
          <w:color w:val="auto"/>
          <w:sz w:val="32"/>
          <w:highlight w:val="none"/>
        </w:rPr>
        <w:t>三、投标文件</w:t>
      </w:r>
      <w:bookmarkEnd w:id="33"/>
      <w:bookmarkEnd w:id="34"/>
      <w:bookmarkEnd w:id="35"/>
      <w:bookmarkEnd w:id="36"/>
    </w:p>
    <w:p>
      <w:pPr>
        <w:adjustRightInd w:val="0"/>
        <w:snapToGrid w:val="0"/>
        <w:spacing w:line="360" w:lineRule="auto"/>
        <w:rPr>
          <w:rFonts w:hint="eastAsia" w:ascii="宋体" w:hAnsi="宋体" w:eastAsia="宋体" w:cs="宋体"/>
          <w:b/>
          <w:bCs/>
          <w:color w:val="auto"/>
          <w:sz w:val="24"/>
          <w:szCs w:val="22"/>
          <w:highlight w:val="none"/>
          <w:lang w:val="zh-CN"/>
        </w:rPr>
      </w:pPr>
      <w:r>
        <w:rPr>
          <w:rFonts w:hint="eastAsia" w:ascii="宋体" w:hAnsi="宋体" w:eastAsia="宋体" w:cs="宋体"/>
          <w:b/>
          <w:bCs/>
          <w:color w:val="auto"/>
          <w:sz w:val="24"/>
          <w:szCs w:val="22"/>
          <w:highlight w:val="none"/>
        </w:rPr>
        <w:t>（一）投标文件的编制</w:t>
      </w:r>
    </w:p>
    <w:p>
      <w:pPr>
        <w:adjustRightInd w:val="0"/>
        <w:snapToGrid w:val="0"/>
        <w:spacing w:line="360" w:lineRule="auto"/>
        <w:ind w:firstLine="482" w:firstLineChars="200"/>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本项目通过“政府采购云平台（www.zcygov.cn）”实行在线投标响应（电子投标）。投标人应通过“政采云电子交易客户端”，并按照本招标文件和“政府采购云平台”的要求编制并加密投标文件并进行关联定位。</w:t>
      </w:r>
    </w:p>
    <w:p>
      <w:pPr>
        <w:adjustRightInd w:val="0"/>
        <w:snapToGrid w:val="0"/>
        <w:spacing w:line="360" w:lineRule="auto"/>
        <w:ind w:firstLine="482" w:firstLineChars="200"/>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2、投标人应当按照本章节 “投标文件组成”规定的内容及顺序在“政采云电子交易客户端”编制投标文件。其中《资格文件》和《商务技术文件》中不得出现本项目投标报价，如因投标人原因提前泄露投标报价，是投标人的责任。</w:t>
      </w:r>
    </w:p>
    <w:p>
      <w:pPr>
        <w:adjustRightInd w:val="0"/>
        <w:snapToGrid w:val="0"/>
        <w:spacing w:line="360" w:lineRule="auto"/>
        <w:ind w:firstLine="482" w:firstLineChars="200"/>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3、本文件《第五部分  投标文件部分格式文件》中有提供格式的，投标人须参照格式进行编制（格式中要求提供相关证明材料的还需后附相关证明材料），并按格式要求在指定位置根据要求进行签章，否则视为未提供；本文件《第五部分  投标文件部分格式文件》未提供格式的，请各投标单位自行拟定格式，并加盖单位公章并由法定代表人或其授权代表签署（签字或盖章），否则视为未提供。</w:t>
      </w:r>
    </w:p>
    <w:p>
      <w:pPr>
        <w:adjustRightInd w:val="0"/>
        <w:snapToGrid w:val="0"/>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4、《投标文件》内容不完整、编排混乱导致《投标文件》被误读、漏读或者查找不到相关内容的，是投标人的责任。</w:t>
      </w:r>
    </w:p>
    <w:p>
      <w:pPr>
        <w:adjustRightInd w:val="0"/>
        <w:snapToGrid w:val="0"/>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5、《投标文件》因字迹潦草或表达不清所引起的后果由投标人负责。</w:t>
      </w:r>
    </w:p>
    <w:p>
      <w:pPr>
        <w:adjustRightInd w:val="0"/>
        <w:snapToGrid w:val="0"/>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6、投标人没有按照本章节 “投标文件组成”要求提供全部资料，或者没有仔细阅读招标文件，或者没有对招标文件在各方面的要求作出实质性响应是投标人的风险，由此造成的一切后果由投标人自行承担。</w:t>
      </w:r>
    </w:p>
    <w:p>
      <w:pPr>
        <w:adjustRightInd w:val="0"/>
        <w:snapToGrid w:val="0"/>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7、投标文件必须按招标文件提供的格式签字或盖章。授权代表签字的，投标文件应附法定代表人签署的授权委托书。</w:t>
      </w:r>
    </w:p>
    <w:p>
      <w:pPr>
        <w:adjustRightInd w:val="0"/>
        <w:snapToGrid w:val="0"/>
        <w:spacing w:line="360" w:lineRule="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（二）投标文件的签章</w:t>
      </w:r>
    </w:p>
    <w:p>
      <w:pPr>
        <w:adjustRightInd w:val="0"/>
        <w:snapToGrid w:val="0"/>
        <w:spacing w:line="360" w:lineRule="auto"/>
        <w:ind w:firstLine="482" w:firstLineChars="200"/>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1、《投标文件》的签章：见《前附表》；</w:t>
      </w:r>
    </w:p>
    <w:p>
      <w:pPr>
        <w:adjustRightInd w:val="0"/>
        <w:snapToGrid w:val="0"/>
        <w:spacing w:line="360" w:lineRule="auto"/>
        <w:ind w:firstLine="482" w:firstLineChars="200"/>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2、《投标文件》应由投标人法定代表人或其授权代表签字（或盖章），并加盖投标人公章。</w:t>
      </w:r>
    </w:p>
    <w:p>
      <w:pPr>
        <w:adjustRightInd w:val="0"/>
        <w:snapToGrid w:val="0"/>
        <w:spacing w:line="360" w:lineRule="auto"/>
        <w:ind w:firstLine="482" w:firstLineChars="200"/>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3、电子签章操作指南详见采购公告附件《供应商项目采购-电子招投标操作指南》。</w:t>
      </w:r>
    </w:p>
    <w:p>
      <w:pPr>
        <w:adjustRightInd w:val="0"/>
        <w:snapToGrid w:val="0"/>
        <w:spacing w:line="360" w:lineRule="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（三）投标文件的组成</w:t>
      </w:r>
    </w:p>
    <w:p>
      <w:pPr>
        <w:pStyle w:val="49"/>
        <w:adjustRightInd w:val="0"/>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1、资格文件</w:t>
      </w:r>
    </w:p>
    <w:p>
      <w:pPr>
        <w:widowControl/>
        <w:tabs>
          <w:tab w:val="left" w:pos="3780"/>
        </w:tabs>
        <w:spacing w:line="360" w:lineRule="auto"/>
        <w:ind w:firstLine="480" w:firstLineChars="200"/>
        <w:jc w:val="left"/>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（1）资格审查材料（按第五部分格式一要求提供）；</w:t>
      </w:r>
    </w:p>
    <w:p>
      <w:pPr>
        <w:pStyle w:val="49"/>
        <w:adjustRightInd w:val="0"/>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2、商务技术文件</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（1）投标声明函（格式见第五部分格式二）；</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（2）法定代表人身份证明或附有法定代表人身份证明及授权代表为投标人在职员工的证明文件（投标人为其缴纳的社保记录或劳务合同等）的授权委托书（格式见第五部分格式三）</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（3）商务评分中所需的材料（如有，详见评标办法，节能、环保产品证明材料等）；</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（4）以往业绩情况（如有，具体要求见评标办法，并按第五部分格式四要求编排）</w:t>
      </w:r>
      <w:r>
        <w:rPr>
          <w:rFonts w:hint="eastAsia" w:ascii="宋体" w:hAnsi="宋体" w:eastAsia="宋体" w:cs="宋体"/>
          <w:color w:val="auto"/>
          <w:sz w:val="24"/>
          <w:szCs w:val="22"/>
          <w:highlight w:val="none"/>
          <w:lang w:eastAsia="zh-CN"/>
        </w:rPr>
        <w:t>；</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 w:val="24"/>
          <w:szCs w:val="22"/>
          <w:highlight w:val="none"/>
          <w:lang w:val="en-US" w:eastAsia="zh-CN" w:bidi="ar-SA"/>
        </w:rPr>
        <w:t>（5）商务</w:t>
      </w:r>
      <w:r>
        <w:rPr>
          <w:rFonts w:hint="eastAsia" w:ascii="宋体" w:hAnsi="宋体" w:cs="宋体"/>
          <w:color w:val="auto"/>
          <w:kern w:val="2"/>
          <w:sz w:val="24"/>
          <w:szCs w:val="22"/>
          <w:highlight w:val="none"/>
          <w:lang w:val="en-US" w:eastAsia="zh-CN" w:bidi="ar-SA"/>
        </w:rPr>
        <w:t>/技术</w:t>
      </w:r>
      <w:r>
        <w:rPr>
          <w:rFonts w:hint="eastAsia" w:ascii="宋体" w:hAnsi="宋体" w:eastAsia="宋体" w:cs="宋体"/>
          <w:color w:val="auto"/>
          <w:kern w:val="2"/>
          <w:sz w:val="24"/>
          <w:szCs w:val="22"/>
          <w:highlight w:val="none"/>
          <w:lang w:val="en-US" w:eastAsia="zh-CN" w:bidi="ar-SA"/>
        </w:rPr>
        <w:t>偏离表（格式见第五部分格式五）；</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w:t>
      </w:r>
      <w:r>
        <w:rPr>
          <w:rFonts w:hint="eastAsia" w:ascii="宋体" w:hAnsi="宋体" w:eastAsia="宋体" w:cs="宋体"/>
          <w:color w:val="auto"/>
          <w:sz w:val="24"/>
          <w:szCs w:val="22"/>
          <w:highlight w:val="none"/>
          <w:lang w:val="en-US" w:eastAsia="zh-CN"/>
        </w:rPr>
        <w:t>6</w:t>
      </w:r>
      <w:r>
        <w:rPr>
          <w:rFonts w:hint="eastAsia" w:ascii="宋体" w:hAnsi="宋体" w:eastAsia="宋体" w:cs="宋体"/>
          <w:color w:val="auto"/>
          <w:sz w:val="24"/>
          <w:szCs w:val="22"/>
          <w:highlight w:val="none"/>
        </w:rPr>
        <w:t>）拟投入本项目的服务团队情况表（格式见第五部分格式</w:t>
      </w:r>
      <w:r>
        <w:rPr>
          <w:rFonts w:hint="eastAsia" w:ascii="宋体" w:hAnsi="宋体" w:eastAsia="宋体" w:cs="宋体"/>
          <w:color w:val="auto"/>
          <w:sz w:val="24"/>
          <w:szCs w:val="22"/>
          <w:highlight w:val="none"/>
          <w:lang w:eastAsia="zh-CN"/>
        </w:rPr>
        <w:t>六</w:t>
      </w:r>
      <w:r>
        <w:rPr>
          <w:rFonts w:hint="eastAsia" w:ascii="宋体" w:hAnsi="宋体" w:eastAsia="宋体" w:cs="宋体"/>
          <w:color w:val="auto"/>
          <w:sz w:val="24"/>
          <w:szCs w:val="22"/>
          <w:highlight w:val="none"/>
        </w:rPr>
        <w:t>）；</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w:t>
      </w:r>
      <w:r>
        <w:rPr>
          <w:rFonts w:hint="eastAsia" w:ascii="宋体" w:hAnsi="宋体" w:eastAsia="宋体" w:cs="宋体"/>
          <w:color w:val="auto"/>
          <w:sz w:val="24"/>
          <w:szCs w:val="22"/>
          <w:highlight w:val="none"/>
          <w:lang w:val="en-US" w:eastAsia="zh-CN"/>
        </w:rPr>
        <w:t>7</w:t>
      </w:r>
      <w:r>
        <w:rPr>
          <w:rFonts w:hint="eastAsia" w:ascii="宋体" w:hAnsi="宋体" w:eastAsia="宋体" w:cs="宋体"/>
          <w:color w:val="auto"/>
          <w:sz w:val="24"/>
          <w:szCs w:val="22"/>
          <w:highlight w:val="none"/>
        </w:rPr>
        <w:t>）技术评分中所需的材料（详见评标办法）；</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color w:val="auto"/>
          <w:highlight w:val="none"/>
        </w:rPr>
      </w:pPr>
      <w:r>
        <w:rPr>
          <w:rFonts w:hint="eastAsia" w:ascii="宋体" w:hAnsi="宋体" w:eastAsia="宋体" w:cs="宋体"/>
          <w:color w:val="auto"/>
          <w:sz w:val="24"/>
          <w:szCs w:val="22"/>
          <w:highlight w:val="none"/>
        </w:rPr>
        <w:t>（</w:t>
      </w:r>
      <w:r>
        <w:rPr>
          <w:rFonts w:hint="eastAsia" w:ascii="宋体" w:hAnsi="宋体" w:eastAsia="宋体" w:cs="宋体"/>
          <w:color w:val="auto"/>
          <w:sz w:val="24"/>
          <w:szCs w:val="22"/>
          <w:highlight w:val="none"/>
          <w:lang w:val="en-US" w:eastAsia="zh-CN"/>
        </w:rPr>
        <w:t>8</w:t>
      </w:r>
      <w:r>
        <w:rPr>
          <w:rFonts w:hint="eastAsia" w:ascii="宋体" w:hAnsi="宋体" w:eastAsia="宋体" w:cs="宋体"/>
          <w:color w:val="auto"/>
          <w:sz w:val="24"/>
          <w:szCs w:val="22"/>
          <w:highlight w:val="none"/>
        </w:rPr>
        <w:t>）其他商务技术文件或说明（如有）</w:t>
      </w:r>
    </w:p>
    <w:p>
      <w:pPr>
        <w:pStyle w:val="49"/>
        <w:adjustRightInd w:val="0"/>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3、报价文件</w:t>
      </w:r>
    </w:p>
    <w:p>
      <w:pPr>
        <w:tabs>
          <w:tab w:val="left" w:pos="3780"/>
        </w:tabs>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（1）开标一览表（格式见第五部分格式六）；</w:t>
      </w:r>
    </w:p>
    <w:p>
      <w:pPr>
        <w:tabs>
          <w:tab w:val="left" w:pos="3780"/>
        </w:tabs>
        <w:spacing w:line="360" w:lineRule="auto"/>
        <w:ind w:firstLine="480" w:firstLineChars="200"/>
        <w:rPr>
          <w:rFonts w:hint="eastAsia" w:ascii="宋体" w:hAnsi="宋体" w:eastAsia="宋体" w:cs="宋体"/>
          <w:color w:val="auto"/>
          <w:sz w:val="24"/>
          <w:szCs w:val="22"/>
          <w:highlight w:val="none"/>
          <w:lang w:eastAsia="zh-CN"/>
        </w:rPr>
      </w:pPr>
      <w:r>
        <w:rPr>
          <w:rFonts w:hint="eastAsia" w:ascii="宋体" w:hAnsi="宋体" w:eastAsia="宋体" w:cs="宋体"/>
          <w:color w:val="auto"/>
          <w:sz w:val="24"/>
          <w:szCs w:val="22"/>
          <w:highlight w:val="none"/>
        </w:rPr>
        <w:t>（2）报价明细表（格式见第五部分格式七）</w:t>
      </w:r>
      <w:r>
        <w:rPr>
          <w:rFonts w:hint="eastAsia" w:ascii="宋体" w:hAnsi="宋体" w:eastAsia="宋体" w:cs="宋体"/>
          <w:color w:val="auto"/>
          <w:sz w:val="24"/>
          <w:szCs w:val="22"/>
          <w:highlight w:val="none"/>
          <w:lang w:eastAsia="zh-CN"/>
        </w:rPr>
        <w:t>。</w:t>
      </w:r>
    </w:p>
    <w:p>
      <w:pPr>
        <w:tabs>
          <w:tab w:val="left" w:pos="3780"/>
        </w:tabs>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szCs w:val="22"/>
          <w:highlight w:val="none"/>
          <w:u w:val="single"/>
          <w:lang w:val="zh-CN"/>
        </w:rPr>
        <w:t>投标文件中所需的各种证书、证件、证明资料</w:t>
      </w:r>
      <w:r>
        <w:rPr>
          <w:rFonts w:hint="eastAsia" w:ascii="宋体" w:hAnsi="宋体" w:eastAsia="宋体" w:cs="宋体"/>
          <w:color w:val="auto"/>
          <w:sz w:val="24"/>
          <w:szCs w:val="22"/>
          <w:highlight w:val="none"/>
          <w:u w:val="single"/>
        </w:rPr>
        <w:t>等</w:t>
      </w:r>
      <w:r>
        <w:rPr>
          <w:rFonts w:hint="eastAsia" w:ascii="宋体" w:hAnsi="宋体" w:eastAsia="宋体" w:cs="宋体"/>
          <w:color w:val="auto"/>
          <w:sz w:val="24"/>
          <w:szCs w:val="22"/>
          <w:highlight w:val="none"/>
          <w:u w:val="single"/>
          <w:lang w:val="zh-CN"/>
        </w:rPr>
        <w:t>如是复印件，须在复印件上加盖有效公章。</w:t>
      </w:r>
    </w:p>
    <w:p>
      <w:pPr>
        <w:pStyle w:val="309"/>
        <w:adjustRightInd w:val="0"/>
        <w:snapToGrid w:val="0"/>
        <w:spacing w:before="0"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（三）投标报价</w:t>
      </w:r>
    </w:p>
    <w:p>
      <w:pPr>
        <w:pStyle w:val="36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 w:val="24"/>
          <w:szCs w:val="22"/>
          <w:highlight w:val="none"/>
          <w:lang w:val="en-US" w:eastAsia="zh-CN" w:bidi="ar-SA"/>
        </w:rPr>
        <w:t>1、▲本次投标最高限价为</w:t>
      </w:r>
      <w:r>
        <w:rPr>
          <w:rFonts w:hint="eastAsia" w:ascii="宋体" w:hAnsi="宋体" w:cs="宋体"/>
          <w:color w:val="auto"/>
          <w:kern w:val="2"/>
          <w:sz w:val="24"/>
          <w:szCs w:val="22"/>
          <w:highlight w:val="none"/>
          <w:u w:val="single"/>
          <w:lang w:val="en-US" w:eastAsia="zh-CN" w:bidi="ar-SA"/>
        </w:rPr>
        <w:t xml:space="preserve"> 12015416</w:t>
      </w:r>
      <w:r>
        <w:rPr>
          <w:rFonts w:hint="eastAsia" w:ascii="宋体" w:hAnsi="宋体" w:eastAsia="宋体" w:cs="宋体"/>
          <w:color w:val="auto"/>
          <w:kern w:val="2"/>
          <w:sz w:val="24"/>
          <w:szCs w:val="22"/>
          <w:highlight w:val="none"/>
          <w:lang w:val="en-US" w:eastAsia="zh-CN" w:bidi="ar-SA"/>
        </w:rPr>
        <w:t>元，供应商报价高于最高限价（含单价最高限价）的，为无效响应文件。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lang w:val="zh-CN"/>
        </w:rPr>
      </w:pPr>
      <w:r>
        <w:rPr>
          <w:rFonts w:hint="eastAsia" w:ascii="宋体" w:hAnsi="宋体" w:eastAsia="宋体" w:cs="宋体"/>
          <w:color w:val="auto"/>
          <w:kern w:val="2"/>
          <w:sz w:val="24"/>
          <w:szCs w:val="22"/>
          <w:highlight w:val="none"/>
          <w:lang w:val="en-US" w:eastAsia="zh-CN" w:bidi="ar-SA"/>
        </w:rPr>
        <w:t>2</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zh-CN"/>
        </w:rPr>
        <w:t>供应商的</w:t>
      </w:r>
      <w:r>
        <w:rPr>
          <w:rFonts w:hint="eastAsia" w:ascii="宋体" w:hAnsi="宋体" w:eastAsia="宋体" w:cs="宋体"/>
          <w:bCs/>
          <w:color w:val="auto"/>
          <w:sz w:val="24"/>
          <w:szCs w:val="24"/>
          <w:highlight w:val="none"/>
          <w:lang w:val="en-US" w:eastAsia="zh-CN"/>
        </w:rPr>
        <w:t>投标</w:t>
      </w:r>
      <w:r>
        <w:rPr>
          <w:rFonts w:hint="eastAsia" w:ascii="宋体" w:hAnsi="宋体" w:eastAsia="宋体" w:cs="宋体"/>
          <w:bCs/>
          <w:color w:val="auto"/>
          <w:sz w:val="24"/>
          <w:szCs w:val="24"/>
          <w:highlight w:val="none"/>
          <w:lang w:val="zh-CN"/>
        </w:rPr>
        <w:t>报价为履行</w:t>
      </w:r>
      <w:r>
        <w:rPr>
          <w:rFonts w:hint="eastAsia" w:ascii="宋体" w:hAnsi="宋体" w:cs="宋体"/>
          <w:bCs/>
          <w:color w:val="auto"/>
          <w:sz w:val="24"/>
          <w:szCs w:val="24"/>
          <w:highlight w:val="none"/>
          <w:lang w:eastAsia="zh-CN"/>
        </w:rPr>
        <w:t>柯城区航埠新城K12学校建设项目——航埠新城初级中学校园智能化采购项目</w:t>
      </w:r>
      <w:r>
        <w:rPr>
          <w:rFonts w:hint="eastAsia" w:ascii="宋体" w:hAnsi="宋体" w:eastAsia="宋体" w:cs="宋体"/>
          <w:bCs/>
          <w:color w:val="auto"/>
          <w:sz w:val="24"/>
          <w:szCs w:val="24"/>
          <w:highlight w:val="none"/>
          <w:lang w:val="zh-CN"/>
        </w:rPr>
        <w:t>合同的最终报价，报价中必须包含完成本项目的所有费用如调研、软件设计、系统开发、系统集成、测试、实施部署、硬件（货物）、硬件（货物）运输、安装、调试、人工费（包括工人工资、奖金、社保、工伤费、教育培训费、暂住费及处理一切伤亡事故等费用）、工具材料费、培训、维护、税费等所有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lang w:val="zh-CN"/>
        </w:rPr>
        <w:t>供应商应根据要求报价，报价单中不得漏填项目。</w:t>
      </w:r>
    </w:p>
    <w:p>
      <w:pPr>
        <w:keepNext w:val="0"/>
        <w:keepLines w:val="0"/>
        <w:pageBreakBefore w:val="0"/>
        <w:widowControl w:val="0"/>
        <w:tabs>
          <w:tab w:val="left" w:pos="378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4</w:t>
      </w:r>
      <w:r>
        <w:rPr>
          <w:rFonts w:hint="eastAsia" w:ascii="宋体" w:hAnsi="宋体" w:eastAsia="宋体" w:cs="宋体"/>
          <w:color w:val="auto"/>
          <w:sz w:val="24"/>
          <w:szCs w:val="22"/>
          <w:highlight w:val="none"/>
        </w:rPr>
        <w:t>、其它费用处理</w:t>
      </w:r>
    </w:p>
    <w:p>
      <w:pPr>
        <w:keepNext w:val="0"/>
        <w:keepLines w:val="0"/>
        <w:pageBreakBefore w:val="0"/>
        <w:widowControl w:val="0"/>
        <w:tabs>
          <w:tab w:val="left" w:pos="378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招标文件未列明，而投标人认为必需的费用也需列入报价。投标人在投标报价中应充分考虑所有可能发生的费用，否则招标人将视投标总价中已包括所有费用。</w:t>
      </w:r>
    </w:p>
    <w:p>
      <w:pPr>
        <w:keepNext w:val="0"/>
        <w:keepLines w:val="0"/>
        <w:pageBreakBefore w:val="0"/>
        <w:widowControl w:val="0"/>
        <w:tabs>
          <w:tab w:val="left" w:pos="378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5</w:t>
      </w:r>
      <w:r>
        <w:rPr>
          <w:rFonts w:hint="eastAsia" w:ascii="宋体" w:hAnsi="宋体" w:eastAsia="宋体" w:cs="宋体"/>
          <w:color w:val="auto"/>
          <w:sz w:val="24"/>
          <w:szCs w:val="22"/>
          <w:highlight w:val="none"/>
        </w:rPr>
        <w:t>、投标货币</w:t>
      </w:r>
    </w:p>
    <w:p>
      <w:pPr>
        <w:keepNext w:val="0"/>
        <w:keepLines w:val="0"/>
        <w:pageBreakBefore w:val="0"/>
        <w:widowControl w:val="0"/>
        <w:tabs>
          <w:tab w:val="left" w:pos="378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投标文件中价格全部采用人民币报价。</w:t>
      </w:r>
    </w:p>
    <w:p>
      <w:pPr>
        <w:keepNext w:val="0"/>
        <w:keepLines w:val="0"/>
        <w:pageBreakBefore w:val="0"/>
        <w:widowControl w:val="0"/>
        <w:tabs>
          <w:tab w:val="left" w:pos="378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报价应是唯一的，不接受有选择的报价。</w:t>
      </w:r>
    </w:p>
    <w:p>
      <w:pPr>
        <w:keepNext w:val="0"/>
        <w:keepLines w:val="0"/>
        <w:pageBreakBefore w:val="0"/>
        <w:widowControl w:val="0"/>
        <w:tabs>
          <w:tab w:val="left" w:pos="378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6</w:t>
      </w:r>
      <w:r>
        <w:rPr>
          <w:rFonts w:hint="eastAsia" w:ascii="宋体" w:hAnsi="宋体" w:eastAsia="宋体" w:cs="宋体"/>
          <w:color w:val="auto"/>
          <w:sz w:val="24"/>
          <w:szCs w:val="22"/>
          <w:highlight w:val="none"/>
        </w:rPr>
        <w:t>、投标人对在合同执行中，除上述费用及招标文件规定的由中标人负责的工作范围以外需要招标人协调或提供便利的工作应当在投标文件中说明。</w:t>
      </w:r>
      <w:bookmarkStart w:id="37" w:name="_Hlt75236011"/>
      <w:bookmarkEnd w:id="37"/>
    </w:p>
    <w:p>
      <w:pPr>
        <w:adjustRightInd w:val="0"/>
        <w:snapToGrid w:val="0"/>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报价是中标的一个重要因素，但最低报价不是中标的唯一依据。</w:t>
      </w:r>
    </w:p>
    <w:p>
      <w:pPr>
        <w:pStyle w:val="309"/>
        <w:adjustRightInd w:val="0"/>
        <w:snapToGrid w:val="0"/>
        <w:spacing w:before="0" w:line="360" w:lineRule="auto"/>
        <w:ind w:firstLine="0" w:firstLineChars="0"/>
        <w:rPr>
          <w:rFonts w:hint="eastAsia" w:ascii="宋体" w:hAnsi="宋体" w:eastAsia="宋体" w:cs="宋体"/>
          <w:b/>
          <w:color w:val="auto"/>
          <w:highlight w:val="none"/>
        </w:rPr>
      </w:pPr>
      <w:bookmarkStart w:id="38" w:name="_Toc91899887"/>
      <w:r>
        <w:rPr>
          <w:rFonts w:hint="eastAsia" w:ascii="宋体" w:hAnsi="宋体" w:eastAsia="宋体" w:cs="宋体"/>
          <w:b/>
          <w:color w:val="auto"/>
          <w:highlight w:val="none"/>
        </w:rPr>
        <w:t>（四）投标有效期</w:t>
      </w:r>
    </w:p>
    <w:p>
      <w:pPr>
        <w:tabs>
          <w:tab w:val="left" w:pos="3780"/>
        </w:tabs>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1、投标文件合格投递后，自投标截止日期起，至前附表规定的日期内有效。合同签订后，投标文件作为合同附件，投标文件有效期同合同有效期。</w:t>
      </w:r>
    </w:p>
    <w:p>
      <w:pPr>
        <w:tabs>
          <w:tab w:val="left" w:pos="3780"/>
        </w:tabs>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 招标人如因故推迟投标截止时间，将以书面形式通知所有投标人。在这种情况下，招标人与投标人以前在投标截止期方面的全部权利、责任和义务，将适用于延长至新的投标截止期。</w:t>
      </w:r>
    </w:p>
    <w:p>
      <w:pPr>
        <w:tabs>
          <w:tab w:val="left" w:pos="3780"/>
        </w:tabs>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3、投标人可拒绝接受延期要求。同意延长有效期的投标人不能修改投标文件。</w:t>
      </w:r>
    </w:p>
    <w:p>
      <w:pPr>
        <w:tabs>
          <w:tab w:val="left" w:pos="3780"/>
        </w:tabs>
        <w:spacing w:line="360" w:lineRule="auto"/>
        <w:ind w:firstLine="482" w:firstLineChars="200"/>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4、投标截止后，在投标有效期内，投标人不能撤销投标文件。投标人强行撤销投标文件的，应按采购预算金额的2%赔偿对采购组织机构造成的损失。</w:t>
      </w:r>
    </w:p>
    <w:bookmarkEnd w:id="38"/>
    <w:p>
      <w:pPr>
        <w:adjustRightInd w:val="0"/>
        <w:snapToGrid w:val="0"/>
        <w:spacing w:line="360" w:lineRule="auto"/>
        <w:jc w:val="center"/>
        <w:outlineLvl w:val="1"/>
        <w:rPr>
          <w:rFonts w:hint="eastAsia" w:ascii="宋体" w:hAnsi="宋体" w:eastAsia="宋体" w:cs="宋体"/>
          <w:b/>
          <w:color w:val="auto"/>
          <w:sz w:val="32"/>
          <w:highlight w:val="none"/>
        </w:rPr>
      </w:pPr>
      <w:bookmarkStart w:id="39" w:name="_Toc522530044"/>
      <w:bookmarkStart w:id="40" w:name="_Toc19525"/>
      <w:bookmarkStart w:id="41" w:name="_Toc91899892"/>
      <w:r>
        <w:rPr>
          <w:rFonts w:hint="eastAsia" w:ascii="宋体" w:hAnsi="宋体" w:eastAsia="宋体" w:cs="宋体"/>
          <w:b/>
          <w:color w:val="auto"/>
          <w:sz w:val="32"/>
          <w:highlight w:val="none"/>
        </w:rPr>
        <w:t>四、投 标</w:t>
      </w:r>
      <w:bookmarkEnd w:id="39"/>
      <w:bookmarkEnd w:id="40"/>
    </w:p>
    <w:p>
      <w:pPr>
        <w:pStyle w:val="309"/>
        <w:adjustRightInd w:val="0"/>
        <w:snapToGrid w:val="0"/>
        <w:spacing w:before="0" w:line="360" w:lineRule="auto"/>
        <w:ind w:firstLine="0" w:firstLineChars="0"/>
        <w:rPr>
          <w:rFonts w:hint="eastAsia" w:ascii="宋体" w:hAnsi="宋体" w:eastAsia="宋体" w:cs="宋体"/>
          <w:bCs/>
          <w:color w:val="auto"/>
          <w:highlight w:val="none"/>
        </w:rPr>
      </w:pPr>
      <w:r>
        <w:rPr>
          <w:rFonts w:hint="eastAsia" w:ascii="宋体" w:hAnsi="宋体" w:eastAsia="宋体" w:cs="宋体"/>
          <w:bCs/>
          <w:color w:val="auto"/>
          <w:highlight w:val="none"/>
        </w:rPr>
        <w:t>（一）投标文件的上传和递交</w:t>
      </w:r>
    </w:p>
    <w:p>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1、“电子加密投标文件”的上传、递交：</w:t>
      </w:r>
    </w:p>
    <w:p>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a.投标人应在投标截止时间前将“电子加密投标文件”成功上传递交至“政府采购云平台”，否则投标无效。</w:t>
      </w:r>
    </w:p>
    <w:p>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b.“电子加密投标文件”成功上传递交后，投标人可自行打印投标文件接收回执。</w:t>
      </w:r>
    </w:p>
    <w:p>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2、“备份投标文件”的密封包装、递交：</w:t>
      </w:r>
    </w:p>
    <w:p>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a.投标人在“政府采购云平台”完成“电子加密投标文件”的上传递交后，还可以（建议顺丰或EMS邮寄形式）在投标截止时间前递交以介质（U盘）存储的 “备份投标文件”（一份）；</w:t>
      </w:r>
    </w:p>
    <w:p>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b.“备份投标文件”应当密封包装，并在包装上标注投标项目名称、投标单位名称并加盖公章。没有密封包装或者逾期邮寄送达至投标地点的“备份投标文件”将不予接收；</w:t>
      </w:r>
    </w:p>
    <w:p>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c.通过“政府采购云平台”成功上传递交的“电子加密投标文件”已按时解密的，“备份投标文件”自动失效。投标截止时间前，投标人仅递交了“备份投标文件”而未将“电子加密投标文件”成功上传至“政府采购云平台”的，投标无效。</w:t>
      </w:r>
    </w:p>
    <w:p>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d.电子备份投标文件，由投标人决定是否递交，并自行承担不递交电子备份投标文件的风险。</w:t>
      </w:r>
    </w:p>
    <w:p>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3、招标人如因故推迟投标截止时间，将以书面形式通知所有投标人。在这种情况下，招标人与投标人以前在投标截止期方面的全部权利、责任和义务，将适用于延长至新的投标截止期。</w:t>
      </w:r>
    </w:p>
    <w:p>
      <w:pPr>
        <w:pStyle w:val="309"/>
        <w:adjustRightInd w:val="0"/>
        <w:snapToGrid w:val="0"/>
        <w:spacing w:before="0" w:line="360" w:lineRule="auto"/>
        <w:ind w:firstLine="0" w:firstLineChars="0"/>
        <w:rPr>
          <w:rFonts w:hint="eastAsia" w:ascii="宋体" w:hAnsi="宋体" w:eastAsia="宋体" w:cs="宋体"/>
          <w:bCs/>
          <w:color w:val="auto"/>
          <w:highlight w:val="none"/>
        </w:rPr>
      </w:pPr>
      <w:r>
        <w:rPr>
          <w:rFonts w:hint="eastAsia" w:ascii="宋体" w:hAnsi="宋体" w:eastAsia="宋体" w:cs="宋体"/>
          <w:bCs/>
          <w:color w:val="auto"/>
          <w:highlight w:val="none"/>
        </w:rPr>
        <w:t>（二）“电子加密投标文件”解密和异常情况处理</w:t>
      </w:r>
    </w:p>
    <w:p>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（1）开标后，采购组织机构将向各投标人发出“电子加密投标文件”的解密通知，各投标人代表应当在接到解密通知后30分钟内自行完成“电子加密投标文件”的在线解密。</w:t>
      </w:r>
    </w:p>
    <w:p>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通过“政府采购云平台”成功上传递交的“电子加密投标文件”无法按时解密，投标人如按规定递交了“备份投标文件”的，以“备份投标文件”为依据（由采购组织机构按“政府采购云平台”操作规范将“备份投标文件”上传至“政府采购云平台”，上传成功后，“电子加密投标文件”自动失效），否则视为投标文件撤回。</w:t>
      </w:r>
    </w:p>
    <w:p>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（3）投标截止时间前，投标人仅递交了“备份投标文件”而未将电子加密投标文件上传至“政府采购云平台”的，投标无效。</w:t>
      </w:r>
    </w:p>
    <w:p>
      <w:pPr>
        <w:pStyle w:val="309"/>
        <w:adjustRightInd w:val="0"/>
        <w:snapToGrid w:val="0"/>
        <w:spacing w:before="0" w:line="360" w:lineRule="auto"/>
        <w:ind w:firstLine="0" w:firstLineChars="0"/>
        <w:rPr>
          <w:rFonts w:hint="eastAsia" w:ascii="宋体" w:hAnsi="宋体" w:eastAsia="宋体" w:cs="宋体"/>
          <w:bCs/>
          <w:color w:val="auto"/>
          <w:highlight w:val="none"/>
        </w:rPr>
      </w:pPr>
      <w:r>
        <w:rPr>
          <w:rFonts w:hint="eastAsia" w:ascii="宋体" w:hAnsi="宋体" w:eastAsia="宋体" w:cs="宋体"/>
          <w:bCs/>
          <w:color w:val="auto"/>
          <w:highlight w:val="none"/>
        </w:rPr>
        <w:t>（三）投标文件的修改与撤回</w:t>
      </w:r>
    </w:p>
    <w:p>
      <w:pPr>
        <w:adjustRightInd w:val="0"/>
        <w:snapToGrid w:val="0"/>
        <w:spacing w:line="360" w:lineRule="auto"/>
        <w:ind w:firstLine="482" w:firstLineChars="200"/>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adjustRightInd w:val="0"/>
        <w:snapToGrid w:val="0"/>
        <w:spacing w:line="360" w:lineRule="auto"/>
        <w:ind w:firstLine="482" w:firstLineChars="200"/>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2、投标截止时间后，投标人不得撤回、修改《投标文件》。</w:t>
      </w:r>
    </w:p>
    <w:bookmarkEnd w:id="41"/>
    <w:p>
      <w:pPr>
        <w:adjustRightInd w:val="0"/>
        <w:snapToGrid w:val="0"/>
        <w:spacing w:line="360" w:lineRule="auto"/>
        <w:jc w:val="center"/>
        <w:outlineLvl w:val="1"/>
        <w:rPr>
          <w:rFonts w:hint="eastAsia" w:ascii="宋体" w:hAnsi="宋体" w:eastAsia="宋体" w:cs="宋体"/>
          <w:b/>
          <w:color w:val="auto"/>
          <w:sz w:val="32"/>
          <w:highlight w:val="none"/>
        </w:rPr>
      </w:pPr>
      <w:bookmarkStart w:id="42" w:name="_Toc91899897"/>
      <w:bookmarkStart w:id="43" w:name="_Toc6430"/>
      <w:bookmarkStart w:id="44" w:name="_Toc233618976"/>
      <w:bookmarkStart w:id="45" w:name="_Toc522530045"/>
      <w:r>
        <w:rPr>
          <w:rFonts w:hint="eastAsia" w:ascii="宋体" w:hAnsi="宋体" w:eastAsia="宋体" w:cs="宋体"/>
          <w:b/>
          <w:color w:val="auto"/>
          <w:sz w:val="32"/>
          <w:highlight w:val="none"/>
        </w:rPr>
        <w:t>五、开 标</w:t>
      </w:r>
      <w:bookmarkEnd w:id="42"/>
      <w:bookmarkEnd w:id="43"/>
      <w:bookmarkEnd w:id="44"/>
      <w:bookmarkEnd w:id="45"/>
    </w:p>
    <w:p>
      <w:pPr>
        <w:adjustRightInd w:val="0"/>
        <w:snapToGrid w:val="0"/>
        <w:spacing w:line="360" w:lineRule="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（一）开标形式</w:t>
      </w:r>
    </w:p>
    <w:p>
      <w:pPr>
        <w:adjustRightInd w:val="0"/>
        <w:snapToGrid w:val="0"/>
        <w:spacing w:line="360" w:lineRule="auto"/>
        <w:ind w:firstLine="482" w:firstLineChars="200"/>
        <w:rPr>
          <w:rFonts w:hint="eastAsia" w:ascii="宋体" w:hAnsi="宋体" w:eastAsia="宋体" w:cs="宋体"/>
          <w:color w:val="auto"/>
          <w:sz w:val="24"/>
          <w:szCs w:val="22"/>
          <w:highlight w:val="none"/>
        </w:rPr>
      </w:pPr>
      <w:r>
        <w:rPr>
          <w:rFonts w:hint="eastAsia" w:ascii="宋体" w:hAnsi="宋体" w:eastAsia="宋体" w:cs="宋体"/>
          <w:b/>
          <w:bCs/>
          <w:color w:val="auto"/>
          <w:sz w:val="24"/>
          <w:szCs w:val="22"/>
          <w:highlight w:val="none"/>
        </w:rPr>
        <w:t>1、 采购组织机构将按照招标文件规定的时间通过“政府采购云平台”组织开标、开启投标文件，所有投标人均应当准时在线参加。</w:t>
      </w:r>
    </w:p>
    <w:p>
      <w:pPr>
        <w:adjustRightInd w:val="0"/>
        <w:snapToGrid w:val="0"/>
        <w:spacing w:line="360" w:lineRule="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（二）开标准备</w:t>
      </w:r>
    </w:p>
    <w:p>
      <w:pPr>
        <w:adjustRightInd w:val="0"/>
        <w:snapToGrid w:val="0"/>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1、开标的准备工作由采购组织机构负责落实；</w:t>
      </w:r>
    </w:p>
    <w:p>
      <w:pPr>
        <w:adjustRightInd w:val="0"/>
        <w:snapToGrid w:val="0"/>
        <w:spacing w:line="360" w:lineRule="auto"/>
        <w:ind w:firstLine="482" w:firstLineChars="200"/>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采购组织机构将按照招标文件规定的时间通过“政府采购云平台”组织开标、开启投标文件，所有投标人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pPr>
        <w:adjustRightInd w:val="0"/>
        <w:snapToGrid w:val="0"/>
        <w:spacing w:line="360" w:lineRule="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（三）开标流程（两阶段）</w:t>
      </w:r>
    </w:p>
    <w:p>
      <w:pPr>
        <w:adjustRightInd w:val="0"/>
        <w:snapToGrid w:val="0"/>
        <w:spacing w:line="360" w:lineRule="auto"/>
        <w:ind w:firstLine="482" w:firstLineChars="200"/>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1、开标第一阶段</w:t>
      </w:r>
    </w:p>
    <w:p>
      <w:pPr>
        <w:adjustRightInd w:val="0"/>
        <w:snapToGrid w:val="0"/>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向各投标人发出电子加密投标文件【开始解密】通知，由投标人按招标文件规定的时间内自行进行投标文件解密。投标人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adjustRightInd w:val="0"/>
        <w:snapToGrid w:val="0"/>
        <w:spacing w:line="360" w:lineRule="auto"/>
        <w:ind w:firstLine="482" w:firstLineChars="200"/>
        <w:rPr>
          <w:rFonts w:hint="eastAsia" w:ascii="宋体" w:hAnsi="宋体" w:eastAsia="宋体" w:cs="宋体"/>
          <w:color w:val="auto"/>
          <w:sz w:val="24"/>
          <w:szCs w:val="22"/>
          <w:highlight w:val="none"/>
        </w:rPr>
      </w:pPr>
      <w:r>
        <w:rPr>
          <w:rFonts w:hint="eastAsia" w:ascii="宋体" w:hAnsi="宋体" w:eastAsia="宋体" w:cs="宋体"/>
          <w:b/>
          <w:bCs/>
          <w:color w:val="auto"/>
          <w:sz w:val="24"/>
          <w:szCs w:val="22"/>
          <w:highlight w:val="none"/>
        </w:rPr>
        <w:t>（2）投标文件解密结束，通过邮件形式发送各投标人组织签署《政府采购活动现场确认声明书》；</w:t>
      </w:r>
    </w:p>
    <w:p>
      <w:pPr>
        <w:adjustRightInd w:val="0"/>
        <w:snapToGrid w:val="0"/>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（3）开启投标文件，进入资格审查；</w:t>
      </w:r>
    </w:p>
    <w:p>
      <w:pPr>
        <w:adjustRightInd w:val="0"/>
        <w:snapToGrid w:val="0"/>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（4）开启资格审查通过的投标人的商务技术文件进入符合性审查、商务技术评审；</w:t>
      </w:r>
    </w:p>
    <w:p>
      <w:pPr>
        <w:adjustRightInd w:val="0"/>
        <w:snapToGrid w:val="0"/>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（5）第一阶段开标结束。</w:t>
      </w:r>
    </w:p>
    <w:p>
      <w:pPr>
        <w:adjustRightInd w:val="0"/>
        <w:snapToGrid w:val="0"/>
        <w:spacing w:line="360" w:lineRule="auto"/>
        <w:ind w:firstLine="482" w:firstLineChars="200"/>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备注：开标大会的第一阶段结束后，采购人或采购代理机构将对依法对投标人的资格进行审查，资格审查结束后进入符合性审查和商务技术的评审工作，具体见本章节“投标人资格审查”相关规定。</w:t>
      </w:r>
    </w:p>
    <w:p>
      <w:pPr>
        <w:adjustRightInd w:val="0"/>
        <w:snapToGrid w:val="0"/>
        <w:spacing w:line="360" w:lineRule="auto"/>
        <w:ind w:firstLine="482" w:firstLineChars="200"/>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2、开标大会第二阶段</w:t>
      </w:r>
    </w:p>
    <w:p>
      <w:pPr>
        <w:adjustRightInd w:val="0"/>
        <w:snapToGrid w:val="0"/>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符合性审查、商务技术评审结束后，举行开标大会第二阶段会议。首先通过发送邮件形式公布符合性审查、商务技术评审无效投标人名称及理由；公布经商务技术评审后有效投标人的名单，同时公布其商务技术部分得分情况。</w:t>
      </w:r>
    </w:p>
    <w:p>
      <w:pPr>
        <w:adjustRightInd w:val="0"/>
        <w:snapToGrid w:val="0"/>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（2）开启符合性审查、商务技术评审有效投标人的《报价文件》，公布开标一览表有关内容，同时当场制作开标记录表，投标人</w:t>
      </w:r>
      <w:r>
        <w:rPr>
          <w:rFonts w:hint="eastAsia" w:ascii="宋体" w:hAnsi="宋体" w:eastAsia="宋体" w:cs="宋体"/>
          <w:color w:val="auto"/>
          <w:sz w:val="24"/>
          <w:szCs w:val="22"/>
          <w:highlight w:val="none"/>
          <w:lang w:eastAsia="zh-CN"/>
        </w:rPr>
        <w:t>在线</w:t>
      </w:r>
      <w:r>
        <w:rPr>
          <w:rFonts w:hint="eastAsia" w:ascii="宋体" w:hAnsi="宋体" w:eastAsia="宋体" w:cs="宋体"/>
          <w:color w:val="auto"/>
          <w:sz w:val="24"/>
          <w:szCs w:val="22"/>
          <w:highlight w:val="none"/>
        </w:rPr>
        <w:t>签字确认（不予确认的应说明理由，否则视为无异议）。唱标结束后，由评标委员会对报价的合理性、准确性等进行审查核实。</w:t>
      </w:r>
    </w:p>
    <w:p>
      <w:pPr>
        <w:adjustRightInd w:val="0"/>
        <w:snapToGrid w:val="0"/>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（3）评审结束后，通过发送邮件形式公布中标候选人名单，及采购人最终确定中标人名单的时间和公告方式等。</w:t>
      </w:r>
    </w:p>
    <w:p>
      <w:pPr>
        <w:adjustRightInd w:val="0"/>
        <w:snapToGrid w:val="0"/>
        <w:spacing w:line="360" w:lineRule="auto"/>
        <w:ind w:firstLine="482" w:firstLineChars="200"/>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特别说明：如遇“政府采购云平台”电子化开标或评审程序调整的，按调整后程序执行。</w:t>
      </w:r>
    </w:p>
    <w:p>
      <w:pPr>
        <w:adjustRightInd w:val="0"/>
        <w:snapToGrid w:val="0"/>
        <w:spacing w:line="360" w:lineRule="auto"/>
        <w:rPr>
          <w:rFonts w:hint="eastAsia" w:ascii="宋体" w:hAnsi="宋体" w:eastAsia="宋体" w:cs="宋体"/>
          <w:b/>
          <w:bCs/>
          <w:color w:val="auto"/>
          <w:sz w:val="24"/>
          <w:szCs w:val="22"/>
          <w:highlight w:val="none"/>
        </w:rPr>
      </w:pPr>
      <w:bookmarkStart w:id="46" w:name="_Toc33194393"/>
      <w:bookmarkStart w:id="47" w:name="_Toc24550037"/>
      <w:r>
        <w:rPr>
          <w:rFonts w:hint="eastAsia" w:ascii="宋体" w:hAnsi="宋体" w:eastAsia="宋体" w:cs="宋体"/>
          <w:b/>
          <w:bCs/>
          <w:color w:val="auto"/>
          <w:sz w:val="24"/>
          <w:szCs w:val="22"/>
          <w:highlight w:val="none"/>
        </w:rPr>
        <w:t>（四）投标人资格审查</w:t>
      </w:r>
      <w:bookmarkEnd w:id="46"/>
      <w:bookmarkEnd w:id="47"/>
    </w:p>
    <w:p>
      <w:pPr>
        <w:adjustRightInd w:val="0"/>
        <w:snapToGrid w:val="0"/>
        <w:spacing w:line="360" w:lineRule="auto"/>
        <w:ind w:firstLine="482" w:firstLineChars="200"/>
        <w:rPr>
          <w:rFonts w:hint="eastAsia" w:ascii="宋体" w:hAnsi="宋体" w:eastAsia="宋体" w:cs="宋体"/>
          <w:color w:val="auto"/>
          <w:sz w:val="24"/>
          <w:szCs w:val="22"/>
          <w:highlight w:val="none"/>
        </w:rPr>
      </w:pPr>
      <w:r>
        <w:rPr>
          <w:rFonts w:hint="eastAsia" w:ascii="宋体" w:hAnsi="宋体" w:eastAsia="宋体" w:cs="宋体"/>
          <w:b/>
          <w:bCs/>
          <w:color w:val="auto"/>
          <w:sz w:val="24"/>
          <w:szCs w:val="22"/>
          <w:highlight w:val="none"/>
        </w:rPr>
        <w:t>1、开标大会第一阶段结束后，采购人或采购代理机构首先依法对各投标人的资格进行审查，审查各投标人的资格是否满足招标文件的要求。</w:t>
      </w:r>
      <w:r>
        <w:rPr>
          <w:rFonts w:hint="eastAsia" w:ascii="宋体" w:hAnsi="宋体" w:eastAsia="宋体" w:cs="宋体"/>
          <w:color w:val="auto"/>
          <w:sz w:val="24"/>
          <w:szCs w:val="22"/>
          <w:highlight w:val="none"/>
        </w:rPr>
        <w:t>采购人或采购代理机构对投标人所提交的资格证明材料仅负审核的责任。如发现投标人所提交的资格证明材料不合法或与事实不符，采购人可取消其中标资格并追究投标人的法律责任。</w:t>
      </w:r>
    </w:p>
    <w:p>
      <w:pPr>
        <w:adjustRightInd w:val="0"/>
        <w:snapToGrid w:val="0"/>
        <w:spacing w:line="360" w:lineRule="auto"/>
        <w:ind w:firstLine="482" w:firstLineChars="200"/>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2、投标人提交的资格证明材料无法证明其符合招标文件规定的“投标人资格要求”的，采购人或采购代理机构将对其作资格审查不通过处理（无效投标），并不再将其投标提交评标委员会进行后续评审。</w:t>
      </w:r>
    </w:p>
    <w:p>
      <w:pPr>
        <w:adjustRightInd w:val="0"/>
        <w:snapToGrid w:val="0"/>
        <w:spacing w:line="360" w:lineRule="auto"/>
        <w:ind w:firstLine="482" w:firstLineChars="200"/>
        <w:rPr>
          <w:rFonts w:hint="eastAsia" w:ascii="宋体" w:hAnsi="宋体" w:eastAsia="宋体" w:cs="宋体"/>
          <w:b/>
          <w:color w:val="auto"/>
          <w:kern w:val="0"/>
          <w:sz w:val="24"/>
          <w:highlight w:val="none"/>
        </w:rPr>
      </w:pPr>
      <w:r>
        <w:rPr>
          <w:rFonts w:hint="eastAsia" w:ascii="宋体" w:hAnsi="宋体" w:eastAsia="宋体" w:cs="宋体"/>
          <w:b/>
          <w:bCs/>
          <w:color w:val="auto"/>
          <w:sz w:val="24"/>
          <w:szCs w:val="22"/>
          <w:highlight w:val="none"/>
        </w:rPr>
        <w:t>3、单位负责人为同一人或者存在直接控股、管理关系的不同投标人参加同一合同项下的政府采购活动的，相关投标人均作资格无效处理。</w:t>
      </w:r>
    </w:p>
    <w:p>
      <w:pPr>
        <w:adjustRightInd w:val="0"/>
        <w:snapToGrid w:val="0"/>
        <w:spacing w:line="360" w:lineRule="auto"/>
        <w:jc w:val="center"/>
        <w:outlineLvl w:val="1"/>
        <w:rPr>
          <w:rFonts w:hint="eastAsia" w:ascii="宋体" w:hAnsi="宋体" w:eastAsia="宋体" w:cs="宋体"/>
          <w:b/>
          <w:color w:val="auto"/>
          <w:sz w:val="32"/>
          <w:highlight w:val="none"/>
        </w:rPr>
      </w:pPr>
      <w:bookmarkStart w:id="48" w:name="_Hlt75236101"/>
      <w:bookmarkEnd w:id="48"/>
      <w:bookmarkStart w:id="49" w:name="_Toc233618977"/>
      <w:bookmarkStart w:id="50" w:name="_Toc29851"/>
      <w:bookmarkStart w:id="51" w:name="_Toc522530046"/>
      <w:bookmarkStart w:id="52" w:name="_Toc91899902"/>
      <w:r>
        <w:rPr>
          <w:rFonts w:hint="eastAsia" w:ascii="宋体" w:hAnsi="宋体" w:eastAsia="宋体" w:cs="宋体"/>
          <w:b/>
          <w:color w:val="auto"/>
          <w:sz w:val="32"/>
          <w:highlight w:val="none"/>
        </w:rPr>
        <w:t>六、评 标</w:t>
      </w:r>
      <w:bookmarkEnd w:id="49"/>
      <w:bookmarkEnd w:id="50"/>
      <w:bookmarkEnd w:id="51"/>
      <w:bookmarkEnd w:id="52"/>
    </w:p>
    <w:p>
      <w:pPr>
        <w:pStyle w:val="49"/>
        <w:adjustRightInd w:val="0"/>
        <w:snapToGrid w:val="0"/>
        <w:spacing w:line="360" w:lineRule="auto"/>
        <w:rPr>
          <w:rFonts w:hint="eastAsia" w:ascii="宋体" w:hAnsi="宋体" w:eastAsia="宋体" w:cs="宋体"/>
          <w:b/>
          <w:color w:val="auto"/>
          <w:sz w:val="24"/>
          <w:highlight w:val="none"/>
        </w:rPr>
      </w:pPr>
      <w:bookmarkStart w:id="53" w:name="_Toc91899903"/>
      <w:r>
        <w:rPr>
          <w:rFonts w:hint="eastAsia" w:ascii="宋体" w:hAnsi="宋体" w:eastAsia="宋体" w:cs="宋体"/>
          <w:b/>
          <w:color w:val="auto"/>
          <w:sz w:val="24"/>
          <w:highlight w:val="none"/>
        </w:rPr>
        <w:t>（一）评标组织</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本项目评标委员会由</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人(含)以上单数的人员组成，负责对投标文件进行审查、质询、评审和比较等。评标委员会由采购咨询专家和招标人代表组成，其中采购咨询专家人数不少于成员总数的三分之二。</w:t>
      </w:r>
      <w:r>
        <w:rPr>
          <w:rFonts w:hint="eastAsia" w:ascii="宋体" w:hAnsi="宋体" w:eastAsia="宋体" w:cs="宋体"/>
          <w:color w:val="auto"/>
          <w:kern w:val="0"/>
          <w:sz w:val="24"/>
          <w:highlight w:val="none"/>
        </w:rPr>
        <w:t>评标委员会成员名单在评审结果（采购结果）公告前保密。</w:t>
      </w:r>
    </w:p>
    <w:p>
      <w:pPr>
        <w:adjustRightInd w:val="0"/>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（二）评标原则</w:t>
      </w:r>
    </w:p>
    <w:p>
      <w:pPr>
        <w:pStyle w:val="49"/>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1、竞争优选；</w:t>
      </w:r>
    </w:p>
    <w:p>
      <w:pPr>
        <w:adjustRightInd w:val="0"/>
        <w:snapToGrid w:val="0"/>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2、公平、公正、科学合理</w:t>
      </w:r>
      <w:r>
        <w:rPr>
          <w:rFonts w:hint="eastAsia" w:ascii="宋体" w:hAnsi="宋体" w:eastAsia="宋体" w:cs="宋体"/>
          <w:color w:val="auto"/>
          <w:sz w:val="24"/>
          <w:szCs w:val="22"/>
          <w:highlight w:val="none"/>
          <w:lang w:val="zh-CN"/>
        </w:rPr>
        <w:t>；</w:t>
      </w:r>
    </w:p>
    <w:p>
      <w:pPr>
        <w:adjustRightInd w:val="0"/>
        <w:snapToGrid w:val="0"/>
        <w:spacing w:line="360" w:lineRule="auto"/>
        <w:ind w:firstLine="480" w:firstLineChars="200"/>
        <w:rPr>
          <w:rFonts w:hint="eastAsia" w:ascii="宋体" w:hAnsi="宋体" w:eastAsia="宋体" w:cs="宋体"/>
          <w:color w:val="auto"/>
          <w:sz w:val="24"/>
          <w:szCs w:val="22"/>
          <w:highlight w:val="none"/>
          <w:lang w:val="zh-CN"/>
        </w:rPr>
      </w:pPr>
      <w:r>
        <w:rPr>
          <w:rFonts w:hint="eastAsia" w:ascii="宋体" w:hAnsi="宋体" w:eastAsia="宋体" w:cs="宋体"/>
          <w:color w:val="auto"/>
          <w:sz w:val="24"/>
          <w:szCs w:val="22"/>
          <w:highlight w:val="none"/>
          <w:lang w:val="zh-CN"/>
        </w:rPr>
        <w:t>3、</w:t>
      </w:r>
      <w:r>
        <w:rPr>
          <w:rFonts w:hint="eastAsia" w:ascii="宋体" w:hAnsi="宋体" w:eastAsia="宋体" w:cs="宋体"/>
          <w:color w:val="auto"/>
          <w:sz w:val="24"/>
          <w:szCs w:val="22"/>
          <w:highlight w:val="none"/>
        </w:rPr>
        <w:t>价格合理，方案、产品先进可行；</w:t>
      </w:r>
    </w:p>
    <w:p>
      <w:pPr>
        <w:adjustRightInd w:val="0"/>
        <w:snapToGrid w:val="0"/>
        <w:spacing w:line="360" w:lineRule="auto"/>
        <w:ind w:firstLine="480" w:firstLineChars="200"/>
        <w:rPr>
          <w:rFonts w:hint="eastAsia" w:ascii="宋体" w:hAnsi="宋体" w:eastAsia="宋体" w:cs="宋体"/>
          <w:color w:val="auto"/>
          <w:sz w:val="24"/>
          <w:szCs w:val="22"/>
          <w:highlight w:val="none"/>
          <w:lang w:val="zh-CN"/>
        </w:rPr>
      </w:pPr>
      <w:r>
        <w:rPr>
          <w:rFonts w:hint="eastAsia" w:ascii="宋体" w:hAnsi="宋体" w:eastAsia="宋体" w:cs="宋体"/>
          <w:color w:val="auto"/>
          <w:sz w:val="24"/>
          <w:szCs w:val="22"/>
          <w:highlight w:val="none"/>
          <w:lang w:val="zh-CN"/>
        </w:rPr>
        <w:t>4、反对不正当竞争。</w:t>
      </w:r>
    </w:p>
    <w:p>
      <w:pPr>
        <w:adjustRightInd w:val="0"/>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（三）评标纪律</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评标委员会成员要严格遵守评标纪律、保密、回避等相关规定，依法独立履行评标职责，客观、公正、审慎参与评标工作；</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1、严格遵守评标时间，因突发情况确实不能按时参加评标的，应事先告知招标组织机构；</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2、服从招标组织机构的现场管理，主动出示身份证明，进入评标区域后应主动寄存移动通讯工具，按要求佩戴工作牌；</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3、与投标人或评标委员会其他成员存在利害关系的，要主动回避，自觉签订《政府采购评审人员廉洁自律承诺书》；</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4、保持评标现场安静，不在评标现场随意走动，因发生不可预见情况确需与外界联系或暂时离开评标现场的，应向现场监督员说明情况，征得同意后在监控区域内进行相关活动，并应接受相关工作人员的监督；</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5、自觉遵守职业道德，尊重招标人代表和投标人代表，配合招标组织机构回答投标人代表提出的有关异议；</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6、不得将评标过程、结果和投标人的商业秘密透露给任何单位和个人。未公告评标结果前不准泄露评标结果，不准将评标资料带出会场；</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7、评标过程中，涉及到相关法律法规不清楚之处的，由招标人监管部门或请示权威部门作出法定解释，涉及到招标文件的由编制招标文件的机构和部门负责解释。</w:t>
      </w:r>
    </w:p>
    <w:p>
      <w:pPr>
        <w:adjustRightInd w:val="0"/>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8、如实行暗标评审的，其投标文件和产品样品的评审编号和编号保管，由监督人员负责；在评标委员评分完成后，再将投标人的投标文件和提供的产品样品编号交评委。</w:t>
      </w:r>
    </w:p>
    <w:p>
      <w:pPr>
        <w:adjustRightInd w:val="0"/>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 评标程序</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1、在评标专家中推选评标委员会组长，优先推选资深专家为组长；</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评标委员会组长召集成员认真阅读招标文件以及相关补充、质疑、答复文件、项目书面说明等材料，熟悉招标项目的基本概况、质量要求、数量、主要技术标准或服务需求，合同主要条款，投标文件无效情形，评标方法、评标依据、评标标准等；</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b/>
          <w:color w:val="auto"/>
          <w:sz w:val="24"/>
          <w:highlight w:val="none"/>
          <w:u w:val="single"/>
        </w:rPr>
        <w:t>资格审查</w:t>
      </w:r>
      <w:r>
        <w:rPr>
          <w:rFonts w:hint="eastAsia" w:ascii="宋体" w:hAnsi="宋体" w:eastAsia="宋体" w:cs="宋体"/>
          <w:color w:val="auto"/>
          <w:sz w:val="24"/>
          <w:highlight w:val="none"/>
        </w:rPr>
        <w:t>，经其书面授权的招标人代表或经其书面授权的招标代理机构代表采购代理机构按照招标文件要求对投标人逐一进行资格审查；</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b/>
          <w:color w:val="auto"/>
          <w:sz w:val="24"/>
          <w:highlight w:val="none"/>
          <w:u w:val="single"/>
        </w:rPr>
        <w:t>商务技术文件的符合性审查</w:t>
      </w:r>
      <w:r>
        <w:rPr>
          <w:rFonts w:hint="eastAsia" w:ascii="宋体" w:hAnsi="宋体" w:eastAsia="宋体" w:cs="宋体"/>
          <w:color w:val="auto"/>
          <w:sz w:val="24"/>
          <w:highlight w:val="none"/>
        </w:rPr>
        <w:t>，评标人员对通过资格审查的各投标文件商务、技术部分的有效性、完整性和响应程度等进行审查，确定是否对招标文件作出实质性响应；</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b/>
          <w:color w:val="auto"/>
          <w:sz w:val="24"/>
          <w:highlight w:val="none"/>
          <w:u w:val="single"/>
        </w:rPr>
        <w:t>商务技术评分</w:t>
      </w:r>
      <w:r>
        <w:rPr>
          <w:rFonts w:hint="eastAsia" w:ascii="宋体" w:hAnsi="宋体" w:eastAsia="宋体" w:cs="宋体"/>
          <w:color w:val="auto"/>
          <w:sz w:val="24"/>
          <w:highlight w:val="none"/>
        </w:rPr>
        <w:t>，评标人员按招标文件规定的评标方法和评标标准，依法独立对投标文件商务、技术部分进行评估、比较，并给予评价或打分，不受任何单位和个人的干预；</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评标人员对各投标文件非实质性内容有疑议或异议，或者审查发现明显的文字或计算错误等，及时向评标委员会组长提出。经评标委员会商议认为需要投标人作出必要澄清或说明的，应通知该投标人代表以书面</w:t>
      </w:r>
      <w:r>
        <w:rPr>
          <w:rFonts w:hint="eastAsia" w:ascii="宋体" w:hAnsi="宋体" w:eastAsia="宋体" w:cs="宋体"/>
          <w:color w:val="auto"/>
          <w:kern w:val="0"/>
          <w:sz w:val="24"/>
          <w:highlight w:val="none"/>
        </w:rPr>
        <w:t>（或通过“政府采购云平台”在线答复）</w:t>
      </w:r>
      <w:r>
        <w:rPr>
          <w:rFonts w:hint="eastAsia" w:ascii="宋体" w:hAnsi="宋体" w:eastAsia="宋体" w:cs="宋体"/>
          <w:color w:val="auto"/>
          <w:sz w:val="24"/>
          <w:highlight w:val="none"/>
        </w:rPr>
        <w:t>形式作出澄清或说明，</w:t>
      </w:r>
      <w:r>
        <w:rPr>
          <w:rFonts w:hint="eastAsia" w:ascii="宋体" w:hAnsi="宋体" w:eastAsia="宋体" w:cs="宋体"/>
          <w:color w:val="auto"/>
          <w:kern w:val="0"/>
          <w:sz w:val="24"/>
          <w:highlight w:val="none"/>
        </w:rPr>
        <w:t>投标人的澄清、说明或者补正不得超出投标文件的范围或者改变投标文件的实质性内容</w:t>
      </w:r>
      <w:r>
        <w:rPr>
          <w:rFonts w:hint="eastAsia" w:ascii="宋体" w:hAnsi="宋体" w:eastAsia="宋体" w:cs="宋体"/>
          <w:color w:val="auto"/>
          <w:sz w:val="24"/>
          <w:highlight w:val="none"/>
        </w:rPr>
        <w:t>；</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评标人员对商务、技术部分评审结果进行确认，现场监督员对评审结果签署监督意见。如发现分项评分超出评分标准范围、客观评分不一致以及存在评分畸高、畸低情形的，应由相关人员当场改正或作出说明；拒不改正又不作说明的，由现场监督员如实记载后存入项目档案资料；</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r>
        <w:rPr>
          <w:rFonts w:hint="eastAsia" w:ascii="宋体" w:hAnsi="宋体" w:eastAsia="宋体" w:cs="宋体"/>
          <w:b/>
          <w:color w:val="auto"/>
          <w:sz w:val="24"/>
          <w:highlight w:val="none"/>
          <w:u w:val="single"/>
        </w:rPr>
        <w:t>报价文件的符合性审查</w:t>
      </w:r>
      <w:r>
        <w:rPr>
          <w:rFonts w:hint="eastAsia" w:ascii="宋体" w:hAnsi="宋体" w:eastAsia="宋体" w:cs="宋体"/>
          <w:color w:val="auto"/>
          <w:sz w:val="24"/>
          <w:highlight w:val="none"/>
        </w:rPr>
        <w:t>，对开启的投标文件报价部分的进行有效性、完整性和响应程度等进行审查，确定是否对招标文件作出实质性响应；</w:t>
      </w:r>
    </w:p>
    <w:p>
      <w:pPr>
        <w:adjustRightInd w:val="0"/>
        <w:snapToGrid w:val="0"/>
        <w:spacing w:line="360" w:lineRule="auto"/>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rPr>
        <w:t>（五）</w:t>
      </w:r>
      <w:r>
        <w:rPr>
          <w:rFonts w:hint="eastAsia" w:ascii="宋体" w:hAnsi="宋体" w:eastAsia="宋体" w:cs="宋体"/>
          <w:b/>
          <w:color w:val="auto"/>
          <w:sz w:val="24"/>
          <w:highlight w:val="none"/>
          <w:lang w:val="zh-CN"/>
        </w:rPr>
        <w:t>投标文件的鉴定</w:t>
      </w:r>
    </w:p>
    <w:p>
      <w:pPr>
        <w:adjustRightInd w:val="0"/>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评标委员会将审查每份投标文件是否实质上响应了招标文件的要求。重大偏离和保留、细微偏离由评标委员会鉴定。如发现投标文件与招标文件要求有重大偏离和保留，其投标文件将被作无效标处理。投标人不得通过修正或撤消不符合招标文件要求的重大偏离和保留从而使其投标文件实质性响应招标文件要求。但允许投标文件在实质性满足招标文件要求的前提下出现的细微偏差，在详细评审时可按评标办法对细微偏差做出不利于该投标人的评审。</w:t>
      </w:r>
    </w:p>
    <w:p>
      <w:pPr>
        <w:pStyle w:val="49"/>
        <w:adjustRightInd w:val="0"/>
        <w:snapToGrid w:val="0"/>
        <w:spacing w:line="360" w:lineRule="auto"/>
        <w:ind w:firstLine="482" w:firstLineChars="200"/>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2、无效标情形</w:t>
      </w:r>
    </w:p>
    <w:p>
      <w:pPr>
        <w:adjustRightInd w:val="0"/>
        <w:snapToGrid w:val="0"/>
        <w:spacing w:line="360" w:lineRule="auto"/>
        <w:rPr>
          <w:rFonts w:hint="eastAsia" w:ascii="宋体" w:hAnsi="宋体" w:eastAsia="宋体" w:cs="宋体"/>
          <w:color w:val="auto"/>
          <w:sz w:val="24"/>
          <w:szCs w:val="22"/>
          <w:highlight w:val="none"/>
        </w:rPr>
      </w:pPr>
      <w:bookmarkStart w:id="54" w:name="_Hlk33211013"/>
      <w:r>
        <w:rPr>
          <w:rFonts w:hint="eastAsia" w:ascii="宋体" w:hAnsi="宋体" w:eastAsia="宋体" w:cs="宋体"/>
          <w:color w:val="auto"/>
          <w:sz w:val="24"/>
          <w:szCs w:val="22"/>
          <w:highlight w:val="none"/>
        </w:rPr>
        <w:t>（一）商务、技术文件符合性审查中，存在下列情形之一的，经评标委员会按少数服从多数原则认定后作无效标处理：</w:t>
      </w:r>
    </w:p>
    <w:p>
      <w:pPr>
        <w:adjustRightInd w:val="0"/>
        <w:snapToGrid w:val="0"/>
        <w:spacing w:line="360" w:lineRule="auto"/>
        <w:ind w:firstLine="480" w:firstLineChars="200"/>
        <w:rPr>
          <w:rFonts w:hint="eastAsia" w:ascii="宋体" w:hAnsi="宋体" w:eastAsia="宋体" w:cs="宋体"/>
          <w:color w:val="auto"/>
          <w:sz w:val="24"/>
          <w:szCs w:val="22"/>
          <w:highlight w:val="none"/>
        </w:rPr>
      </w:pPr>
      <w:bookmarkStart w:id="55" w:name="_Toc33194396"/>
      <w:r>
        <w:rPr>
          <w:rFonts w:hint="eastAsia" w:ascii="宋体" w:hAnsi="宋体" w:eastAsia="宋体" w:cs="宋体"/>
          <w:color w:val="auto"/>
          <w:sz w:val="24"/>
          <w:szCs w:val="22"/>
          <w:highlight w:val="none"/>
        </w:rPr>
        <w:t>（1）投标文件未有效授权，法定代表人授权委托书等填写不完整或有涂改的；</w:t>
      </w:r>
      <w:bookmarkEnd w:id="55"/>
    </w:p>
    <w:p>
      <w:pPr>
        <w:adjustRightInd w:val="0"/>
        <w:snapToGrid w:val="0"/>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（2）投标文件没有对本招标文件作出实质性响应的，或不满足（不响应）本招标文件中标注“▲”的实质性要求条款的，或存在招标文件中明确规定的其他无效标情形的；</w:t>
      </w:r>
    </w:p>
    <w:p>
      <w:pPr>
        <w:adjustRightInd w:val="0"/>
        <w:snapToGrid w:val="0"/>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（3）投标文件存在一个或一个以上备选（替代）投标方案的；</w:t>
      </w:r>
    </w:p>
    <w:p>
      <w:pPr>
        <w:adjustRightInd w:val="0"/>
        <w:snapToGrid w:val="0"/>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（4）仅提交“备份投标文件”的；</w:t>
      </w:r>
    </w:p>
    <w:p>
      <w:pPr>
        <w:adjustRightInd w:val="0"/>
        <w:snapToGrid w:val="0"/>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（5）文件组成内容不齐全，本招标文件规定必须提供而未提供的（属于资格审查范围的除外）；</w:t>
      </w:r>
    </w:p>
    <w:p>
      <w:pPr>
        <w:adjustRightInd w:val="0"/>
        <w:snapToGrid w:val="0"/>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（6）投标文件标注的响应或偏离情况与事实不符，或提供了虚假材料的；</w:t>
      </w:r>
    </w:p>
    <w:p>
      <w:pPr>
        <w:adjustRightInd w:val="0"/>
        <w:snapToGrid w:val="0"/>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（7）不响应或擅自改变本招标文件要求或投标文件有采购人不能接受的附加条件的；</w:t>
      </w:r>
    </w:p>
    <w:p>
      <w:pPr>
        <w:adjustRightInd w:val="0"/>
        <w:snapToGrid w:val="0"/>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（8）参加同一合同项下政府采购活动的不同投标人之间存在利害关系并且存在影响政府采购公平竞争行为的；</w:t>
      </w:r>
    </w:p>
    <w:p>
      <w:pPr>
        <w:adjustRightInd w:val="0"/>
        <w:snapToGrid w:val="0"/>
        <w:spacing w:line="360" w:lineRule="auto"/>
        <w:ind w:firstLine="480" w:firstLineChars="200"/>
        <w:rPr>
          <w:rFonts w:hint="eastAsia" w:ascii="宋体" w:hAnsi="宋体" w:eastAsia="宋体" w:cs="宋体"/>
          <w:color w:val="auto"/>
          <w:sz w:val="24"/>
          <w:szCs w:val="22"/>
          <w:highlight w:val="none"/>
        </w:rPr>
      </w:pPr>
      <w:bookmarkStart w:id="56" w:name="_Toc33194397"/>
      <w:r>
        <w:rPr>
          <w:rFonts w:hint="eastAsia" w:ascii="宋体" w:hAnsi="宋体" w:eastAsia="宋体" w:cs="宋体"/>
          <w:color w:val="auto"/>
          <w:sz w:val="24"/>
          <w:szCs w:val="22"/>
          <w:highlight w:val="none"/>
        </w:rPr>
        <w:t>（9）招标人拟采购的产品如属于品目清单范围内的强制采购品目的，投标人未</w:t>
      </w:r>
      <w:bookmarkEnd w:id="56"/>
      <w:bookmarkStart w:id="57" w:name="_Toc33194398"/>
      <w:r>
        <w:rPr>
          <w:rFonts w:hint="eastAsia" w:ascii="宋体" w:hAnsi="宋体" w:eastAsia="宋体" w:cs="宋体"/>
          <w:color w:val="auto"/>
          <w:sz w:val="24"/>
          <w:szCs w:val="22"/>
          <w:highlight w:val="none"/>
        </w:rPr>
        <w:t>能在响应文件中提供国家确定的认证机构出具的、处于有效期之内的该产品节能产品、环境标志产品认证证书；</w:t>
      </w:r>
      <w:bookmarkEnd w:id="57"/>
    </w:p>
    <w:p>
      <w:pPr>
        <w:adjustRightInd w:val="0"/>
        <w:snapToGrid w:val="0"/>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（10）违反国家或政府部门相关法律、法规、文件规定的。</w:t>
      </w:r>
      <w:bookmarkEnd w:id="54"/>
    </w:p>
    <w:p>
      <w:pPr>
        <w:adjustRightInd w:val="0"/>
        <w:snapToGrid w:val="0"/>
        <w:spacing w:line="360" w:lineRule="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（二）报价文件符合性审查中，存在下列情形之一的，经评标委员会认定后作无效标处理：</w:t>
      </w:r>
    </w:p>
    <w:p>
      <w:pPr>
        <w:adjustRightInd w:val="0"/>
        <w:snapToGrid w:val="0"/>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（1）投标文件没有对本招标文件作出实质性响应的，或不满足（不响应）本招标文件中标注“▲”的实质性要求条款的，或存在招标文件中明确规定的其他无效标情形的；</w:t>
      </w:r>
    </w:p>
    <w:p>
      <w:pPr>
        <w:adjustRightInd w:val="0"/>
        <w:snapToGrid w:val="0"/>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（2）投标文件存在一个或一个以上备选（替代）投标方案的；</w:t>
      </w:r>
    </w:p>
    <w:p>
      <w:pPr>
        <w:adjustRightInd w:val="0"/>
        <w:snapToGrid w:val="0"/>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（3）未按照招标文件标明的币种报价的，或者投标报价涵盖的内容不符合招标文件要求的；</w:t>
      </w:r>
    </w:p>
    <w:p>
      <w:pPr>
        <w:adjustRightInd w:val="0"/>
        <w:snapToGrid w:val="0"/>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（4）《开标一览表》</w:t>
      </w:r>
      <w:r>
        <w:rPr>
          <w:rFonts w:hint="eastAsia" w:ascii="宋体" w:hAnsi="宋体" w:eastAsia="宋体" w:cs="宋体"/>
          <w:color w:val="auto"/>
          <w:sz w:val="24"/>
          <w:szCs w:val="22"/>
          <w:highlight w:val="none"/>
          <w:lang w:eastAsia="zh-CN"/>
        </w:rPr>
        <w:t>总价</w:t>
      </w:r>
      <w:r>
        <w:rPr>
          <w:rFonts w:hint="eastAsia" w:ascii="宋体" w:hAnsi="宋体" w:eastAsia="宋体" w:cs="宋体"/>
          <w:color w:val="auto"/>
          <w:sz w:val="24"/>
          <w:szCs w:val="22"/>
          <w:highlight w:val="none"/>
        </w:rPr>
        <w:t>与《投标报价明细表》</w:t>
      </w:r>
      <w:r>
        <w:rPr>
          <w:rFonts w:hint="eastAsia" w:ascii="宋体" w:hAnsi="宋体" w:eastAsia="宋体" w:cs="宋体"/>
          <w:color w:val="auto"/>
          <w:sz w:val="24"/>
          <w:szCs w:val="22"/>
          <w:highlight w:val="none"/>
          <w:lang w:eastAsia="zh-CN"/>
        </w:rPr>
        <w:t>总价</w:t>
      </w:r>
      <w:r>
        <w:rPr>
          <w:rFonts w:hint="eastAsia" w:ascii="宋体" w:hAnsi="宋体" w:eastAsia="宋体" w:cs="宋体"/>
          <w:color w:val="auto"/>
          <w:sz w:val="24"/>
          <w:szCs w:val="22"/>
          <w:highlight w:val="none"/>
        </w:rPr>
        <w:t>不一致且拒不接受修正的；</w:t>
      </w:r>
    </w:p>
    <w:p>
      <w:pPr>
        <w:adjustRightInd w:val="0"/>
        <w:snapToGrid w:val="0"/>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（5）投标报价具有选择性，唱标价格与《投标文件》承诺的优惠（折扣）后价格不一致的；</w:t>
      </w:r>
    </w:p>
    <w:p>
      <w:pPr>
        <w:adjustRightInd w:val="0"/>
        <w:snapToGrid w:val="0"/>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（6）投标报价超过采购预算（或最高限价）的；</w:t>
      </w:r>
    </w:p>
    <w:p>
      <w:pPr>
        <w:adjustRightInd w:val="0"/>
        <w:snapToGrid w:val="0"/>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（7）仅提交“备份投标文件”的；</w:t>
      </w:r>
    </w:p>
    <w:p>
      <w:pPr>
        <w:adjustRightInd w:val="0"/>
        <w:snapToGrid w:val="0"/>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（8）投标文件组成内容不齐全，本招标文件规定必须提供而未提供的（属于资格审查范围的除外）；</w:t>
      </w:r>
    </w:p>
    <w:p>
      <w:pPr>
        <w:adjustRightInd w:val="0"/>
        <w:snapToGrid w:val="0"/>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（9）投标文件标注的响应或偏离情况与事实不符，或提供了虚假材料的；</w:t>
      </w:r>
    </w:p>
    <w:p>
      <w:pPr>
        <w:adjustRightInd w:val="0"/>
        <w:snapToGrid w:val="0"/>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（10）不响应或擅自改变本招标文件要求或投标文件有采购人不能接受的附加条件的；</w:t>
      </w:r>
    </w:p>
    <w:p>
      <w:pPr>
        <w:adjustRightInd w:val="0"/>
        <w:snapToGrid w:val="0"/>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11）评审委员会认为投标人报价明显低于其他合格投标人的报价，有可能影响产品质量或者不能诚信履约的，应当要求其在合理时间内提供书面说明，必要时提供相关证明材料；投标人不能证明其报价合理性的；</w:t>
      </w:r>
    </w:p>
    <w:p>
      <w:pPr>
        <w:adjustRightInd w:val="0"/>
        <w:snapToGrid w:val="0"/>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（12）违反国家或政府部门相关法律、法规、文件规定的。</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3、投标报价的错误修正</w:t>
      </w:r>
    </w:p>
    <w:p>
      <w:pPr>
        <w:adjustRightInd w:val="0"/>
        <w:snapToGrid w:val="0"/>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评标委员会将对确定为实质上响应招标文件要求的投标文件报价部分进行校核，看其在投标报价方面是否有计算、累计或表达上的错误，修正错误的原则及顺序如下：</w:t>
      </w:r>
    </w:p>
    <w:p>
      <w:pPr>
        <w:adjustRightInd w:val="0"/>
        <w:snapToGrid w:val="0"/>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（1）投标文件中开标一览表(报价表)内容与投标文件中明细表内容不一致的，以开标一览表为准；</w:t>
      </w:r>
    </w:p>
    <w:p>
      <w:pPr>
        <w:adjustRightInd w:val="0"/>
        <w:snapToGrid w:val="0"/>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（2）投标文件的大写金额和小写金额不一致的，以大写金额为准；</w:t>
      </w:r>
    </w:p>
    <w:p>
      <w:pPr>
        <w:adjustRightInd w:val="0"/>
        <w:snapToGrid w:val="0"/>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（3）如分项价格或单价有遗报，应视作已含在投标总价中；其投标总价不予调整。其分项价或单价由评标委员会在投标总价不变的前提下根据合理的原则对其予以确定；</w:t>
      </w:r>
    </w:p>
    <w:p>
      <w:pPr>
        <w:adjustRightInd w:val="0"/>
        <w:snapToGrid w:val="0"/>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（4）如有多报、重报，其投标总价在评标过程中不予调整。如其中标，其合同价按其投标单价予以调整；</w:t>
      </w:r>
    </w:p>
    <w:p>
      <w:pPr>
        <w:adjustRightInd w:val="0"/>
        <w:snapToGrid w:val="0"/>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（5）单价金额小数点有明显错位的，应以总价为准，并修改单价。</w:t>
      </w:r>
    </w:p>
    <w:p>
      <w:pPr>
        <w:adjustRightInd w:val="0"/>
        <w:snapToGrid w:val="0"/>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按上述修正错误的原则，调整或修正投标文件的投标报价。经投标人确认后，调整后的投标报价对投标人起约束作用。如果投标人不接受或者投标人在评标结束之前不能到场确认的，评标委员会将把调整或修正后的投标报价作为该投标人的投标报价，进入商务报价评标，但不接受修正的投标人最终将丧失其中标候选人资格。</w:t>
      </w:r>
    </w:p>
    <w:p>
      <w:pPr>
        <w:adjustRightInd w:val="0"/>
        <w:snapToGrid w:val="0"/>
        <w:spacing w:line="360" w:lineRule="auto"/>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4、废标</w:t>
      </w:r>
    </w:p>
    <w:p>
      <w:pPr>
        <w:adjustRightInd w:val="0"/>
        <w:snapToGrid w:val="0"/>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在招标采购中，出现下列情形之一的，本项目废标：</w:t>
      </w:r>
    </w:p>
    <w:p>
      <w:pPr>
        <w:adjustRightInd w:val="0"/>
        <w:snapToGrid w:val="0"/>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（1）符合专业条件的投标人或者对招标文件作实质响应的投标人不足三家的；</w:t>
      </w:r>
    </w:p>
    <w:p>
      <w:pPr>
        <w:adjustRightInd w:val="0"/>
        <w:snapToGrid w:val="0"/>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（2）出现影响采购公正的违法、违规行为的；</w:t>
      </w:r>
    </w:p>
    <w:p>
      <w:pPr>
        <w:adjustRightInd w:val="0"/>
        <w:snapToGrid w:val="0"/>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（3）投标人的报价均超过了采购预算，采购人不能支付的；</w:t>
      </w:r>
    </w:p>
    <w:p>
      <w:pPr>
        <w:adjustRightInd w:val="0"/>
        <w:snapToGrid w:val="0"/>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（4）因重大变故，采购任务取消的。</w:t>
      </w:r>
    </w:p>
    <w:p>
      <w:pPr>
        <w:adjustRightInd w:val="0"/>
        <w:snapToGrid w:val="0"/>
        <w:spacing w:line="360" w:lineRule="auto"/>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5、可中止电子交易活动的情形</w:t>
      </w:r>
    </w:p>
    <w:p>
      <w:pPr>
        <w:adjustRightInd w:val="0"/>
        <w:snapToGrid w:val="0"/>
        <w:spacing w:line="360" w:lineRule="auto"/>
        <w:ind w:firstLine="482" w:firstLineChars="200"/>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采购过程中出现以下情形，导致电子交易平台无法正常运行，或者无法保证电子交易的公平、公正和安全时，采购组织机构可中止电子交易活动：</w:t>
      </w:r>
    </w:p>
    <w:p>
      <w:pPr>
        <w:adjustRightInd w:val="0"/>
        <w:snapToGrid w:val="0"/>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（1）电子交易平台发生故障而无法登录访问的；</w:t>
      </w:r>
    </w:p>
    <w:p>
      <w:pPr>
        <w:adjustRightInd w:val="0"/>
        <w:snapToGrid w:val="0"/>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（2）电子交易平台应用或数据库出现错误，不能进行正常操作的；</w:t>
      </w:r>
    </w:p>
    <w:p>
      <w:pPr>
        <w:adjustRightInd w:val="0"/>
        <w:snapToGrid w:val="0"/>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（3）电子交易平台发现严重安全漏洞，有潜在泄密危险的；</w:t>
      </w:r>
    </w:p>
    <w:p>
      <w:pPr>
        <w:adjustRightInd w:val="0"/>
        <w:snapToGrid w:val="0"/>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（4）病毒发作导致不能进行正常操作的；</w:t>
      </w:r>
    </w:p>
    <w:p>
      <w:pPr>
        <w:adjustRightInd w:val="0"/>
        <w:snapToGrid w:val="0"/>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（5）其他无法保证电子交易的公平、公正和安全的情况。</w:t>
      </w:r>
    </w:p>
    <w:p>
      <w:pPr>
        <w:adjustRightInd w:val="0"/>
        <w:snapToGrid w:val="0"/>
        <w:spacing w:line="360" w:lineRule="auto"/>
        <w:ind w:firstLine="482" w:firstLineChars="200"/>
        <w:rPr>
          <w:rFonts w:hint="eastAsia" w:ascii="宋体" w:hAnsi="宋体" w:eastAsia="宋体" w:cs="宋体"/>
          <w:b/>
          <w:bCs/>
          <w:color w:val="auto"/>
          <w:highlight w:val="none"/>
        </w:rPr>
      </w:pPr>
      <w:r>
        <w:rPr>
          <w:rFonts w:hint="eastAsia" w:ascii="宋体" w:hAnsi="宋体" w:eastAsia="宋体" w:cs="宋体"/>
          <w:b/>
          <w:bCs/>
          <w:color w:val="auto"/>
          <w:sz w:val="24"/>
          <w:szCs w:val="22"/>
          <w:highlight w:val="none"/>
        </w:rPr>
        <w:t>出现前款规定情形，不影响采购公平、公正性的，采购组织机构可以待上述情形消除后继续组织电子交易活动；影响或可能影响采购公平、公正性的，应当重新采购。</w:t>
      </w:r>
    </w:p>
    <w:p>
      <w:pPr>
        <w:pStyle w:val="309"/>
        <w:adjustRightInd w:val="0"/>
        <w:snapToGrid w:val="0"/>
        <w:spacing w:before="0" w:line="360" w:lineRule="auto"/>
        <w:ind w:firstLine="0" w:firstLineChars="0"/>
        <w:rPr>
          <w:rFonts w:hint="eastAsia" w:ascii="宋体" w:hAnsi="宋体" w:eastAsia="宋体" w:cs="宋体"/>
          <w:color w:val="auto"/>
          <w:szCs w:val="24"/>
          <w:highlight w:val="none"/>
        </w:rPr>
      </w:pPr>
      <w:r>
        <w:rPr>
          <w:rFonts w:hint="eastAsia" w:ascii="宋体" w:hAnsi="宋体" w:eastAsia="宋体" w:cs="宋体"/>
          <w:b/>
          <w:color w:val="auto"/>
          <w:highlight w:val="none"/>
        </w:rPr>
        <w:t>（六）投标文件的澄清、说明或补正</w:t>
      </w:r>
    </w:p>
    <w:p>
      <w:pPr>
        <w:adjustRightInd w:val="0"/>
        <w:snapToGrid w:val="0"/>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对于投标文件中含义不明确、同类问题表述不一致或者有明显文字和计算错误的内容，评标委员会将以书面形式（或通过“政府采购云平台”在线询标）的形式要求投标人在规定的时间内作出必要的澄清、说明或者补正，投标人澄清、说明或补正时间为30分钟。</w:t>
      </w:r>
    </w:p>
    <w:p>
      <w:pPr>
        <w:adjustRightInd w:val="0"/>
        <w:snapToGrid w:val="0"/>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投标人的澄清、说明或者补正应当采用书面（或通过“政府采购云平台”在线答复）形式提交，并加盖公章，或者由法定代表人或其授权的代表签字。投标人的澄清、说明或者补正不得超出投标文件的范围或者改变投标文件的实质性内容。</w:t>
      </w:r>
    </w:p>
    <w:p>
      <w:pPr>
        <w:adjustRightInd w:val="0"/>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（七）评标办法</w:t>
      </w:r>
    </w:p>
    <w:bookmarkEnd w:id="53"/>
    <w:p>
      <w:pPr>
        <w:adjustRightInd w:val="0"/>
        <w:snapToGrid w:val="0"/>
        <w:spacing w:line="360" w:lineRule="auto"/>
        <w:ind w:firstLine="480" w:firstLineChars="200"/>
        <w:rPr>
          <w:rFonts w:hint="eastAsia" w:ascii="宋体" w:hAnsi="宋体" w:eastAsia="宋体" w:cs="宋体"/>
          <w:color w:val="auto"/>
          <w:sz w:val="24"/>
          <w:highlight w:val="none"/>
        </w:rPr>
      </w:pPr>
      <w:bookmarkStart w:id="58" w:name="_Toc86216994"/>
      <w:r>
        <w:rPr>
          <w:rFonts w:hint="eastAsia" w:ascii="宋体" w:hAnsi="宋体" w:eastAsia="宋体" w:cs="宋体"/>
          <w:color w:val="auto"/>
          <w:sz w:val="24"/>
          <w:highlight w:val="none"/>
        </w:rPr>
        <w:t>详见“第六部分  评标办法”。</w:t>
      </w:r>
    </w:p>
    <w:p>
      <w:pPr>
        <w:pStyle w:val="309"/>
        <w:adjustRightInd w:val="0"/>
        <w:snapToGrid w:val="0"/>
        <w:spacing w:before="0"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（八）评标内容的保密</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1、公开开标后，直到公告中标单位止，凡属于审查、澄清、评价和比较投标的所有资料，都不向投标人或与评标无关的其他人泄露。</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 在投标文件的审查、澄清、评价和比较以及确定中标人过程中，投标人对招标人、招标代理机构和评标委员会施加影响的任何行为，都将导致取消资格。</w:t>
      </w:r>
    </w:p>
    <w:p>
      <w:pPr>
        <w:adjustRightInd w:val="0"/>
        <w:snapToGrid w:val="0"/>
        <w:spacing w:line="360" w:lineRule="auto"/>
        <w:jc w:val="center"/>
        <w:outlineLvl w:val="1"/>
        <w:rPr>
          <w:rFonts w:hint="eastAsia" w:ascii="宋体" w:hAnsi="宋体" w:eastAsia="宋体" w:cs="宋体"/>
          <w:b/>
          <w:color w:val="auto"/>
          <w:sz w:val="32"/>
          <w:highlight w:val="none"/>
        </w:rPr>
      </w:pPr>
      <w:bookmarkStart w:id="59" w:name="_Toc233618978"/>
      <w:bookmarkStart w:id="60" w:name="_Toc522530047"/>
      <w:bookmarkStart w:id="61" w:name="_Toc23416"/>
      <w:r>
        <w:rPr>
          <w:rFonts w:hint="eastAsia" w:ascii="宋体" w:hAnsi="宋体" w:eastAsia="宋体" w:cs="宋体"/>
          <w:b/>
          <w:color w:val="auto"/>
          <w:sz w:val="32"/>
          <w:highlight w:val="none"/>
        </w:rPr>
        <w:t>七、定 标</w:t>
      </w:r>
      <w:bookmarkEnd w:id="58"/>
      <w:bookmarkEnd w:id="59"/>
      <w:bookmarkEnd w:id="60"/>
      <w:bookmarkEnd w:id="61"/>
    </w:p>
    <w:p>
      <w:pPr>
        <w:pStyle w:val="3"/>
        <w:tabs>
          <w:tab w:val="left" w:pos="1440"/>
        </w:tabs>
        <w:adjustRightInd w:val="0"/>
        <w:snapToGrid w:val="0"/>
        <w:spacing w:line="360" w:lineRule="auto"/>
        <w:ind w:left="56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（一）定标</w:t>
      </w:r>
      <w:r>
        <w:rPr>
          <w:rFonts w:hint="eastAsia" w:ascii="宋体" w:hAnsi="宋体" w:eastAsia="宋体" w:cs="宋体"/>
          <w:b/>
          <w:color w:val="auto"/>
          <w:sz w:val="24"/>
          <w:highlight w:val="none"/>
        </w:rPr>
        <w:tab/>
      </w:r>
    </w:p>
    <w:p>
      <w:pPr>
        <w:adjustRightInd w:val="0"/>
        <w:snapToGrid w:val="0"/>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评标委员会根据以下规定确定投标人排名并推荐中标候选人。</w:t>
      </w:r>
    </w:p>
    <w:p>
      <w:pPr>
        <w:adjustRightInd w:val="0"/>
        <w:snapToGrid w:val="0"/>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1、评标委员会根据各投标人的综合得分（商务技术分与报价得分之和）从高到低依次进行排名排序。特殊情形按以下原则处理：</w:t>
      </w:r>
    </w:p>
    <w:p>
      <w:pPr>
        <w:adjustRightInd w:val="0"/>
        <w:snapToGrid w:val="0"/>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（1）如投标人综合得分相同的，报价低者为中标人；</w:t>
      </w:r>
    </w:p>
    <w:p>
      <w:pPr>
        <w:adjustRightInd w:val="0"/>
        <w:snapToGrid w:val="0"/>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（2）综合得分且报价相同的，商务部分指标优者为中标人；</w:t>
      </w:r>
    </w:p>
    <w:p>
      <w:pPr>
        <w:adjustRightInd w:val="0"/>
        <w:snapToGrid w:val="0"/>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（3）如综合得分、投标报价和商务技术中的商务部分得分均相同的，则抽签选取中标候选人。</w:t>
      </w:r>
    </w:p>
    <w:p>
      <w:pPr>
        <w:adjustRightInd w:val="0"/>
        <w:snapToGrid w:val="0"/>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2、根据最终得分排序，通过书面评审报告的形式，向采购人推荐排名第一的投标人为中标候选人。</w:t>
      </w:r>
    </w:p>
    <w:p>
      <w:pPr>
        <w:adjustRightInd w:val="0"/>
        <w:snapToGrid w:val="0"/>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pPr>
        <w:pStyle w:val="3"/>
        <w:tabs>
          <w:tab w:val="left" w:pos="1440"/>
        </w:tabs>
        <w:adjustRightInd w:val="0"/>
        <w:snapToGrid w:val="0"/>
        <w:spacing w:line="360" w:lineRule="auto"/>
        <w:ind w:left="56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（二）招标结果公告</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在招标人确认招标结果后招标代理机构按相关政府采购规定将招标结果发布在原招标公告发布媒体。公告有效期为1个工作日。招标人、招标代理机构及评标委员会对未中标的投标人不作落标原因解释。</w:t>
      </w:r>
    </w:p>
    <w:p>
      <w:pPr>
        <w:pStyle w:val="3"/>
        <w:tabs>
          <w:tab w:val="left" w:pos="1440"/>
        </w:tabs>
        <w:adjustRightInd w:val="0"/>
        <w:snapToGrid w:val="0"/>
        <w:spacing w:line="360" w:lineRule="auto"/>
        <w:ind w:left="560"/>
        <w:rPr>
          <w:rFonts w:hint="eastAsia" w:ascii="宋体" w:hAnsi="宋体" w:eastAsia="宋体" w:cs="宋体"/>
          <w:b/>
          <w:color w:val="auto"/>
          <w:sz w:val="24"/>
          <w:highlight w:val="none"/>
        </w:rPr>
      </w:pPr>
      <w:bookmarkStart w:id="62" w:name="_Hlt75236103"/>
      <w:bookmarkEnd w:id="62"/>
      <w:bookmarkStart w:id="63" w:name="_Toc86216995"/>
      <w:bookmarkStart w:id="64" w:name="_Toc91899910"/>
      <w:r>
        <w:rPr>
          <w:rFonts w:hint="eastAsia" w:ascii="宋体" w:hAnsi="宋体" w:eastAsia="宋体" w:cs="宋体"/>
          <w:b/>
          <w:color w:val="auto"/>
          <w:sz w:val="24"/>
          <w:highlight w:val="none"/>
        </w:rPr>
        <w:t>（三）中标通知书</w:t>
      </w:r>
      <w:r>
        <w:rPr>
          <w:rFonts w:hint="eastAsia" w:ascii="宋体" w:hAnsi="宋体" w:eastAsia="宋体" w:cs="宋体"/>
          <w:b/>
          <w:color w:val="auto"/>
          <w:sz w:val="24"/>
          <w:highlight w:val="none"/>
        </w:rPr>
        <w:tab/>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在公告中标结果的同时，招标人或者招标代理机构应当向中标人发出中标通知书。</w:t>
      </w:r>
    </w:p>
    <w:p>
      <w:pPr>
        <w:adjustRightInd w:val="0"/>
        <w:snapToGrid w:val="0"/>
        <w:spacing w:line="360" w:lineRule="auto"/>
        <w:jc w:val="center"/>
        <w:outlineLvl w:val="1"/>
        <w:rPr>
          <w:rFonts w:hint="eastAsia" w:ascii="宋体" w:hAnsi="宋体" w:eastAsia="宋体" w:cs="宋体"/>
          <w:b/>
          <w:color w:val="auto"/>
          <w:sz w:val="32"/>
          <w:highlight w:val="none"/>
        </w:rPr>
      </w:pPr>
      <w:bookmarkStart w:id="65" w:name="_Toc233618979"/>
      <w:bookmarkStart w:id="66" w:name="_Toc522530048"/>
      <w:bookmarkStart w:id="67" w:name="_Toc15506"/>
      <w:r>
        <w:rPr>
          <w:rFonts w:hint="eastAsia" w:ascii="宋体" w:hAnsi="宋体" w:eastAsia="宋体" w:cs="宋体"/>
          <w:b/>
          <w:color w:val="auto"/>
          <w:sz w:val="32"/>
          <w:highlight w:val="none"/>
        </w:rPr>
        <w:t>八、</w:t>
      </w:r>
      <w:bookmarkEnd w:id="63"/>
      <w:r>
        <w:rPr>
          <w:rFonts w:hint="eastAsia" w:ascii="宋体" w:hAnsi="宋体" w:eastAsia="宋体" w:cs="宋体"/>
          <w:b/>
          <w:color w:val="auto"/>
          <w:sz w:val="32"/>
          <w:highlight w:val="none"/>
        </w:rPr>
        <w:t>合同签订及其他</w:t>
      </w:r>
      <w:bookmarkEnd w:id="65"/>
      <w:bookmarkEnd w:id="66"/>
      <w:bookmarkEnd w:id="67"/>
    </w:p>
    <w:bookmarkEnd w:id="64"/>
    <w:p>
      <w:pPr>
        <w:adjustRightInd w:val="0"/>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（一）合同的签订</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中标人接到中标通知书后按规定的日期、时间、地点，由法定代表人或其授权代表与招标人代表按照“第四部分 合同文本”内容签订《采购合同》。</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所签订的合同不得对招标文件和中标人投标文件作实质性修改。招标人不得向中标投标人提出任何不合理的要求，作为签订合同的条件，不得与中标人私下订立背离合同实质性内容的协议。</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招标文件及补充文件、中标人的投标文件及投标修改文件、评标过程中有关澄清文件和中标通知书均作为合同附件。</w:t>
      </w:r>
    </w:p>
    <w:p>
      <w:pPr>
        <w:tabs>
          <w:tab w:val="left" w:pos="3780"/>
        </w:tabs>
        <w:spacing w:line="360" w:lineRule="auto"/>
        <w:ind w:firstLine="482" w:firstLineChars="200"/>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中标后，投标人拒绝签订合同的，采购人可以按照评审报告推荐的中标或者成交候选人名单排序，确定下一候选人为中标或者成交投标人，也可以重新开展政府采购活动。投标人中标或者成交后拒绝签订合同的，应按采购预算金额的2%对采购人进行赔偿；赔偿金额不足以弥补采购人损失的，投标人应继续承担超过部分的损失。</w:t>
      </w:r>
    </w:p>
    <w:p>
      <w:pPr>
        <w:tabs>
          <w:tab w:val="left" w:pos="3780"/>
        </w:tabs>
        <w:spacing w:line="360" w:lineRule="auto"/>
        <w:ind w:firstLine="482" w:firstLineChars="200"/>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存在下列行为的，采购代理机构将其失信行为上报政府采购主管部门，由主管部门按有关规定对其违法失信行为记录进行公开：</w:t>
      </w:r>
    </w:p>
    <w:p>
      <w:pPr>
        <w:tabs>
          <w:tab w:val="left" w:pos="3780"/>
        </w:tabs>
        <w:spacing w:line="360" w:lineRule="auto"/>
        <w:ind w:firstLine="482" w:firstLineChars="200"/>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（1）中标或者成交后，拒绝签订政府采购合同的；</w:t>
      </w:r>
    </w:p>
    <w:p>
      <w:pPr>
        <w:tabs>
          <w:tab w:val="left" w:pos="3780"/>
        </w:tabs>
        <w:spacing w:line="360" w:lineRule="auto"/>
        <w:ind w:firstLine="482" w:firstLineChars="200"/>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（2）投标有效期内撤销投标文件的。</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如签订合同并生效后，投标人无故拒绝或延期合格交货的，除按照合同条款处罚外，列入不良行为记录一次，并给予通报。</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中标人因制造商原因无法供货导致无法签订合同的视为“中标后无正当理由不与招标人签订合同”。 </w:t>
      </w:r>
    </w:p>
    <w:p>
      <w:pPr>
        <w:tabs>
          <w:tab w:val="left" w:pos="0"/>
        </w:tabs>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（二）售后服务考核</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将参照有关法律法规，对投标人进行考核，发现弄虚作假，偷工减料，以次充好，达不到国家、行业有关标准和技术文件规定的，一经查实，招标人将视情况终止合同。</w:t>
      </w:r>
    </w:p>
    <w:p>
      <w:pPr>
        <w:tabs>
          <w:tab w:val="left" w:pos="0"/>
        </w:tabs>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（三）招标代理服务费</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本次招标代理服务费按本须知“前附表”规定收取。</w:t>
      </w:r>
    </w:p>
    <w:p>
      <w:pPr>
        <w:adjustRightInd w:val="0"/>
        <w:snapToGrid w:val="0"/>
        <w:spacing w:line="264" w:lineRule="auto"/>
        <w:ind w:firstLine="480" w:firstLineChars="200"/>
        <w:rPr>
          <w:rFonts w:hint="eastAsia" w:ascii="宋体" w:hAnsi="宋体" w:eastAsia="宋体" w:cs="宋体"/>
          <w:color w:val="auto"/>
          <w:sz w:val="24"/>
          <w:highlight w:val="none"/>
        </w:rPr>
        <w:sectPr>
          <w:headerReference r:id="rId4" w:type="first"/>
          <w:footerReference r:id="rId7" w:type="first"/>
          <w:headerReference r:id="rId3" w:type="default"/>
          <w:footerReference r:id="rId5" w:type="default"/>
          <w:footerReference r:id="rId6" w:type="even"/>
          <w:pgSz w:w="11906" w:h="16838"/>
          <w:pgMar w:top="1440" w:right="1440" w:bottom="1440" w:left="1440" w:header="851" w:footer="851" w:gutter="0"/>
          <w:pgNumType w:fmt="decimal"/>
          <w:cols w:space="720" w:num="1"/>
          <w:titlePg/>
          <w:docGrid w:linePitch="381" w:charSpace="0"/>
        </w:sectPr>
      </w:pPr>
    </w:p>
    <w:p>
      <w:pPr>
        <w:pStyle w:val="309"/>
        <w:numPr>
          <w:ilvl w:val="0"/>
          <w:numId w:val="2"/>
        </w:numPr>
        <w:spacing w:before="0" w:line="276" w:lineRule="auto"/>
        <w:ind w:firstLine="0" w:firstLineChars="0"/>
        <w:jc w:val="center"/>
        <w:outlineLvl w:val="0"/>
        <w:rPr>
          <w:rFonts w:hint="eastAsia" w:ascii="宋体" w:hAnsi="宋体" w:eastAsia="宋体" w:cs="宋体"/>
          <w:b/>
          <w:color w:val="auto"/>
          <w:sz w:val="36"/>
          <w:highlight w:val="none"/>
        </w:rPr>
      </w:pPr>
      <w:r>
        <w:rPr>
          <w:rFonts w:hint="eastAsia" w:ascii="宋体" w:hAnsi="宋体" w:eastAsia="宋体" w:cs="宋体"/>
          <w:b/>
          <w:color w:val="auto"/>
          <w:sz w:val="36"/>
          <w:highlight w:val="none"/>
        </w:rPr>
        <w:t>采购需求</w:t>
      </w:r>
    </w:p>
    <w:p>
      <w:pPr>
        <w:numPr>
          <w:ilvl w:val="0"/>
          <w:numId w:val="3"/>
        </w:numPr>
        <w:rPr>
          <w:rFonts w:hint="eastAsia" w:ascii="宋体" w:hAnsi="宋体" w:eastAsia="宋体" w:cs="宋体"/>
          <w:b/>
          <w:bCs/>
          <w:color w:val="auto"/>
          <w:sz w:val="28"/>
          <w:szCs w:val="28"/>
          <w:highlight w:val="none"/>
          <w:lang w:val="en-US" w:eastAsia="zh-CN"/>
        </w:rPr>
      </w:pPr>
      <w:bookmarkStart w:id="68" w:name="_Toc492733886"/>
      <w:bookmarkStart w:id="69" w:name="_Toc1203"/>
      <w:bookmarkStart w:id="70" w:name="_Toc86217003"/>
      <w:bookmarkStart w:id="71" w:name="_Toc233618986"/>
      <w:r>
        <w:rPr>
          <w:rFonts w:hint="eastAsia" w:ascii="宋体" w:hAnsi="宋体" w:eastAsia="宋体" w:cs="宋体"/>
          <w:b/>
          <w:bCs/>
          <w:color w:val="auto"/>
          <w:sz w:val="28"/>
          <w:szCs w:val="28"/>
          <w:highlight w:val="none"/>
          <w:lang w:val="en-US" w:eastAsia="zh-CN"/>
        </w:rPr>
        <w:t>清单汇总</w:t>
      </w:r>
    </w:p>
    <w:tbl>
      <w:tblPr>
        <w:tblStyle w:val="99"/>
        <w:tblW w:w="103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1"/>
        <w:gridCol w:w="7246"/>
        <w:gridCol w:w="1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1" w:type="dxa"/>
            <w:vAlign w:val="center"/>
          </w:tcPr>
          <w:p>
            <w:pPr>
              <w:keepNext w:val="0"/>
              <w:keepLines w:val="0"/>
              <w:widowControl/>
              <w:suppressLineNumbers w:val="0"/>
              <w:spacing w:line="360" w:lineRule="auto"/>
              <w:jc w:val="center"/>
              <w:textAlignment w:val="center"/>
              <w:rPr>
                <w:color w:val="auto"/>
                <w:sz w:val="24"/>
                <w:szCs w:val="24"/>
                <w:highlight w:val="none"/>
                <w:vertAlign w:val="baseline"/>
              </w:rPr>
            </w:pPr>
            <w:r>
              <w:rPr>
                <w:rFonts w:hint="eastAsia" w:ascii="宋体" w:hAnsi="宋体" w:eastAsia="宋体" w:cs="宋体"/>
                <w:b/>
                <w:i w:val="0"/>
                <w:color w:val="auto"/>
                <w:kern w:val="0"/>
                <w:sz w:val="24"/>
                <w:szCs w:val="24"/>
                <w:highlight w:val="none"/>
                <w:u w:val="none"/>
                <w:lang w:val="en-US" w:eastAsia="zh-CN" w:bidi="ar"/>
              </w:rPr>
              <w:t>序号</w:t>
            </w:r>
          </w:p>
        </w:tc>
        <w:tc>
          <w:tcPr>
            <w:tcW w:w="7246" w:type="dxa"/>
            <w:vAlign w:val="center"/>
          </w:tcPr>
          <w:p>
            <w:pPr>
              <w:keepNext w:val="0"/>
              <w:keepLines w:val="0"/>
              <w:widowControl/>
              <w:suppressLineNumbers w:val="0"/>
              <w:spacing w:line="360" w:lineRule="auto"/>
              <w:jc w:val="center"/>
              <w:textAlignment w:val="center"/>
              <w:rPr>
                <w:color w:val="auto"/>
                <w:sz w:val="24"/>
                <w:szCs w:val="24"/>
                <w:highlight w:val="none"/>
                <w:vertAlign w:val="baseline"/>
              </w:rPr>
            </w:pPr>
            <w:r>
              <w:rPr>
                <w:rFonts w:hint="eastAsia" w:ascii="宋体" w:hAnsi="宋体" w:eastAsia="宋体" w:cs="宋体"/>
                <w:b/>
                <w:i w:val="0"/>
                <w:color w:val="auto"/>
                <w:kern w:val="0"/>
                <w:sz w:val="24"/>
                <w:szCs w:val="24"/>
                <w:highlight w:val="none"/>
                <w:u w:val="none"/>
                <w:lang w:val="en-US" w:eastAsia="zh-CN" w:bidi="ar"/>
              </w:rPr>
              <w:t>系统名称</w:t>
            </w:r>
          </w:p>
        </w:tc>
        <w:tc>
          <w:tcPr>
            <w:tcW w:w="1388" w:type="dxa"/>
            <w:vAlign w:val="center"/>
          </w:tcPr>
          <w:p>
            <w:pPr>
              <w:keepNext w:val="0"/>
              <w:keepLines w:val="0"/>
              <w:widowControl/>
              <w:suppressLineNumbers w:val="0"/>
              <w:spacing w:line="360" w:lineRule="auto"/>
              <w:jc w:val="center"/>
              <w:textAlignment w:val="center"/>
              <w:rPr>
                <w:color w:val="auto"/>
                <w:sz w:val="24"/>
                <w:szCs w:val="24"/>
                <w:highlight w:val="none"/>
                <w:vertAlign w:val="baseline"/>
              </w:rPr>
            </w:pPr>
            <w:r>
              <w:rPr>
                <w:rFonts w:hint="eastAsia" w:ascii="宋体" w:hAnsi="宋体" w:eastAsia="宋体" w:cs="宋体"/>
                <w:b/>
                <w:i w:val="0"/>
                <w:color w:val="auto"/>
                <w:kern w:val="0"/>
                <w:sz w:val="24"/>
                <w:szCs w:val="24"/>
                <w:highlight w:val="none"/>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1" w:type="dxa"/>
            <w:vAlign w:val="center"/>
          </w:tcPr>
          <w:p>
            <w:pPr>
              <w:keepNext w:val="0"/>
              <w:keepLines w:val="0"/>
              <w:widowControl/>
              <w:suppressLineNumbers w:val="0"/>
              <w:spacing w:line="360" w:lineRule="auto"/>
              <w:jc w:val="center"/>
              <w:textAlignment w:val="center"/>
              <w:rPr>
                <w:color w:val="auto"/>
                <w:sz w:val="24"/>
                <w:szCs w:val="24"/>
                <w:highlight w:val="none"/>
                <w:vertAlign w:val="baseline"/>
              </w:rPr>
            </w:pPr>
            <w:r>
              <w:rPr>
                <w:rFonts w:hint="eastAsia" w:ascii="宋体" w:hAnsi="宋体" w:eastAsia="宋体" w:cs="宋体"/>
                <w:i w:val="0"/>
                <w:color w:val="auto"/>
                <w:kern w:val="0"/>
                <w:sz w:val="24"/>
                <w:szCs w:val="24"/>
                <w:highlight w:val="none"/>
                <w:u w:val="none"/>
                <w:lang w:val="en-US" w:eastAsia="zh-CN" w:bidi="ar"/>
              </w:rPr>
              <w:t>1</w:t>
            </w:r>
          </w:p>
        </w:tc>
        <w:tc>
          <w:tcPr>
            <w:tcW w:w="7246" w:type="dxa"/>
            <w:vAlign w:val="center"/>
          </w:tcPr>
          <w:p>
            <w:pPr>
              <w:keepNext w:val="0"/>
              <w:keepLines w:val="0"/>
              <w:widowControl/>
              <w:suppressLineNumbers w:val="0"/>
              <w:spacing w:line="360" w:lineRule="auto"/>
              <w:jc w:val="center"/>
              <w:textAlignment w:val="center"/>
              <w:rPr>
                <w:color w:val="auto"/>
                <w:sz w:val="24"/>
                <w:szCs w:val="24"/>
                <w:highlight w:val="none"/>
                <w:vertAlign w:val="baseline"/>
              </w:rPr>
            </w:pPr>
            <w:r>
              <w:rPr>
                <w:rFonts w:hint="eastAsia" w:ascii="宋体" w:hAnsi="宋体" w:eastAsia="宋体" w:cs="宋体"/>
                <w:i w:val="0"/>
                <w:color w:val="auto"/>
                <w:kern w:val="0"/>
                <w:sz w:val="24"/>
                <w:szCs w:val="24"/>
                <w:highlight w:val="none"/>
                <w:u w:val="none"/>
                <w:lang w:val="en-US" w:eastAsia="zh-CN" w:bidi="ar"/>
              </w:rPr>
              <w:t>校园网络建设</w:t>
            </w:r>
          </w:p>
        </w:tc>
        <w:tc>
          <w:tcPr>
            <w:tcW w:w="1388" w:type="dxa"/>
            <w:vAlign w:val="center"/>
          </w:tcPr>
          <w:p>
            <w:pPr>
              <w:spacing w:line="360" w:lineRule="auto"/>
              <w:jc w:val="center"/>
              <w:rPr>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1" w:type="dxa"/>
            <w:vAlign w:val="center"/>
          </w:tcPr>
          <w:p>
            <w:pPr>
              <w:keepNext w:val="0"/>
              <w:keepLines w:val="0"/>
              <w:widowControl/>
              <w:suppressLineNumbers w:val="0"/>
              <w:spacing w:line="360" w:lineRule="auto"/>
              <w:jc w:val="center"/>
              <w:textAlignment w:val="center"/>
              <w:rPr>
                <w:color w:val="auto"/>
                <w:sz w:val="24"/>
                <w:szCs w:val="24"/>
                <w:highlight w:val="none"/>
                <w:vertAlign w:val="baseline"/>
              </w:rPr>
            </w:pPr>
            <w:r>
              <w:rPr>
                <w:rFonts w:hint="eastAsia" w:ascii="宋体" w:hAnsi="宋体" w:eastAsia="宋体" w:cs="宋体"/>
                <w:i w:val="0"/>
                <w:color w:val="auto"/>
                <w:kern w:val="0"/>
                <w:sz w:val="24"/>
                <w:szCs w:val="24"/>
                <w:highlight w:val="none"/>
                <w:u w:val="none"/>
                <w:lang w:val="en-US" w:eastAsia="zh-CN" w:bidi="ar"/>
              </w:rPr>
              <w:t>2</w:t>
            </w:r>
          </w:p>
        </w:tc>
        <w:tc>
          <w:tcPr>
            <w:tcW w:w="7246" w:type="dxa"/>
            <w:vAlign w:val="center"/>
          </w:tcPr>
          <w:p>
            <w:pPr>
              <w:keepNext w:val="0"/>
              <w:keepLines w:val="0"/>
              <w:widowControl/>
              <w:suppressLineNumbers w:val="0"/>
              <w:spacing w:line="360" w:lineRule="auto"/>
              <w:jc w:val="center"/>
              <w:textAlignment w:val="center"/>
              <w:rPr>
                <w:color w:val="auto"/>
                <w:sz w:val="24"/>
                <w:szCs w:val="24"/>
                <w:highlight w:val="none"/>
                <w:vertAlign w:val="baseline"/>
              </w:rPr>
            </w:pPr>
            <w:r>
              <w:rPr>
                <w:rFonts w:hint="eastAsia" w:ascii="宋体" w:hAnsi="宋体" w:eastAsia="宋体" w:cs="宋体"/>
                <w:i w:val="0"/>
                <w:color w:val="auto"/>
                <w:kern w:val="0"/>
                <w:sz w:val="24"/>
                <w:szCs w:val="24"/>
                <w:highlight w:val="none"/>
                <w:u w:val="none"/>
                <w:lang w:val="en-US" w:eastAsia="zh-CN" w:bidi="ar"/>
              </w:rPr>
              <w:t>综合布线系统</w:t>
            </w:r>
          </w:p>
        </w:tc>
        <w:tc>
          <w:tcPr>
            <w:tcW w:w="1388" w:type="dxa"/>
            <w:vAlign w:val="center"/>
          </w:tcPr>
          <w:p>
            <w:pPr>
              <w:spacing w:line="360" w:lineRule="auto"/>
              <w:jc w:val="center"/>
              <w:rPr>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1" w:type="dxa"/>
            <w:vAlign w:val="center"/>
          </w:tcPr>
          <w:p>
            <w:pPr>
              <w:keepNext w:val="0"/>
              <w:keepLines w:val="0"/>
              <w:widowControl/>
              <w:suppressLineNumbers w:val="0"/>
              <w:spacing w:line="360" w:lineRule="auto"/>
              <w:jc w:val="center"/>
              <w:textAlignment w:val="center"/>
              <w:rPr>
                <w:color w:val="auto"/>
                <w:sz w:val="24"/>
                <w:szCs w:val="24"/>
                <w:highlight w:val="none"/>
                <w:vertAlign w:val="baseline"/>
              </w:rPr>
            </w:pPr>
            <w:r>
              <w:rPr>
                <w:rFonts w:hint="eastAsia" w:ascii="宋体" w:hAnsi="宋体" w:eastAsia="宋体" w:cs="宋体"/>
                <w:i w:val="0"/>
                <w:color w:val="auto"/>
                <w:kern w:val="0"/>
                <w:sz w:val="24"/>
                <w:szCs w:val="24"/>
                <w:highlight w:val="none"/>
                <w:u w:val="none"/>
                <w:lang w:val="en-US" w:eastAsia="zh-CN" w:bidi="ar"/>
              </w:rPr>
              <w:t>3</w:t>
            </w:r>
          </w:p>
        </w:tc>
        <w:tc>
          <w:tcPr>
            <w:tcW w:w="7246" w:type="dxa"/>
            <w:vAlign w:val="center"/>
          </w:tcPr>
          <w:p>
            <w:pPr>
              <w:keepNext w:val="0"/>
              <w:keepLines w:val="0"/>
              <w:widowControl/>
              <w:suppressLineNumbers w:val="0"/>
              <w:spacing w:line="360" w:lineRule="auto"/>
              <w:jc w:val="center"/>
              <w:textAlignment w:val="center"/>
              <w:rPr>
                <w:color w:val="auto"/>
                <w:sz w:val="24"/>
                <w:szCs w:val="24"/>
                <w:highlight w:val="none"/>
                <w:vertAlign w:val="baseline"/>
              </w:rPr>
            </w:pPr>
            <w:r>
              <w:rPr>
                <w:rFonts w:hint="eastAsia" w:ascii="宋体" w:hAnsi="宋体" w:eastAsia="宋体" w:cs="宋体"/>
                <w:i w:val="0"/>
                <w:color w:val="auto"/>
                <w:kern w:val="0"/>
                <w:sz w:val="24"/>
                <w:szCs w:val="24"/>
                <w:highlight w:val="none"/>
                <w:u w:val="none"/>
                <w:lang w:val="en-US" w:eastAsia="zh-CN" w:bidi="ar"/>
              </w:rPr>
              <w:t>中心机房建设工程</w:t>
            </w:r>
          </w:p>
        </w:tc>
        <w:tc>
          <w:tcPr>
            <w:tcW w:w="1388" w:type="dxa"/>
            <w:vAlign w:val="center"/>
          </w:tcPr>
          <w:p>
            <w:pPr>
              <w:spacing w:line="360" w:lineRule="auto"/>
              <w:jc w:val="center"/>
              <w:rPr>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1" w:type="dxa"/>
            <w:vAlign w:val="center"/>
          </w:tcPr>
          <w:p>
            <w:pPr>
              <w:keepNext w:val="0"/>
              <w:keepLines w:val="0"/>
              <w:widowControl/>
              <w:suppressLineNumbers w:val="0"/>
              <w:spacing w:line="360" w:lineRule="auto"/>
              <w:jc w:val="center"/>
              <w:textAlignment w:val="center"/>
              <w:rPr>
                <w:color w:val="auto"/>
                <w:sz w:val="24"/>
                <w:szCs w:val="24"/>
                <w:highlight w:val="none"/>
                <w:vertAlign w:val="baseline"/>
              </w:rPr>
            </w:pPr>
            <w:r>
              <w:rPr>
                <w:rFonts w:hint="eastAsia" w:ascii="宋体" w:hAnsi="宋体" w:eastAsia="宋体" w:cs="宋体"/>
                <w:i w:val="0"/>
                <w:color w:val="auto"/>
                <w:kern w:val="0"/>
                <w:sz w:val="24"/>
                <w:szCs w:val="24"/>
                <w:highlight w:val="none"/>
                <w:u w:val="none"/>
                <w:lang w:val="en-US" w:eastAsia="zh-CN" w:bidi="ar"/>
              </w:rPr>
              <w:t>4</w:t>
            </w:r>
          </w:p>
        </w:tc>
        <w:tc>
          <w:tcPr>
            <w:tcW w:w="7246" w:type="dxa"/>
            <w:vAlign w:val="center"/>
          </w:tcPr>
          <w:p>
            <w:pPr>
              <w:keepNext w:val="0"/>
              <w:keepLines w:val="0"/>
              <w:widowControl/>
              <w:suppressLineNumbers w:val="0"/>
              <w:spacing w:line="360" w:lineRule="auto"/>
              <w:jc w:val="center"/>
              <w:textAlignment w:val="center"/>
              <w:rPr>
                <w:color w:val="auto"/>
                <w:sz w:val="24"/>
                <w:szCs w:val="24"/>
                <w:highlight w:val="none"/>
                <w:vertAlign w:val="baseline"/>
              </w:rPr>
            </w:pPr>
            <w:r>
              <w:rPr>
                <w:rFonts w:hint="eastAsia" w:ascii="宋体" w:hAnsi="宋体" w:eastAsia="宋体" w:cs="宋体"/>
                <w:i w:val="0"/>
                <w:color w:val="auto"/>
                <w:kern w:val="0"/>
                <w:sz w:val="24"/>
                <w:szCs w:val="24"/>
                <w:highlight w:val="none"/>
                <w:u w:val="none"/>
                <w:lang w:val="en-US" w:eastAsia="zh-CN" w:bidi="ar"/>
              </w:rPr>
              <w:t xml:space="preserve">综合安防系统  </w:t>
            </w:r>
          </w:p>
        </w:tc>
        <w:tc>
          <w:tcPr>
            <w:tcW w:w="1388" w:type="dxa"/>
            <w:vAlign w:val="center"/>
          </w:tcPr>
          <w:p>
            <w:pPr>
              <w:spacing w:line="360" w:lineRule="auto"/>
              <w:jc w:val="center"/>
              <w:rPr>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1" w:type="dxa"/>
            <w:vAlign w:val="center"/>
          </w:tcPr>
          <w:p>
            <w:pPr>
              <w:keepNext w:val="0"/>
              <w:keepLines w:val="0"/>
              <w:widowControl/>
              <w:suppressLineNumbers w:val="0"/>
              <w:spacing w:line="360" w:lineRule="auto"/>
              <w:jc w:val="center"/>
              <w:textAlignment w:val="center"/>
              <w:rPr>
                <w:color w:val="auto"/>
                <w:sz w:val="24"/>
                <w:szCs w:val="24"/>
                <w:highlight w:val="none"/>
                <w:vertAlign w:val="baseline"/>
              </w:rPr>
            </w:pPr>
            <w:r>
              <w:rPr>
                <w:rFonts w:hint="eastAsia" w:ascii="宋体" w:hAnsi="宋体" w:eastAsia="宋体" w:cs="宋体"/>
                <w:i w:val="0"/>
                <w:color w:val="auto"/>
                <w:kern w:val="0"/>
                <w:sz w:val="24"/>
                <w:szCs w:val="24"/>
                <w:highlight w:val="none"/>
                <w:u w:val="none"/>
                <w:lang w:val="en-US" w:eastAsia="zh-CN" w:bidi="ar"/>
              </w:rPr>
              <w:t>5</w:t>
            </w:r>
          </w:p>
        </w:tc>
        <w:tc>
          <w:tcPr>
            <w:tcW w:w="7246" w:type="dxa"/>
            <w:vAlign w:val="center"/>
          </w:tcPr>
          <w:p>
            <w:pPr>
              <w:keepNext w:val="0"/>
              <w:keepLines w:val="0"/>
              <w:widowControl/>
              <w:suppressLineNumbers w:val="0"/>
              <w:spacing w:line="360" w:lineRule="auto"/>
              <w:jc w:val="center"/>
              <w:textAlignment w:val="center"/>
              <w:rPr>
                <w:color w:val="auto"/>
                <w:sz w:val="24"/>
                <w:szCs w:val="24"/>
                <w:highlight w:val="none"/>
                <w:vertAlign w:val="baseline"/>
              </w:rPr>
            </w:pPr>
            <w:r>
              <w:rPr>
                <w:rFonts w:hint="eastAsia" w:ascii="宋体" w:hAnsi="宋体" w:eastAsia="宋体" w:cs="宋体"/>
                <w:i w:val="0"/>
                <w:color w:val="auto"/>
                <w:kern w:val="0"/>
                <w:sz w:val="24"/>
                <w:szCs w:val="24"/>
                <w:highlight w:val="none"/>
                <w:u w:val="none"/>
                <w:lang w:val="en-US" w:eastAsia="zh-CN" w:bidi="ar"/>
              </w:rPr>
              <w:t>考场系统</w:t>
            </w:r>
          </w:p>
        </w:tc>
        <w:tc>
          <w:tcPr>
            <w:tcW w:w="1388" w:type="dxa"/>
            <w:vAlign w:val="center"/>
          </w:tcPr>
          <w:p>
            <w:pPr>
              <w:spacing w:line="360" w:lineRule="auto"/>
              <w:jc w:val="center"/>
              <w:rPr>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1" w:type="dxa"/>
            <w:vAlign w:val="center"/>
          </w:tcPr>
          <w:p>
            <w:pPr>
              <w:keepNext w:val="0"/>
              <w:keepLines w:val="0"/>
              <w:widowControl/>
              <w:suppressLineNumbers w:val="0"/>
              <w:spacing w:line="360" w:lineRule="auto"/>
              <w:jc w:val="center"/>
              <w:textAlignment w:val="center"/>
              <w:rPr>
                <w:color w:val="auto"/>
                <w:sz w:val="24"/>
                <w:szCs w:val="24"/>
                <w:highlight w:val="none"/>
                <w:vertAlign w:val="baseline"/>
              </w:rPr>
            </w:pPr>
            <w:r>
              <w:rPr>
                <w:rFonts w:hint="eastAsia" w:ascii="宋体" w:hAnsi="宋体" w:eastAsia="宋体" w:cs="宋体"/>
                <w:i w:val="0"/>
                <w:color w:val="auto"/>
                <w:kern w:val="0"/>
                <w:sz w:val="24"/>
                <w:szCs w:val="24"/>
                <w:highlight w:val="none"/>
                <w:u w:val="none"/>
                <w:lang w:val="en-US" w:eastAsia="zh-CN" w:bidi="ar"/>
              </w:rPr>
              <w:t>6</w:t>
            </w:r>
          </w:p>
        </w:tc>
        <w:tc>
          <w:tcPr>
            <w:tcW w:w="7246" w:type="dxa"/>
            <w:vAlign w:val="center"/>
          </w:tcPr>
          <w:p>
            <w:pPr>
              <w:keepNext w:val="0"/>
              <w:keepLines w:val="0"/>
              <w:widowControl/>
              <w:suppressLineNumbers w:val="0"/>
              <w:spacing w:line="360" w:lineRule="auto"/>
              <w:jc w:val="center"/>
              <w:textAlignment w:val="center"/>
              <w:rPr>
                <w:color w:val="auto"/>
                <w:sz w:val="24"/>
                <w:szCs w:val="24"/>
                <w:highlight w:val="none"/>
                <w:vertAlign w:val="baseline"/>
              </w:rPr>
            </w:pPr>
            <w:r>
              <w:rPr>
                <w:rFonts w:hint="eastAsia" w:ascii="宋体" w:hAnsi="宋体" w:eastAsia="宋体" w:cs="宋体"/>
                <w:i w:val="0"/>
                <w:color w:val="auto"/>
                <w:kern w:val="0"/>
                <w:sz w:val="24"/>
                <w:szCs w:val="24"/>
                <w:highlight w:val="none"/>
                <w:u w:val="none"/>
                <w:lang w:val="en-US" w:eastAsia="zh-CN" w:bidi="ar"/>
              </w:rPr>
              <w:t>智能通道、门禁系统</w:t>
            </w:r>
          </w:p>
        </w:tc>
        <w:tc>
          <w:tcPr>
            <w:tcW w:w="1388" w:type="dxa"/>
            <w:vAlign w:val="center"/>
          </w:tcPr>
          <w:p>
            <w:pPr>
              <w:spacing w:line="360" w:lineRule="auto"/>
              <w:jc w:val="center"/>
              <w:rPr>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1" w:type="dxa"/>
            <w:vAlign w:val="center"/>
          </w:tcPr>
          <w:p>
            <w:pPr>
              <w:keepNext w:val="0"/>
              <w:keepLines w:val="0"/>
              <w:widowControl/>
              <w:suppressLineNumbers w:val="0"/>
              <w:spacing w:line="360" w:lineRule="auto"/>
              <w:jc w:val="center"/>
              <w:textAlignment w:val="center"/>
              <w:rPr>
                <w:color w:val="auto"/>
                <w:sz w:val="24"/>
                <w:szCs w:val="24"/>
                <w:highlight w:val="none"/>
                <w:vertAlign w:val="baseline"/>
              </w:rPr>
            </w:pPr>
            <w:r>
              <w:rPr>
                <w:rFonts w:hint="eastAsia" w:ascii="宋体" w:hAnsi="宋体" w:eastAsia="宋体" w:cs="宋体"/>
                <w:i w:val="0"/>
                <w:color w:val="auto"/>
                <w:kern w:val="0"/>
                <w:sz w:val="24"/>
                <w:szCs w:val="24"/>
                <w:highlight w:val="none"/>
                <w:u w:val="none"/>
                <w:lang w:val="en-US" w:eastAsia="zh-CN" w:bidi="ar"/>
              </w:rPr>
              <w:t>7</w:t>
            </w:r>
          </w:p>
        </w:tc>
        <w:tc>
          <w:tcPr>
            <w:tcW w:w="7246" w:type="dxa"/>
            <w:vAlign w:val="center"/>
          </w:tcPr>
          <w:p>
            <w:pPr>
              <w:keepNext w:val="0"/>
              <w:keepLines w:val="0"/>
              <w:widowControl/>
              <w:suppressLineNumbers w:val="0"/>
              <w:spacing w:line="360" w:lineRule="auto"/>
              <w:jc w:val="center"/>
              <w:textAlignment w:val="center"/>
              <w:rPr>
                <w:color w:val="auto"/>
                <w:sz w:val="24"/>
                <w:szCs w:val="24"/>
                <w:highlight w:val="none"/>
                <w:vertAlign w:val="baseline"/>
              </w:rPr>
            </w:pPr>
            <w:r>
              <w:rPr>
                <w:rFonts w:hint="eastAsia" w:ascii="宋体" w:hAnsi="宋体" w:eastAsia="宋体" w:cs="宋体"/>
                <w:i w:val="0"/>
                <w:color w:val="auto"/>
                <w:kern w:val="0"/>
                <w:sz w:val="24"/>
                <w:szCs w:val="24"/>
                <w:highlight w:val="none"/>
                <w:u w:val="none"/>
                <w:lang w:val="en-US" w:eastAsia="zh-CN" w:bidi="ar"/>
              </w:rPr>
              <w:t>数字广播系统</w:t>
            </w:r>
          </w:p>
        </w:tc>
        <w:tc>
          <w:tcPr>
            <w:tcW w:w="1388" w:type="dxa"/>
            <w:vAlign w:val="center"/>
          </w:tcPr>
          <w:p>
            <w:pPr>
              <w:spacing w:line="360" w:lineRule="auto"/>
              <w:jc w:val="center"/>
              <w:rPr>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1" w:type="dxa"/>
            <w:vAlign w:val="center"/>
          </w:tcPr>
          <w:p>
            <w:pPr>
              <w:keepNext w:val="0"/>
              <w:keepLines w:val="0"/>
              <w:widowControl/>
              <w:suppressLineNumbers w:val="0"/>
              <w:spacing w:line="360" w:lineRule="auto"/>
              <w:jc w:val="center"/>
              <w:textAlignment w:val="center"/>
              <w:rPr>
                <w:color w:val="auto"/>
                <w:sz w:val="24"/>
                <w:szCs w:val="24"/>
                <w:highlight w:val="none"/>
                <w:vertAlign w:val="baseline"/>
              </w:rPr>
            </w:pPr>
            <w:r>
              <w:rPr>
                <w:rFonts w:hint="eastAsia" w:ascii="宋体" w:hAnsi="宋体" w:eastAsia="宋体" w:cs="宋体"/>
                <w:i w:val="0"/>
                <w:color w:val="auto"/>
                <w:kern w:val="0"/>
                <w:sz w:val="24"/>
                <w:szCs w:val="24"/>
                <w:highlight w:val="none"/>
                <w:u w:val="none"/>
                <w:lang w:val="en-US" w:eastAsia="zh-CN" w:bidi="ar"/>
              </w:rPr>
              <w:t>8</w:t>
            </w:r>
          </w:p>
        </w:tc>
        <w:tc>
          <w:tcPr>
            <w:tcW w:w="7246" w:type="dxa"/>
            <w:vAlign w:val="center"/>
          </w:tcPr>
          <w:p>
            <w:pPr>
              <w:keepNext w:val="0"/>
              <w:keepLines w:val="0"/>
              <w:widowControl/>
              <w:suppressLineNumbers w:val="0"/>
              <w:spacing w:line="360" w:lineRule="auto"/>
              <w:jc w:val="center"/>
              <w:textAlignment w:val="center"/>
              <w:rPr>
                <w:color w:val="auto"/>
                <w:sz w:val="24"/>
                <w:szCs w:val="24"/>
                <w:highlight w:val="none"/>
                <w:vertAlign w:val="baseline"/>
              </w:rPr>
            </w:pPr>
            <w:r>
              <w:rPr>
                <w:rFonts w:hint="eastAsia"/>
                <w:color w:val="auto"/>
                <w:sz w:val="24"/>
                <w:szCs w:val="24"/>
                <w:highlight w:val="none"/>
                <w:vertAlign w:val="baseline"/>
              </w:rPr>
              <w:t>明厨亮灶管理系统</w:t>
            </w:r>
          </w:p>
        </w:tc>
        <w:tc>
          <w:tcPr>
            <w:tcW w:w="1388" w:type="dxa"/>
            <w:vAlign w:val="center"/>
          </w:tcPr>
          <w:p>
            <w:pPr>
              <w:spacing w:line="360" w:lineRule="auto"/>
              <w:jc w:val="center"/>
              <w:rPr>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1" w:type="dxa"/>
            <w:vAlign w:val="center"/>
          </w:tcPr>
          <w:p>
            <w:pPr>
              <w:keepNext w:val="0"/>
              <w:keepLines w:val="0"/>
              <w:widowControl/>
              <w:suppressLineNumbers w:val="0"/>
              <w:spacing w:line="360" w:lineRule="auto"/>
              <w:jc w:val="center"/>
              <w:textAlignment w:val="center"/>
              <w:rPr>
                <w:color w:val="auto"/>
                <w:sz w:val="24"/>
                <w:szCs w:val="24"/>
                <w:highlight w:val="none"/>
                <w:vertAlign w:val="baseline"/>
              </w:rPr>
            </w:pPr>
            <w:r>
              <w:rPr>
                <w:rFonts w:hint="eastAsia" w:ascii="宋体" w:hAnsi="宋体" w:eastAsia="宋体" w:cs="宋体"/>
                <w:i w:val="0"/>
                <w:color w:val="auto"/>
                <w:kern w:val="0"/>
                <w:sz w:val="24"/>
                <w:szCs w:val="24"/>
                <w:highlight w:val="none"/>
                <w:u w:val="none"/>
                <w:lang w:val="en-US" w:eastAsia="zh-CN" w:bidi="ar"/>
              </w:rPr>
              <w:t>9</w:t>
            </w:r>
          </w:p>
        </w:tc>
        <w:tc>
          <w:tcPr>
            <w:tcW w:w="7246" w:type="dxa"/>
            <w:vAlign w:val="center"/>
          </w:tcPr>
          <w:p>
            <w:pPr>
              <w:jc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b w:val="0"/>
                <w:bCs w:val="0"/>
                <w:color w:val="auto"/>
                <w:sz w:val="24"/>
                <w:szCs w:val="24"/>
                <w:highlight w:val="none"/>
                <w:lang w:val="en-US" w:eastAsia="zh-CN"/>
              </w:rPr>
              <w:t>报告厅灯光、音响</w:t>
            </w:r>
          </w:p>
        </w:tc>
        <w:tc>
          <w:tcPr>
            <w:tcW w:w="1388" w:type="dxa"/>
            <w:vAlign w:val="center"/>
          </w:tcPr>
          <w:p>
            <w:pPr>
              <w:spacing w:line="360" w:lineRule="auto"/>
              <w:jc w:val="center"/>
              <w:rPr>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1"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10</w:t>
            </w:r>
          </w:p>
        </w:tc>
        <w:tc>
          <w:tcPr>
            <w:tcW w:w="7246" w:type="dxa"/>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color w:val="auto"/>
                <w:sz w:val="24"/>
                <w:szCs w:val="24"/>
                <w:highlight w:val="none"/>
                <w:lang w:val="en-US" w:eastAsia="zh-CN"/>
              </w:rPr>
              <w:t>多媒体会议系统</w:t>
            </w:r>
          </w:p>
        </w:tc>
        <w:tc>
          <w:tcPr>
            <w:tcW w:w="1388" w:type="dxa"/>
            <w:vAlign w:val="center"/>
          </w:tcPr>
          <w:p>
            <w:pPr>
              <w:spacing w:line="360" w:lineRule="auto"/>
              <w:jc w:val="center"/>
              <w:rPr>
                <w:rFonts w:hint="eastAsia" w:ascii="宋体" w:hAnsi="宋体" w:eastAsia="宋体" w:cs="宋体"/>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11</w:t>
            </w:r>
          </w:p>
        </w:tc>
        <w:tc>
          <w:tcPr>
            <w:tcW w:w="72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智慧教室</w:t>
            </w:r>
          </w:p>
        </w:tc>
        <w:tc>
          <w:tcPr>
            <w:tcW w:w="13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12</w:t>
            </w:r>
          </w:p>
        </w:tc>
        <w:tc>
          <w:tcPr>
            <w:tcW w:w="72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计算机教室静电地板</w:t>
            </w:r>
          </w:p>
        </w:tc>
        <w:tc>
          <w:tcPr>
            <w:tcW w:w="13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13</w:t>
            </w:r>
          </w:p>
        </w:tc>
        <w:tc>
          <w:tcPr>
            <w:tcW w:w="72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人机对话教室静电地板</w:t>
            </w:r>
          </w:p>
        </w:tc>
        <w:tc>
          <w:tcPr>
            <w:tcW w:w="13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14</w:t>
            </w:r>
          </w:p>
        </w:tc>
        <w:tc>
          <w:tcPr>
            <w:tcW w:w="72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录播教室</w:t>
            </w:r>
          </w:p>
        </w:tc>
        <w:tc>
          <w:tcPr>
            <w:tcW w:w="13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15</w:t>
            </w:r>
          </w:p>
        </w:tc>
        <w:tc>
          <w:tcPr>
            <w:tcW w:w="72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智慧体育</w:t>
            </w:r>
          </w:p>
        </w:tc>
        <w:tc>
          <w:tcPr>
            <w:tcW w:w="13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16</w:t>
            </w:r>
          </w:p>
        </w:tc>
        <w:tc>
          <w:tcPr>
            <w:tcW w:w="72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 xml:space="preserve">楼层智慧信息发布系统 </w:t>
            </w:r>
          </w:p>
        </w:tc>
        <w:tc>
          <w:tcPr>
            <w:tcW w:w="13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17</w:t>
            </w:r>
          </w:p>
        </w:tc>
        <w:tc>
          <w:tcPr>
            <w:tcW w:w="72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梯控系统</w:t>
            </w:r>
          </w:p>
        </w:tc>
        <w:tc>
          <w:tcPr>
            <w:tcW w:w="13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18</w:t>
            </w:r>
          </w:p>
        </w:tc>
        <w:tc>
          <w:tcPr>
            <w:tcW w:w="72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 xml:space="preserve">存储空间系统 </w:t>
            </w:r>
          </w:p>
        </w:tc>
        <w:tc>
          <w:tcPr>
            <w:tcW w:w="13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19</w:t>
            </w:r>
          </w:p>
        </w:tc>
        <w:tc>
          <w:tcPr>
            <w:tcW w:w="72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校园智慧管理平台</w:t>
            </w:r>
          </w:p>
        </w:tc>
        <w:tc>
          <w:tcPr>
            <w:tcW w:w="13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20</w:t>
            </w:r>
          </w:p>
        </w:tc>
        <w:tc>
          <w:tcPr>
            <w:tcW w:w="72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办公电脑、课桌椅</w:t>
            </w:r>
          </w:p>
        </w:tc>
        <w:tc>
          <w:tcPr>
            <w:tcW w:w="13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21</w:t>
            </w:r>
          </w:p>
        </w:tc>
        <w:tc>
          <w:tcPr>
            <w:tcW w:w="72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RFID图书馆系统</w:t>
            </w:r>
          </w:p>
        </w:tc>
        <w:tc>
          <w:tcPr>
            <w:tcW w:w="13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22</w:t>
            </w:r>
          </w:p>
        </w:tc>
        <w:tc>
          <w:tcPr>
            <w:tcW w:w="72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心理辅导教室</w:t>
            </w:r>
          </w:p>
        </w:tc>
        <w:tc>
          <w:tcPr>
            <w:tcW w:w="13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23</w:t>
            </w:r>
          </w:p>
        </w:tc>
        <w:tc>
          <w:tcPr>
            <w:tcW w:w="72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精准教学、智慧课堂</w:t>
            </w:r>
          </w:p>
        </w:tc>
        <w:tc>
          <w:tcPr>
            <w:tcW w:w="13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vertAlign w:val="baseline"/>
              </w:rPr>
            </w:pPr>
          </w:p>
        </w:tc>
      </w:tr>
    </w:tbl>
    <w:p>
      <w:pPr>
        <w:numPr>
          <w:ilvl w:val="0"/>
          <w:numId w:val="0"/>
        </w:numPr>
        <w:rPr>
          <w:rFonts w:hint="eastAsia" w:ascii="宋体" w:hAnsi="宋体" w:eastAsia="宋体" w:cs="宋体"/>
          <w:color w:val="auto"/>
          <w:sz w:val="21"/>
          <w:szCs w:val="21"/>
          <w:highlight w:val="none"/>
          <w:lang w:val="en-US" w:eastAsia="zh-CN"/>
        </w:rPr>
      </w:pPr>
    </w:p>
    <w:p>
      <w:pPr>
        <w:numPr>
          <w:ilvl w:val="0"/>
          <w:numId w:val="0"/>
        </w:numPr>
        <w:rPr>
          <w:rFonts w:hint="eastAsia" w:ascii="宋体" w:hAnsi="宋体" w:eastAsia="宋体" w:cs="宋体"/>
          <w:color w:val="auto"/>
          <w:sz w:val="21"/>
          <w:szCs w:val="21"/>
          <w:highlight w:val="none"/>
          <w:lang w:eastAsia="zh-CN"/>
        </w:rPr>
      </w:pPr>
    </w:p>
    <w:p>
      <w:pPr>
        <w:pStyle w:val="20"/>
        <w:rPr>
          <w:rFonts w:hint="eastAsia" w:ascii="宋体" w:hAnsi="宋体" w:eastAsia="宋体" w:cs="宋体"/>
          <w:color w:val="auto"/>
          <w:sz w:val="21"/>
          <w:szCs w:val="21"/>
          <w:highlight w:val="none"/>
          <w:lang w:eastAsia="zh-CN"/>
        </w:rPr>
      </w:pPr>
    </w:p>
    <w:p>
      <w:pPr>
        <w:pStyle w:val="19"/>
        <w:rPr>
          <w:rFonts w:hint="eastAsia"/>
          <w:color w:val="auto"/>
          <w:highlight w:val="none"/>
          <w:lang w:eastAsia="zh-CN"/>
        </w:rPr>
      </w:pPr>
    </w:p>
    <w:p>
      <w:pPr>
        <w:pStyle w:val="19"/>
        <w:rPr>
          <w:rFonts w:hint="eastAsia" w:ascii="宋体" w:hAnsi="宋体" w:eastAsia="宋体" w:cs="宋体"/>
          <w:color w:val="auto"/>
          <w:sz w:val="21"/>
          <w:szCs w:val="21"/>
          <w:highlight w:val="none"/>
          <w:lang w:eastAsia="zh-CN"/>
        </w:rPr>
      </w:pPr>
    </w:p>
    <w:p>
      <w:pPr>
        <w:pStyle w:val="10"/>
        <w:spacing w:line="360" w:lineRule="auto"/>
        <w:ind w:firstLine="480"/>
        <w:rPr>
          <w:rFonts w:hint="eastAsia" w:ascii="宋体" w:hAnsi="宋体" w:eastAsia="宋体" w:cs="宋体"/>
          <w:b/>
          <w:bCs/>
          <w:color w:val="auto"/>
          <w:sz w:val="28"/>
          <w:szCs w:val="28"/>
          <w:highlight w:val="none"/>
          <w:lang w:eastAsia="zh-CN"/>
        </w:rPr>
      </w:pPr>
      <w:r>
        <w:rPr>
          <w:rFonts w:hint="eastAsia" w:ascii="宋体" w:hAnsi="宋体" w:cs="宋体"/>
          <w:b/>
          <w:bCs/>
          <w:color w:val="auto"/>
          <w:sz w:val="28"/>
          <w:szCs w:val="28"/>
          <w:highlight w:val="none"/>
          <w:lang w:eastAsia="zh-CN"/>
        </w:rPr>
        <w:t>二、</w:t>
      </w:r>
      <w:r>
        <w:rPr>
          <w:rFonts w:hint="eastAsia" w:ascii="宋体" w:hAnsi="宋体" w:eastAsia="宋体" w:cs="宋体"/>
          <w:b/>
          <w:bCs/>
          <w:color w:val="auto"/>
          <w:sz w:val="28"/>
          <w:szCs w:val="28"/>
          <w:highlight w:val="none"/>
          <w:lang w:eastAsia="zh-CN"/>
        </w:rPr>
        <w:t>清单明细</w:t>
      </w:r>
    </w:p>
    <w:p>
      <w:pPr>
        <w:numPr>
          <w:ilvl w:val="0"/>
          <w:numId w:val="0"/>
        </w:numP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2.1校园网络建设</w:t>
      </w:r>
    </w:p>
    <w:tbl>
      <w:tblPr>
        <w:tblStyle w:val="99"/>
        <w:tblW w:w="103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262"/>
        <w:gridCol w:w="5931"/>
        <w:gridCol w:w="788"/>
        <w:gridCol w:w="687"/>
        <w:gridCol w:w="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3"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bCs w:val="0"/>
                <w:color w:val="auto"/>
                <w:sz w:val="21"/>
                <w:szCs w:val="21"/>
                <w:highlight w:val="none"/>
                <w:vertAlign w:val="baseline"/>
              </w:rPr>
            </w:pPr>
            <w:r>
              <w:rPr>
                <w:rFonts w:hint="eastAsia" w:ascii="宋体" w:hAnsi="宋体" w:eastAsia="宋体" w:cs="宋体"/>
                <w:b/>
                <w:bCs w:val="0"/>
                <w:i w:val="0"/>
                <w:color w:val="auto"/>
                <w:kern w:val="0"/>
                <w:sz w:val="21"/>
                <w:szCs w:val="21"/>
                <w:highlight w:val="none"/>
                <w:u w:val="none"/>
                <w:lang w:val="en-US" w:eastAsia="zh-CN" w:bidi="ar"/>
              </w:rPr>
              <w:t>序号</w:t>
            </w:r>
          </w:p>
        </w:tc>
        <w:tc>
          <w:tcPr>
            <w:tcW w:w="1262"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bCs w:val="0"/>
                <w:color w:val="auto"/>
                <w:sz w:val="21"/>
                <w:szCs w:val="21"/>
                <w:highlight w:val="none"/>
                <w:vertAlign w:val="baseline"/>
              </w:rPr>
            </w:pPr>
            <w:r>
              <w:rPr>
                <w:rFonts w:hint="eastAsia" w:ascii="宋体" w:hAnsi="宋体" w:eastAsia="宋体" w:cs="宋体"/>
                <w:b/>
                <w:bCs w:val="0"/>
                <w:i w:val="0"/>
                <w:color w:val="auto"/>
                <w:kern w:val="0"/>
                <w:sz w:val="21"/>
                <w:szCs w:val="21"/>
                <w:highlight w:val="none"/>
                <w:u w:val="none"/>
                <w:lang w:val="en-US" w:eastAsia="zh-CN" w:bidi="ar"/>
              </w:rPr>
              <w:t>项目名称</w:t>
            </w:r>
          </w:p>
        </w:tc>
        <w:tc>
          <w:tcPr>
            <w:tcW w:w="5931"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b/>
                <w:i w:val="0"/>
                <w:color w:val="auto"/>
                <w:kern w:val="0"/>
                <w:sz w:val="21"/>
                <w:szCs w:val="21"/>
                <w:highlight w:val="none"/>
                <w:u w:val="none"/>
                <w:lang w:val="en-US" w:eastAsia="zh-CN" w:bidi="ar"/>
              </w:rPr>
              <w:t>技术参数</w:t>
            </w:r>
          </w:p>
        </w:tc>
        <w:tc>
          <w:tcPr>
            <w:tcW w:w="788"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b/>
                <w:i w:val="0"/>
                <w:color w:val="auto"/>
                <w:kern w:val="0"/>
                <w:sz w:val="21"/>
                <w:szCs w:val="21"/>
                <w:highlight w:val="none"/>
                <w:u w:val="none"/>
                <w:lang w:val="en-US" w:eastAsia="zh-CN" w:bidi="ar"/>
              </w:rPr>
              <w:t>单位</w:t>
            </w:r>
          </w:p>
        </w:tc>
        <w:tc>
          <w:tcPr>
            <w:tcW w:w="687"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b/>
                <w:i w:val="0"/>
                <w:color w:val="auto"/>
                <w:kern w:val="0"/>
                <w:sz w:val="21"/>
                <w:szCs w:val="21"/>
                <w:highlight w:val="none"/>
                <w:u w:val="none"/>
                <w:lang w:val="en-US" w:eastAsia="zh-CN" w:bidi="ar"/>
              </w:rPr>
              <w:t>数量</w:t>
            </w:r>
          </w:p>
        </w:tc>
        <w:tc>
          <w:tcPr>
            <w:tcW w:w="869"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b/>
                <w:i w:val="0"/>
                <w:color w:val="auto"/>
                <w:kern w:val="0"/>
                <w:sz w:val="21"/>
                <w:szCs w:val="21"/>
                <w:highlight w:val="none"/>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3"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val="0"/>
                <w:bCs/>
                <w:color w:val="auto"/>
                <w:sz w:val="21"/>
                <w:szCs w:val="21"/>
                <w:highlight w:val="none"/>
                <w:vertAlign w:val="baseline"/>
                <w:lang w:eastAsia="zh-CN"/>
              </w:rPr>
            </w:pPr>
            <w:r>
              <w:rPr>
                <w:rFonts w:hint="eastAsia" w:ascii="宋体" w:hAnsi="宋体" w:eastAsia="宋体" w:cs="宋体"/>
                <w:b w:val="0"/>
                <w:bCs/>
                <w:i w:val="0"/>
                <w:color w:val="auto"/>
                <w:kern w:val="0"/>
                <w:sz w:val="21"/>
                <w:szCs w:val="21"/>
                <w:highlight w:val="none"/>
                <w:u w:val="none"/>
                <w:lang w:val="en-US" w:eastAsia="zh-CN" w:bidi="ar"/>
              </w:rPr>
              <w:t>1</w:t>
            </w:r>
          </w:p>
        </w:tc>
        <w:tc>
          <w:tcPr>
            <w:tcW w:w="1262"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核心交换机</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i w:val="0"/>
                <w:color w:val="auto"/>
                <w:kern w:val="0"/>
                <w:sz w:val="21"/>
                <w:szCs w:val="21"/>
                <w:highlight w:val="none"/>
                <w:u w:val="none"/>
                <w:lang w:val="en-US" w:eastAsia="zh-CN" w:bidi="ar"/>
              </w:rPr>
              <w:t>（网络核心产品）</w:t>
            </w:r>
          </w:p>
        </w:tc>
        <w:tc>
          <w:tcPr>
            <w:tcW w:w="5931"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1、交换容量≥38.4Tbps，包转发率≥7200Mpps；</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★2、支持100G上联，支持≥2个100G QSFP28光接口，同时支持1G/10G/25G扩展，实配千兆电口≥4，1G/10G/25G光口≥4扩展口，支持线速转发；提供官网截图和链接证明。</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★3、支持具备至少160间房间万兆入室设备通过10G以太网光口独享上行到分中心汇聚的互联接口（10G 以太网光口需考虑主备与预留）；提供官网截图和链接证明。</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4、为了方便运维，支持内嵌SDN管理软件；</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5、支持4K 802.1Q VLAN、Port based VLAN、Private VLAN、GVRP、Super VLAN；</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6、支持静态路由、RIP，RIPng，支持OSPFv2，OSPFv3，IS-ISv4，IS-ISv6，支持BGP4，BGP4+，支持等价路由；</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7、支持IPv6编址、ICMPv6、Path MTU Discovery；</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i w:val="0"/>
                <w:color w:val="auto"/>
                <w:kern w:val="0"/>
                <w:sz w:val="21"/>
                <w:szCs w:val="21"/>
                <w:highlight w:val="none"/>
                <w:u w:val="none"/>
                <w:lang w:val="en-US" w:eastAsia="zh-CN" w:bidi="ar"/>
              </w:rPr>
              <w:t>8、支持SNMP、CLI(Telnet/Console)、RMON、SSH、Syslog、NTP/SNTP、SNMP over IPv6、IPv6 MIB support for SNMP 、SSHv6、Telnet v6、FTP/TFTP v6、DNS v6、NTP for v6、Traceroute v6等管理方式；</w:t>
            </w:r>
          </w:p>
        </w:tc>
        <w:tc>
          <w:tcPr>
            <w:tcW w:w="788"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87"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869" w:type="dxa"/>
            <w:vAlign w:val="top"/>
          </w:tcPr>
          <w:p>
            <w:pPr>
              <w:keepNext w:val="0"/>
              <w:keepLines w:val="0"/>
              <w:pageBreakBefore w:val="0"/>
              <w:kinsoku/>
              <w:wordWrap/>
              <w:overflowPunct/>
              <w:topLinePunct w:val="0"/>
              <w:autoSpaceDE/>
              <w:autoSpaceDN/>
              <w:bidi w:val="0"/>
              <w:adjustRightInd/>
              <w:snapToGrid/>
              <w:spacing w:line="288" w:lineRule="auto"/>
              <w:ind w:left="0" w:leftChars="0" w:right="0" w:rightChars="0" w:firstLine="0" w:firstLineChars="0"/>
              <w:jc w:val="center"/>
              <w:outlineLvl w:val="9"/>
              <w:rPr>
                <w:rFonts w:hint="eastAsia" w:ascii="宋体" w:hAnsi="宋体" w:eastAsia="宋体" w:cs="宋体"/>
                <w:b w:val="0"/>
                <w:bCs w:val="0"/>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3"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i w:val="0"/>
                <w:color w:val="auto"/>
                <w:kern w:val="0"/>
                <w:sz w:val="21"/>
                <w:szCs w:val="21"/>
                <w:highlight w:val="none"/>
                <w:u w:val="none"/>
                <w:lang w:val="en-US" w:eastAsia="zh-CN" w:bidi="ar"/>
              </w:rPr>
              <w:t>2</w:t>
            </w:r>
          </w:p>
        </w:tc>
        <w:tc>
          <w:tcPr>
            <w:tcW w:w="1262"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val="0"/>
                <w:bCs/>
                <w:color w:val="auto"/>
                <w:sz w:val="21"/>
                <w:szCs w:val="21"/>
                <w:highlight w:val="none"/>
                <w:vertAlign w:val="baseline"/>
                <w:lang w:val="en-US"/>
              </w:rPr>
            </w:pPr>
            <w:r>
              <w:rPr>
                <w:rFonts w:hint="eastAsia" w:ascii="宋体" w:hAnsi="宋体" w:eastAsia="宋体" w:cs="宋体"/>
                <w:b w:val="0"/>
                <w:bCs/>
                <w:i w:val="0"/>
                <w:color w:val="auto"/>
                <w:kern w:val="0"/>
                <w:sz w:val="21"/>
                <w:szCs w:val="21"/>
                <w:highlight w:val="none"/>
                <w:u w:val="none"/>
                <w:lang w:val="en-US" w:eastAsia="zh-CN" w:bidi="ar"/>
              </w:rPr>
              <w:t>网络运维服务平台（与网络核心产品同一品牌）</w:t>
            </w:r>
          </w:p>
        </w:tc>
        <w:tc>
          <w:tcPr>
            <w:tcW w:w="5931"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 室内交换机支持零配置上线。根据不同区域的业务创建相应业务模板后，绑定设备区域位置信息，设备开箱上电后配置即可自动从软件下发，无需在接入设备端刷入配置；</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2、支持通过excel批量导入、基于楼栋交换机端口两种方式绑定设备区域位置管理资产信息，适应不同工程厂商在网络开局阶段的工作流程，提供高效的资产登记和网络规划方案；</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3、支持创建交换机的业务模板，支持图形化界面提前规划各端口业务；</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4、当室内交换机出现故障，支持替换用的新设备的零配置替换，新设备上电后配置自动下发，无需手动配置。</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5、当室内交换机出现故障，替换用的新设备支持智能零替换。支持自适应不同型号间的设备替换，以及替换后新设备支持终端在任意端口接入，并且终端在原有设备接入端口的配置可自动跟随到新设备端口；</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6、支持光模块与光链路运维检测与故障告警，并可在拓扑中呈现并查看详细信息，包括提供告警原因分析与处理；</w:t>
            </w:r>
          </w:p>
        </w:tc>
        <w:tc>
          <w:tcPr>
            <w:tcW w:w="788"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i w:val="0"/>
                <w:color w:val="auto"/>
                <w:kern w:val="0"/>
                <w:sz w:val="21"/>
                <w:szCs w:val="21"/>
                <w:highlight w:val="none"/>
                <w:u w:val="none"/>
                <w:lang w:val="en-US" w:eastAsia="zh-CN" w:bidi="ar"/>
              </w:rPr>
              <w:t>套</w:t>
            </w:r>
          </w:p>
        </w:tc>
        <w:tc>
          <w:tcPr>
            <w:tcW w:w="687"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869" w:type="dxa"/>
            <w:vAlign w:val="top"/>
          </w:tcPr>
          <w:p>
            <w:pPr>
              <w:keepNext w:val="0"/>
              <w:keepLines w:val="0"/>
              <w:pageBreakBefore w:val="0"/>
              <w:kinsoku/>
              <w:wordWrap/>
              <w:overflowPunct/>
              <w:topLinePunct w:val="0"/>
              <w:autoSpaceDE/>
              <w:autoSpaceDN/>
              <w:bidi w:val="0"/>
              <w:adjustRightInd/>
              <w:snapToGrid/>
              <w:spacing w:line="288" w:lineRule="auto"/>
              <w:ind w:left="0" w:leftChars="0" w:right="0" w:rightChars="0" w:firstLine="0" w:firstLineChars="0"/>
              <w:jc w:val="center"/>
              <w:outlineLvl w:val="9"/>
              <w:rPr>
                <w:rFonts w:hint="eastAsia" w:ascii="宋体" w:hAnsi="宋体" w:eastAsia="宋体" w:cs="宋体"/>
                <w:b w:val="0"/>
                <w:bCs w:val="0"/>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3"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i w:val="0"/>
                <w:color w:val="auto"/>
                <w:kern w:val="0"/>
                <w:sz w:val="21"/>
                <w:szCs w:val="21"/>
                <w:highlight w:val="none"/>
                <w:u w:val="none"/>
                <w:lang w:val="en-US" w:eastAsia="zh-CN" w:bidi="ar"/>
              </w:rPr>
              <w:t>3</w:t>
            </w:r>
          </w:p>
        </w:tc>
        <w:tc>
          <w:tcPr>
            <w:tcW w:w="1262"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核心交换机</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i w:val="0"/>
                <w:color w:val="auto"/>
                <w:kern w:val="0"/>
                <w:sz w:val="21"/>
                <w:szCs w:val="21"/>
                <w:highlight w:val="none"/>
                <w:u w:val="none"/>
                <w:lang w:val="en-US" w:eastAsia="zh-CN" w:bidi="ar"/>
              </w:rPr>
              <w:t>（与网络核心产品同一品牌）</w:t>
            </w:r>
          </w:p>
        </w:tc>
        <w:tc>
          <w:tcPr>
            <w:tcW w:w="5931"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1.≥72千兆光口，≥12个光电复用，≥8万兆光口；</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2.交换容量≥47.5Tbps，包转发率≥10060Mpps；</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3.主控引擎与业务板卡完全物理分离, 采用全分布式转发处理架构，独立主控引擎插槽≥2个，独立业务插槽数≥3个；主控引擎故障情况下，不能影响整机转发能力；</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4.为适应业界主流机柜的尺寸，设备高度≤4U，设备深度≤600mm；</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5.主控引擎与业务口完全物理分离，主控引擎故障情况下，不能影响整机转发能力；</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6.主控引擎支持集成硬件监控功能，能集中监控板卡、风扇、电源、环境。无需单独配置硬件监控板卡，降低整机功耗；</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 硬件健康状态可视化。设备支持硬件健康状态可视化，可以对风扇状态、电源、温度、板载电压进行监控，尤其是在日常巡查中发现电压异常前兆，可及时处理，避免出现电压异常宕机；</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8.为了适应机柜并排部署，机箱业务板卡区采用后出风风道设计；</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 为提高设备面板空间利用率，要求采用高密度端口设计，产品单张业务卡最大可用物理端口≥52个或整机业务插槽≥3个，提供官网截图和链接证明；</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 N:1虚拟化：可将2台物理设备虚拟化为1台逻辑设备，虚拟组内设备具备统一的二层及三层转发表项，统一的管理界面，并可实现跨设备链路聚合；</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11.支持VXLAN二三层分布式网关，支持EVPN，支持VXLAN双活；</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12.支持静态路由、RIP、RIPng、OSPF、OSPFv3、BGP、BGP4+、ISIS、ISISv6；</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13.支持IGMPv1/v2/v3、IGMP v1/v2/v3 Snooping 、PIM DM、PIM SM、PIM SSM ；</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i w:val="0"/>
                <w:color w:val="auto"/>
                <w:kern w:val="0"/>
                <w:sz w:val="21"/>
                <w:szCs w:val="21"/>
                <w:highlight w:val="none"/>
                <w:u w:val="none"/>
                <w:lang w:val="en-US" w:eastAsia="zh-CN" w:bidi="ar"/>
              </w:rPr>
              <w:t>14.要求产品支持sFlow网络监测技术，可提供完整的第二层到第四层信息，可以适应超大网络流量环境下的流量分析，让用户详细、实时地分析网络传输流的性能、趋势和存在的问题。</w:t>
            </w:r>
          </w:p>
        </w:tc>
        <w:tc>
          <w:tcPr>
            <w:tcW w:w="788"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台</w:t>
            </w:r>
          </w:p>
        </w:tc>
        <w:tc>
          <w:tcPr>
            <w:tcW w:w="687"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869" w:type="dxa"/>
            <w:vAlign w:val="top"/>
          </w:tcPr>
          <w:p>
            <w:pPr>
              <w:keepNext w:val="0"/>
              <w:keepLines w:val="0"/>
              <w:pageBreakBefore w:val="0"/>
              <w:kinsoku/>
              <w:wordWrap/>
              <w:overflowPunct/>
              <w:topLinePunct w:val="0"/>
              <w:autoSpaceDE/>
              <w:autoSpaceDN/>
              <w:bidi w:val="0"/>
              <w:adjustRightInd/>
              <w:snapToGrid/>
              <w:spacing w:line="288" w:lineRule="auto"/>
              <w:ind w:left="0" w:leftChars="0" w:right="0" w:rightChars="0" w:firstLine="0" w:firstLineChars="0"/>
              <w:jc w:val="center"/>
              <w:outlineLvl w:val="9"/>
              <w:rPr>
                <w:rFonts w:hint="eastAsia" w:ascii="宋体" w:hAnsi="宋体" w:eastAsia="宋体" w:cs="宋体"/>
                <w:b w:val="0"/>
                <w:bCs w:val="0"/>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3"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i w:val="0"/>
                <w:color w:val="auto"/>
                <w:kern w:val="0"/>
                <w:sz w:val="21"/>
                <w:szCs w:val="21"/>
                <w:highlight w:val="none"/>
                <w:u w:val="none"/>
                <w:lang w:val="en-US" w:eastAsia="zh-CN" w:bidi="ar"/>
              </w:rPr>
              <w:t>4</w:t>
            </w:r>
          </w:p>
        </w:tc>
        <w:tc>
          <w:tcPr>
            <w:tcW w:w="1262"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i w:val="0"/>
                <w:color w:val="auto"/>
                <w:kern w:val="0"/>
                <w:sz w:val="21"/>
                <w:szCs w:val="21"/>
                <w:highlight w:val="none"/>
                <w:u w:val="none"/>
                <w:lang w:val="en-US" w:eastAsia="zh-CN" w:bidi="ar"/>
              </w:rPr>
              <w:t>核心万兆光模块（与网络核心产品同一品牌）</w:t>
            </w:r>
          </w:p>
        </w:tc>
        <w:tc>
          <w:tcPr>
            <w:tcW w:w="5931"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i w:val="0"/>
                <w:color w:val="auto"/>
                <w:kern w:val="0"/>
                <w:sz w:val="21"/>
                <w:szCs w:val="21"/>
                <w:highlight w:val="none"/>
                <w:u w:val="none"/>
                <w:lang w:val="en-US" w:eastAsia="zh-CN" w:bidi="ar"/>
              </w:rPr>
              <w:t>核心万兆光模块，单芯，单模，10KM，LC；</w:t>
            </w:r>
          </w:p>
        </w:tc>
        <w:tc>
          <w:tcPr>
            <w:tcW w:w="788"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87"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i w:val="0"/>
                <w:color w:val="auto"/>
                <w:kern w:val="0"/>
                <w:sz w:val="21"/>
                <w:szCs w:val="21"/>
                <w:highlight w:val="none"/>
                <w:u w:val="none"/>
                <w:lang w:val="en-US" w:eastAsia="zh-CN" w:bidi="ar"/>
              </w:rPr>
              <w:t>17</w:t>
            </w:r>
          </w:p>
        </w:tc>
        <w:tc>
          <w:tcPr>
            <w:tcW w:w="869" w:type="dxa"/>
            <w:vAlign w:val="top"/>
          </w:tcPr>
          <w:p>
            <w:pPr>
              <w:keepNext w:val="0"/>
              <w:keepLines w:val="0"/>
              <w:pageBreakBefore w:val="0"/>
              <w:kinsoku/>
              <w:wordWrap/>
              <w:overflowPunct/>
              <w:topLinePunct w:val="0"/>
              <w:autoSpaceDE/>
              <w:autoSpaceDN/>
              <w:bidi w:val="0"/>
              <w:adjustRightInd/>
              <w:snapToGrid/>
              <w:spacing w:line="288" w:lineRule="auto"/>
              <w:ind w:left="0" w:leftChars="0" w:right="0" w:rightChars="0" w:firstLine="0" w:firstLineChars="0"/>
              <w:jc w:val="center"/>
              <w:outlineLvl w:val="9"/>
              <w:rPr>
                <w:rFonts w:hint="eastAsia" w:ascii="宋体" w:hAnsi="宋体" w:eastAsia="宋体" w:cs="宋体"/>
                <w:b w:val="0"/>
                <w:bCs w:val="0"/>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3"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i w:val="0"/>
                <w:color w:val="auto"/>
                <w:kern w:val="0"/>
                <w:sz w:val="21"/>
                <w:szCs w:val="21"/>
                <w:highlight w:val="none"/>
                <w:u w:val="none"/>
                <w:lang w:val="en-US" w:eastAsia="zh-CN" w:bidi="ar"/>
              </w:rPr>
              <w:t>5</w:t>
            </w:r>
          </w:p>
        </w:tc>
        <w:tc>
          <w:tcPr>
            <w:tcW w:w="1262"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i w:val="0"/>
                <w:color w:val="auto"/>
                <w:kern w:val="0"/>
                <w:sz w:val="21"/>
                <w:szCs w:val="21"/>
                <w:highlight w:val="none"/>
                <w:u w:val="none"/>
                <w:lang w:val="en-US" w:eastAsia="zh-CN" w:bidi="ar"/>
              </w:rPr>
              <w:t>以太无源光汇聚（与网络核心产品同一品牌）</w:t>
            </w:r>
          </w:p>
        </w:tc>
        <w:tc>
          <w:tcPr>
            <w:tcW w:w="5931"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1.汇聚设备的各通道间，应实现物理隔离；</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2.汇聚设备需支持集中机柜安装、交换设备线槽安装、壁挂等安装方式；</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3.汇聚器件完全无源，无需插电即可正常工作</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4.为满足大汇聚场景的需要，汇聚产品固化端口数≥8；</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5.方案中使用光模块的工作波长，应满足在1271nm~1571nm范围内；</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6.支持双上行VSU组网，提高链路可靠性；                                                        7.楼栋侧8口透明汇聚设备，单端口支持千兆/万兆速率。</w:t>
            </w:r>
          </w:p>
        </w:tc>
        <w:tc>
          <w:tcPr>
            <w:tcW w:w="788"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87"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i w:val="0"/>
                <w:color w:val="auto"/>
                <w:kern w:val="0"/>
                <w:sz w:val="21"/>
                <w:szCs w:val="21"/>
                <w:highlight w:val="none"/>
                <w:u w:val="none"/>
                <w:lang w:val="en-US" w:eastAsia="zh-CN" w:bidi="ar"/>
              </w:rPr>
              <w:t>15</w:t>
            </w:r>
          </w:p>
        </w:tc>
        <w:tc>
          <w:tcPr>
            <w:tcW w:w="869" w:type="dxa"/>
            <w:vAlign w:val="top"/>
          </w:tcPr>
          <w:p>
            <w:pPr>
              <w:keepNext w:val="0"/>
              <w:keepLines w:val="0"/>
              <w:pageBreakBefore w:val="0"/>
              <w:kinsoku/>
              <w:wordWrap/>
              <w:overflowPunct/>
              <w:topLinePunct w:val="0"/>
              <w:autoSpaceDE/>
              <w:autoSpaceDN/>
              <w:bidi w:val="0"/>
              <w:adjustRightInd/>
              <w:snapToGrid/>
              <w:spacing w:line="288" w:lineRule="auto"/>
              <w:ind w:left="0" w:leftChars="0" w:right="0" w:rightChars="0" w:firstLine="0" w:firstLineChars="0"/>
              <w:jc w:val="center"/>
              <w:outlineLvl w:val="9"/>
              <w:rPr>
                <w:rFonts w:hint="eastAsia" w:ascii="宋体" w:hAnsi="宋体" w:eastAsia="宋体" w:cs="宋体"/>
                <w:b w:val="0"/>
                <w:bCs w:val="0"/>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3"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i w:val="0"/>
                <w:color w:val="auto"/>
                <w:kern w:val="0"/>
                <w:sz w:val="21"/>
                <w:szCs w:val="21"/>
                <w:highlight w:val="none"/>
                <w:u w:val="none"/>
                <w:lang w:val="en-US" w:eastAsia="zh-CN" w:bidi="ar"/>
              </w:rPr>
              <w:t>6</w:t>
            </w:r>
          </w:p>
        </w:tc>
        <w:tc>
          <w:tcPr>
            <w:tcW w:w="1262"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i w:val="0"/>
                <w:color w:val="auto"/>
                <w:kern w:val="0"/>
                <w:sz w:val="21"/>
                <w:szCs w:val="21"/>
                <w:highlight w:val="none"/>
                <w:u w:val="none"/>
                <w:lang w:val="en-US" w:eastAsia="zh-CN" w:bidi="ar"/>
              </w:rPr>
              <w:t>POE8口万兆接入交换机（与网络核心产品同一品牌）</w:t>
            </w:r>
          </w:p>
        </w:tc>
        <w:tc>
          <w:tcPr>
            <w:tcW w:w="5931"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Chars="0" w:right="0" w:right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1.固化10/100/1000M以太网电口≥8个，1G/2.5G/5G以太网电口≥2个，1G/10G SFP+光接口≥2个；</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Chars="0" w:right="0" w:right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 交换容量≥432Gbps，包转发率≥84Mpps；</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Chars="0" w:right="0" w:right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 尺寸小，支持放入400*300*100的标准弱电箱中部署，保障室内环境的美观；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Chars="0" w:right="0" w:right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 要求所投产品支持POE和POE+远程供电，POE供电功率为125W；</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Chars="0" w:right="0" w:right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 为保证设备在受到外接机械碰撞时能够正常运行，要求所投交换机IK防护测试级别至少达到IK05，提供国家认可的检测机构出具的IK防护等级测试报告、检测机构官网查询截图及查询链接；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Chars="0" w:right="0" w:right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 要求设备采用静音设计，噪声值＜20dB；提供国家认可的检测机构出具的测试报告、检测机构官网查询截图及查询链接；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 要求设备采用金属外壳和金属网口设计；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 支持端口浪涌抗扰度≥8KV（即具备8KV的防雷能力）；</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 支持IPv4和IPv6的静态路由、RIP/RIPng、OSPFv2/OSPFv3等三层路由协议；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 支持专门针对CPU的保护机制，能够针对发往CPU处理的各种报文进行流区分和优先级队列分级处理，保护交换机在各种环境下稳定工作；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11. 符合国家低碳环保等政策要求，支持IEEE 802.3az标准的EEE节能技术；</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12. 支持生成树协议STP(IEEE 802.1d)，RSTP(IEEE 802.1w)和MSTP(IEEE 802.1s)，完全保证快速收敛，提高容错能力，保证网络的稳定运行和链路的负载均衡，合理使用网络通道，提供冗余链路利用率；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13. 当室内交换机出现故障，替换用的新设备支持智能零替换。支持自适应不同型号间的设备替换，以及替换后新设备支持终端在任意端口接入，并且终端在原有设备接入端口的配置可自动跟随到新设备端口；</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14. 支持光模块与光链路运维检测与故障告警，并可在拓扑中呈现并查看详细信息，包括提供告警原因分析与处理建议；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15. 支持在室内交换机上行链路断开、无法被网管软件发现纳管时，通过手持手机扫码一键拉取链路全部信息，无需逐点排查，快速定位是光模块还是光纤异常，并给出故障诊断及处理意见；</w:t>
            </w:r>
          </w:p>
        </w:tc>
        <w:tc>
          <w:tcPr>
            <w:tcW w:w="788"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87"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i w:val="0"/>
                <w:color w:val="auto"/>
                <w:kern w:val="0"/>
                <w:sz w:val="21"/>
                <w:szCs w:val="21"/>
                <w:highlight w:val="none"/>
                <w:u w:val="none"/>
                <w:lang w:val="en-US" w:eastAsia="zh-CN" w:bidi="ar"/>
              </w:rPr>
              <w:t>18</w:t>
            </w:r>
          </w:p>
        </w:tc>
        <w:tc>
          <w:tcPr>
            <w:tcW w:w="869" w:type="dxa"/>
            <w:vAlign w:val="top"/>
          </w:tcPr>
          <w:p>
            <w:pPr>
              <w:keepNext w:val="0"/>
              <w:keepLines w:val="0"/>
              <w:pageBreakBefore w:val="0"/>
              <w:kinsoku/>
              <w:wordWrap/>
              <w:overflowPunct/>
              <w:topLinePunct w:val="0"/>
              <w:autoSpaceDE/>
              <w:autoSpaceDN/>
              <w:bidi w:val="0"/>
              <w:adjustRightInd/>
              <w:snapToGrid/>
              <w:spacing w:line="288" w:lineRule="auto"/>
              <w:ind w:left="0" w:leftChars="0" w:right="0" w:rightChars="0" w:firstLine="0" w:firstLineChars="0"/>
              <w:jc w:val="center"/>
              <w:outlineLvl w:val="9"/>
              <w:rPr>
                <w:rFonts w:hint="eastAsia" w:ascii="宋体" w:hAnsi="宋体" w:eastAsia="宋体" w:cs="宋体"/>
                <w:b w:val="0"/>
                <w:bCs w:val="0"/>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3"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i w:val="0"/>
                <w:color w:val="auto"/>
                <w:kern w:val="0"/>
                <w:sz w:val="21"/>
                <w:szCs w:val="21"/>
                <w:highlight w:val="none"/>
                <w:u w:val="none"/>
                <w:lang w:val="en-US" w:eastAsia="zh-CN" w:bidi="ar"/>
              </w:rPr>
              <w:t>7</w:t>
            </w:r>
          </w:p>
        </w:tc>
        <w:tc>
          <w:tcPr>
            <w:tcW w:w="1262"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i w:val="0"/>
                <w:color w:val="auto"/>
                <w:kern w:val="0"/>
                <w:sz w:val="21"/>
                <w:szCs w:val="21"/>
                <w:highlight w:val="none"/>
                <w:u w:val="none"/>
                <w:lang w:val="en-US" w:eastAsia="zh-CN" w:bidi="ar"/>
              </w:rPr>
              <w:t>POE16口万兆接入交换机（与网络核心产品同一品牌）</w:t>
            </w:r>
          </w:p>
        </w:tc>
        <w:tc>
          <w:tcPr>
            <w:tcW w:w="5931"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1.固化10/100/1000M以太网电口≥16个，1G/2.5G/5G以太网电口≥2个，1G/10G SFP+光接口≥2个；</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2.交换容量≥432Gbps，包转发率≥92Mpps；</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3.要求所投产品支持POE和POE+远程供电，POE供电功率≥125W；</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Chars="0" w:right="0" w:right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★4.为保证设备在受到外接机械碰撞时能够正常运行，要求所投交换机IK防护测试级别至少达到IK05，提供国家认可的检测机构出具的IK防护等级测试报告、检测机构官网查询截图及查询链接；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★5.要求设备采用静音设计，噪声值＜20dB；提供国家认可的检测机构出具的测试报告、检测机构官网查询截图及查询链接；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6.要求设备采用金属外壳和金属网口设计；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7.支持端口浪涌抗扰度≥8KV（即具备8KV的防雷能力）；</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8.支持IPv4和IPv6的静态路由、RIP/RIPng、OSPFv2/OSPFv3等三层路由协议；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9.支持专门针对CPU的保护机制，能够针对发往CPU处理的各种报文进行流区分和优先级队列分级处理，保护交换机在各种环境下稳定工作；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10.符合国家低碳环保等政策要求，支持IEEE 802.3az标准的EEE节能技术；</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11.支持生成树协议STP(IEEE 802.1d)，RSTP(IEEE 802.1w)和MSTP(IEEE 802.1s)，完全保证快速收敛，提高容错能力，保证网络的稳定运行和链路的负载均衡，合理使用网络通道，提供冗余链路利用率；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12.室内交换机支持零配置上线。根据不同区域的业务创建相应业务模板后，绑定设备区域位置信息，设备开箱上电后配置即可自动从软件下发，无需在接入设备端刷入配置；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13.支持通过excel批量导入、基于楼栋交换机端口、微信小程序扫码三种方式绑定设备区域位置管理资产信息，适应不同工程厂商在网络开局阶段的工作流程，提供高效的资产登记和网络规划方案；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14.支持创建交换机的业务模板，支持图形化界面提前规划各端口业务；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15.当室内交换机出现故障，支持替换用的新设备的零配置替换，新设备上电后配置自动下发，无需手动配置；</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16.当室内交换机出现故障，替换用的新设备支持智能零替换。支持自适应不同型号间的设备替换，以及替换后新设备支持终端在任意端口接入，并且终端在原有设备接入端口的配置可自动跟随到新设备端口；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17.支持光模块与光链路运维检测与故障告警，并可在拓扑中呈现并查看详细信息，包括提供告警原因分析与处理建议；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18.支持在室内交换机上行链路断开、无法被网管软件发现纳管时，通过手持手机扫码一键拉取链路全部信息，无需逐点排查，快速定位是光模块还是光纤异常，并给出故障诊断及处理意见；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19.支持SNMP、CLI(Telnet/Console)、Syslog、NTP、TFTP、Web。</w:t>
            </w:r>
          </w:p>
        </w:tc>
        <w:tc>
          <w:tcPr>
            <w:tcW w:w="788"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87"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i w:val="0"/>
                <w:color w:val="auto"/>
                <w:kern w:val="0"/>
                <w:sz w:val="21"/>
                <w:szCs w:val="21"/>
                <w:highlight w:val="none"/>
                <w:u w:val="none"/>
                <w:lang w:val="en-US" w:eastAsia="zh-CN" w:bidi="ar"/>
              </w:rPr>
              <w:t>44</w:t>
            </w:r>
          </w:p>
        </w:tc>
        <w:tc>
          <w:tcPr>
            <w:tcW w:w="869" w:type="dxa"/>
            <w:vAlign w:val="top"/>
          </w:tcPr>
          <w:p>
            <w:pPr>
              <w:keepNext w:val="0"/>
              <w:keepLines w:val="0"/>
              <w:pageBreakBefore w:val="0"/>
              <w:kinsoku/>
              <w:wordWrap/>
              <w:overflowPunct/>
              <w:topLinePunct w:val="0"/>
              <w:autoSpaceDE/>
              <w:autoSpaceDN/>
              <w:bidi w:val="0"/>
              <w:adjustRightInd/>
              <w:snapToGrid/>
              <w:spacing w:line="288" w:lineRule="auto"/>
              <w:ind w:left="0" w:leftChars="0" w:right="0" w:rightChars="0" w:firstLine="0" w:firstLineChars="0"/>
              <w:jc w:val="center"/>
              <w:outlineLvl w:val="9"/>
              <w:rPr>
                <w:rFonts w:hint="eastAsia" w:ascii="宋体" w:hAnsi="宋体" w:eastAsia="宋体" w:cs="宋体"/>
                <w:b w:val="0"/>
                <w:bCs w:val="0"/>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3"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i w:val="0"/>
                <w:color w:val="auto"/>
                <w:kern w:val="0"/>
                <w:sz w:val="21"/>
                <w:szCs w:val="21"/>
                <w:highlight w:val="none"/>
                <w:u w:val="none"/>
                <w:lang w:val="en-US" w:eastAsia="zh-CN" w:bidi="ar"/>
              </w:rPr>
              <w:t>8</w:t>
            </w:r>
          </w:p>
        </w:tc>
        <w:tc>
          <w:tcPr>
            <w:tcW w:w="1262"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i w:val="0"/>
                <w:color w:val="auto"/>
                <w:kern w:val="0"/>
                <w:sz w:val="21"/>
                <w:szCs w:val="21"/>
                <w:highlight w:val="none"/>
                <w:u w:val="none"/>
                <w:lang w:val="en-US" w:eastAsia="zh-CN" w:bidi="ar"/>
              </w:rPr>
              <w:t>POE24口万兆交换机（与网络核心产品同一品牌）</w:t>
            </w:r>
          </w:p>
        </w:tc>
        <w:tc>
          <w:tcPr>
            <w:tcW w:w="5931"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1.交换容量≥334Gbps ，转发性能≥106Mpps ；</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2.要求所投设备MAC地址≥16K，ARP表项≥1000条,FIB表项≥500；</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3.固化10/100/1000M以太网端口≥24，固化1G/10G SFP+非复用口≥4个；</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4.支持≥24个电口POE和POE+远程供电，整机POE功率输出≥370W；</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5.产品面板自带一键查看PoE供电状态功能的PoE按钮，轻按即可查看设备当前的通信状态和供电状态、实物照片；</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6.支持IPv4和IPv6的静态路由、RIP/RIPng、OSPFv2/OSPFv3等三层路由协议；</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7.支持CPU保护功能，能限制非法报文对CPU的攻击，保护交换机在各种环境下稳定工作；</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8.支持专门基础网络保护机制，能够限制用户向网络中发送数据包的速率，对有攻击行为的用户进行隔离，保证设备和整网的安全稳定运行；</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9.支持虚拟化功能，可将多台物理设备虚拟化为一台逻辑设备统一管理，并且链路故障的收敛时间≤30ms；</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10.要求所投产品支持ITU-TG.8032国际公有环网协议ERPS,并且链路故障的收敛时间≤50ms；</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11.符合国家低碳环保等政策要求，支持IEEE 802.3az标准的EEE节能技术；</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12.要求所投产品支持模块化操作系统，支持针对单一模块打热补丁，故障模块升级中不影响其他进程的正常运行和业务转发；</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13.要求所投产品支持软件定义网络SDN，符合OpenFlow 1.3协议标准；</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i w:val="0"/>
                <w:color w:val="auto"/>
                <w:kern w:val="0"/>
                <w:sz w:val="21"/>
                <w:szCs w:val="21"/>
                <w:highlight w:val="none"/>
                <w:u w:val="none"/>
                <w:lang w:val="en-US" w:eastAsia="zh-CN" w:bidi="ar"/>
              </w:rPr>
              <w:t>14.支持SNMP、CLI(Telnet/Console)、RMON、SSH、Syslog、NTP/SNTP、FTP、TFTP、Web。</w:t>
            </w:r>
          </w:p>
        </w:tc>
        <w:tc>
          <w:tcPr>
            <w:tcW w:w="788"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87"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i w:val="0"/>
                <w:color w:val="auto"/>
                <w:kern w:val="0"/>
                <w:sz w:val="21"/>
                <w:szCs w:val="21"/>
                <w:highlight w:val="none"/>
                <w:u w:val="none"/>
                <w:lang w:val="en-US" w:eastAsia="zh-CN" w:bidi="ar"/>
              </w:rPr>
              <w:t>15</w:t>
            </w:r>
          </w:p>
        </w:tc>
        <w:tc>
          <w:tcPr>
            <w:tcW w:w="869" w:type="dxa"/>
            <w:vAlign w:val="top"/>
          </w:tcPr>
          <w:p>
            <w:pPr>
              <w:keepNext w:val="0"/>
              <w:keepLines w:val="0"/>
              <w:pageBreakBefore w:val="0"/>
              <w:kinsoku/>
              <w:wordWrap/>
              <w:overflowPunct/>
              <w:topLinePunct w:val="0"/>
              <w:autoSpaceDE/>
              <w:autoSpaceDN/>
              <w:bidi w:val="0"/>
              <w:adjustRightInd/>
              <w:snapToGrid/>
              <w:spacing w:line="288" w:lineRule="auto"/>
              <w:ind w:left="0" w:leftChars="0" w:right="0" w:rightChars="0" w:firstLine="0" w:firstLineChars="0"/>
              <w:jc w:val="center"/>
              <w:outlineLvl w:val="9"/>
              <w:rPr>
                <w:rFonts w:hint="eastAsia" w:ascii="宋体" w:hAnsi="宋体" w:eastAsia="宋体" w:cs="宋体"/>
                <w:b w:val="0"/>
                <w:bCs w:val="0"/>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3"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i w:val="0"/>
                <w:color w:val="auto"/>
                <w:kern w:val="0"/>
                <w:sz w:val="21"/>
                <w:szCs w:val="21"/>
                <w:highlight w:val="none"/>
                <w:u w:val="none"/>
                <w:lang w:val="en-US" w:eastAsia="zh-CN" w:bidi="ar"/>
              </w:rPr>
              <w:t>9</w:t>
            </w:r>
          </w:p>
        </w:tc>
        <w:tc>
          <w:tcPr>
            <w:tcW w:w="1262"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i w:val="0"/>
                <w:color w:val="auto"/>
                <w:kern w:val="0"/>
                <w:sz w:val="21"/>
                <w:szCs w:val="21"/>
                <w:highlight w:val="none"/>
                <w:u w:val="none"/>
                <w:lang w:val="en-US" w:eastAsia="zh-CN" w:bidi="ar"/>
              </w:rPr>
              <w:t>24口万兆交换机（与网络核心产品同一品牌）</w:t>
            </w:r>
          </w:p>
        </w:tc>
        <w:tc>
          <w:tcPr>
            <w:tcW w:w="5931"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1、交换容量≥336G，包转发率≥108Mpps；</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2、固化10/100/1000M以太网端口≥24，固化10G/1G SFP+光接口≥4个；</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3、为保证设备在受到外界机械碰撞时能够正常运行，要求所投交换机IK防护测试级别至少达到IK05；</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4、支持生成树协议STP(IEEE 802.1d)，RSTP(IEEE 802.1w)和MSTP(IEEE 802.1s)，完全保证快速收敛，提高容错能力，保证网络的稳定运行和链路的负载均衡，合理使用网络通道，提供冗余链路利用率；</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5、支持IPV4/IPV6静态路由，RIP、RIPng；</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6、支持特有的CPU保护策略，对发往CPU的数据流，进行流区分和优先级队列分级处理，并根据需要实施带宽限速，充分保护CPU不被非法流量占用、恶意攻击和资源消耗；</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7、设备自带云管理功能，即插即用，可随时查看网络健康度，告警及时推送，有日记事件供回溯；</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8、要求所投设备遵守国家标准的设计规则；                                                                                </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i w:val="0"/>
                <w:color w:val="auto"/>
                <w:kern w:val="0"/>
                <w:sz w:val="21"/>
                <w:szCs w:val="21"/>
                <w:highlight w:val="none"/>
                <w:u w:val="none"/>
                <w:lang w:val="en-US" w:eastAsia="zh-CN" w:bidi="ar"/>
              </w:rPr>
              <w:t>9、可创建VLAN的数量≥4000；</w:t>
            </w:r>
          </w:p>
        </w:tc>
        <w:tc>
          <w:tcPr>
            <w:tcW w:w="788"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87"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i w:val="0"/>
                <w:color w:val="auto"/>
                <w:kern w:val="0"/>
                <w:sz w:val="21"/>
                <w:szCs w:val="21"/>
                <w:highlight w:val="none"/>
                <w:u w:val="none"/>
                <w:lang w:val="en-US" w:eastAsia="zh-CN" w:bidi="ar"/>
              </w:rPr>
              <w:t>10</w:t>
            </w:r>
          </w:p>
        </w:tc>
        <w:tc>
          <w:tcPr>
            <w:tcW w:w="869" w:type="dxa"/>
            <w:vAlign w:val="top"/>
          </w:tcPr>
          <w:p>
            <w:pPr>
              <w:keepNext w:val="0"/>
              <w:keepLines w:val="0"/>
              <w:pageBreakBefore w:val="0"/>
              <w:kinsoku/>
              <w:wordWrap/>
              <w:overflowPunct/>
              <w:topLinePunct w:val="0"/>
              <w:autoSpaceDE/>
              <w:autoSpaceDN/>
              <w:bidi w:val="0"/>
              <w:adjustRightInd/>
              <w:snapToGrid/>
              <w:spacing w:line="288" w:lineRule="auto"/>
              <w:ind w:left="0" w:leftChars="0" w:right="0" w:rightChars="0" w:firstLine="0" w:firstLineChars="0"/>
              <w:jc w:val="center"/>
              <w:outlineLvl w:val="9"/>
              <w:rPr>
                <w:rFonts w:hint="eastAsia" w:ascii="宋体" w:hAnsi="宋体" w:eastAsia="宋体" w:cs="宋体"/>
                <w:b w:val="0"/>
                <w:bCs w:val="0"/>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3"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i w:val="0"/>
                <w:color w:val="auto"/>
                <w:kern w:val="0"/>
                <w:sz w:val="21"/>
                <w:szCs w:val="21"/>
                <w:highlight w:val="none"/>
                <w:u w:val="none"/>
                <w:lang w:val="en-US" w:eastAsia="zh-CN" w:bidi="ar"/>
              </w:rPr>
              <w:t>10</w:t>
            </w:r>
          </w:p>
        </w:tc>
        <w:tc>
          <w:tcPr>
            <w:tcW w:w="1262"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i w:val="0"/>
                <w:color w:val="auto"/>
                <w:kern w:val="0"/>
                <w:sz w:val="21"/>
                <w:szCs w:val="21"/>
                <w:highlight w:val="none"/>
                <w:u w:val="none"/>
                <w:lang w:val="en-US" w:eastAsia="zh-CN" w:bidi="ar"/>
              </w:rPr>
              <w:t>POE48口万兆交换机（与网络核心产品同一品牌）</w:t>
            </w:r>
          </w:p>
        </w:tc>
        <w:tc>
          <w:tcPr>
            <w:tcW w:w="5931"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1、POE：交换容量≥672Gbps；</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2、转发性能≥196Mpps。</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3、固化10/100/1000M以太网端口≥48，10G/1G SFP+光接口≥4个；</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支持并实配双模块化可热插拔电源，支持配置AC、DC系列不同功率的电源模块，每块电源功率≥400W；</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支持POE和POE+远程供电，POE+同时可供电端口数≥48个；</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产品端口浪涌抗扰度≥10KV，即具备10KV的防雷能力；</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支持RIP/RIPng、OSPFv2/OSPFv3等三层路由协议；</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支持SAVI功能，可防止地址解析欺骗；</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支持CPU保护功能，支持限制非法报文对CPU的攻击，保护交换机在各种环境下稳定工作；</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支持专门基础网络保护机制，能够限制用户向网络中发送数据包的速率，对有攻击行为的用户进行隔离，保证设备和整网的安全稳定运行；</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i w:val="0"/>
                <w:color w:val="auto"/>
                <w:kern w:val="0"/>
                <w:sz w:val="21"/>
                <w:szCs w:val="21"/>
                <w:highlight w:val="none"/>
                <w:u w:val="none"/>
                <w:lang w:val="en-US" w:eastAsia="zh-CN" w:bidi="ar"/>
              </w:rPr>
              <w:t>支持虚拟化功能，即可将多台物理设备虚拟化为一台逻辑设备统一管理，并且链路故障的收敛时间≤50ms。</w:t>
            </w:r>
          </w:p>
        </w:tc>
        <w:tc>
          <w:tcPr>
            <w:tcW w:w="788"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87"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i w:val="0"/>
                <w:color w:val="auto"/>
                <w:kern w:val="0"/>
                <w:sz w:val="21"/>
                <w:szCs w:val="21"/>
                <w:highlight w:val="none"/>
                <w:u w:val="none"/>
                <w:lang w:val="en-US" w:eastAsia="zh-CN" w:bidi="ar"/>
              </w:rPr>
              <w:t>5</w:t>
            </w:r>
          </w:p>
        </w:tc>
        <w:tc>
          <w:tcPr>
            <w:tcW w:w="869" w:type="dxa"/>
            <w:vAlign w:val="top"/>
          </w:tcPr>
          <w:p>
            <w:pPr>
              <w:keepNext w:val="0"/>
              <w:keepLines w:val="0"/>
              <w:pageBreakBefore w:val="0"/>
              <w:kinsoku/>
              <w:wordWrap/>
              <w:overflowPunct/>
              <w:topLinePunct w:val="0"/>
              <w:autoSpaceDE/>
              <w:autoSpaceDN/>
              <w:bidi w:val="0"/>
              <w:adjustRightInd/>
              <w:snapToGrid/>
              <w:spacing w:line="288" w:lineRule="auto"/>
              <w:ind w:left="0" w:leftChars="0" w:right="0" w:rightChars="0" w:firstLine="0" w:firstLineChars="0"/>
              <w:jc w:val="center"/>
              <w:outlineLvl w:val="9"/>
              <w:rPr>
                <w:rFonts w:hint="eastAsia" w:ascii="宋体" w:hAnsi="宋体" w:eastAsia="宋体" w:cs="宋体"/>
                <w:b w:val="0"/>
                <w:bCs w:val="0"/>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3"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i w:val="0"/>
                <w:color w:val="auto"/>
                <w:kern w:val="0"/>
                <w:sz w:val="21"/>
                <w:szCs w:val="21"/>
                <w:highlight w:val="none"/>
                <w:u w:val="none"/>
                <w:lang w:val="en-US" w:eastAsia="zh-CN" w:bidi="ar"/>
              </w:rPr>
              <w:t>11</w:t>
            </w:r>
          </w:p>
        </w:tc>
        <w:tc>
          <w:tcPr>
            <w:tcW w:w="1262"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i w:val="0"/>
                <w:color w:val="auto"/>
                <w:kern w:val="0"/>
                <w:sz w:val="21"/>
                <w:szCs w:val="21"/>
                <w:highlight w:val="none"/>
                <w:u w:val="none"/>
                <w:lang w:val="en-US" w:eastAsia="zh-CN" w:bidi="ar"/>
              </w:rPr>
              <w:t>48口万兆交换机（与网络核心产品同一品牌）</w:t>
            </w:r>
          </w:p>
        </w:tc>
        <w:tc>
          <w:tcPr>
            <w:tcW w:w="5931"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非POE：交换容量≥432Gbps，包转发率≥144Mpps。</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固化10/100/1000M自适应以太网端口≥48个，固化1G/10G SFP+XS接口≥4个；支持48*Gbe+4*10Gbe 100%线速转发。</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设备MAC地址≥16K。</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产品端口浪涌抗扰度≥10KV，即具备10KV的防雷能力，</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支持专门针对CPU保护机制功能，可将送CPU的报文，如ARP报文的速率进行限制，使CPU的使用率降低到10%左右，保障CPU安全。</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支持专门基础网络保护机制，能够限制用户向网络中发送数据包的速率，对有攻击行为的用户进行隔离，保证设备和整网的安全稳定运行。</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支持sFlow网络监测技术。</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支持虚拟化功能，可将多台物理设备虚拟化为一台逻辑设备统一管理，并且链路故障的收敛时间≤30ms。</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支持OpenFlow 1.3协议。</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i w:val="0"/>
                <w:color w:val="auto"/>
                <w:kern w:val="0"/>
                <w:sz w:val="21"/>
                <w:szCs w:val="21"/>
                <w:highlight w:val="none"/>
                <w:u w:val="none"/>
                <w:lang w:val="en-US" w:eastAsia="zh-CN" w:bidi="ar"/>
              </w:rPr>
              <w:t>设备自带云管理功能，支持一键设备发现，并在线生成交付验收报告；支持一键全网巡检操作，随时随地掌握网络健康状况，并自动生成巡检报告；支持短信认证、微信认证、web认证，支持认证页面自定义；支持一键升级、定时升级网络中的网络设备；支持分级分权功能，实现分布区域，统一管理等，</w:t>
            </w:r>
          </w:p>
        </w:tc>
        <w:tc>
          <w:tcPr>
            <w:tcW w:w="788"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87"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i w:val="0"/>
                <w:color w:val="auto"/>
                <w:kern w:val="0"/>
                <w:sz w:val="21"/>
                <w:szCs w:val="21"/>
                <w:highlight w:val="none"/>
                <w:u w:val="none"/>
                <w:lang w:val="en-US" w:eastAsia="zh-CN" w:bidi="ar"/>
              </w:rPr>
              <w:t>10</w:t>
            </w:r>
          </w:p>
        </w:tc>
        <w:tc>
          <w:tcPr>
            <w:tcW w:w="869" w:type="dxa"/>
            <w:vAlign w:val="top"/>
          </w:tcPr>
          <w:p>
            <w:pPr>
              <w:keepNext w:val="0"/>
              <w:keepLines w:val="0"/>
              <w:pageBreakBefore w:val="0"/>
              <w:kinsoku/>
              <w:wordWrap/>
              <w:overflowPunct/>
              <w:topLinePunct w:val="0"/>
              <w:autoSpaceDE/>
              <w:autoSpaceDN/>
              <w:bidi w:val="0"/>
              <w:adjustRightInd/>
              <w:snapToGrid/>
              <w:spacing w:line="288" w:lineRule="auto"/>
              <w:ind w:left="0" w:leftChars="0" w:right="0" w:rightChars="0" w:firstLine="0" w:firstLineChars="0"/>
              <w:jc w:val="center"/>
              <w:outlineLvl w:val="9"/>
              <w:rPr>
                <w:rFonts w:hint="eastAsia" w:ascii="宋体" w:hAnsi="宋体" w:eastAsia="宋体" w:cs="宋体"/>
                <w:b w:val="0"/>
                <w:bCs w:val="0"/>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3"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i w:val="0"/>
                <w:color w:val="auto"/>
                <w:kern w:val="0"/>
                <w:sz w:val="21"/>
                <w:szCs w:val="21"/>
                <w:highlight w:val="none"/>
                <w:u w:val="none"/>
                <w:lang w:val="en-US" w:eastAsia="zh-CN" w:bidi="ar"/>
              </w:rPr>
              <w:t>12</w:t>
            </w:r>
          </w:p>
        </w:tc>
        <w:tc>
          <w:tcPr>
            <w:tcW w:w="1262"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i w:val="0"/>
                <w:color w:val="auto"/>
                <w:kern w:val="0"/>
                <w:sz w:val="21"/>
                <w:szCs w:val="21"/>
                <w:highlight w:val="none"/>
                <w:u w:val="none"/>
                <w:lang w:val="en-US" w:eastAsia="zh-CN" w:bidi="ar"/>
              </w:rPr>
              <w:t>万兆光模块（与网络核心产品同一品牌）</w:t>
            </w:r>
          </w:p>
        </w:tc>
        <w:tc>
          <w:tcPr>
            <w:tcW w:w="5931"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i w:val="0"/>
                <w:color w:val="auto"/>
                <w:kern w:val="0"/>
                <w:sz w:val="21"/>
                <w:szCs w:val="21"/>
                <w:highlight w:val="none"/>
                <w:u w:val="none"/>
                <w:lang w:val="en-US" w:eastAsia="zh-CN" w:bidi="ar"/>
              </w:rPr>
              <w:t>接入侧万兆光模块，10G，单模，10KM，LC。</w:t>
            </w:r>
          </w:p>
        </w:tc>
        <w:tc>
          <w:tcPr>
            <w:tcW w:w="788"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87"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i w:val="0"/>
                <w:color w:val="auto"/>
                <w:kern w:val="0"/>
                <w:sz w:val="21"/>
                <w:szCs w:val="21"/>
                <w:highlight w:val="none"/>
                <w:u w:val="none"/>
                <w:lang w:val="en-US" w:eastAsia="zh-CN" w:bidi="ar"/>
              </w:rPr>
              <w:t>136</w:t>
            </w:r>
          </w:p>
        </w:tc>
        <w:tc>
          <w:tcPr>
            <w:tcW w:w="869" w:type="dxa"/>
            <w:vAlign w:val="top"/>
          </w:tcPr>
          <w:p>
            <w:pPr>
              <w:keepNext w:val="0"/>
              <w:keepLines w:val="0"/>
              <w:pageBreakBefore w:val="0"/>
              <w:kinsoku/>
              <w:wordWrap/>
              <w:overflowPunct/>
              <w:topLinePunct w:val="0"/>
              <w:autoSpaceDE/>
              <w:autoSpaceDN/>
              <w:bidi w:val="0"/>
              <w:adjustRightInd/>
              <w:snapToGrid/>
              <w:spacing w:line="288" w:lineRule="auto"/>
              <w:ind w:left="0" w:leftChars="0" w:right="0" w:rightChars="0" w:firstLine="0" w:firstLineChars="0"/>
              <w:jc w:val="center"/>
              <w:outlineLvl w:val="9"/>
              <w:rPr>
                <w:rFonts w:hint="eastAsia" w:ascii="宋体" w:hAnsi="宋体" w:eastAsia="宋体" w:cs="宋体"/>
                <w:b w:val="0"/>
                <w:bCs w:val="0"/>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3"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i w:val="0"/>
                <w:color w:val="auto"/>
                <w:kern w:val="0"/>
                <w:sz w:val="21"/>
                <w:szCs w:val="21"/>
                <w:highlight w:val="none"/>
                <w:u w:val="none"/>
                <w:lang w:val="en-US" w:eastAsia="zh-CN" w:bidi="ar"/>
              </w:rPr>
              <w:t>13</w:t>
            </w:r>
          </w:p>
        </w:tc>
        <w:tc>
          <w:tcPr>
            <w:tcW w:w="1262"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i w:val="0"/>
                <w:color w:val="auto"/>
                <w:kern w:val="0"/>
                <w:sz w:val="21"/>
                <w:szCs w:val="21"/>
                <w:highlight w:val="none"/>
                <w:u w:val="none"/>
                <w:lang w:val="en-US" w:eastAsia="zh-CN" w:bidi="ar"/>
              </w:rPr>
              <w:t>面板式AP（与网络核心产品同一品牌）</w:t>
            </w:r>
          </w:p>
        </w:tc>
        <w:tc>
          <w:tcPr>
            <w:tcW w:w="5931"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1.支持802.11ax标准，采用双射频设计，整机空间流≥4条。</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2.面板型AP，支持嵌入86面板安装方式。</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3.1G以太网上联口≥1个，1G以太网下联口≥4个。</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4.整机功耗&lt;10W。</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5.整机最大接入速率≥2.975Gbps。</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6.5GHz单射频支持2*2 MU-MIMO，且单射频最大接入速率≥2.4Gbps。</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7.为保证用电安全与电源的易获得性，同时支持802.3af和本地DC12V电源供电模式。</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8.考虑安装后的美观度，面板AP厚度≤43mm，外露墙体部分尺寸≤120mm×86mm×24.1mm（宽×高×深）。</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9.为保障设备堆积灰尘仍可以正常运行，要求所投无线接入点符合国标GB/T 4208-2017即《外壳防护等级（IP代码）》，防尘防水等级至少达到IP41。</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10.支持苹果iBeacon协议，可扩展诸如摇一摇等丰富的蓝牙应用；可通过软件升级支持Zigbee、RFID等物联网协议。</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11.整机最大接入用户数≥1024。</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i w:val="0"/>
                <w:color w:val="auto"/>
                <w:kern w:val="0"/>
                <w:sz w:val="21"/>
                <w:szCs w:val="21"/>
                <w:highlight w:val="none"/>
                <w:u w:val="none"/>
                <w:lang w:val="en-US" w:eastAsia="zh-CN" w:bidi="ar"/>
              </w:rPr>
              <w:t>12.为快速建立高度隔离的安全网络，设备应支持实现AP虚拟化功能，实现一台AP虚拟为多台AP，分别受不同AC设备独立管理，互不影响。不同虚拟AP之间数据隔离，虚拟AP在AC上不占用AP License。</w:t>
            </w:r>
          </w:p>
        </w:tc>
        <w:tc>
          <w:tcPr>
            <w:tcW w:w="788"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87"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i w:val="0"/>
                <w:color w:val="auto"/>
                <w:kern w:val="0"/>
                <w:sz w:val="21"/>
                <w:szCs w:val="21"/>
                <w:highlight w:val="none"/>
                <w:u w:val="none"/>
                <w:lang w:val="en-US" w:eastAsia="zh-CN" w:bidi="ar"/>
              </w:rPr>
              <w:t>26</w:t>
            </w:r>
          </w:p>
        </w:tc>
        <w:tc>
          <w:tcPr>
            <w:tcW w:w="869" w:type="dxa"/>
            <w:vAlign w:val="top"/>
          </w:tcPr>
          <w:p>
            <w:pPr>
              <w:keepNext w:val="0"/>
              <w:keepLines w:val="0"/>
              <w:pageBreakBefore w:val="0"/>
              <w:kinsoku/>
              <w:wordWrap/>
              <w:overflowPunct/>
              <w:topLinePunct w:val="0"/>
              <w:autoSpaceDE/>
              <w:autoSpaceDN/>
              <w:bidi w:val="0"/>
              <w:adjustRightInd/>
              <w:snapToGrid/>
              <w:spacing w:line="288" w:lineRule="auto"/>
              <w:ind w:left="0" w:leftChars="0" w:right="0" w:rightChars="0" w:firstLine="0" w:firstLineChars="0"/>
              <w:jc w:val="center"/>
              <w:outlineLvl w:val="9"/>
              <w:rPr>
                <w:rFonts w:hint="eastAsia" w:ascii="宋体" w:hAnsi="宋体" w:eastAsia="宋体" w:cs="宋体"/>
                <w:b w:val="0"/>
                <w:bCs w:val="0"/>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3"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i w:val="0"/>
                <w:color w:val="auto"/>
                <w:kern w:val="0"/>
                <w:sz w:val="21"/>
                <w:szCs w:val="21"/>
                <w:highlight w:val="none"/>
                <w:u w:val="none"/>
                <w:lang w:val="en-US" w:eastAsia="zh-CN" w:bidi="ar"/>
              </w:rPr>
              <w:t>14</w:t>
            </w:r>
          </w:p>
        </w:tc>
        <w:tc>
          <w:tcPr>
            <w:tcW w:w="1262"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i w:val="0"/>
                <w:color w:val="auto"/>
                <w:kern w:val="0"/>
                <w:sz w:val="21"/>
                <w:szCs w:val="21"/>
                <w:highlight w:val="none"/>
                <w:u w:val="none"/>
                <w:lang w:val="en-US" w:eastAsia="zh-CN" w:bidi="ar"/>
              </w:rPr>
              <w:t>室内高密度无线AP（与网络核心产品同一品牌）</w:t>
            </w:r>
          </w:p>
        </w:tc>
        <w:tc>
          <w:tcPr>
            <w:tcW w:w="5931"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1.支持802.11ax标准。采用三射频设计。</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2.整机支持8条空间流，整机最大无线速率≥6Gbps。</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3.至少1个10/100/1000Base-T以太网接口支持对外供电，可扩展物联网模块。</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4.支持5G以太网接口≥1个。</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5.支持5G光口≥1个。</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6.为保障设备受到外部机械碰撞仍可以保持结构完整、功能完备，要求所投室内无线接入点符合国标GB/T 20138-2006即《电器设备外壳对外界机械碰撞的防护等级（IK代码）》标准，至少达到防护等级IK08。</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7.整机最大终端接入数≥1024个。</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8.为保障移动终端的网络性能，所投AP可使用额外的一个射频进行环境扫描，并将信息上传AC，由AC引导终端漫游到附近信号更好的 AP，减少网络中的粘性终端以及避免终端主动漫游产生的丢包。</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i w:val="0"/>
                <w:color w:val="auto"/>
                <w:kern w:val="0"/>
                <w:sz w:val="21"/>
                <w:szCs w:val="21"/>
                <w:highlight w:val="none"/>
                <w:u w:val="none"/>
                <w:lang w:val="en-US" w:eastAsia="zh-CN" w:bidi="ar"/>
              </w:rPr>
              <w:t>9.为快速建立高度隔离的安全网络，设备应支持实现AP虚拟化功能，实现一台AP虚拟为多台AP，分别受不同AC设备独立管理，互不影响。不同虚拟AP之间数据隔离，虚拟AP在AC上不占用AP License。</w:t>
            </w:r>
          </w:p>
        </w:tc>
        <w:tc>
          <w:tcPr>
            <w:tcW w:w="788"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87"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i w:val="0"/>
                <w:color w:val="auto"/>
                <w:kern w:val="0"/>
                <w:sz w:val="21"/>
                <w:szCs w:val="21"/>
                <w:highlight w:val="none"/>
                <w:u w:val="none"/>
                <w:lang w:val="en-US" w:eastAsia="zh-CN" w:bidi="ar"/>
              </w:rPr>
              <w:t>12</w:t>
            </w:r>
          </w:p>
        </w:tc>
        <w:tc>
          <w:tcPr>
            <w:tcW w:w="869" w:type="dxa"/>
            <w:vAlign w:val="top"/>
          </w:tcPr>
          <w:p>
            <w:pPr>
              <w:keepNext w:val="0"/>
              <w:keepLines w:val="0"/>
              <w:pageBreakBefore w:val="0"/>
              <w:kinsoku/>
              <w:wordWrap/>
              <w:overflowPunct/>
              <w:topLinePunct w:val="0"/>
              <w:autoSpaceDE/>
              <w:autoSpaceDN/>
              <w:bidi w:val="0"/>
              <w:adjustRightInd/>
              <w:snapToGrid/>
              <w:spacing w:line="288" w:lineRule="auto"/>
              <w:ind w:left="0" w:leftChars="0" w:right="0" w:rightChars="0" w:firstLine="0" w:firstLineChars="0"/>
              <w:jc w:val="center"/>
              <w:outlineLvl w:val="9"/>
              <w:rPr>
                <w:rFonts w:hint="eastAsia" w:ascii="宋体" w:hAnsi="宋体" w:eastAsia="宋体" w:cs="宋体"/>
                <w:b w:val="0"/>
                <w:bCs w:val="0"/>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3"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i w:val="0"/>
                <w:color w:val="auto"/>
                <w:kern w:val="0"/>
                <w:sz w:val="21"/>
                <w:szCs w:val="21"/>
                <w:highlight w:val="none"/>
                <w:u w:val="none"/>
                <w:lang w:val="en-US" w:eastAsia="zh-CN" w:bidi="ar"/>
              </w:rPr>
              <w:t>15</w:t>
            </w:r>
          </w:p>
        </w:tc>
        <w:tc>
          <w:tcPr>
            <w:tcW w:w="1262"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val="0"/>
                <w:bCs/>
                <w:i w:val="0"/>
                <w:color w:val="auto"/>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val="0"/>
                <w:bCs/>
                <w:i w:val="0"/>
                <w:color w:val="auto"/>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val="0"/>
                <w:bCs/>
                <w:i w:val="0"/>
                <w:color w:val="auto"/>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val="0"/>
                <w:bCs/>
                <w:i w:val="0"/>
                <w:color w:val="auto"/>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i w:val="0"/>
                <w:color w:val="auto"/>
                <w:kern w:val="0"/>
                <w:sz w:val="21"/>
                <w:szCs w:val="21"/>
                <w:highlight w:val="none"/>
                <w:u w:val="none"/>
                <w:lang w:val="en-US" w:eastAsia="zh-CN" w:bidi="ar"/>
              </w:rPr>
              <w:t>室内放装型AP（与网络核心产品同一品牌）</w:t>
            </w:r>
          </w:p>
        </w:tc>
        <w:tc>
          <w:tcPr>
            <w:tcW w:w="5931"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1.支持802.11ax协议；整机支持≥4条空间流；整机最大无线速率≥2.97Gbps;</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2.内置蓝牙5.1。</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3.至少支持1个1000M自适应以太网端口；至少支持1个2.5G SFP光口;</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4.由于AP部署在开放环境中，为保障设备受到外部机械碰撞仍可以保持结构完整、功能完备，要求所投室内无线接入点符合国标GB/T 20138-2006即《电器设备外壳对外界机械碰撞的防护等级（IK代码）》标准，至少达到防护等级IK08。</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5.为快速建立高度隔离的安全网络，设备应支持实现AP虚拟化功能，实现一台AP虚拟为多台AP，分别受不同AC设备独立管理，互不影响。不同虚拟AP之间数据隔离，虚拟AP在AC上不占用AP License;</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6.AP整机最大终端接入数≥256个;</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7.所投AP内置探针功能，能够对覆盖范围的终端MAC信息进行检测;</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8.为避免无线网络中私接非法AP，所投AP应支持非法AP检测及反制功能。具有非法AP的精确反制和模糊反制功能，能够主动识别非法设备并令非法设备不能使用;</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i w:val="0"/>
                <w:color w:val="auto"/>
                <w:kern w:val="0"/>
                <w:sz w:val="21"/>
                <w:szCs w:val="21"/>
                <w:highlight w:val="none"/>
                <w:u w:val="none"/>
                <w:lang w:val="en-US" w:eastAsia="zh-CN" w:bidi="ar"/>
              </w:rPr>
              <w:t>9.支持Wi-Fi终端定位，支持实时人流量统计和分析，显示场所人流量热力图。</w:t>
            </w:r>
          </w:p>
        </w:tc>
        <w:tc>
          <w:tcPr>
            <w:tcW w:w="788"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87"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i w:val="0"/>
                <w:color w:val="auto"/>
                <w:kern w:val="0"/>
                <w:sz w:val="21"/>
                <w:szCs w:val="21"/>
                <w:highlight w:val="none"/>
                <w:u w:val="none"/>
                <w:lang w:val="en-US" w:eastAsia="zh-CN" w:bidi="ar"/>
              </w:rPr>
              <w:t>197</w:t>
            </w:r>
          </w:p>
        </w:tc>
        <w:tc>
          <w:tcPr>
            <w:tcW w:w="869" w:type="dxa"/>
            <w:vAlign w:val="top"/>
          </w:tcPr>
          <w:p>
            <w:pPr>
              <w:keepNext w:val="0"/>
              <w:keepLines w:val="0"/>
              <w:pageBreakBefore w:val="0"/>
              <w:kinsoku/>
              <w:wordWrap/>
              <w:overflowPunct/>
              <w:topLinePunct w:val="0"/>
              <w:autoSpaceDE/>
              <w:autoSpaceDN/>
              <w:bidi w:val="0"/>
              <w:adjustRightInd/>
              <w:snapToGrid/>
              <w:spacing w:line="288" w:lineRule="auto"/>
              <w:ind w:left="0" w:leftChars="0" w:right="0" w:rightChars="0" w:firstLine="0" w:firstLineChars="0"/>
              <w:jc w:val="center"/>
              <w:outlineLvl w:val="9"/>
              <w:rPr>
                <w:rFonts w:hint="eastAsia" w:ascii="宋体" w:hAnsi="宋体" w:eastAsia="宋体" w:cs="宋体"/>
                <w:b w:val="0"/>
                <w:bCs w:val="0"/>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3"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i w:val="0"/>
                <w:color w:val="auto"/>
                <w:kern w:val="0"/>
                <w:sz w:val="21"/>
                <w:szCs w:val="21"/>
                <w:highlight w:val="none"/>
                <w:u w:val="none"/>
                <w:lang w:val="en-US" w:eastAsia="zh-CN" w:bidi="ar"/>
              </w:rPr>
              <w:t>16</w:t>
            </w:r>
          </w:p>
        </w:tc>
        <w:tc>
          <w:tcPr>
            <w:tcW w:w="1262"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i w:val="0"/>
                <w:color w:val="auto"/>
                <w:kern w:val="0"/>
                <w:sz w:val="21"/>
                <w:szCs w:val="21"/>
                <w:highlight w:val="none"/>
                <w:u w:val="none"/>
                <w:lang w:val="en-US" w:eastAsia="zh-CN" w:bidi="ar"/>
              </w:rPr>
              <w:t>室外无线AP（与网络核心产品同一品牌）</w:t>
            </w:r>
          </w:p>
        </w:tc>
        <w:tc>
          <w:tcPr>
            <w:tcW w:w="5931"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1.室外型无线接入点；</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2.支持802.11ax标准。</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3.整机双射频，4条空间流。</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4.整机最大无线接入速率≥2.975Gbps。</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5.内置定向天线设计。</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6.采用内置天线设计，无外置天线口。</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7.支持1G有线接口≥1个，支持2.5G光口≥1个。</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8.支持内置蓝牙5.0。</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9.支持IP68防护等级。</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i w:val="0"/>
                <w:color w:val="auto"/>
                <w:kern w:val="0"/>
                <w:sz w:val="21"/>
                <w:szCs w:val="21"/>
                <w:highlight w:val="none"/>
                <w:u w:val="none"/>
                <w:lang w:val="en-US" w:eastAsia="zh-CN" w:bidi="ar"/>
              </w:rPr>
              <w:t>10.由于室外AP部署在室外无遮挡环境中，为保证设备受到外部机械碰撞仍可以保持结构完整、功能完备并且可以正常运行，要求所投室外无线接入点符合国标GB/T 20138-2006即《电器设备外壳对外界机械碰撞的防护等级（IK代码）》标准，至少达到防护等级IK08。</w:t>
            </w:r>
          </w:p>
        </w:tc>
        <w:tc>
          <w:tcPr>
            <w:tcW w:w="788"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87"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i w:val="0"/>
                <w:color w:val="auto"/>
                <w:kern w:val="0"/>
                <w:sz w:val="21"/>
                <w:szCs w:val="21"/>
                <w:highlight w:val="none"/>
                <w:u w:val="none"/>
                <w:lang w:val="en-US" w:eastAsia="zh-CN" w:bidi="ar"/>
              </w:rPr>
              <w:t>18</w:t>
            </w:r>
          </w:p>
        </w:tc>
        <w:tc>
          <w:tcPr>
            <w:tcW w:w="869" w:type="dxa"/>
            <w:vAlign w:val="top"/>
          </w:tcPr>
          <w:p>
            <w:pPr>
              <w:keepNext w:val="0"/>
              <w:keepLines w:val="0"/>
              <w:pageBreakBefore w:val="0"/>
              <w:kinsoku/>
              <w:wordWrap/>
              <w:overflowPunct/>
              <w:topLinePunct w:val="0"/>
              <w:autoSpaceDE/>
              <w:autoSpaceDN/>
              <w:bidi w:val="0"/>
              <w:adjustRightInd/>
              <w:snapToGrid/>
              <w:spacing w:line="288" w:lineRule="auto"/>
              <w:ind w:left="0" w:leftChars="0" w:right="0" w:rightChars="0" w:firstLine="0" w:firstLineChars="0"/>
              <w:jc w:val="center"/>
              <w:outlineLvl w:val="9"/>
              <w:rPr>
                <w:rFonts w:hint="eastAsia" w:ascii="宋体" w:hAnsi="宋体" w:eastAsia="宋体" w:cs="宋体"/>
                <w:b w:val="0"/>
                <w:bCs w:val="0"/>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3"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17</w:t>
            </w:r>
          </w:p>
        </w:tc>
        <w:tc>
          <w:tcPr>
            <w:tcW w:w="1262"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综合布线系统试运行</w:t>
            </w:r>
          </w:p>
        </w:tc>
        <w:tc>
          <w:tcPr>
            <w:tcW w:w="5931"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网络设备系统试运行</w:t>
            </w:r>
          </w:p>
        </w:tc>
        <w:tc>
          <w:tcPr>
            <w:tcW w:w="788"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项</w:t>
            </w:r>
          </w:p>
        </w:tc>
        <w:tc>
          <w:tcPr>
            <w:tcW w:w="687"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869" w:type="dxa"/>
            <w:vAlign w:val="top"/>
          </w:tcPr>
          <w:p>
            <w:pPr>
              <w:keepNext w:val="0"/>
              <w:keepLines w:val="0"/>
              <w:pageBreakBefore w:val="0"/>
              <w:kinsoku/>
              <w:wordWrap/>
              <w:overflowPunct/>
              <w:topLinePunct w:val="0"/>
              <w:autoSpaceDE/>
              <w:autoSpaceDN/>
              <w:bidi w:val="0"/>
              <w:adjustRightInd/>
              <w:snapToGrid/>
              <w:spacing w:line="288" w:lineRule="auto"/>
              <w:ind w:left="0" w:leftChars="0" w:right="0" w:rightChars="0" w:firstLine="0" w:firstLineChars="0"/>
              <w:jc w:val="center"/>
              <w:outlineLvl w:val="9"/>
              <w:rPr>
                <w:rFonts w:hint="eastAsia" w:ascii="宋体" w:hAnsi="宋体" w:eastAsia="宋体" w:cs="宋体"/>
                <w:b w:val="0"/>
                <w:bCs w:val="0"/>
                <w:color w:val="auto"/>
                <w:sz w:val="21"/>
                <w:szCs w:val="21"/>
                <w:highlight w:val="none"/>
                <w:vertAlign w:val="baseline"/>
              </w:rPr>
            </w:pPr>
          </w:p>
        </w:tc>
      </w:tr>
    </w:tbl>
    <w:p>
      <w:pP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2.2综合布线系统</w:t>
      </w:r>
    </w:p>
    <w:tbl>
      <w:tblPr>
        <w:tblStyle w:val="99"/>
        <w:tblW w:w="104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1150"/>
        <w:gridCol w:w="5950"/>
        <w:gridCol w:w="788"/>
        <w:gridCol w:w="662"/>
        <w:gridCol w:w="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2" w:type="dxa"/>
            <w:vAlign w:val="center"/>
          </w:tcPr>
          <w:p>
            <w:pPr>
              <w:keepNext w:val="0"/>
              <w:keepLines w:val="0"/>
              <w:widowControl/>
              <w:suppressLineNumbers w:val="0"/>
              <w:jc w:val="center"/>
              <w:textAlignment w:val="center"/>
              <w:rPr>
                <w:rFonts w:hint="eastAsia" w:ascii="宋体" w:hAnsi="宋体" w:eastAsia="宋体" w:cs="宋体"/>
                <w:b/>
                <w:bCs w:val="0"/>
                <w:color w:val="auto"/>
                <w:sz w:val="21"/>
                <w:szCs w:val="21"/>
                <w:highlight w:val="none"/>
                <w:vertAlign w:val="baseline"/>
                <w:lang w:val="en-US" w:eastAsia="zh-CN"/>
              </w:rPr>
            </w:pPr>
            <w:r>
              <w:rPr>
                <w:rFonts w:hint="eastAsia" w:ascii="宋体" w:hAnsi="宋体" w:eastAsia="宋体" w:cs="宋体"/>
                <w:b/>
                <w:bCs w:val="0"/>
                <w:i w:val="0"/>
                <w:color w:val="auto"/>
                <w:kern w:val="0"/>
                <w:sz w:val="21"/>
                <w:szCs w:val="21"/>
                <w:highlight w:val="none"/>
                <w:u w:val="none"/>
                <w:lang w:val="en-US" w:eastAsia="zh-CN" w:bidi="ar"/>
              </w:rPr>
              <w:t>序号</w:t>
            </w:r>
          </w:p>
        </w:tc>
        <w:tc>
          <w:tcPr>
            <w:tcW w:w="1150" w:type="dxa"/>
            <w:vAlign w:val="center"/>
          </w:tcPr>
          <w:p>
            <w:pPr>
              <w:keepNext w:val="0"/>
              <w:keepLines w:val="0"/>
              <w:widowControl/>
              <w:suppressLineNumbers w:val="0"/>
              <w:jc w:val="center"/>
              <w:textAlignment w:val="center"/>
              <w:rPr>
                <w:rFonts w:hint="eastAsia" w:ascii="宋体" w:hAnsi="宋体" w:eastAsia="宋体" w:cs="宋体"/>
                <w:b/>
                <w:bCs w:val="0"/>
                <w:color w:val="auto"/>
                <w:sz w:val="21"/>
                <w:szCs w:val="21"/>
                <w:highlight w:val="none"/>
                <w:vertAlign w:val="baseline"/>
                <w:lang w:val="en-US" w:eastAsia="zh-CN"/>
              </w:rPr>
            </w:pPr>
            <w:r>
              <w:rPr>
                <w:rFonts w:hint="eastAsia" w:ascii="宋体" w:hAnsi="宋体" w:eastAsia="宋体" w:cs="宋体"/>
                <w:b/>
                <w:bCs w:val="0"/>
                <w:i w:val="0"/>
                <w:color w:val="auto"/>
                <w:kern w:val="0"/>
                <w:sz w:val="21"/>
                <w:szCs w:val="21"/>
                <w:highlight w:val="none"/>
                <w:u w:val="none"/>
                <w:lang w:val="en-US" w:eastAsia="zh-CN" w:bidi="ar"/>
              </w:rPr>
              <w:t>项目名称</w:t>
            </w:r>
          </w:p>
        </w:tc>
        <w:tc>
          <w:tcPr>
            <w:tcW w:w="5950"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技术参数</w:t>
            </w:r>
          </w:p>
        </w:tc>
        <w:tc>
          <w:tcPr>
            <w:tcW w:w="788" w:type="dxa"/>
            <w:vAlign w:val="center"/>
          </w:tcPr>
          <w:p>
            <w:pPr>
              <w:keepNext w:val="0"/>
              <w:keepLines w:val="0"/>
              <w:widowControl/>
              <w:suppressLineNumbers w:val="0"/>
              <w:jc w:val="center"/>
              <w:textAlignment w:val="center"/>
              <w:rPr>
                <w:rFonts w:hint="eastAsia" w:ascii="宋体" w:hAnsi="宋体" w:eastAsia="宋体" w:cs="宋体"/>
                <w:b/>
                <w:bCs w:val="0"/>
                <w:color w:val="auto"/>
                <w:sz w:val="21"/>
                <w:szCs w:val="21"/>
                <w:highlight w:val="none"/>
                <w:vertAlign w:val="baseline"/>
                <w:lang w:val="en-US" w:eastAsia="zh-CN"/>
              </w:rPr>
            </w:pPr>
            <w:r>
              <w:rPr>
                <w:rFonts w:hint="eastAsia" w:ascii="宋体" w:hAnsi="宋体" w:eastAsia="宋体" w:cs="宋体"/>
                <w:b/>
                <w:bCs w:val="0"/>
                <w:i w:val="0"/>
                <w:color w:val="auto"/>
                <w:kern w:val="0"/>
                <w:sz w:val="21"/>
                <w:szCs w:val="21"/>
                <w:highlight w:val="none"/>
                <w:u w:val="none"/>
                <w:lang w:val="en-US" w:eastAsia="zh-CN" w:bidi="ar"/>
              </w:rPr>
              <w:t>单位</w:t>
            </w:r>
          </w:p>
        </w:tc>
        <w:tc>
          <w:tcPr>
            <w:tcW w:w="662" w:type="dxa"/>
            <w:vAlign w:val="center"/>
          </w:tcPr>
          <w:p>
            <w:pPr>
              <w:keepNext w:val="0"/>
              <w:keepLines w:val="0"/>
              <w:widowControl/>
              <w:suppressLineNumbers w:val="0"/>
              <w:jc w:val="center"/>
              <w:textAlignment w:val="center"/>
              <w:rPr>
                <w:rFonts w:hint="eastAsia" w:ascii="宋体" w:hAnsi="宋体" w:eastAsia="宋体" w:cs="宋体"/>
                <w:b/>
                <w:bCs w:val="0"/>
                <w:color w:val="auto"/>
                <w:sz w:val="21"/>
                <w:szCs w:val="21"/>
                <w:highlight w:val="none"/>
                <w:vertAlign w:val="baseline"/>
                <w:lang w:val="en-US" w:eastAsia="zh-CN"/>
              </w:rPr>
            </w:pPr>
            <w:r>
              <w:rPr>
                <w:rFonts w:hint="eastAsia" w:ascii="宋体" w:hAnsi="宋体" w:eastAsia="宋体" w:cs="宋体"/>
                <w:b/>
                <w:bCs w:val="0"/>
                <w:i w:val="0"/>
                <w:color w:val="auto"/>
                <w:kern w:val="0"/>
                <w:sz w:val="21"/>
                <w:szCs w:val="21"/>
                <w:highlight w:val="none"/>
                <w:u w:val="none"/>
                <w:lang w:val="en-US" w:eastAsia="zh-CN" w:bidi="ar"/>
              </w:rPr>
              <w:t>数量</w:t>
            </w:r>
          </w:p>
        </w:tc>
        <w:tc>
          <w:tcPr>
            <w:tcW w:w="950"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2"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c>
          <w:tcPr>
            <w:tcW w:w="1150"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c>
          <w:tcPr>
            <w:tcW w:w="5950" w:type="dxa"/>
            <w:vAlign w:val="top"/>
          </w:tcPr>
          <w:p>
            <w:pP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工作区子系统</w:t>
            </w:r>
          </w:p>
        </w:tc>
        <w:tc>
          <w:tcPr>
            <w:tcW w:w="788"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c>
          <w:tcPr>
            <w:tcW w:w="662"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c>
          <w:tcPr>
            <w:tcW w:w="950"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1</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双口面板（含接线盒）</w:t>
            </w:r>
          </w:p>
        </w:tc>
        <w:tc>
          <w:tcPr>
            <w:tcW w:w="5950"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规格：86型双口面板</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标准：系列面板与英式标准尺寸兼容可以支持本系列所有信息模块；</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性能特点：抗老化不易变色，采用精抛光或磨砂的饰面，具有更加出色的可靠性、安全性和更加优美的外观；</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结构特点：螺钉内置方式面板带标准的白色边框外观更加美观、要求提供可更换的透明标签夹标示系统高效的进行编码管理</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为有效阻止病毒、细菌通过面板表面传播，宜选用通过GB/T31402/ISO22196塑料表面抗菌性能测试的面板；</w:t>
            </w:r>
          </w:p>
        </w:tc>
        <w:tc>
          <w:tcPr>
            <w:tcW w:w="788"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个</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333</w:t>
            </w:r>
          </w:p>
        </w:tc>
        <w:tc>
          <w:tcPr>
            <w:tcW w:w="950"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2</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单口面板（含接线盒）</w:t>
            </w:r>
          </w:p>
        </w:tc>
        <w:tc>
          <w:tcPr>
            <w:tcW w:w="5950"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规格：86型单口面板</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标准：系列面板与英式标准尺寸兼容可以支持本系列所有信息模块；</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性能特点：抗老化不易变色，采用精抛光或磨砂的饰面，具有更加出色的可靠性、安全性和更加优美的外观；</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结构特点：螺钉内置方式面板带标准的白色边框外观更加美观、要求提供可更换的透明标签夹标示系统高效的进行编码管理</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为有效阻止病毒、细菌通过面板表面传播，宜选用通过GB/T31402/ISO22196塑料表面抗菌性能测试的面板；</w:t>
            </w:r>
          </w:p>
        </w:tc>
        <w:tc>
          <w:tcPr>
            <w:tcW w:w="788"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个</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290</w:t>
            </w:r>
          </w:p>
        </w:tc>
        <w:tc>
          <w:tcPr>
            <w:tcW w:w="950"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3</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数据六类模块</w:t>
            </w:r>
          </w:p>
        </w:tc>
        <w:tc>
          <w:tcPr>
            <w:tcW w:w="5950"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1、材料：簧片为锡青铜带并镀金50U；</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2、执行标准：YD/T 926.3</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3、模块内部采用簧片空间排列和PCB布线相结合的双重EMC设计，确保模块的高性能</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4、六类非屏蔽系统具有工信部短链路和短通道、6节点永久链路和6节点通道的检测报告。</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5、标准的110打线方式，安装便捷；后部具有压线盖，保证电缆端接的可靠性。</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6、兼容568A和568B两种接续标准</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7、内部簧片使用优质锡青铜带，接触部分镀金50U</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8、兼容RJ45和RJ11插头，不会影响簧片的接触可靠性</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9、模块可以安装在所有系列的面板、地板插座和配线架上</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10、模块满足TIA/EIA 568C标准的原件级性能要求。</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11、模块带宽250MHz。</w:t>
            </w:r>
          </w:p>
        </w:tc>
        <w:tc>
          <w:tcPr>
            <w:tcW w:w="788"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个</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956</w:t>
            </w:r>
          </w:p>
        </w:tc>
        <w:tc>
          <w:tcPr>
            <w:tcW w:w="950"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4</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语音单孔面板（含接线盒）</w:t>
            </w:r>
          </w:p>
        </w:tc>
        <w:tc>
          <w:tcPr>
            <w:tcW w:w="595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规格：86型单口面板</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标准：系列面板与英式标准尺寸兼容可以支持本系列所有信息模块；</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性能特点：抗老化不易变色，采用精抛光或磨砂的饰面，具有更加出色的可靠性、安全性和更加优美的外观；</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结构特点：螺钉内置方式面板带标准的白色边框外观更加美观、要求提供可更换的透明标签夹标示系统高效的进行编码管理</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为有效阻止病毒、细菌通过面板表面传播，宜选用通过GB/T31402/ISO22196塑料表面抗菌性能测试的面板；</w:t>
            </w:r>
          </w:p>
        </w:tc>
        <w:tc>
          <w:tcPr>
            <w:tcW w:w="788"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个</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28</w:t>
            </w:r>
          </w:p>
        </w:tc>
        <w:tc>
          <w:tcPr>
            <w:tcW w:w="950"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5</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语音双孔面板（含接线盒）</w:t>
            </w:r>
          </w:p>
        </w:tc>
        <w:tc>
          <w:tcPr>
            <w:tcW w:w="595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规格：86型双口面板</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标准：系列面板与英式标准尺寸兼容可以支持本系列所有信息模块；</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性能特点：抗老化不易变色，采用精抛光或磨砂的饰面，具有更加出色的可靠性、安全性和更加优美的外观；</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结构特点：螺钉内置方式面板带标准的白色边框外观更加美观、要求提供可更换的透明标签夹标示系统高效的进行编码管理</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为有效阻止病毒、细菌通过面板表面传播，宜选用通过GB/T31402/ISO22197塑料表面抗菌性能测试的面板；</w:t>
            </w:r>
          </w:p>
        </w:tc>
        <w:tc>
          <w:tcPr>
            <w:tcW w:w="788"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个</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6</w:t>
            </w:r>
          </w:p>
        </w:tc>
        <w:tc>
          <w:tcPr>
            <w:tcW w:w="950"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6</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语音模块</w:t>
            </w:r>
          </w:p>
        </w:tc>
        <w:tc>
          <w:tcPr>
            <w:tcW w:w="595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1、规格：非屏蔽三类标准RJ11语音模块；</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2、标准：系统性能的保证值超过ISO 11801标准；</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3、结构：对三类类的要求;90度免打线方式，保证最短距离的线缆开绞距离；外壳符合UL94V-0的高强度材料；耐压强度DC:1000V(AC:750V)1min无击穿和飞弧现象；IDC端子：磷青铜，可接受22～26线规的电缆；</w:t>
            </w:r>
          </w:p>
        </w:tc>
        <w:tc>
          <w:tcPr>
            <w:tcW w:w="788"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个</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40</w:t>
            </w:r>
          </w:p>
        </w:tc>
        <w:tc>
          <w:tcPr>
            <w:tcW w:w="950"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7</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110配线架</w:t>
            </w:r>
          </w:p>
        </w:tc>
        <w:tc>
          <w:tcPr>
            <w:tcW w:w="5950"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磷青铜端子、颜色标识分隔</w:t>
            </w:r>
          </w:p>
        </w:tc>
        <w:tc>
          <w:tcPr>
            <w:tcW w:w="788"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个</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3</w:t>
            </w:r>
          </w:p>
        </w:tc>
        <w:tc>
          <w:tcPr>
            <w:tcW w:w="950"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8</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网络地插（含接线盒）</w:t>
            </w:r>
          </w:p>
        </w:tc>
        <w:tc>
          <w:tcPr>
            <w:tcW w:w="595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1、IP44以上的防护等级；</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2、具有阻尼缓起装置，地插弹起自然和缓，提供产品结构图说明；</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3、标配3个数据插座和2个空白填空件；</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4、可安装1-3位功能模块，另可根据实际情况选配多媒体模块；</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5、功能模块插座需采用快速拆卸设计，方便接线安装及维护</w:t>
            </w:r>
          </w:p>
        </w:tc>
        <w:tc>
          <w:tcPr>
            <w:tcW w:w="788"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个</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20</w:t>
            </w:r>
          </w:p>
        </w:tc>
        <w:tc>
          <w:tcPr>
            <w:tcW w:w="950"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9</w:t>
            </w:r>
          </w:p>
        </w:tc>
        <w:tc>
          <w:tcPr>
            <w:tcW w:w="1150" w:type="dxa"/>
            <w:vAlign w:val="center"/>
          </w:tcPr>
          <w:p>
            <w:pPr>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6类跳线(2米)</w:t>
            </w:r>
          </w:p>
        </w:tc>
        <w:tc>
          <w:tcPr>
            <w:tcW w:w="5950" w:type="dxa"/>
            <w:vAlign w:val="center"/>
          </w:tcPr>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1、符合ANSI/TIA-568-C.2、ISO/IEC 11801、YD/T926.3标准； </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2、跳线接头类型：注塑RJ45端子-注塑RJ45端子 ；</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3、跳线线缆类型：24AWG对绞芯线 （多股）；</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4、跳线线缆护套材质：PVC、绝缘层材质：PE、护套颜色：灰、红、蓝、黄、绿等可选； </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5、跳线弯曲半径：≥4D(D：跳线外径)； </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7、水晶头塑料材质：聚碳酸酯（PC）；</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8、可提供568A及568B两种接线规格；</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9、采用十字骨架结构；</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10、簧片镀金：不小于50微英寸；</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11、单根导体直流电阻：≤9.0Ω/100m</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12、插拔寿命插拔次数：≥750次</w:t>
            </w:r>
          </w:p>
        </w:tc>
        <w:tc>
          <w:tcPr>
            <w:tcW w:w="788"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条</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300</w:t>
            </w:r>
          </w:p>
        </w:tc>
        <w:tc>
          <w:tcPr>
            <w:tcW w:w="950"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2"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c>
          <w:tcPr>
            <w:tcW w:w="1150"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c>
          <w:tcPr>
            <w:tcW w:w="5950" w:type="dxa"/>
            <w:vAlign w:val="top"/>
          </w:tcPr>
          <w:p>
            <w:pP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水平区子系统</w:t>
            </w:r>
          </w:p>
        </w:tc>
        <w:tc>
          <w:tcPr>
            <w:tcW w:w="788"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c>
          <w:tcPr>
            <w:tcW w:w="662"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c>
          <w:tcPr>
            <w:tcW w:w="950"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1</w:t>
            </w:r>
          </w:p>
        </w:tc>
        <w:tc>
          <w:tcPr>
            <w:tcW w:w="1150" w:type="dxa"/>
            <w:vAlign w:val="center"/>
          </w:tcPr>
          <w:p>
            <w:pPr>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管内配非屏蔽6类双绞线</w:t>
            </w:r>
          </w:p>
        </w:tc>
        <w:tc>
          <w:tcPr>
            <w:tcW w:w="5950" w:type="dxa"/>
            <w:vAlign w:val="center"/>
          </w:tcPr>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1、护套材质：PVC、绝缘层材料：PE、含十字骨架、线规：24AWG；</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2、导体需采用99.99%以上纯铜，导体直径不小于0.515（±0.005） mm；  </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3、符合YD/T 1019、ISO/IEC 11801、ANSI/TIA-568-C.2标准；</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4、工作电容最大值：≤5.6nF/100m；</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5、单根导体直流电阻：≤9.5Ω/100m at 20℃； </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6、线对直流电阻不平衡性：≤2.5%；</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7、燃烧性能符合GB18380.12和GB18380.13中规定的单根电缆火焰垂直蔓延试验要求；</w:t>
            </w:r>
          </w:p>
        </w:tc>
        <w:tc>
          <w:tcPr>
            <w:tcW w:w="788"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米</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15600</w:t>
            </w:r>
          </w:p>
        </w:tc>
        <w:tc>
          <w:tcPr>
            <w:tcW w:w="950"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2"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2</w:t>
            </w:r>
          </w:p>
        </w:tc>
        <w:tc>
          <w:tcPr>
            <w:tcW w:w="1150" w:type="dxa"/>
            <w:vAlign w:val="center"/>
          </w:tcPr>
          <w:p>
            <w:pPr>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桥架内配非屏蔽6类双绞线</w:t>
            </w:r>
          </w:p>
        </w:tc>
        <w:tc>
          <w:tcPr>
            <w:tcW w:w="5950" w:type="dxa"/>
            <w:vAlign w:val="center"/>
          </w:tcPr>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规格、型号：1)护套材质：PVC、绝缘层材料：PE、含十字骨架、线规：24AWG；</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2)导体需采用99.99%以上纯铜，导体直径不小于0.515（±0.005） mm；  </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3)符合YD/T 1019、ISO/IEC 11801、ANSI/TIA-568-C.2标准；</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4)工作电容最大值：≤5.6nF/100m；</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5)单根导体直流电阻：≤9.5Ω/100m at 20℃； </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6)线对直流电阻不平衡性：≤2.5%；</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7)燃烧性能符合GB18380.12和GB18380.13中规定的单根电缆火焰垂直蔓延试验要求；</w:t>
            </w:r>
          </w:p>
        </w:tc>
        <w:tc>
          <w:tcPr>
            <w:tcW w:w="788"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米</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36400</w:t>
            </w:r>
          </w:p>
        </w:tc>
        <w:tc>
          <w:tcPr>
            <w:tcW w:w="950"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3</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电源线</w:t>
            </w:r>
          </w:p>
        </w:tc>
        <w:tc>
          <w:tcPr>
            <w:tcW w:w="5950"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RVV3*2.5</w:t>
            </w:r>
          </w:p>
        </w:tc>
        <w:tc>
          <w:tcPr>
            <w:tcW w:w="788"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米</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2300</w:t>
            </w:r>
          </w:p>
        </w:tc>
        <w:tc>
          <w:tcPr>
            <w:tcW w:w="950"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4</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室内敷管穿线</w:t>
            </w:r>
          </w:p>
        </w:tc>
        <w:tc>
          <w:tcPr>
            <w:tcW w:w="5950"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PVC线槽50*25</w:t>
            </w:r>
          </w:p>
        </w:tc>
        <w:tc>
          <w:tcPr>
            <w:tcW w:w="788"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米</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1850</w:t>
            </w:r>
          </w:p>
        </w:tc>
        <w:tc>
          <w:tcPr>
            <w:tcW w:w="950"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5</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室外敷管穿线</w:t>
            </w:r>
          </w:p>
        </w:tc>
        <w:tc>
          <w:tcPr>
            <w:tcW w:w="5950"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室外PE管穿管敷设DN100</w:t>
            </w:r>
          </w:p>
        </w:tc>
        <w:tc>
          <w:tcPr>
            <w:tcW w:w="788"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米</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3600</w:t>
            </w:r>
          </w:p>
        </w:tc>
        <w:tc>
          <w:tcPr>
            <w:tcW w:w="950"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6</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室外敷管穿线</w:t>
            </w:r>
          </w:p>
        </w:tc>
        <w:tc>
          <w:tcPr>
            <w:tcW w:w="5950"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室外SC110穿管敷设</w:t>
            </w:r>
          </w:p>
        </w:tc>
        <w:tc>
          <w:tcPr>
            <w:tcW w:w="788"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米</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200</w:t>
            </w:r>
          </w:p>
        </w:tc>
        <w:tc>
          <w:tcPr>
            <w:tcW w:w="950"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7</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窨井</w:t>
            </w:r>
          </w:p>
        </w:tc>
        <w:tc>
          <w:tcPr>
            <w:tcW w:w="5950"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500（长）×500（宽）×600（深）MM，用砾石铺层100mm作为渗水用；手孔井四壁抹水泥砂浆砖块切成；窨井盖复合树脂。</w:t>
            </w:r>
          </w:p>
        </w:tc>
        <w:tc>
          <w:tcPr>
            <w:tcW w:w="788"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套</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30</w:t>
            </w:r>
          </w:p>
        </w:tc>
        <w:tc>
          <w:tcPr>
            <w:tcW w:w="950"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8</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机柜</w:t>
            </w:r>
          </w:p>
        </w:tc>
        <w:tc>
          <w:tcPr>
            <w:tcW w:w="5950"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12U机柜600*600*600、优质冷轧钢板、整体焊接式机柜框架、优质钢化玻璃门</w:t>
            </w:r>
          </w:p>
        </w:tc>
        <w:tc>
          <w:tcPr>
            <w:tcW w:w="788"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90</w:t>
            </w:r>
          </w:p>
        </w:tc>
        <w:tc>
          <w:tcPr>
            <w:tcW w:w="950"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9</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机柜</w:t>
            </w:r>
          </w:p>
        </w:tc>
        <w:tc>
          <w:tcPr>
            <w:tcW w:w="5950"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42U机柜2000*600*600、优质冷轧钢板、体焊接式机柜框架、优质钢化玻璃门</w:t>
            </w:r>
          </w:p>
        </w:tc>
        <w:tc>
          <w:tcPr>
            <w:tcW w:w="788"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1</w:t>
            </w:r>
          </w:p>
        </w:tc>
        <w:tc>
          <w:tcPr>
            <w:tcW w:w="950"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2"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c>
          <w:tcPr>
            <w:tcW w:w="1150"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c>
          <w:tcPr>
            <w:tcW w:w="5950" w:type="dxa"/>
            <w:vAlign w:val="top"/>
          </w:tcPr>
          <w:p>
            <w:pP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管理间子系统</w:t>
            </w:r>
          </w:p>
        </w:tc>
        <w:tc>
          <w:tcPr>
            <w:tcW w:w="788"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c>
          <w:tcPr>
            <w:tcW w:w="662"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c>
          <w:tcPr>
            <w:tcW w:w="950"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1</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理线架</w:t>
            </w:r>
          </w:p>
        </w:tc>
        <w:tc>
          <w:tcPr>
            <w:tcW w:w="595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1、符合YD/T926.3、ISO/IEC 11801、ANSI/TIA-568-C.2标准；</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2、选用优质冷轧钢板制作，厚度不小于1.2mm，表面脱脂、酸洗、磷化、静电喷塑处理；</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3、盖板和线环选用优质PC/ABS</w:t>
            </w:r>
          </w:p>
        </w:tc>
        <w:tc>
          <w:tcPr>
            <w:tcW w:w="788"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个</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120</w:t>
            </w:r>
          </w:p>
        </w:tc>
        <w:tc>
          <w:tcPr>
            <w:tcW w:w="950"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2</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110配线架</w:t>
            </w:r>
          </w:p>
        </w:tc>
        <w:tc>
          <w:tcPr>
            <w:tcW w:w="595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1、符合YD/T926.3、ISO/IEC 11801、ANSI/TIA-568-C.2标准；</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2、通用110接线工具端接</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，前部具有标签管理区域，便于端口管理； </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3、IDC簧片采用锡青铜带且镀银厚度不小于50微英寸，IDC端接次数≥200次</w:t>
            </w:r>
          </w:p>
        </w:tc>
        <w:tc>
          <w:tcPr>
            <w:tcW w:w="788"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个</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2</w:t>
            </w:r>
          </w:p>
        </w:tc>
        <w:tc>
          <w:tcPr>
            <w:tcW w:w="950"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3</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语音跳线</w:t>
            </w:r>
          </w:p>
        </w:tc>
        <w:tc>
          <w:tcPr>
            <w:tcW w:w="595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1、符合ISO/IEC 11801、YD/T926.3标准；</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2、护套材料：低烟无卤； </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3、绝缘层材料 ：PE；       </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4、水晶头簧片磷青铜镀金（镀金层厚度不少于50μm）；   </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5、模块端插拔次数≥200次，水晶头端插拔次数≥750次</w:t>
            </w:r>
          </w:p>
        </w:tc>
        <w:tc>
          <w:tcPr>
            <w:tcW w:w="788"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根</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30</w:t>
            </w:r>
          </w:p>
        </w:tc>
        <w:tc>
          <w:tcPr>
            <w:tcW w:w="950"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4</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110型理线器</w:t>
            </w:r>
          </w:p>
        </w:tc>
        <w:tc>
          <w:tcPr>
            <w:tcW w:w="595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1、符合YD/T926.3、ISO/IEC 11801、ANSI/TIA-568-C.2标准；</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2、选用优质冷轧钢板制作，厚度不小于1.2mm，表面脱脂、酸洗、磷化、静电喷塑处理；</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3、盖板和线环选用优质PC/ABS</w:t>
            </w:r>
          </w:p>
        </w:tc>
        <w:tc>
          <w:tcPr>
            <w:tcW w:w="788"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个</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4</w:t>
            </w:r>
          </w:p>
        </w:tc>
        <w:tc>
          <w:tcPr>
            <w:tcW w:w="950"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5</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8口光纤配线架（含适配器）</w:t>
            </w:r>
          </w:p>
        </w:tc>
        <w:tc>
          <w:tcPr>
            <w:tcW w:w="595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1、符合YD/T 778-2011标准；</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2、19”机柜式固定安装，1U可安装24个法兰，最高LC法兰为48芯，2U型48口光纤配线架LC法兰安装最多可安装96芯；</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3、光纤配线架需采用透明塑料法兰条，支持SC\FC\LC\ST光纤产品适配器，六类铜缆模块混插；</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4、内置绕纤盘，使纤芯有合理的弯曲度；</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5、面板采用不低于1.2 mm 的冷钢板，黑色烤漆工艺；</w:t>
            </w:r>
          </w:p>
        </w:tc>
        <w:tc>
          <w:tcPr>
            <w:tcW w:w="788"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个</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3</w:t>
            </w:r>
          </w:p>
        </w:tc>
        <w:tc>
          <w:tcPr>
            <w:tcW w:w="950"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6</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12口光纤配线架（含适配器）</w:t>
            </w:r>
          </w:p>
        </w:tc>
        <w:tc>
          <w:tcPr>
            <w:tcW w:w="595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1、符合YD/T 778-2011标准；</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2、19”机柜式固定安装，1U可安装24个法兰，最高LC法兰为48芯，2U型48口光纤配线架LC法兰安装最多可安装96芯；</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3、光纤配线架需采用透明塑料法兰条，支持SC\FC\LC\ST光纤产品适配器和超五类，六类铜缆模块混插；</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4、内置绕纤盘，使纤芯有合理的弯曲度；</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5、面板采用不低于1.2 mm 的冷钢板，黑色烤漆工艺；</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 xml:space="preserve"> </w:t>
            </w:r>
          </w:p>
        </w:tc>
        <w:tc>
          <w:tcPr>
            <w:tcW w:w="788"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个</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20</w:t>
            </w:r>
          </w:p>
        </w:tc>
        <w:tc>
          <w:tcPr>
            <w:tcW w:w="950"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7</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LC单工适配器</w:t>
            </w:r>
          </w:p>
        </w:tc>
        <w:tc>
          <w:tcPr>
            <w:tcW w:w="595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1、产品符合YD/T1272.3-2005行业标准；</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2、机械耐久性：＞500次，插入损耗变化量＜0.2dB，回波损耗变化量＜5dB；</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3、插入损耗：＜0.2dB（单模）、小于0.1dB（多模）；</w:t>
            </w:r>
          </w:p>
        </w:tc>
        <w:tc>
          <w:tcPr>
            <w:tcW w:w="788"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个</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480</w:t>
            </w:r>
          </w:p>
        </w:tc>
        <w:tc>
          <w:tcPr>
            <w:tcW w:w="950"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8</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LC万兆单模尾纤</w:t>
            </w:r>
          </w:p>
        </w:tc>
        <w:tc>
          <w:tcPr>
            <w:tcW w:w="595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1、产品符合YD/T1272.1-2003、YD/T1258.3-2009、GB/T12357.1-2004标准；</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2、连接器采用句型结构及弹性卡子锁紧结构,防拉设计，防腐蚀主体；                                                                                                             3、机械耐久性：500次≤0.2dB（插入损耗变化量）/500次＜5dB（回波损耗变化量）、重复性：10次≤0.2dB（插入损耗变化量）/10次＜5dB（回波损耗变化量）；6、工作温度：-25℃～70℃                                                                                                                                                   </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 xml:space="preserve">4、插拔力：≤19.6N                                                                                                                                                                                                     </w:t>
            </w:r>
          </w:p>
        </w:tc>
        <w:tc>
          <w:tcPr>
            <w:tcW w:w="788"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根</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264</w:t>
            </w:r>
          </w:p>
        </w:tc>
        <w:tc>
          <w:tcPr>
            <w:tcW w:w="950"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9</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万兆单模双芯LC-LC光纤跳线（3M）</w:t>
            </w:r>
          </w:p>
        </w:tc>
        <w:tc>
          <w:tcPr>
            <w:tcW w:w="595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1、产品符合YD/T1272.1-2003、YD/T1258.3-2009、GB/T12357.1-2004标准；</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2、连接器采用句型结构及弹性卡子锁紧结构,防拉设计，防腐蚀主体；                                                                                                             3、机械耐久性：500次≤0.2dB（插入损耗变化量）/500次＜5dB（回波损耗变化量）、重复性：10次≤0.2dB（插入损耗变化量）/10次＜5dB（回波损耗变化量）；6、工作温度：-25℃～70℃                                                                                                                                                   </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 xml:space="preserve">4、插拔力：≤19.6N                                                                                                                                                                                                            </w:t>
            </w:r>
          </w:p>
        </w:tc>
        <w:tc>
          <w:tcPr>
            <w:tcW w:w="788"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条</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132</w:t>
            </w:r>
          </w:p>
        </w:tc>
        <w:tc>
          <w:tcPr>
            <w:tcW w:w="950"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2"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c>
          <w:tcPr>
            <w:tcW w:w="1150"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c>
          <w:tcPr>
            <w:tcW w:w="5950" w:type="dxa"/>
            <w:vAlign w:val="top"/>
          </w:tcPr>
          <w:p>
            <w:pP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建筑群子系统</w:t>
            </w:r>
          </w:p>
        </w:tc>
        <w:tc>
          <w:tcPr>
            <w:tcW w:w="788"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c>
          <w:tcPr>
            <w:tcW w:w="662"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c>
          <w:tcPr>
            <w:tcW w:w="950"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1</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3类25对大对数</w:t>
            </w:r>
          </w:p>
        </w:tc>
        <w:tc>
          <w:tcPr>
            <w:tcW w:w="595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1、符合YD/T 926.2，ANSI/TIA/EIA-568B.2，ISO /IEC11801标准；</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2、采用实芯铜导体，国标0.4为26AWG，国标0.5为24AWG；</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3、护套材料:PVC、缘层材料:PE；</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4、绝缘：实芯聚烯烃；        </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5、最大安装拉力：150N；</w:t>
            </w:r>
          </w:p>
        </w:tc>
        <w:tc>
          <w:tcPr>
            <w:tcW w:w="788"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米</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1600</w:t>
            </w:r>
          </w:p>
        </w:tc>
        <w:tc>
          <w:tcPr>
            <w:tcW w:w="950"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2</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8芯光电复合单模光缆</w:t>
            </w:r>
          </w:p>
        </w:tc>
        <w:tc>
          <w:tcPr>
            <w:tcW w:w="595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1、产品符合YD/T769-2010、YD/T 908-2011、GB/T9771.3-2008、GB/T12357.1-2004等标准；</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2、机械性能和温度特性良好，可在-40℃～+70℃环境下使用；</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3、松套管材料耐水解性能好和强度高；</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4、管内充以特种油膏对光纤进行关键性保护；</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5、采用双面涂塑光带提高光缆的抗潮能力；</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6、采用两根平行钢丝保证光缆的抗拉强度；</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7、采用PE护套；                                                                                                                                8、8芯、电源线无氧铜2*1；</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9、长期的允许拉伸力600N,短期允许拉伸力1500N；</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10、长期允许压扁力300N/100mm，短期允许压扁力要求1000N/100mm；</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11、动态最小弯曲半径20D mm，静态最小弯曲半径10D mm；                                                                                                                       12、光学特性：1、光缆在@1310nm时衰减≤0.36（ dB/km）；光缆在@1550nm时衰减≤0.22（ dB/km）；光缆在@1300nm时温度附加衰减（-20°~+60°）≤0.05 dB/km；光缆在@1550nm时温度附加衰减（-20°~+60°）≤0.05 dB/km</w:t>
            </w:r>
          </w:p>
        </w:tc>
        <w:tc>
          <w:tcPr>
            <w:tcW w:w="788"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米</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11690</w:t>
            </w:r>
          </w:p>
        </w:tc>
        <w:tc>
          <w:tcPr>
            <w:tcW w:w="950"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3</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24芯光电复合单模光缆</w:t>
            </w:r>
          </w:p>
        </w:tc>
        <w:tc>
          <w:tcPr>
            <w:tcW w:w="595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1、符合YD/T1258-4、YD/T 908-2011、GB/T9771.3-2008、GB/T12357.1-2004等标准；</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2、机械性能和温度特性良好，可在-40℃～+70℃环境下使用；</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3、松套管材料耐水解性能好和强度高；</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4、管内充以特种油膏对光纤进行关键性保护；</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5、采用双面涂塑光带提高光缆的抗潮能力；</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6、采用两根平行钢丝保证光缆的抗拉强度；</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7、采用PE护套；                                                                                                                                8、24芯、电源线无氧铜2*2.5；</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9、长期的允许拉伸力600N,短期允许拉伸力1500N；</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10、长期允许压扁力300N/100mm，短期允许压扁力要求1000N/100mm；</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11、动态最小弯曲半径20D mm，静态最小弯曲半径10D mm；                                                                                                                       12、光学特性：1、光缆在@1310nm时衰减≤0.36（ dB/km）；光缆在@1550nm时衰减≤0.22（ dB/km）；光缆在@1300nm时温度附加衰减（-20°~+60°）≤0.05 dB/km；光缆在@1550nm时温度附加衰减（-20°~+60°）≤0.05 dB/km</w:t>
            </w:r>
          </w:p>
        </w:tc>
        <w:tc>
          <w:tcPr>
            <w:tcW w:w="788"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米</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6900</w:t>
            </w:r>
          </w:p>
        </w:tc>
        <w:tc>
          <w:tcPr>
            <w:tcW w:w="950"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4</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8口光纤熔接盒</w:t>
            </w:r>
          </w:p>
        </w:tc>
        <w:tc>
          <w:tcPr>
            <w:tcW w:w="595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1、符合YD/T 778-2011标准；</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2、支持SC\FC\LC\ST光纤产品适配器和超五类，六类铜缆模块混插；</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3、内置绕纤盘，使纤芯有合理的弯曲度；</w:t>
            </w:r>
          </w:p>
        </w:tc>
        <w:tc>
          <w:tcPr>
            <w:tcW w:w="788"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个</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20</w:t>
            </w:r>
          </w:p>
        </w:tc>
        <w:tc>
          <w:tcPr>
            <w:tcW w:w="950"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5</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光纤熔接</w:t>
            </w:r>
          </w:p>
        </w:tc>
        <w:tc>
          <w:tcPr>
            <w:tcW w:w="5950"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符合GB 50200-94技术规范要求</w:t>
            </w:r>
          </w:p>
        </w:tc>
        <w:tc>
          <w:tcPr>
            <w:tcW w:w="788"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芯</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860</w:t>
            </w:r>
          </w:p>
        </w:tc>
        <w:tc>
          <w:tcPr>
            <w:tcW w:w="950"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2"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c>
          <w:tcPr>
            <w:tcW w:w="1150"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c>
          <w:tcPr>
            <w:tcW w:w="5950" w:type="dxa"/>
            <w:vAlign w:val="top"/>
          </w:tcPr>
          <w:p>
            <w:pP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设备间子系统</w:t>
            </w:r>
          </w:p>
        </w:tc>
        <w:tc>
          <w:tcPr>
            <w:tcW w:w="788"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c>
          <w:tcPr>
            <w:tcW w:w="662"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c>
          <w:tcPr>
            <w:tcW w:w="950"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1</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24口LC光纤配线架</w:t>
            </w:r>
          </w:p>
        </w:tc>
        <w:tc>
          <w:tcPr>
            <w:tcW w:w="595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1、符合YD/T 778-2011标准；</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2、19”机柜式固定安装，1U可安装24个法兰，最高LC法兰为48芯，2U型48口光纤配线架LC法兰安装最多可安装96芯；</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3、光纤配线架需采用透明塑料法兰条，支持SC\FC\LC\ST光纤产品适配器和超五类，六类铜缆模块混插；</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4、内置绕纤盘，使纤芯有合理的弯曲度；</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5、面板采用不低于1.2 mm 的冷钢板，黑色烤漆工艺；</w:t>
            </w:r>
          </w:p>
        </w:tc>
        <w:tc>
          <w:tcPr>
            <w:tcW w:w="788" w:type="dxa"/>
            <w:vAlign w:val="center"/>
          </w:tcPr>
          <w:p>
            <w:pPr>
              <w:jc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个</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9</w:t>
            </w:r>
          </w:p>
        </w:tc>
        <w:tc>
          <w:tcPr>
            <w:tcW w:w="950"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2</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LC万兆单模尾纤</w:t>
            </w:r>
          </w:p>
        </w:tc>
        <w:tc>
          <w:tcPr>
            <w:tcW w:w="595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1、产品符合YD/T1272.1-2003、YD/T1258.3-2009、GB/T12357.1-2004标准；</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2、连接器采用句型结构及弹性卡子锁紧结构,防拉设计，防腐蚀主体；                                                                                                             3、机械耐久性：500次≤0.2dB（插入损耗变化量）/500次＜5dB（回波损耗变化量）、重复性：10次≤0.2dB（插入损耗变化量）/10次＜5dB（回波损耗变化量）；6、工作温度：-25℃～70℃                                                                                                                                                   </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 xml:space="preserve">4、插拔力：≤19.6N                                                                                                                                                 </w:t>
            </w:r>
          </w:p>
        </w:tc>
        <w:tc>
          <w:tcPr>
            <w:tcW w:w="788"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根</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216</w:t>
            </w:r>
          </w:p>
        </w:tc>
        <w:tc>
          <w:tcPr>
            <w:tcW w:w="950"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3</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万兆单模双芯LC-LC光纤跳线（3M）</w:t>
            </w:r>
          </w:p>
        </w:tc>
        <w:tc>
          <w:tcPr>
            <w:tcW w:w="595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1、产品符合YD/T1272.1-2003、YD/T1258.3-2009、GB/T12357.1-2004标准；</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2、连接器采用句型结构及弹性卡子锁紧结构,防拉设计，防腐蚀主体；                                                                                                             3、机械耐久性：500次≤0.2dB（插入损耗变化量）/500次＜5dB（回波损耗变化量）、重复性：10次≤0.2dB（插入损耗变化量）/10次＜5dB（回波损耗变化量）；6、工作温度：-25℃～70℃                                                                                                                                                   </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 xml:space="preserve">4、插拔力：≤19.6N                                                                                                                                                                                                       </w:t>
            </w:r>
          </w:p>
        </w:tc>
        <w:tc>
          <w:tcPr>
            <w:tcW w:w="788"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条</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108</w:t>
            </w:r>
          </w:p>
        </w:tc>
        <w:tc>
          <w:tcPr>
            <w:tcW w:w="950"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4</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100对110配线架（含压接块）</w:t>
            </w:r>
          </w:p>
        </w:tc>
        <w:tc>
          <w:tcPr>
            <w:tcW w:w="595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1、符合标准ISO/IEC 11801:2002 Ed2.0，TIA/EIA 568-B.2；</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2、模块化设计单元内部的连接终端，用于连接水平布线和运营商机柜内线缆之间的连接，只需增减IDC模块即可</w:t>
            </w:r>
          </w:p>
        </w:tc>
        <w:tc>
          <w:tcPr>
            <w:tcW w:w="788"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个</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5</w:t>
            </w:r>
          </w:p>
        </w:tc>
        <w:tc>
          <w:tcPr>
            <w:tcW w:w="950"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5</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110型理线器</w:t>
            </w:r>
          </w:p>
        </w:tc>
        <w:tc>
          <w:tcPr>
            <w:tcW w:w="595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1、依据标准: GB/T 3047.2、GB/T 4054；</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2、面板采用不低于1.6 mm 的冷钢板，黑色烤漆工艺；</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3、盖板和线环选用优质PC/ABS</w:t>
            </w:r>
          </w:p>
        </w:tc>
        <w:tc>
          <w:tcPr>
            <w:tcW w:w="788"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个</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5</w:t>
            </w:r>
          </w:p>
        </w:tc>
        <w:tc>
          <w:tcPr>
            <w:tcW w:w="950"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6</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理线架</w:t>
            </w:r>
          </w:p>
        </w:tc>
        <w:tc>
          <w:tcPr>
            <w:tcW w:w="595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1、符合YD/T（1019-2000），ANSI/TIA/EIA-568B.2，ISO /IEC11801，UL Subject444标准；</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2、面板采用不低于1.6 mm 的冷钢板，黑色烤漆工艺；</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3、盖板和线环选用优质PC/ABS</w:t>
            </w:r>
          </w:p>
        </w:tc>
        <w:tc>
          <w:tcPr>
            <w:tcW w:w="788"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个</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9</w:t>
            </w:r>
          </w:p>
        </w:tc>
        <w:tc>
          <w:tcPr>
            <w:tcW w:w="950"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7</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8位PDU</w:t>
            </w:r>
          </w:p>
        </w:tc>
        <w:tc>
          <w:tcPr>
            <w:tcW w:w="595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1、10A；</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2、不少于8个插座</w:t>
            </w:r>
          </w:p>
        </w:tc>
        <w:tc>
          <w:tcPr>
            <w:tcW w:w="788"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个</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121</w:t>
            </w:r>
          </w:p>
        </w:tc>
        <w:tc>
          <w:tcPr>
            <w:tcW w:w="950"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8</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配电箱</w:t>
            </w:r>
          </w:p>
        </w:tc>
        <w:tc>
          <w:tcPr>
            <w:tcW w:w="5950" w:type="dxa"/>
            <w:vAlign w:val="center"/>
          </w:tcPr>
          <w:p>
            <w:pPr>
              <w:keepNext w:val="0"/>
              <w:keepLines w:val="0"/>
              <w:widowControl/>
              <w:suppressLineNumbers w:val="0"/>
              <w:jc w:val="left"/>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1.PZ30-12（含空气开关-2P空开、浪涌保护器-40kA/275V 2P）</w:t>
            </w:r>
          </w:p>
          <w:p>
            <w:pPr>
              <w:keepNext w:val="0"/>
              <w:keepLines w:val="0"/>
              <w:widowControl/>
              <w:suppressLineNumbers w:val="0"/>
              <w:jc w:val="left"/>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2.国产优质</w:t>
            </w:r>
          </w:p>
        </w:tc>
        <w:tc>
          <w:tcPr>
            <w:tcW w:w="788"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40</w:t>
            </w:r>
          </w:p>
        </w:tc>
        <w:tc>
          <w:tcPr>
            <w:tcW w:w="950"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9</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航空插头（3芯16A防水）</w:t>
            </w:r>
          </w:p>
        </w:tc>
        <w:tc>
          <w:tcPr>
            <w:tcW w:w="5950"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 xml:space="preserve">航空插头（3芯16A防水） </w:t>
            </w:r>
          </w:p>
        </w:tc>
        <w:tc>
          <w:tcPr>
            <w:tcW w:w="788"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套</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4</w:t>
            </w:r>
          </w:p>
        </w:tc>
        <w:tc>
          <w:tcPr>
            <w:tcW w:w="950"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2"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c>
          <w:tcPr>
            <w:tcW w:w="1150"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c>
          <w:tcPr>
            <w:tcW w:w="5950" w:type="dxa"/>
            <w:vAlign w:val="top"/>
          </w:tcPr>
          <w:p>
            <w:pP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管路桥架系统</w:t>
            </w:r>
          </w:p>
        </w:tc>
        <w:tc>
          <w:tcPr>
            <w:tcW w:w="788"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c>
          <w:tcPr>
            <w:tcW w:w="662"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c>
          <w:tcPr>
            <w:tcW w:w="950"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1</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桥架</w:t>
            </w:r>
          </w:p>
        </w:tc>
        <w:tc>
          <w:tcPr>
            <w:tcW w:w="5950"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1、名称：镀锌金属桥架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2、规格、型号：200*100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3、钢板厚1.0mm，含桥架组对、焊接或螺栓固定、弯头、三通或四通、盖板、附件安装、接地跨接等。</w:t>
            </w:r>
          </w:p>
        </w:tc>
        <w:tc>
          <w:tcPr>
            <w:tcW w:w="788"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m</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4260</w:t>
            </w:r>
          </w:p>
        </w:tc>
        <w:tc>
          <w:tcPr>
            <w:tcW w:w="950"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2</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桥架</w:t>
            </w:r>
          </w:p>
        </w:tc>
        <w:tc>
          <w:tcPr>
            <w:tcW w:w="5950"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1、名称：水平镀锌金属桥架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2、规格、型号：50*100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3、钢板厚1.0mm，含桥架组对、焊接或螺栓固定、弯头、三通或四通、盖板、附件安装、接地跨接等。</w:t>
            </w:r>
          </w:p>
        </w:tc>
        <w:tc>
          <w:tcPr>
            <w:tcW w:w="788"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m</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360</w:t>
            </w:r>
          </w:p>
        </w:tc>
        <w:tc>
          <w:tcPr>
            <w:tcW w:w="950"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3</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桥架</w:t>
            </w:r>
          </w:p>
        </w:tc>
        <w:tc>
          <w:tcPr>
            <w:tcW w:w="5950"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1、名称：垂直镀锌金属桥架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2、规格、型号：300*100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3、钢板厚1.0mm，含桥架组对、焊接或螺栓固定、弯头、三通或四通、盖板、附件安装、接地跨接等。</w:t>
            </w:r>
          </w:p>
        </w:tc>
        <w:tc>
          <w:tcPr>
            <w:tcW w:w="788"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m</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160</w:t>
            </w:r>
          </w:p>
        </w:tc>
        <w:tc>
          <w:tcPr>
            <w:tcW w:w="950"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4</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铁构件</w:t>
            </w:r>
          </w:p>
        </w:tc>
        <w:tc>
          <w:tcPr>
            <w:tcW w:w="5950"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桥架支撑架制作安装，含支架油漆</w:t>
            </w:r>
          </w:p>
        </w:tc>
        <w:tc>
          <w:tcPr>
            <w:tcW w:w="788"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kg</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3047.25</w:t>
            </w:r>
          </w:p>
        </w:tc>
        <w:tc>
          <w:tcPr>
            <w:tcW w:w="950"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5</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双绞线缆测试</w:t>
            </w:r>
          </w:p>
        </w:tc>
        <w:tc>
          <w:tcPr>
            <w:tcW w:w="5950"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测试 4对双绞线缆</w:t>
            </w:r>
          </w:p>
        </w:tc>
        <w:tc>
          <w:tcPr>
            <w:tcW w:w="788"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链路</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956</w:t>
            </w:r>
          </w:p>
        </w:tc>
        <w:tc>
          <w:tcPr>
            <w:tcW w:w="950"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6</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光纤测试</w:t>
            </w:r>
          </w:p>
        </w:tc>
        <w:tc>
          <w:tcPr>
            <w:tcW w:w="5950"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测试 光纤</w:t>
            </w:r>
          </w:p>
        </w:tc>
        <w:tc>
          <w:tcPr>
            <w:tcW w:w="788"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对</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108</w:t>
            </w:r>
          </w:p>
        </w:tc>
        <w:tc>
          <w:tcPr>
            <w:tcW w:w="950"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bl>
    <w:p>
      <w:pP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2.3中心机房建设工程</w:t>
      </w:r>
    </w:p>
    <w:tbl>
      <w:tblPr>
        <w:tblStyle w:val="99"/>
        <w:tblW w:w="105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1150"/>
        <w:gridCol w:w="5963"/>
        <w:gridCol w:w="762"/>
        <w:gridCol w:w="675"/>
        <w:gridCol w:w="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1"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序号</w:t>
            </w:r>
          </w:p>
        </w:tc>
        <w:tc>
          <w:tcPr>
            <w:tcW w:w="1150"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项目名称</w:t>
            </w:r>
          </w:p>
        </w:tc>
        <w:tc>
          <w:tcPr>
            <w:tcW w:w="5963"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技术参数</w:t>
            </w:r>
            <w:r>
              <w:rPr>
                <w:rFonts w:hint="eastAsia" w:ascii="宋体" w:hAnsi="宋体" w:eastAsia="宋体" w:cs="宋体"/>
                <w:b/>
                <w:i w:val="0"/>
                <w:color w:val="auto"/>
                <w:kern w:val="0"/>
                <w:sz w:val="21"/>
                <w:szCs w:val="21"/>
                <w:highlight w:val="none"/>
                <w:u w:val="none"/>
                <w:lang w:val="en-US" w:eastAsia="zh-CN" w:bidi="ar"/>
              </w:rPr>
              <w:fldChar w:fldCharType="begin"/>
            </w:r>
            <w:r>
              <w:rPr>
                <w:rFonts w:hint="eastAsia" w:ascii="宋体" w:hAnsi="宋体" w:eastAsia="宋体" w:cs="宋体"/>
                <w:b/>
                <w:i w:val="0"/>
                <w:color w:val="auto"/>
                <w:kern w:val="0"/>
                <w:sz w:val="21"/>
                <w:szCs w:val="21"/>
                <w:highlight w:val="none"/>
                <w:u w:val="none"/>
                <w:lang w:val="en-US" w:eastAsia="zh-CN" w:bidi="ar"/>
              </w:rPr>
              <w:instrText xml:space="preserve">INCLUDEPICTURE \d "C:\\Users\\s\\AppData\\Local\\Temp\\ksohtml\\clip_image2.png" \* MERGEFORMATINET </w:instrText>
            </w:r>
            <w:r>
              <w:rPr>
                <w:rFonts w:hint="eastAsia" w:ascii="宋体" w:hAnsi="宋体" w:eastAsia="宋体" w:cs="宋体"/>
                <w:b/>
                <w:i w:val="0"/>
                <w:color w:val="auto"/>
                <w:kern w:val="0"/>
                <w:sz w:val="21"/>
                <w:szCs w:val="21"/>
                <w:highlight w:val="none"/>
                <w:u w:val="none"/>
                <w:lang w:val="en-US" w:eastAsia="zh-CN" w:bidi="ar"/>
              </w:rPr>
              <w:fldChar w:fldCharType="separate"/>
            </w:r>
            <w:r>
              <w:rPr>
                <w:rFonts w:hint="eastAsia" w:ascii="宋体" w:hAnsi="宋体" w:eastAsia="宋体" w:cs="宋体"/>
                <w:b/>
                <w:i w:val="0"/>
                <w:color w:val="auto"/>
                <w:kern w:val="0"/>
                <w:sz w:val="21"/>
                <w:szCs w:val="21"/>
                <w:highlight w:val="none"/>
                <w:u w:val="none"/>
                <w:lang w:val="en-US" w:eastAsia="zh-CN" w:bidi="ar"/>
              </w:rPr>
              <w:drawing>
                <wp:inline distT="0" distB="0" distL="114300" distR="114300">
                  <wp:extent cx="9525" cy="9525"/>
                  <wp:effectExtent l="0" t="0" r="0" b="0"/>
                  <wp:docPr id="8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1" descr="IMG_256"/>
                          <pic:cNvPicPr>
                            <a:picLocks noChangeAspect="1"/>
                          </pic:cNvPicPr>
                        </pic:nvPicPr>
                        <pic:blipFill>
                          <a:blip r:embed="rId13"/>
                          <a:stretch>
                            <a:fillRect/>
                          </a:stretch>
                        </pic:blipFill>
                        <pic:spPr>
                          <a:xfrm>
                            <a:off x="0" y="0"/>
                            <a:ext cx="9525" cy="9525"/>
                          </a:xfrm>
                          <a:prstGeom prst="rect">
                            <a:avLst/>
                          </a:prstGeom>
                          <a:noFill/>
                          <a:ln w="9525">
                            <a:noFill/>
                          </a:ln>
                        </pic:spPr>
                      </pic:pic>
                    </a:graphicData>
                  </a:graphic>
                </wp:inline>
              </w:drawing>
            </w:r>
            <w:r>
              <w:rPr>
                <w:rFonts w:hint="eastAsia" w:ascii="宋体" w:hAnsi="宋体" w:eastAsia="宋体" w:cs="宋体"/>
                <w:b/>
                <w:i w:val="0"/>
                <w:color w:val="auto"/>
                <w:kern w:val="0"/>
                <w:sz w:val="21"/>
                <w:szCs w:val="21"/>
                <w:highlight w:val="none"/>
                <w:u w:val="none"/>
                <w:lang w:val="en-US" w:eastAsia="zh-CN" w:bidi="ar"/>
              </w:rPr>
              <w:fldChar w:fldCharType="end"/>
            </w:r>
          </w:p>
        </w:tc>
        <w:tc>
          <w:tcPr>
            <w:tcW w:w="762" w:type="dxa"/>
            <w:vAlign w:val="center"/>
          </w:tcPr>
          <w:p>
            <w:pPr>
              <w:keepNext w:val="0"/>
              <w:keepLines w:val="0"/>
              <w:widowControl/>
              <w:suppressLineNumbers w:val="0"/>
              <w:jc w:val="center"/>
              <w:textAlignment w:val="center"/>
              <w:rPr>
                <w:rFonts w:hint="eastAsia" w:ascii="宋体" w:hAnsi="宋体" w:eastAsia="宋体" w:cs="宋体"/>
                <w:b/>
                <w:bCs w:val="0"/>
                <w:color w:val="auto"/>
                <w:sz w:val="21"/>
                <w:szCs w:val="21"/>
                <w:highlight w:val="none"/>
                <w:vertAlign w:val="baseline"/>
                <w:lang w:val="en-US" w:eastAsia="zh-CN"/>
              </w:rPr>
            </w:pPr>
            <w:r>
              <w:rPr>
                <w:rFonts w:hint="eastAsia" w:ascii="宋体" w:hAnsi="宋体" w:eastAsia="宋体" w:cs="宋体"/>
                <w:b/>
                <w:bCs w:val="0"/>
                <w:i w:val="0"/>
                <w:color w:val="auto"/>
                <w:kern w:val="0"/>
                <w:sz w:val="21"/>
                <w:szCs w:val="21"/>
                <w:highlight w:val="none"/>
                <w:u w:val="none"/>
                <w:lang w:val="en-US" w:eastAsia="zh-CN" w:bidi="ar"/>
              </w:rPr>
              <w:t>单位</w:t>
            </w:r>
          </w:p>
        </w:tc>
        <w:tc>
          <w:tcPr>
            <w:tcW w:w="675" w:type="dxa"/>
            <w:vAlign w:val="center"/>
          </w:tcPr>
          <w:p>
            <w:pPr>
              <w:keepNext w:val="0"/>
              <w:keepLines w:val="0"/>
              <w:widowControl/>
              <w:suppressLineNumbers w:val="0"/>
              <w:jc w:val="center"/>
              <w:textAlignment w:val="center"/>
              <w:rPr>
                <w:rFonts w:hint="eastAsia" w:ascii="宋体" w:hAnsi="宋体" w:eastAsia="宋体" w:cs="宋体"/>
                <w:b/>
                <w:bCs w:val="0"/>
                <w:color w:val="auto"/>
                <w:sz w:val="21"/>
                <w:szCs w:val="21"/>
                <w:highlight w:val="none"/>
                <w:vertAlign w:val="baseline"/>
                <w:lang w:val="en-US" w:eastAsia="zh-CN"/>
              </w:rPr>
            </w:pPr>
            <w:r>
              <w:rPr>
                <w:rFonts w:hint="eastAsia" w:ascii="宋体" w:hAnsi="宋体" w:eastAsia="宋体" w:cs="宋体"/>
                <w:b/>
                <w:bCs w:val="0"/>
                <w:i w:val="0"/>
                <w:color w:val="auto"/>
                <w:kern w:val="0"/>
                <w:sz w:val="21"/>
                <w:szCs w:val="21"/>
                <w:highlight w:val="none"/>
                <w:u w:val="none"/>
                <w:lang w:val="en-US" w:eastAsia="zh-CN" w:bidi="ar"/>
              </w:rPr>
              <w:t>数量</w:t>
            </w:r>
          </w:p>
        </w:tc>
        <w:tc>
          <w:tcPr>
            <w:tcW w:w="969"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1" w:type="dxa"/>
            <w:vAlign w:val="top"/>
          </w:tcPr>
          <w:p>
            <w:pPr>
              <w:rPr>
                <w:rFonts w:hint="eastAsia" w:ascii="宋体" w:hAnsi="宋体" w:eastAsia="宋体" w:cs="宋体"/>
                <w:b/>
                <w:bCs/>
                <w:color w:val="auto"/>
                <w:sz w:val="21"/>
                <w:szCs w:val="21"/>
                <w:highlight w:val="none"/>
                <w:vertAlign w:val="baseline"/>
                <w:lang w:val="en-US" w:eastAsia="zh-CN"/>
              </w:rPr>
            </w:pPr>
          </w:p>
        </w:tc>
        <w:tc>
          <w:tcPr>
            <w:tcW w:w="1150" w:type="dxa"/>
            <w:vAlign w:val="top"/>
          </w:tcPr>
          <w:p>
            <w:pPr>
              <w:rPr>
                <w:rFonts w:hint="eastAsia" w:ascii="宋体" w:hAnsi="宋体" w:eastAsia="宋体" w:cs="宋体"/>
                <w:b/>
                <w:bCs/>
                <w:color w:val="auto"/>
                <w:sz w:val="21"/>
                <w:szCs w:val="21"/>
                <w:highlight w:val="none"/>
                <w:vertAlign w:val="baseline"/>
                <w:lang w:val="en-US" w:eastAsia="zh-CN"/>
              </w:rPr>
            </w:pPr>
          </w:p>
        </w:tc>
        <w:tc>
          <w:tcPr>
            <w:tcW w:w="5963" w:type="dxa"/>
            <w:vAlign w:val="top"/>
          </w:tcPr>
          <w:p>
            <w:pP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UPS不间断电源</w:t>
            </w:r>
          </w:p>
        </w:tc>
        <w:tc>
          <w:tcPr>
            <w:tcW w:w="762"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c>
          <w:tcPr>
            <w:tcW w:w="675"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c>
          <w:tcPr>
            <w:tcW w:w="969"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1"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UPS主机</w:t>
            </w:r>
          </w:p>
        </w:tc>
        <w:tc>
          <w:tcPr>
            <w:tcW w:w="5963"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1、模块化UPS主机</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系统：90KVA,电池节数32/36/40节可调，带集中旁路模块、控制模块，支持热插拔功能,支持并机,不含SNMP卡。</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可插模块数：3个</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可插模块规格：30KVA；</w:t>
            </w:r>
          </w:p>
        </w:tc>
        <w:tc>
          <w:tcPr>
            <w:tcW w:w="7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台</w:t>
            </w:r>
          </w:p>
        </w:tc>
        <w:tc>
          <w:tcPr>
            <w:tcW w:w="675"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1</w:t>
            </w:r>
          </w:p>
        </w:tc>
        <w:tc>
          <w:tcPr>
            <w:tcW w:w="969"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1"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断电的信息提醒</w:t>
            </w:r>
          </w:p>
        </w:tc>
        <w:tc>
          <w:tcPr>
            <w:tcW w:w="5963"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1.监测UPS数量：1台；</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2.CPU：ARM CPU，主频可达500M高速中央处理器（CPU）；</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3.RAM：64K byte SDRAM；8M Flash；</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4.短信模块：支持中国移动GSM、中国联通、中国电信CDMA的2G/3G/4G ；</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5.网络接口：10/100Mbps高速以太网络自适应；</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6.LED指示灯：Power, Status, Run, LAN 10/100M Link/Active；</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7.运行环境: 温度（ 0°C ~ 70°C）；湿度（ 10 ~ 80%）；</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8.电源（DC）：8V ~ 15V自适应；</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9.其他配置：实时系统时钟(纽扣电池)。</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10.扩展功能1: 1个 RS485接口，级联串行接口，可扩展1-8个温湿度；</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11.扩展功能2：1路DO继电器输出接口，可用于接1个声光报警器。</w:t>
            </w:r>
          </w:p>
        </w:tc>
        <w:tc>
          <w:tcPr>
            <w:tcW w:w="7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套</w:t>
            </w:r>
          </w:p>
        </w:tc>
        <w:tc>
          <w:tcPr>
            <w:tcW w:w="675"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1</w:t>
            </w:r>
          </w:p>
        </w:tc>
        <w:tc>
          <w:tcPr>
            <w:tcW w:w="969"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1"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3</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蓄电池</w:t>
            </w:r>
          </w:p>
        </w:tc>
        <w:tc>
          <w:tcPr>
            <w:tcW w:w="5963"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1、免维护铅酸蓄电池，容量为12V100AH； </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 xml:space="preserve">2、12V电池浮充电压:13.65-13.80V之间;均衡充电电压:14.10-14.30V之间;放电终止电压: 10.2V； </w:t>
            </w:r>
          </w:p>
        </w:tc>
        <w:tc>
          <w:tcPr>
            <w:tcW w:w="7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节</w:t>
            </w:r>
          </w:p>
        </w:tc>
        <w:tc>
          <w:tcPr>
            <w:tcW w:w="675"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128</w:t>
            </w:r>
          </w:p>
        </w:tc>
        <w:tc>
          <w:tcPr>
            <w:tcW w:w="969"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1"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4</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一体化电池柜</w:t>
            </w:r>
          </w:p>
        </w:tc>
        <w:tc>
          <w:tcPr>
            <w:tcW w:w="5963"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1、名称：电池架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2、电池柜支架</w:t>
            </w:r>
          </w:p>
        </w:tc>
        <w:tc>
          <w:tcPr>
            <w:tcW w:w="7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台</w:t>
            </w:r>
          </w:p>
        </w:tc>
        <w:tc>
          <w:tcPr>
            <w:tcW w:w="675"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4</w:t>
            </w:r>
          </w:p>
        </w:tc>
        <w:tc>
          <w:tcPr>
            <w:tcW w:w="969"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1"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5</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UPS承重支架</w:t>
            </w:r>
          </w:p>
        </w:tc>
        <w:tc>
          <w:tcPr>
            <w:tcW w:w="5963"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1.5#镀锌角钢焊接支架</w:t>
            </w:r>
          </w:p>
        </w:tc>
        <w:tc>
          <w:tcPr>
            <w:tcW w:w="7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kg</w:t>
            </w:r>
          </w:p>
        </w:tc>
        <w:tc>
          <w:tcPr>
            <w:tcW w:w="675"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25</w:t>
            </w:r>
          </w:p>
        </w:tc>
        <w:tc>
          <w:tcPr>
            <w:tcW w:w="969"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1"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6</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配电箱</w:t>
            </w:r>
          </w:p>
        </w:tc>
        <w:tc>
          <w:tcPr>
            <w:tcW w:w="5963"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1.电池开关箱，内含160A开关</w:t>
            </w:r>
          </w:p>
        </w:tc>
        <w:tc>
          <w:tcPr>
            <w:tcW w:w="7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台</w:t>
            </w:r>
          </w:p>
        </w:tc>
        <w:tc>
          <w:tcPr>
            <w:tcW w:w="675"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4</w:t>
            </w:r>
          </w:p>
        </w:tc>
        <w:tc>
          <w:tcPr>
            <w:tcW w:w="969"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1"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7</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配线</w:t>
            </w:r>
          </w:p>
        </w:tc>
        <w:tc>
          <w:tcPr>
            <w:tcW w:w="5963"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1、名称：电池连接线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2、电池跨接配套连接线BVR50，及电池配套铜排</w:t>
            </w:r>
          </w:p>
        </w:tc>
        <w:tc>
          <w:tcPr>
            <w:tcW w:w="7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m</w:t>
            </w:r>
          </w:p>
        </w:tc>
        <w:tc>
          <w:tcPr>
            <w:tcW w:w="675"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100</w:t>
            </w:r>
          </w:p>
        </w:tc>
        <w:tc>
          <w:tcPr>
            <w:tcW w:w="969"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1" w:type="dxa"/>
            <w:vAlign w:val="top"/>
          </w:tcPr>
          <w:p>
            <w:pPr>
              <w:jc w:val="center"/>
              <w:rPr>
                <w:rFonts w:hint="eastAsia" w:ascii="宋体" w:hAnsi="宋体" w:eastAsia="宋体" w:cs="宋体"/>
                <w:b w:val="0"/>
                <w:bCs w:val="0"/>
                <w:color w:val="auto"/>
                <w:sz w:val="21"/>
                <w:szCs w:val="21"/>
                <w:highlight w:val="none"/>
                <w:vertAlign w:val="baseline"/>
                <w:lang w:val="en-US" w:eastAsia="zh-CN"/>
              </w:rPr>
            </w:pPr>
          </w:p>
        </w:tc>
        <w:tc>
          <w:tcPr>
            <w:tcW w:w="1150" w:type="dxa"/>
            <w:vAlign w:val="top"/>
          </w:tcPr>
          <w:p>
            <w:pPr>
              <w:jc w:val="center"/>
              <w:rPr>
                <w:rFonts w:hint="eastAsia" w:ascii="宋体" w:hAnsi="宋体" w:eastAsia="宋体" w:cs="宋体"/>
                <w:b w:val="0"/>
                <w:bCs w:val="0"/>
                <w:color w:val="auto"/>
                <w:sz w:val="21"/>
                <w:szCs w:val="21"/>
                <w:highlight w:val="none"/>
                <w:vertAlign w:val="baseline"/>
                <w:lang w:val="en-US" w:eastAsia="zh-CN"/>
              </w:rPr>
            </w:pPr>
          </w:p>
        </w:tc>
        <w:tc>
          <w:tcPr>
            <w:tcW w:w="5963" w:type="dxa"/>
            <w:vAlign w:val="top"/>
          </w:tcPr>
          <w:p>
            <w:pP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制冷系统</w:t>
            </w:r>
          </w:p>
        </w:tc>
        <w:tc>
          <w:tcPr>
            <w:tcW w:w="762"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c>
          <w:tcPr>
            <w:tcW w:w="675"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c>
          <w:tcPr>
            <w:tcW w:w="969"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1"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空调器</w:t>
            </w:r>
          </w:p>
        </w:tc>
        <w:tc>
          <w:tcPr>
            <w:tcW w:w="5963" w:type="dxa"/>
            <w:vAlign w:val="center"/>
          </w:tcPr>
          <w:p>
            <w:pPr>
              <w:keepNext w:val="0"/>
              <w:keepLines w:val="0"/>
              <w:widowControl/>
              <w:suppressLineNumbers w:val="0"/>
              <w:jc w:val="left"/>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1、名称：机架式空调（含冷媒管铜管、保温及空调安装用辅材）</w:t>
            </w:r>
          </w:p>
          <w:p>
            <w:pPr>
              <w:keepNext w:val="0"/>
              <w:keepLines w:val="0"/>
              <w:widowControl/>
              <w:suppressLineNumbers w:val="0"/>
              <w:jc w:val="left"/>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2、1）机架式空调，采用变频压缩机和EC风机，制冷量随负荷变化而自动调节，全年能效比（AEER）可达4.0以上；带冷凝水排水泵，送回风方式：前送后回；</w:t>
            </w:r>
          </w:p>
          <w:p>
            <w:pPr>
              <w:keepNext w:val="0"/>
              <w:keepLines w:val="0"/>
              <w:widowControl/>
              <w:suppressLineNumbers w:val="0"/>
              <w:jc w:val="left"/>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2）空调制冷量≥12.5KW，显热比为1，能效比≥3.0；</w:t>
            </w:r>
          </w:p>
          <w:p>
            <w:pPr>
              <w:keepNext w:val="0"/>
              <w:keepLines w:val="0"/>
              <w:widowControl/>
              <w:suppressLineNumbers w:val="0"/>
              <w:jc w:val="left"/>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3）送风量≥2600m³/h，长×宽×高：442×442×800mm（≤10U）；</w:t>
            </w:r>
          </w:p>
          <w:p>
            <w:pPr>
              <w:keepNext w:val="0"/>
              <w:keepLines w:val="0"/>
              <w:widowControl/>
              <w:suppressLineNumbers w:val="0"/>
              <w:jc w:val="left"/>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4）适配电源规格：220V-50Hz-1F+N+PE；</w:t>
            </w:r>
          </w:p>
          <w:p>
            <w:pPr>
              <w:keepNext w:val="0"/>
              <w:keepLines w:val="0"/>
              <w:widowControl/>
              <w:suppressLineNumbers w:val="0"/>
              <w:jc w:val="left"/>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5）具有压缩机保护、风机告警、温湿度传感器失效报警、漏水告警、相序保护、过欠压保护、缺相保护等保护功能</w:t>
            </w:r>
          </w:p>
          <w:p>
            <w:pPr>
              <w:keepNext w:val="0"/>
              <w:keepLines w:val="0"/>
              <w:widowControl/>
              <w:suppressLineNumbers w:val="0"/>
              <w:jc w:val="left"/>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6）机架式空调直接安装于机柜内底部。</w:t>
            </w:r>
          </w:p>
          <w:p>
            <w:pPr>
              <w:keepNext w:val="0"/>
              <w:keepLines w:val="0"/>
              <w:widowControl/>
              <w:suppressLineNumbers w:val="0"/>
              <w:jc w:val="left"/>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7）空调系统应采用与机柜紧耦合设计，靠近IT设备制冷，高效节能；</w:t>
            </w:r>
          </w:p>
          <w:p>
            <w:pPr>
              <w:keepNext w:val="0"/>
              <w:keepLines w:val="0"/>
              <w:widowControl/>
              <w:suppressLineNumbers w:val="0"/>
              <w:jc w:val="left"/>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3、含室内机、室外机、配套铜管及保温，铜管壁厚&gt;1.2mm.25mm以上直径，橡塑保温厚度9mm;采用符合GB/T18033-2000标准的T2硬铜管</w:t>
            </w:r>
          </w:p>
        </w:tc>
        <w:tc>
          <w:tcPr>
            <w:tcW w:w="7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台</w:t>
            </w:r>
          </w:p>
        </w:tc>
        <w:tc>
          <w:tcPr>
            <w:tcW w:w="675"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1</w:t>
            </w:r>
          </w:p>
        </w:tc>
        <w:tc>
          <w:tcPr>
            <w:tcW w:w="969"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1"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空调防水垄修筑</w:t>
            </w:r>
          </w:p>
        </w:tc>
        <w:tc>
          <w:tcPr>
            <w:tcW w:w="5963"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1、采用红砖切成600*600*300mm形状并粉刷聚氨酸防水涂料3遍</w:t>
            </w:r>
          </w:p>
        </w:tc>
        <w:tc>
          <w:tcPr>
            <w:tcW w:w="7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套</w:t>
            </w:r>
          </w:p>
        </w:tc>
        <w:tc>
          <w:tcPr>
            <w:tcW w:w="675"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1</w:t>
            </w:r>
          </w:p>
        </w:tc>
        <w:tc>
          <w:tcPr>
            <w:tcW w:w="969"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1"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3</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螺纹阀门</w:t>
            </w:r>
          </w:p>
        </w:tc>
        <w:tc>
          <w:tcPr>
            <w:tcW w:w="5963"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1、名称：PPR截止阀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2、规格：DN20</w:t>
            </w:r>
          </w:p>
        </w:tc>
        <w:tc>
          <w:tcPr>
            <w:tcW w:w="762"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个</w:t>
            </w:r>
          </w:p>
        </w:tc>
        <w:tc>
          <w:tcPr>
            <w:tcW w:w="675"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1</w:t>
            </w:r>
          </w:p>
        </w:tc>
        <w:tc>
          <w:tcPr>
            <w:tcW w:w="969"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1"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4</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螺纹阀门</w:t>
            </w:r>
          </w:p>
        </w:tc>
        <w:tc>
          <w:tcPr>
            <w:tcW w:w="5963"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 xml:space="preserve">1、名称：PPR截止阀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2、规格：DN15</w:t>
            </w:r>
          </w:p>
        </w:tc>
        <w:tc>
          <w:tcPr>
            <w:tcW w:w="7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个</w:t>
            </w:r>
          </w:p>
        </w:tc>
        <w:tc>
          <w:tcPr>
            <w:tcW w:w="675"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2</w:t>
            </w:r>
          </w:p>
        </w:tc>
        <w:tc>
          <w:tcPr>
            <w:tcW w:w="969"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1"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5</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除污器（过滤器）</w:t>
            </w:r>
          </w:p>
        </w:tc>
        <w:tc>
          <w:tcPr>
            <w:tcW w:w="5963"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1、名称：Y型过滤器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2、规格：DN25</w:t>
            </w:r>
          </w:p>
        </w:tc>
        <w:tc>
          <w:tcPr>
            <w:tcW w:w="7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个</w:t>
            </w:r>
          </w:p>
        </w:tc>
        <w:tc>
          <w:tcPr>
            <w:tcW w:w="675"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1</w:t>
            </w:r>
          </w:p>
        </w:tc>
        <w:tc>
          <w:tcPr>
            <w:tcW w:w="969"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1"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6</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塑料管</w:t>
            </w:r>
          </w:p>
        </w:tc>
        <w:tc>
          <w:tcPr>
            <w:tcW w:w="5963"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室内PPR给水管(热熔连接) DN20，含管件安装，管道试压冲洗。</w:t>
            </w:r>
          </w:p>
        </w:tc>
        <w:tc>
          <w:tcPr>
            <w:tcW w:w="7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m</w:t>
            </w:r>
          </w:p>
        </w:tc>
        <w:tc>
          <w:tcPr>
            <w:tcW w:w="675"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20</w:t>
            </w:r>
          </w:p>
        </w:tc>
        <w:tc>
          <w:tcPr>
            <w:tcW w:w="969"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1"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7</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塑料管</w:t>
            </w:r>
          </w:p>
        </w:tc>
        <w:tc>
          <w:tcPr>
            <w:tcW w:w="5963"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室内PPR给水管(热熔连接) DN15，含管件安装，管道试压冲洗。</w:t>
            </w:r>
          </w:p>
        </w:tc>
        <w:tc>
          <w:tcPr>
            <w:tcW w:w="7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m</w:t>
            </w:r>
          </w:p>
        </w:tc>
        <w:tc>
          <w:tcPr>
            <w:tcW w:w="675"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10</w:t>
            </w:r>
          </w:p>
        </w:tc>
        <w:tc>
          <w:tcPr>
            <w:tcW w:w="969"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1"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8</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塑料管</w:t>
            </w:r>
          </w:p>
        </w:tc>
        <w:tc>
          <w:tcPr>
            <w:tcW w:w="5963"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室内PPR排水管(粘接) DN32，含管件安装，管道闭水试验。</w:t>
            </w:r>
          </w:p>
        </w:tc>
        <w:tc>
          <w:tcPr>
            <w:tcW w:w="7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m</w:t>
            </w:r>
          </w:p>
        </w:tc>
        <w:tc>
          <w:tcPr>
            <w:tcW w:w="675"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30</w:t>
            </w:r>
          </w:p>
        </w:tc>
        <w:tc>
          <w:tcPr>
            <w:tcW w:w="969"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1"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9</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空调支架</w:t>
            </w:r>
          </w:p>
        </w:tc>
        <w:tc>
          <w:tcPr>
            <w:tcW w:w="5963"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1.5#镀锌角钢焊接</w:t>
            </w:r>
          </w:p>
        </w:tc>
        <w:tc>
          <w:tcPr>
            <w:tcW w:w="762" w:type="dxa"/>
            <w:vAlign w:val="center"/>
          </w:tcPr>
          <w:p>
            <w:pPr>
              <w:keepNext w:val="0"/>
              <w:keepLines w:val="0"/>
              <w:widowControl/>
              <w:suppressLineNumbers w:val="0"/>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kg</w:t>
            </w:r>
          </w:p>
        </w:tc>
        <w:tc>
          <w:tcPr>
            <w:tcW w:w="675" w:type="dxa"/>
            <w:vAlign w:val="center"/>
          </w:tcPr>
          <w:p>
            <w:pPr>
              <w:keepNext w:val="0"/>
              <w:keepLines w:val="0"/>
              <w:widowControl/>
              <w:suppressLineNumbers w:val="0"/>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25</w:t>
            </w:r>
          </w:p>
        </w:tc>
        <w:tc>
          <w:tcPr>
            <w:tcW w:w="969"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1"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c>
          <w:tcPr>
            <w:tcW w:w="5963" w:type="dxa"/>
            <w:vAlign w:val="center"/>
          </w:tcPr>
          <w:p>
            <w:pPr>
              <w:keepNext w:val="0"/>
              <w:keepLines w:val="0"/>
              <w:widowControl/>
              <w:suppressLineNumbers w:val="0"/>
              <w:jc w:val="left"/>
              <w:textAlignment w:val="center"/>
              <w:rPr>
                <w:rFonts w:hint="eastAsia" w:ascii="宋体" w:hAnsi="宋体" w:eastAsia="宋体" w:cs="宋体"/>
                <w:b/>
                <w:bCs/>
                <w:i w:val="0"/>
                <w:color w:val="auto"/>
                <w:kern w:val="0"/>
                <w:sz w:val="21"/>
                <w:szCs w:val="21"/>
                <w:highlight w:val="none"/>
                <w:u w:val="none"/>
                <w:lang w:val="en-US" w:eastAsia="zh-CN" w:bidi="ar"/>
              </w:rPr>
            </w:pPr>
            <w:r>
              <w:rPr>
                <w:rFonts w:hint="eastAsia" w:ascii="宋体" w:hAnsi="宋体" w:eastAsia="宋体" w:cs="宋体"/>
                <w:b/>
                <w:bCs/>
                <w:i w:val="0"/>
                <w:color w:val="auto"/>
                <w:kern w:val="0"/>
                <w:sz w:val="21"/>
                <w:szCs w:val="21"/>
                <w:highlight w:val="none"/>
                <w:u w:val="none"/>
                <w:lang w:val="en-US" w:eastAsia="zh-CN" w:bidi="ar"/>
              </w:rPr>
              <w:t>微模块数据机柜</w:t>
            </w:r>
          </w:p>
        </w:tc>
        <w:tc>
          <w:tcPr>
            <w:tcW w:w="762"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p>
        </w:tc>
        <w:tc>
          <w:tcPr>
            <w:tcW w:w="675"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p>
        </w:tc>
        <w:tc>
          <w:tcPr>
            <w:tcW w:w="969"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1"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机柜</w:t>
            </w:r>
          </w:p>
        </w:tc>
        <w:tc>
          <w:tcPr>
            <w:tcW w:w="5963"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 机柜尺寸为600mm（W）*1200mm（D）*2000mm(H),内部有效承载空间42U，满足19"国际标准机柜，颜色为黑色RAL9005、哑光，机柜灯光下无眩晕感；</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2）机柜立柱应采用八折型材一次滚压成型技术 ，保证承重要求。机柜主要承重部件包括立柱、横梁、框架等的板材厚度不小于2.0mm，顶板、侧板、底板等非承重部件的板材厚度1.2mm；</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3）装配应具有一致性和互换性，零部件应最大限度地采用标准件和通用件，紧固件无松动。外露和操作部位的零部件应光滑，无毛刺；</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 门和侧板为可拆卸式结构，门板装上机柜后无可见倾斜、凹陷、凸起或局部歪、扭现象存在，门的开合转动灵活、锁定可靠、施工安装和维护方便：门的开启角应不小于130°；</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 前后门均应采用外开门方式，前门为单开门，后门为双开门，前后门带锁。为保证服务器通风散热良好，门板需采用密排六边形网孔，前后门开孔率应不小于75%，孔径应在6mm～8.0mm之间，前门开孔区域面积比应不小于80%；后门开孔区域面积比不小于70%；</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机柜可以并排安装，随机应配有并柜连接件。机柜并柜后，柜体之间不应有明显的透光缝隙；并柜件应设置合理，满足在不拆卸前后门的情况下进行并柜操作，且不影响其他配件的安装，不影响冷热通道的封闭；</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7）机柜前后门框右下角处设有接地装置， 门边与框架接触位置应有减震装置；</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 机柜内部应设置不少于4根安装U立柱，用于安装设备和固定层板。安装立柱应能前后移动调节。安装立柱的间距、孔距等机柜内部尺寸结构应满足GB/T 19520.1-2007和GB/T 19520.2-2007的要求；</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 机柜采用上走线时，顶板后部设置有相应安装孔。机柜顶板设计为：留有通风栅格、网孔板便于安装强弱电走线槽；在柜顶两侧设置有4处、前后部留有2处走线孔，便于走线，并配置快拆式塑胶密封板进行密封；</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 机柜应设置走线装置，分别用于通信电缆和电源线的布放及固定。所有缆线管理件设置应合理、充分、方便操作；</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11）表面处理采用ICI专业高硬度粉末静电喷涂确保达到防静电及BS6497国际标准，表面电泳加喷涂，表面喷塑厚度达到60-120µm，喷塑硬度大于2H，和高温烤漆处理工艺，表层外观表面光洁、色泽均匀、无露底、无流积、无起泡、无裂纹、无桔皮、金属件无毛刺和修饰、防静电；</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12）外部件表面喷涂符合欧洲ROSH标准，达到国家无毒无害的喷涂标准；</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13) 机柜应满足静载2400kg承重要求；</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14) 机柜应满足YD5083-2005《电信设备抗地震性能检测规范》要求在配重600kg工况下；</w:t>
            </w:r>
          </w:p>
        </w:tc>
        <w:tc>
          <w:tcPr>
            <w:tcW w:w="762"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台</w:t>
            </w:r>
          </w:p>
        </w:tc>
        <w:tc>
          <w:tcPr>
            <w:tcW w:w="675"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4</w:t>
            </w:r>
          </w:p>
        </w:tc>
        <w:tc>
          <w:tcPr>
            <w:tcW w:w="969"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1"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2</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侧板</w:t>
            </w:r>
          </w:p>
        </w:tc>
        <w:tc>
          <w:tcPr>
            <w:tcW w:w="5963"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机柜侧板，适用于1200mm深，2000mm高的柜体，每侧配2块,适配SRA61242BY &amp; SRA81242BY</w:t>
            </w:r>
          </w:p>
        </w:tc>
        <w:tc>
          <w:tcPr>
            <w:tcW w:w="762"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块</w:t>
            </w:r>
          </w:p>
        </w:tc>
        <w:tc>
          <w:tcPr>
            <w:tcW w:w="675"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6</w:t>
            </w:r>
          </w:p>
        </w:tc>
        <w:tc>
          <w:tcPr>
            <w:tcW w:w="969"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1"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3</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PDU插座</w:t>
            </w:r>
          </w:p>
        </w:tc>
        <w:tc>
          <w:tcPr>
            <w:tcW w:w="5963"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32A输入：10*10A和4*16A国标插座，带指示灯，带1.5m输入线缆，上进线，黑色AB各半。</w:t>
            </w:r>
          </w:p>
        </w:tc>
        <w:tc>
          <w:tcPr>
            <w:tcW w:w="762"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个</w:t>
            </w:r>
          </w:p>
        </w:tc>
        <w:tc>
          <w:tcPr>
            <w:tcW w:w="675"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8</w:t>
            </w:r>
          </w:p>
        </w:tc>
        <w:tc>
          <w:tcPr>
            <w:tcW w:w="969"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1"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4</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盲板</w:t>
            </w:r>
          </w:p>
        </w:tc>
        <w:tc>
          <w:tcPr>
            <w:tcW w:w="5963"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1）1U免工具安装的快拆塑胶盲板，正面挡风使用，所用材料须满足UL94-V0级阻燃要求；</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2）安装要求：盲板安装后，盲板间无明显的缝隙。</w:t>
            </w:r>
          </w:p>
        </w:tc>
        <w:tc>
          <w:tcPr>
            <w:tcW w:w="762"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条</w:t>
            </w:r>
          </w:p>
        </w:tc>
        <w:tc>
          <w:tcPr>
            <w:tcW w:w="675"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70</w:t>
            </w:r>
          </w:p>
        </w:tc>
        <w:tc>
          <w:tcPr>
            <w:tcW w:w="969"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1"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5</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水平理线架</w:t>
            </w:r>
          </w:p>
        </w:tc>
        <w:tc>
          <w:tcPr>
            <w:tcW w:w="5963"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用于水平方向理线，高度1U</w:t>
            </w:r>
          </w:p>
        </w:tc>
        <w:tc>
          <w:tcPr>
            <w:tcW w:w="762"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个</w:t>
            </w:r>
          </w:p>
        </w:tc>
        <w:tc>
          <w:tcPr>
            <w:tcW w:w="675"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3</w:t>
            </w:r>
          </w:p>
        </w:tc>
        <w:tc>
          <w:tcPr>
            <w:tcW w:w="969"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1"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6</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金属（塑钢、断桥）窗</w:t>
            </w:r>
          </w:p>
        </w:tc>
        <w:tc>
          <w:tcPr>
            <w:tcW w:w="5963"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1、天窗尺寸：300(W)*1200(D)*300(H)mm，平顶天窗，70系列铝合金通道平顶天窗</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2、玻璃规格：5mm钢化玻璃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3、包含天窗支撑件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4、具体做法详见图纸</w:t>
            </w:r>
          </w:p>
        </w:tc>
        <w:tc>
          <w:tcPr>
            <w:tcW w:w="762"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樘</w:t>
            </w:r>
          </w:p>
        </w:tc>
        <w:tc>
          <w:tcPr>
            <w:tcW w:w="675"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1</w:t>
            </w:r>
          </w:p>
        </w:tc>
        <w:tc>
          <w:tcPr>
            <w:tcW w:w="969"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1"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7</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金属（塑钢、断桥）窗</w:t>
            </w:r>
          </w:p>
        </w:tc>
        <w:tc>
          <w:tcPr>
            <w:tcW w:w="5963"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1、天窗尺寸：600(W)*1200(D)*300(H)mm，平顶天窗，70系列铝合金通道翻转天窗</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2、玻璃规格：5mm钢化玻璃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3、包含电磁锁偏心翻转控制，含天窗支撑件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4、具体做法详见图纸</w:t>
            </w:r>
          </w:p>
        </w:tc>
        <w:tc>
          <w:tcPr>
            <w:tcW w:w="762"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樘</w:t>
            </w:r>
          </w:p>
        </w:tc>
        <w:tc>
          <w:tcPr>
            <w:tcW w:w="675"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1</w:t>
            </w:r>
          </w:p>
        </w:tc>
        <w:tc>
          <w:tcPr>
            <w:tcW w:w="969"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1"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8</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金属（塑钢、断桥）窗</w:t>
            </w:r>
          </w:p>
        </w:tc>
        <w:tc>
          <w:tcPr>
            <w:tcW w:w="5963"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1、天窗尺寸：600(W)*1200(D)*300(H)mm，平顶天窗，70系列铝合金通道固定天窗(钣金)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2、玻璃规格：5mm钢化玻璃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3、烟感、温感传感器另计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4、具体做法详见图纸</w:t>
            </w:r>
          </w:p>
        </w:tc>
        <w:tc>
          <w:tcPr>
            <w:tcW w:w="762"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樘</w:t>
            </w:r>
          </w:p>
        </w:tc>
        <w:tc>
          <w:tcPr>
            <w:tcW w:w="675"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1</w:t>
            </w:r>
          </w:p>
        </w:tc>
        <w:tc>
          <w:tcPr>
            <w:tcW w:w="969"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1"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9</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柜顶走线组件</w:t>
            </w:r>
          </w:p>
        </w:tc>
        <w:tc>
          <w:tcPr>
            <w:tcW w:w="5963"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M型走线槽，适配300mm宽机柜强电或弱电走线</w:t>
            </w:r>
          </w:p>
        </w:tc>
        <w:tc>
          <w:tcPr>
            <w:tcW w:w="762"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块</w:t>
            </w:r>
          </w:p>
        </w:tc>
        <w:tc>
          <w:tcPr>
            <w:tcW w:w="675"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2</w:t>
            </w:r>
          </w:p>
        </w:tc>
        <w:tc>
          <w:tcPr>
            <w:tcW w:w="969"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1"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10</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柜顶走线组件</w:t>
            </w:r>
          </w:p>
        </w:tc>
        <w:tc>
          <w:tcPr>
            <w:tcW w:w="5963"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M型走线槽，适配600mm宽机柜强电或弱电走线</w:t>
            </w:r>
          </w:p>
        </w:tc>
        <w:tc>
          <w:tcPr>
            <w:tcW w:w="762"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块</w:t>
            </w:r>
          </w:p>
        </w:tc>
        <w:tc>
          <w:tcPr>
            <w:tcW w:w="675"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8</w:t>
            </w:r>
          </w:p>
        </w:tc>
        <w:tc>
          <w:tcPr>
            <w:tcW w:w="969"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1"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11</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柜顶走线组件</w:t>
            </w:r>
          </w:p>
        </w:tc>
        <w:tc>
          <w:tcPr>
            <w:tcW w:w="5963"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列间走线梯，3000mm</w:t>
            </w:r>
          </w:p>
        </w:tc>
        <w:tc>
          <w:tcPr>
            <w:tcW w:w="762"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块</w:t>
            </w:r>
          </w:p>
        </w:tc>
        <w:tc>
          <w:tcPr>
            <w:tcW w:w="675"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1</w:t>
            </w:r>
          </w:p>
        </w:tc>
        <w:tc>
          <w:tcPr>
            <w:tcW w:w="969"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1"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12</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通道附件</w:t>
            </w:r>
          </w:p>
        </w:tc>
        <w:tc>
          <w:tcPr>
            <w:tcW w:w="5963"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300mm宽机柜上围板，300(W)*300(H)mm</w:t>
            </w:r>
          </w:p>
        </w:tc>
        <w:tc>
          <w:tcPr>
            <w:tcW w:w="762"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块</w:t>
            </w:r>
          </w:p>
        </w:tc>
        <w:tc>
          <w:tcPr>
            <w:tcW w:w="675"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1</w:t>
            </w:r>
          </w:p>
        </w:tc>
        <w:tc>
          <w:tcPr>
            <w:tcW w:w="969"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1"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13</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通道附件</w:t>
            </w:r>
          </w:p>
        </w:tc>
        <w:tc>
          <w:tcPr>
            <w:tcW w:w="5963"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600mm宽机柜上围板，600(W)*300(H)mm</w:t>
            </w:r>
          </w:p>
        </w:tc>
        <w:tc>
          <w:tcPr>
            <w:tcW w:w="762"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块</w:t>
            </w:r>
          </w:p>
        </w:tc>
        <w:tc>
          <w:tcPr>
            <w:tcW w:w="675"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5</w:t>
            </w:r>
          </w:p>
        </w:tc>
        <w:tc>
          <w:tcPr>
            <w:tcW w:w="969"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1"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14</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通道控制器</w:t>
            </w:r>
          </w:p>
        </w:tc>
        <w:tc>
          <w:tcPr>
            <w:tcW w:w="5963"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通道电源控制箱，含天窗、门禁、通道照明电源。Pro版V1.1 </w:t>
            </w:r>
          </w:p>
        </w:tc>
        <w:tc>
          <w:tcPr>
            <w:tcW w:w="762"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套</w:t>
            </w:r>
          </w:p>
        </w:tc>
        <w:tc>
          <w:tcPr>
            <w:tcW w:w="675"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1</w:t>
            </w:r>
          </w:p>
        </w:tc>
        <w:tc>
          <w:tcPr>
            <w:tcW w:w="969"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1"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15</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通道照明</w:t>
            </w:r>
          </w:p>
        </w:tc>
        <w:tc>
          <w:tcPr>
            <w:tcW w:w="5963"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LED灯管，1000mm长，一体式安装，带转接头</w:t>
            </w:r>
          </w:p>
        </w:tc>
        <w:tc>
          <w:tcPr>
            <w:tcW w:w="762"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套</w:t>
            </w:r>
          </w:p>
        </w:tc>
        <w:tc>
          <w:tcPr>
            <w:tcW w:w="675"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1</w:t>
            </w:r>
          </w:p>
        </w:tc>
        <w:tc>
          <w:tcPr>
            <w:tcW w:w="969"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1"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17</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微模块底座</w:t>
            </w:r>
          </w:p>
        </w:tc>
        <w:tc>
          <w:tcPr>
            <w:tcW w:w="5963"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5#角钢制作设备底座，上下5#镀锌角钢焊接框，600mm一档横梁.现场定制采用5号槽钢600*1200*200mm。</w:t>
            </w:r>
          </w:p>
        </w:tc>
        <w:tc>
          <w:tcPr>
            <w:tcW w:w="762"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Kg</w:t>
            </w:r>
          </w:p>
        </w:tc>
        <w:tc>
          <w:tcPr>
            <w:tcW w:w="675"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100</w:t>
            </w:r>
          </w:p>
        </w:tc>
        <w:tc>
          <w:tcPr>
            <w:tcW w:w="969"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1"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18</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配电柜</w:t>
            </w:r>
          </w:p>
        </w:tc>
        <w:tc>
          <w:tcPr>
            <w:tcW w:w="5963"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1、产品要求：10kw 同时具有PLC功能</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2、为了方便对LED显示屏的使用，进一步提高系统的智能化管理和动力电源的集成度与稳定性，采用“显示屏智能上电系统”。</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3、通过该系统可以实现对LED显示屏的远程有线控制上电，实现定时开关屏体，方便用户的使用。</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4、同时，屏体采用“分步加电”的上电方式，既要避免大负载对电网瞬间的冲击，又要有效地保护显示屏体的工作组件，延长屏体的使用寿命。                                                                                                                        </w:t>
            </w:r>
          </w:p>
        </w:tc>
        <w:tc>
          <w:tcPr>
            <w:tcW w:w="762"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台</w:t>
            </w:r>
          </w:p>
        </w:tc>
        <w:tc>
          <w:tcPr>
            <w:tcW w:w="675"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1</w:t>
            </w:r>
          </w:p>
        </w:tc>
        <w:tc>
          <w:tcPr>
            <w:tcW w:w="969"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1"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c>
          <w:tcPr>
            <w:tcW w:w="5963" w:type="dxa"/>
            <w:vAlign w:val="center"/>
          </w:tcPr>
          <w:p>
            <w:pPr>
              <w:keepNext w:val="0"/>
              <w:keepLines w:val="0"/>
              <w:widowControl/>
              <w:suppressLineNumbers w:val="0"/>
              <w:jc w:val="left"/>
              <w:textAlignment w:val="center"/>
              <w:rPr>
                <w:rFonts w:hint="eastAsia" w:ascii="宋体" w:hAnsi="宋体" w:eastAsia="宋体" w:cs="宋体"/>
                <w:b/>
                <w:bCs/>
                <w:i w:val="0"/>
                <w:color w:val="auto"/>
                <w:kern w:val="0"/>
                <w:sz w:val="21"/>
                <w:szCs w:val="21"/>
                <w:highlight w:val="none"/>
                <w:u w:val="none"/>
                <w:lang w:val="en-US" w:eastAsia="zh-CN" w:bidi="ar"/>
              </w:rPr>
            </w:pPr>
            <w:r>
              <w:rPr>
                <w:rFonts w:hint="eastAsia" w:ascii="宋体" w:hAnsi="宋体" w:eastAsia="宋体" w:cs="宋体"/>
                <w:b/>
                <w:bCs/>
                <w:i w:val="0"/>
                <w:color w:val="auto"/>
                <w:kern w:val="0"/>
                <w:sz w:val="21"/>
                <w:szCs w:val="21"/>
                <w:highlight w:val="none"/>
                <w:u w:val="none"/>
                <w:lang w:val="en-US" w:eastAsia="zh-CN" w:bidi="ar"/>
              </w:rPr>
              <w:t>动力环境监控系统</w:t>
            </w:r>
          </w:p>
        </w:tc>
        <w:tc>
          <w:tcPr>
            <w:tcW w:w="762"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p>
        </w:tc>
        <w:tc>
          <w:tcPr>
            <w:tcW w:w="675"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p>
        </w:tc>
        <w:tc>
          <w:tcPr>
            <w:tcW w:w="969"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1"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监控一体机</w:t>
            </w:r>
          </w:p>
        </w:tc>
        <w:tc>
          <w:tcPr>
            <w:tcW w:w="5963"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1.监控对象包含：空调、UPS、配电模块、冷、热通道温湿度、机柜前后门开关状态、空调漏水监测、烟雾探测等。</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2.应完成柜内环境、设备运行信息的采集、管理、分析和告警，包括柜内微环境监控、UPS、配电设备监控。</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3.监控系统带不小于10英寸彩色触摸屏,镶嵌于机柜正门,能够实时查看UPS、配电、柜内环境量（温湿度、漏水、烟雾）等数据。监控主机与显示屏集成为一体机，不占用机柜安装空间。</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4.可通过Web界面查看系统运行信息、告警信息，进行参数配置</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5.可提供SNMP北向接口，支持数据查询和告警上报，可接入第三方网管，集团统一监控。</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6.可直接通过监控系统设置空调运行的详细参数（温湿度控制设点、温度控制方式、精度校准等），远程开关机操作。</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7.可查看当前一体柜的PUE值。</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8.支持活动告警查询显示、历史告警查询显示。</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9.提供告警联动，根据冷通道温度控制应急通风系统的启停，可与消防系统进行联动。</w:t>
            </w:r>
          </w:p>
        </w:tc>
        <w:tc>
          <w:tcPr>
            <w:tcW w:w="762"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台</w:t>
            </w:r>
          </w:p>
        </w:tc>
        <w:tc>
          <w:tcPr>
            <w:tcW w:w="675"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1</w:t>
            </w:r>
          </w:p>
        </w:tc>
        <w:tc>
          <w:tcPr>
            <w:tcW w:w="969"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1"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2</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烟感</w:t>
            </w:r>
          </w:p>
        </w:tc>
        <w:tc>
          <w:tcPr>
            <w:tcW w:w="5963"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监控柜内漏水发生</w:t>
            </w:r>
          </w:p>
        </w:tc>
        <w:tc>
          <w:tcPr>
            <w:tcW w:w="762"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个</w:t>
            </w:r>
          </w:p>
        </w:tc>
        <w:tc>
          <w:tcPr>
            <w:tcW w:w="675"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1</w:t>
            </w:r>
          </w:p>
        </w:tc>
        <w:tc>
          <w:tcPr>
            <w:tcW w:w="969"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1"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3</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温湿度传感器</w:t>
            </w:r>
          </w:p>
        </w:tc>
        <w:tc>
          <w:tcPr>
            <w:tcW w:w="5963"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供电电源：DC 12V，</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测量范围：温度：-20℃~80℃、湿度：0～100%rh；</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测量精度：温度：±0.1℃；湿度：±3%rh；</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输出接口：RS485（RJ45接口）；</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显    示：数码显示；</w:t>
            </w:r>
          </w:p>
        </w:tc>
        <w:tc>
          <w:tcPr>
            <w:tcW w:w="762"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支</w:t>
            </w:r>
          </w:p>
        </w:tc>
        <w:tc>
          <w:tcPr>
            <w:tcW w:w="675"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2</w:t>
            </w:r>
          </w:p>
        </w:tc>
        <w:tc>
          <w:tcPr>
            <w:tcW w:w="969"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1"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4</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漏水传感器</w:t>
            </w:r>
          </w:p>
        </w:tc>
        <w:tc>
          <w:tcPr>
            <w:tcW w:w="5963"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非定位式、15M长度</w:t>
            </w:r>
          </w:p>
        </w:tc>
        <w:tc>
          <w:tcPr>
            <w:tcW w:w="762"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支</w:t>
            </w:r>
          </w:p>
        </w:tc>
        <w:tc>
          <w:tcPr>
            <w:tcW w:w="675"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1</w:t>
            </w:r>
          </w:p>
        </w:tc>
        <w:tc>
          <w:tcPr>
            <w:tcW w:w="969"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1"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5</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水浸</w:t>
            </w:r>
          </w:p>
        </w:tc>
        <w:tc>
          <w:tcPr>
            <w:tcW w:w="5963"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监控柜内漏水发生</w:t>
            </w:r>
          </w:p>
        </w:tc>
        <w:tc>
          <w:tcPr>
            <w:tcW w:w="762"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支</w:t>
            </w:r>
          </w:p>
        </w:tc>
        <w:tc>
          <w:tcPr>
            <w:tcW w:w="675"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1</w:t>
            </w:r>
          </w:p>
        </w:tc>
        <w:tc>
          <w:tcPr>
            <w:tcW w:w="969"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1"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6</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门磁</w:t>
            </w:r>
          </w:p>
        </w:tc>
        <w:tc>
          <w:tcPr>
            <w:tcW w:w="5963"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监控柜体开关门状态</w:t>
            </w:r>
          </w:p>
        </w:tc>
        <w:tc>
          <w:tcPr>
            <w:tcW w:w="762"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台</w:t>
            </w:r>
          </w:p>
        </w:tc>
        <w:tc>
          <w:tcPr>
            <w:tcW w:w="675"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10</w:t>
            </w:r>
          </w:p>
        </w:tc>
        <w:tc>
          <w:tcPr>
            <w:tcW w:w="969"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1"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7</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调光模块</w:t>
            </w:r>
          </w:p>
        </w:tc>
        <w:tc>
          <w:tcPr>
            <w:tcW w:w="5963"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RS485通讯、RGB LED三色调光、尺寸：12.5*8.8cm；支持20米灯带接入，提升产品美观度，并可根据设备运行情况（正常、故障）直观显示不同的灯光颜</w:t>
            </w:r>
          </w:p>
        </w:tc>
        <w:tc>
          <w:tcPr>
            <w:tcW w:w="762"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个</w:t>
            </w:r>
          </w:p>
        </w:tc>
        <w:tc>
          <w:tcPr>
            <w:tcW w:w="675"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1</w:t>
            </w:r>
          </w:p>
        </w:tc>
        <w:tc>
          <w:tcPr>
            <w:tcW w:w="969"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1"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8</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灯带</w:t>
            </w:r>
          </w:p>
        </w:tc>
        <w:tc>
          <w:tcPr>
            <w:tcW w:w="5963"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5050RGB灯条，60灯/米，12MM板/白板 ，长度5米</w:t>
            </w:r>
          </w:p>
        </w:tc>
        <w:tc>
          <w:tcPr>
            <w:tcW w:w="762"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m</w:t>
            </w:r>
          </w:p>
        </w:tc>
        <w:tc>
          <w:tcPr>
            <w:tcW w:w="675"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25</w:t>
            </w:r>
          </w:p>
        </w:tc>
        <w:tc>
          <w:tcPr>
            <w:tcW w:w="969"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1"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9</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手机APP</w:t>
            </w:r>
          </w:p>
        </w:tc>
        <w:tc>
          <w:tcPr>
            <w:tcW w:w="5963"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手机APP功能：该APP可通过网络远程查看监控数据和控制设备的应用，需要和客户端配合使用，登录界面有客户端用户名，密码，客户端所在服务器的 IP 地址，操作界面具有实时监控（包含区域总览）、告警、设置、退出等选项。</w:t>
            </w:r>
          </w:p>
        </w:tc>
        <w:tc>
          <w:tcPr>
            <w:tcW w:w="762"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套</w:t>
            </w:r>
          </w:p>
        </w:tc>
        <w:tc>
          <w:tcPr>
            <w:tcW w:w="675"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1</w:t>
            </w:r>
          </w:p>
        </w:tc>
        <w:tc>
          <w:tcPr>
            <w:tcW w:w="969"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1"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10</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声光报警器</w:t>
            </w:r>
          </w:p>
        </w:tc>
        <w:tc>
          <w:tcPr>
            <w:tcW w:w="5963"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DC12V声光报警器</w:t>
            </w:r>
          </w:p>
        </w:tc>
        <w:tc>
          <w:tcPr>
            <w:tcW w:w="762"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个</w:t>
            </w:r>
          </w:p>
        </w:tc>
        <w:tc>
          <w:tcPr>
            <w:tcW w:w="675"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1</w:t>
            </w:r>
          </w:p>
        </w:tc>
        <w:tc>
          <w:tcPr>
            <w:tcW w:w="969"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1"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c>
          <w:tcPr>
            <w:tcW w:w="5963"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数据中心机房接地系统</w:t>
            </w:r>
          </w:p>
        </w:tc>
        <w:tc>
          <w:tcPr>
            <w:tcW w:w="762"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p>
        </w:tc>
        <w:tc>
          <w:tcPr>
            <w:tcW w:w="675"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p>
        </w:tc>
        <w:tc>
          <w:tcPr>
            <w:tcW w:w="969"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1"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防静电活动地板</w:t>
            </w:r>
          </w:p>
        </w:tc>
        <w:tc>
          <w:tcPr>
            <w:tcW w:w="5963"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地板板基：地板为全钢组件，底面采用深级拉伸钢板，表面采用硬质钢板，上下钢板冲压、点焊成形，地板基体表面经磷化后进行静电喷涂处理，喷涂层材料为热固性环氧塑料粉末，表面达到柔光、防腐、耐磨效果。内腔内填充发泡水泥，表面粘贴防静电瓷砖，达到整体合一的效果。</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支承系统：防静电瓷砖架空地板采用四角支承式，支架采用镀锌处理，支承高度可从80mm-1000mm,通过旋转支架上托片进行调节，调整范围为±20mm，支承高度调整后，可通过拧紧罗母进行锁定。600*600*30mm单片</w:t>
            </w:r>
          </w:p>
        </w:tc>
        <w:tc>
          <w:tcPr>
            <w:tcW w:w="762"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平方</w:t>
            </w:r>
          </w:p>
        </w:tc>
        <w:tc>
          <w:tcPr>
            <w:tcW w:w="675"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60</w:t>
            </w:r>
          </w:p>
        </w:tc>
        <w:tc>
          <w:tcPr>
            <w:tcW w:w="969"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1"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2</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机房接地紫铜带</w:t>
            </w:r>
          </w:p>
        </w:tc>
        <w:tc>
          <w:tcPr>
            <w:tcW w:w="5963"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材质：纯铜；厚度：0.03mm*100mm；</w:t>
            </w:r>
          </w:p>
        </w:tc>
        <w:tc>
          <w:tcPr>
            <w:tcW w:w="762"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m</w:t>
            </w:r>
          </w:p>
        </w:tc>
        <w:tc>
          <w:tcPr>
            <w:tcW w:w="675"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90</w:t>
            </w:r>
          </w:p>
        </w:tc>
        <w:tc>
          <w:tcPr>
            <w:tcW w:w="969"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1"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3</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接地连接线</w:t>
            </w:r>
          </w:p>
        </w:tc>
        <w:tc>
          <w:tcPr>
            <w:tcW w:w="5963"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接地连接线 BVR-6mm2 </w:t>
            </w:r>
          </w:p>
        </w:tc>
        <w:tc>
          <w:tcPr>
            <w:tcW w:w="762"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m</w:t>
            </w:r>
          </w:p>
        </w:tc>
        <w:tc>
          <w:tcPr>
            <w:tcW w:w="675"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40</w:t>
            </w:r>
          </w:p>
        </w:tc>
        <w:tc>
          <w:tcPr>
            <w:tcW w:w="969"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1"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c>
          <w:tcPr>
            <w:tcW w:w="5963"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门禁</w:t>
            </w:r>
          </w:p>
        </w:tc>
        <w:tc>
          <w:tcPr>
            <w:tcW w:w="762"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p>
        </w:tc>
        <w:tc>
          <w:tcPr>
            <w:tcW w:w="675"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p>
        </w:tc>
        <w:tc>
          <w:tcPr>
            <w:tcW w:w="969"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1"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电控锁(含支架+出门按钮)</w:t>
            </w:r>
          </w:p>
        </w:tc>
        <w:tc>
          <w:tcPr>
            <w:tcW w:w="5963"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电控锁(含支架+出门按钮)</w:t>
            </w:r>
          </w:p>
        </w:tc>
        <w:tc>
          <w:tcPr>
            <w:tcW w:w="762"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台</w:t>
            </w:r>
          </w:p>
        </w:tc>
        <w:tc>
          <w:tcPr>
            <w:tcW w:w="675"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1</w:t>
            </w:r>
          </w:p>
        </w:tc>
        <w:tc>
          <w:tcPr>
            <w:tcW w:w="969"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1"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2</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出入口执行机构设备</w:t>
            </w:r>
          </w:p>
        </w:tc>
        <w:tc>
          <w:tcPr>
            <w:tcW w:w="5963"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1、名称：电控锁(含支架)</w:t>
            </w:r>
          </w:p>
        </w:tc>
        <w:tc>
          <w:tcPr>
            <w:tcW w:w="762"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台</w:t>
            </w:r>
          </w:p>
        </w:tc>
        <w:tc>
          <w:tcPr>
            <w:tcW w:w="675"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1</w:t>
            </w:r>
          </w:p>
        </w:tc>
        <w:tc>
          <w:tcPr>
            <w:tcW w:w="969"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1"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3</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出入口目标识别设备</w:t>
            </w:r>
          </w:p>
        </w:tc>
        <w:tc>
          <w:tcPr>
            <w:tcW w:w="5963"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出门按钮</w:t>
            </w:r>
          </w:p>
        </w:tc>
        <w:tc>
          <w:tcPr>
            <w:tcW w:w="762"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台</w:t>
            </w:r>
          </w:p>
        </w:tc>
        <w:tc>
          <w:tcPr>
            <w:tcW w:w="675"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1</w:t>
            </w:r>
          </w:p>
        </w:tc>
        <w:tc>
          <w:tcPr>
            <w:tcW w:w="969"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1"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4</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门禁卡</w:t>
            </w:r>
          </w:p>
        </w:tc>
        <w:tc>
          <w:tcPr>
            <w:tcW w:w="5963"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1、PVC标准卡；</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2、符合ISO/IEC14443标准；</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3、容量为1KEEPROM；</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4、工作频率为13.56MHz；</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5、EEPROM大于10万次的擦写测试，10年数据保存</w:t>
            </w:r>
          </w:p>
        </w:tc>
        <w:tc>
          <w:tcPr>
            <w:tcW w:w="762"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张</w:t>
            </w:r>
          </w:p>
        </w:tc>
        <w:tc>
          <w:tcPr>
            <w:tcW w:w="675"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10</w:t>
            </w:r>
          </w:p>
        </w:tc>
        <w:tc>
          <w:tcPr>
            <w:tcW w:w="969"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1"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5</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辅材</w:t>
            </w:r>
          </w:p>
        </w:tc>
        <w:tc>
          <w:tcPr>
            <w:tcW w:w="5963"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1.安装用连接辅材、线缆标签等</w:t>
            </w:r>
          </w:p>
        </w:tc>
        <w:tc>
          <w:tcPr>
            <w:tcW w:w="762"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项</w:t>
            </w:r>
          </w:p>
        </w:tc>
        <w:tc>
          <w:tcPr>
            <w:tcW w:w="675"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1</w:t>
            </w:r>
          </w:p>
        </w:tc>
        <w:tc>
          <w:tcPr>
            <w:tcW w:w="969"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bl>
    <w:p>
      <w:pP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2.4综合安防系统  </w:t>
      </w:r>
    </w:p>
    <w:tbl>
      <w:tblPr>
        <w:tblStyle w:val="99"/>
        <w:tblW w:w="105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1138"/>
        <w:gridCol w:w="5975"/>
        <w:gridCol w:w="775"/>
        <w:gridCol w:w="662"/>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序号</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项目名称</w:t>
            </w:r>
          </w:p>
        </w:tc>
        <w:tc>
          <w:tcPr>
            <w:tcW w:w="59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技术参数</w:t>
            </w:r>
          </w:p>
        </w:tc>
        <w:tc>
          <w:tcPr>
            <w:tcW w:w="7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单位</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数量</w:t>
            </w:r>
          </w:p>
        </w:tc>
        <w:tc>
          <w:tcPr>
            <w:tcW w:w="1013"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高清网络红外半球</w:t>
            </w:r>
            <w:r>
              <w:rPr>
                <w:rFonts w:hint="eastAsia" w:ascii="宋体" w:hAnsi="宋体" w:eastAsia="宋体" w:cs="宋体"/>
                <w:b w:val="0"/>
                <w:bCs/>
                <w:i w:val="0"/>
                <w:color w:val="auto"/>
                <w:kern w:val="0"/>
                <w:sz w:val="21"/>
                <w:szCs w:val="21"/>
                <w:highlight w:val="none"/>
                <w:u w:val="none"/>
                <w:lang w:val="en-US" w:eastAsia="zh-CN" w:bidi="ar"/>
              </w:rPr>
              <w:t>（与安防核心产品同一品牌）</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400万海螺型网络摄像机：</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最高分辨率可达2560 × 1440 @25 fps；</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支持用户登录锁定机制，及密码复杂度提示；</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支持SmartIR，防止夜间红外过曝；</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支持背光补偿，强光抑制，3D数字降噪，数字宽动态，适应不同环境；</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支持ROI感兴趣区域增强编码；</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支持开放型网络视频接口，ISAPI，SDK，GB28181协议；</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1个内置麦克风；</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采用高效阵列红外灯，使用寿命长，红外照射最远可达30 m；</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符合IP66防尘防水设计，可靠性高；</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传感器类型：1/2.7" Progressive Scan CMOS；</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最大图像尺寸：2560 × 1440；</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最低照度：彩色：0.005 Lux @（F1.2, AGC ON），0 Lux with IR；</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宽动态：数字宽动态；</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调节角度：水平：0°~360°，垂直：0°~75°，旋转：0°~360° </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焦距&amp;视场角：2.8 mm：水平视场角：94°，垂直视场角：49°，对角视场角：114°；</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 mm，水平视场角：70°，垂直视场角：35°，对角视场角：85°；</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 mm，水平视场角：46°，垂直视场角：24°，对角视场角：54°；</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 mm，水平视场角：43°，垂直视场角：24°，对角视场角：50° ；</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12 mm，水平视场角：27°，垂直视场角：15°，对角视场角：31°；  </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红外波长范围：850 nm；</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防补光过曝：支持；</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补光灯类型：红外灯；</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补光距离：最远可达30 m； </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视频压缩标准：主码流：H.265/H.264；</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子码流：H.265/H.264/MJPEG ；</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音频：1个内置麦克风；</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网络：1个RJ45 10 M/100 M自适应以太网口； </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存储温湿度：-30 ℃~60 ℃，湿度小于95%（无凝结）；</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启动及工作温湿度：-30 ℃~60 ℃，湿度小于95%（无凝结）；</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恢复出厂设置：支持客户端或浏览器恢复；</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供电方式：DC：12 V ± 25%，支持防反接保护；</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PoE：IEEE 802.3af，CLASS 3；</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电流及功耗：DC：12 V，0.42 A，最大功耗：5 W；</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PoE： IEEE 802.3af，CLASS 3，最大功耗：6.5 W；</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电源接口类型：Ø5.5 mm圆口；</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 xml:space="preserve">防护：IP66； </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278</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高清网络红外枪机</w:t>
            </w:r>
            <w:r>
              <w:rPr>
                <w:rFonts w:hint="eastAsia" w:ascii="宋体" w:hAnsi="宋体" w:eastAsia="宋体" w:cs="宋体"/>
                <w:b w:val="0"/>
                <w:bCs/>
                <w:i w:val="0"/>
                <w:color w:val="auto"/>
                <w:kern w:val="0"/>
                <w:sz w:val="21"/>
                <w:szCs w:val="21"/>
                <w:highlight w:val="none"/>
                <w:u w:val="none"/>
                <w:lang w:val="en-US" w:eastAsia="zh-CN" w:bidi="ar"/>
              </w:rPr>
              <w:t>（与安防核心产品同一品牌）</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400万筒型网络摄像机：</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最高分辨率可达2560 × 1440 @25 fps；</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支持用户登录锁定机制，及密码复杂度提示；</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支持SmartIR，防止夜间红外过曝；</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支持背光补偿，强光抑制，3D数字降噪，数字宽动态，适应不同环境；</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支持ROI感兴趣区域增强编码；</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支持开放型网络视频接口，ISAPI，SDK，GB28181协议；</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1个内置麦克风；</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采用高效阵列红外灯，使用寿命长，红外照射最远可达50 m；</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符合IP66防尘防水设计，可靠性高；</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传感器类型：1/2.7" Progressive Scan CMOS；</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最低照度：彩色：0.005 Lux @（F1.2，AGC ON），0 Lux with IR；</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最大图像尺寸：2560 × 1440；</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宽动态：数字宽动态； </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焦距&amp;视场角：4 mm，水平视场角：70°，垂直视场角：35°，对角视场角：85°；</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 mm，水平视场角：46°，垂直视场角：24°，对角视场角：54°；</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 mm，水平视场角：43°，垂直视场角：24°，对角视场角：50°；</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12 mm，水平视场角：27°，垂直视场角：15°，对角视场角：31°；  </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红外波长范围：850 nm；</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防补光过曝：支持；</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补光灯类型：红外灯；</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补光距离：最远可达50 m ；</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视频压缩标准：主码流：H.265/H.264；</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子码流：H.265/H.264/MJPEG； </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音频：1个内置麦克风；</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网络：1个RJ45 10 M/100 M自适应以太网口； </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启动及工作温湿度：-30 ℃~60 ℃，湿度小于95%（无凝结）；</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存储温湿度：-30 ℃~60 ℃，湿度小于95%（无凝结）； 恢复出厂设置：支持客户端或浏览器恢复； 供电方式：DC：12 V ± 25%，支持防反接保护；</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PoE：IEEE 802.3af，Class 3；</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电流及功耗：DC：12 V，0.42 A，最大功耗：5 W；</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PoE：IEEE 802.3af，CLASS 3，最大功耗：6.5 W；</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电源接口类型：Ø5.5 mm圆口；</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防护：IP66 ；</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146</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3</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周界智能防跨越摄像机</w:t>
            </w:r>
            <w:r>
              <w:rPr>
                <w:rFonts w:hint="eastAsia" w:ascii="宋体" w:hAnsi="宋体" w:eastAsia="宋体" w:cs="宋体"/>
                <w:b w:val="0"/>
                <w:bCs/>
                <w:i w:val="0"/>
                <w:color w:val="auto"/>
                <w:kern w:val="0"/>
                <w:sz w:val="21"/>
                <w:szCs w:val="21"/>
                <w:highlight w:val="none"/>
                <w:u w:val="none"/>
                <w:lang w:val="en-US" w:eastAsia="zh-CN" w:bidi="ar"/>
              </w:rPr>
              <w:t>（与安防核心产品同一品牌）</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最大分辨率2688x1520@25fps；</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最低照度彩色0.005lx；</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内置GPU芯片，麦克风，扬声器；</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白光补光、混合补光、关闭三种补光模式设置，并支持自动和手动亮度调节模式；当在自动模式下，补光灯开启时，样机可根据被摄物的距离自动调节补光灯亮度；在手动模式下，可手动配置补光灯的亮度值。当补光灯启用时，样机可使补光灯在低照度下自动开启；在开启白光灯进行补光时,可输出彩色视频图像；</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同一静止场景相同图像质量下，设备在H.264、H.265编码方式时，开启智能编码功能和不开启智能编码相比，码率节约80%；</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支持智能报警防干扰功能，智能分析行为类型为区域入侵、越界、进入区域、离开区域时，报警检测目标设置为人体或车辆时，光线明暗变化，篮球滚动，狗行走，树摇晃，不触发报警；</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当报警产生时，可触发联动声音报警。报警声音类型不低于 12 种，报警音量和重复次数可设置；</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可对出现在监控场景内的两眼瞳距不小于19像素的人脸进行检验，并叠加目标提示框；</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可同时对经过设定检测区域内的不低于10 个行人进行人脸检测、跟踪、评分和抓拍。可筛选和抓拍最佳人脸图片存储及上报中心。抓拍图片数量、大小可设，支持上传全景照；</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支持像素显示功能，可通过IE浏览器显示监视画面中鼠标所选区域水平及垂直方向的像素数；</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支持快捷配置功能，可在预览画面页开启/关闭“快捷配置”页面，支持配置场景参数、常用图像参数、OSD配置、音视频参数、智能资源分配参数等，并支持恢复默认操作；</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★支持硬件微引导程序OTP写入保护机制，uboot的FLASH存储空间应采用防篡改功能。若非法修改FLASH中的内容，可提示异常报错，uboot无法正常启动；</w:t>
            </w:r>
            <w:r>
              <w:rPr>
                <w:rFonts w:hint="eastAsia" w:ascii="宋体" w:hAnsi="宋体" w:cs="宋体"/>
                <w:i w:val="0"/>
                <w:color w:val="auto"/>
                <w:kern w:val="0"/>
                <w:sz w:val="21"/>
                <w:szCs w:val="21"/>
                <w:highlight w:val="none"/>
                <w:u w:val="none"/>
                <w:lang w:val="en-US" w:eastAsia="zh-CN" w:bidi="ar"/>
              </w:rPr>
              <w:t>提供公安部检验报告证明及查询链接</w:t>
            </w:r>
            <w:r>
              <w:rPr>
                <w:rFonts w:hint="eastAsia" w:ascii="宋体" w:hAnsi="宋体" w:eastAsia="宋体" w:cs="宋体"/>
                <w:i w:val="0"/>
                <w:color w:val="auto"/>
                <w:kern w:val="0"/>
                <w:sz w:val="21"/>
                <w:szCs w:val="21"/>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★支持固件安全检验功能，摄像机uboot应采用加密存储，通过离线烧写存储器方式写入的uboot执行程序，不能被硬件微引导程序加载执行；</w:t>
            </w:r>
            <w:r>
              <w:rPr>
                <w:rFonts w:hint="eastAsia" w:ascii="宋体" w:hAnsi="宋体" w:cs="宋体"/>
                <w:i w:val="0"/>
                <w:color w:val="auto"/>
                <w:kern w:val="0"/>
                <w:sz w:val="21"/>
                <w:szCs w:val="21"/>
                <w:highlight w:val="none"/>
                <w:u w:val="none"/>
                <w:lang w:val="en-US" w:eastAsia="zh-CN" w:bidi="ar"/>
              </w:rPr>
              <w:t>提供公安部检验报告证明及查询链接</w:t>
            </w:r>
            <w:r>
              <w:rPr>
                <w:rFonts w:hint="eastAsia" w:ascii="宋体" w:hAnsi="宋体" w:eastAsia="宋体" w:cs="宋体"/>
                <w:i w:val="0"/>
                <w:color w:val="auto"/>
                <w:kern w:val="0"/>
                <w:sz w:val="21"/>
                <w:szCs w:val="21"/>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★支持硬件微引导程序、uboot、OS、应用软件逐级校验功能，非法篡改的uboot、OS、应用软件固件包，不能通过命令行、浏览器、客户端方式进行升级；</w:t>
            </w:r>
            <w:r>
              <w:rPr>
                <w:rFonts w:hint="eastAsia" w:ascii="宋体" w:hAnsi="宋体" w:cs="宋体"/>
                <w:i w:val="0"/>
                <w:color w:val="auto"/>
                <w:kern w:val="0"/>
                <w:sz w:val="21"/>
                <w:szCs w:val="21"/>
                <w:highlight w:val="none"/>
                <w:u w:val="none"/>
                <w:lang w:val="en-US" w:eastAsia="zh-CN" w:bidi="ar"/>
              </w:rPr>
              <w:t>提供公安部检验报告证明及查询链接</w:t>
            </w:r>
            <w:r>
              <w:rPr>
                <w:rFonts w:hint="eastAsia" w:ascii="宋体" w:hAnsi="宋体" w:eastAsia="宋体" w:cs="宋体"/>
                <w:i w:val="0"/>
                <w:color w:val="auto"/>
                <w:kern w:val="0"/>
                <w:sz w:val="21"/>
                <w:szCs w:val="21"/>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支持DC12V或POE供电；</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IP66防护等级；</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27</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4</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网络智能球型摄像机</w:t>
            </w:r>
            <w:r>
              <w:rPr>
                <w:rFonts w:hint="eastAsia" w:ascii="宋体" w:hAnsi="宋体" w:eastAsia="宋体" w:cs="宋体"/>
                <w:b w:val="0"/>
                <w:bCs/>
                <w:i w:val="0"/>
                <w:color w:val="auto"/>
                <w:kern w:val="0"/>
                <w:sz w:val="21"/>
                <w:szCs w:val="21"/>
                <w:highlight w:val="none"/>
                <w:u w:val="none"/>
                <w:lang w:val="en-US" w:eastAsia="zh-CN" w:bidi="ar"/>
              </w:rPr>
              <w:t>（与安防核心产品同一品牌）</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支持双摄双模：默认单路模式输出倍率拼接画面，可选双路模式输出广角画面+特写画面，可支持画中画展示（需展示端支持）；</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支持多级变倍功能，广角~24倍光学变倍，16倍数字变倍；</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 支持区域入侵侦测、越界侦测、进入区域侦测和离开区域侦等智能侦测；</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支持深度学习算法，提供精准的人车分类侦测、报警；</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支持混合补光，可见光补光30m，同时高效红外阵列照射距离最远可达200m；</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支持切换为人脸抓拍模式，最大同时抓拍5张人脸；</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支持超低照度，【定焦】彩色0.0005 Lux @（F1.0，AGC ON），0 Lux with light；【变焦】彩色0.005 Lux @（F1.6，AGC ON），黑白0.001 Lux @（F1.6，AGC ON），0 Lux with IR；</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内置加热玻璃，有效除雾；</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支持定时任务、一键守望、一键巡航功能；</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传感器类型：广角：1/1.8＂progressive scan CMOS；</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变焦：1/2.8＂progressive scan CMOS；</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 最低照度：广角：彩色：0.0005 Lux @（F1.0，AGC ON）；0 Lux with light；</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变焦：彩色：0.005 Lux @（F1.6，AGC ON）；黑白：0.001 Lux @（F1.6，AGC ON）；0 Lux with IR；</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宽动态：数字宽动态； </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焦距：广角：4 mm；</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变焦：4.5~108 mm，24倍光学变倍；</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视场角：水平视场角：90°~3.3°（广角~望远）；</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其中广角：90°；变焦：56.9°~3.3°； </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红外照射距离：200 m；</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报警灯：30 m； </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★在单路和双路模式下，设备水平视场角均应≥90°，</w:t>
            </w:r>
            <w:r>
              <w:rPr>
                <w:rFonts w:hint="eastAsia" w:ascii="宋体" w:hAnsi="宋体" w:cs="宋体"/>
                <w:i w:val="0"/>
                <w:color w:val="auto"/>
                <w:kern w:val="0"/>
                <w:sz w:val="21"/>
                <w:szCs w:val="21"/>
                <w:highlight w:val="none"/>
                <w:u w:val="none"/>
                <w:lang w:val="en-US" w:eastAsia="zh-CN" w:bidi="ar"/>
              </w:rPr>
              <w:t>提供公安部检验报告证明及查询链接</w:t>
            </w:r>
            <w:r>
              <w:rPr>
                <w:rFonts w:hint="eastAsia" w:ascii="宋体" w:hAnsi="宋体" w:eastAsia="宋体" w:cs="宋体"/>
                <w:i w:val="0"/>
                <w:color w:val="auto"/>
                <w:kern w:val="0"/>
                <w:sz w:val="21"/>
                <w:szCs w:val="21"/>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水平范围：360°</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垂直范围：-15°-90°(自动翻转)</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水平速度：水平键控速度：0.1°-160°/s,速度可设;水平预置点速度：240°/s</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垂直速度：垂直键控速度：0.1°-120°/s,速度可设;垂直预置点速度：200°/s </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主码流帧率分辨率：50 Hz：25 fps（2560 × 1440，1920 × 1080，1280 × 960，1280 × 720）</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60Hz：20 fps（2560 × 1440，1920 × 1080，1280 × 960，1280 × 720）</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视频压缩标准：H.265;H.264;MJPEG </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网络接口：RJ45网口，自适应10M/100M网络数据 </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SD卡扩展：内置Micro SD卡插槽，支持Micro SD/Micro SDHC/Micro SDXC卡（最大支持256 GB）</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报警输入：2路报警输入</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报警输出：1路报警输出</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音频输入：1路音频输入，音频峰值：2-2.4V[p-p]，输入阻抗：1 kΩ±10</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音频输出：  1路音频输出，线性电平，阻抗:600Ω </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供电方式：DC12 V</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电源接口类型：甩线 设备功耗：最大功耗：42 W（其中补光灯最大功耗：15 W ）</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工作温湿度：-30℃-65℃;湿度小于90%</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恢复出厂设置：支持                                    除雾：加热玻璃除雾</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 xml:space="preserve">防护：IP66；抗干扰能力强，适用于严酷的电磁环境，符合GB/T17626.2/3/4/5/6四级标准 </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5</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5</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全局摄像机</w:t>
            </w:r>
            <w:r>
              <w:rPr>
                <w:rFonts w:hint="eastAsia" w:ascii="宋体" w:hAnsi="宋体" w:eastAsia="宋体" w:cs="宋体"/>
                <w:b w:val="0"/>
                <w:bCs/>
                <w:i w:val="0"/>
                <w:color w:val="auto"/>
                <w:kern w:val="0"/>
                <w:sz w:val="21"/>
                <w:szCs w:val="21"/>
                <w:highlight w:val="none"/>
                <w:u w:val="none"/>
                <w:lang w:val="en-US" w:eastAsia="zh-CN" w:bidi="ar"/>
              </w:rPr>
              <w:t>（与安防核心产品同一品牌）</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设备具有1个RJ45网络接口，可输出两路视频图像：通道1、通道2。摄像机定焦镜头、变焦镜头靶面尺寸均不小于1/1.8英寸。内置不少于2个GPU芯片。全景路支持分辨率设置为2560x1440，帧率设置为25fps；细节路支持分辨率设置为2560x1440，帧率设置为25fps。支持最低照度可达彩色0.0002Lux，黑白0.0001Lux。设备内置8个补光灯，其中全景4个补光灯，细节4个补光灯。支持对镜头前盖玻璃加热，去除玻璃上的冰状和水状附着物。水平手控速度不小于200/s。支持快速聚焦功能，设备对监控区域内的移动目标进行跟踪录像，录像通过单帧回放时应能保证每帧画面清晰稳定。★具有人像增强和车牌增强设置选项，车牌增强等级0~100可设置，开启人像增强功能后，可减弱夜间抓拍到的人眼瞳孔内的亮斑。</w:t>
            </w:r>
            <w:r>
              <w:rPr>
                <w:rFonts w:hint="eastAsia" w:ascii="宋体" w:hAnsi="宋体" w:cs="宋体"/>
                <w:i w:val="0"/>
                <w:color w:val="auto"/>
                <w:kern w:val="0"/>
                <w:sz w:val="21"/>
                <w:szCs w:val="21"/>
                <w:highlight w:val="none"/>
                <w:u w:val="none"/>
                <w:lang w:val="en-US" w:eastAsia="zh-CN" w:bidi="ar"/>
              </w:rPr>
              <w:t>提供公安部检验报告证明及查询链接</w:t>
            </w:r>
            <w:r>
              <w:rPr>
                <w:rFonts w:hint="eastAsia" w:ascii="宋体" w:hAnsi="宋体" w:eastAsia="宋体" w:cs="宋体"/>
                <w:i w:val="0"/>
                <w:color w:val="auto"/>
                <w:kern w:val="0"/>
                <w:sz w:val="21"/>
                <w:szCs w:val="21"/>
                <w:highlight w:val="none"/>
                <w:u w:val="none"/>
                <w:lang w:val="en-US" w:eastAsia="zh-CN" w:bidi="ar"/>
              </w:rPr>
              <w:t>；设备可同时对行人、非机动车、机动车进行检测、跟踪及抓拍，支持人脸与人体、车牌与车辆的关联显示。可在监控画面实时显示行人、车辆的信息。可通过客户端软件显示行人的属性。可对出现在监控场景内的两眼瞳距不小于40像素的人脸进行检验，支持同时检测监控场景内出现的不少于40张人脸图片，并可进行抓拍及人脸跟踪。设备可对30米处的行人进行人脸抓拍，并可生成分辨率不小于110×120的人脸图片,图片中人脸两眼瞳距应≥40像素。在距离设备30米处，人脸抓拍准确率不小于95%，人体抓拍准确率不小于95%。通道1检测到且框出移动目标至通道2摄像机开始转动的时间不大于0.2秒。支持本机存储功能，支持SD卡热插拔，SD卡最大支持256GB。电压在DC36V25%范围内变化时，设备可正常工作，工作温度范围可达-40℃-70℃，支持IP66。设备可对出现在监控场景内的人脸进行检测，并显示评分。设备可将人体抓拍设置为正向人体抓拍和背向人体抓拍。设备可将细节通道中抓拍的人脸图片和全景通道中的人体图片进行关联比对，可对同一目标进行双画面关联显示。设备具有人脸去重功能，去重后的同一人脸抓拍数量与人脸抓拍图片总数量比值应≤1%。设备具有人脸去重功能，去重相似度阈值0~100可设置，去重库入库评分阈值0~100可设置，去重库更新时间0~300s可设置。在联动模式下，细节通道和全景通道可进行全结构化抓拍和属性分析，在全景通道检测到移动目标后，可联动细节通道进行人脸、人体的抓拍和属性分析，全景通道检测到且框出移动目标至细节通道摄像机开始转动的时间不大于0.2秒，距离设备30m处全景检测宽度不小于15m；</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5</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6</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周界防护终端</w:t>
            </w:r>
            <w:r>
              <w:rPr>
                <w:rFonts w:hint="eastAsia" w:ascii="宋体" w:hAnsi="宋体" w:eastAsia="宋体" w:cs="宋体"/>
                <w:b w:val="0"/>
                <w:bCs/>
                <w:i w:val="0"/>
                <w:color w:val="auto"/>
                <w:kern w:val="0"/>
                <w:sz w:val="21"/>
                <w:szCs w:val="21"/>
                <w:highlight w:val="none"/>
                <w:u w:val="none"/>
                <w:lang w:val="en-US" w:eastAsia="zh-CN" w:bidi="ar"/>
              </w:rPr>
              <w:t>（与安防核心产品同一品牌）</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1.支持最大32路图片流周界自学习分析；</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2.支持周界算法（越界侦测、区域入侵、进入区域、离开区域）的推理、训练同时运行，业务不间断；</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3.支持设备自动素材收集、自动标定、自动训练、自动升级，无需人工干预的算法版本自动迭代；</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4.支持训练进度可视化查询，支持多版本算法管理；</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5.2U标准机架式，8盘位录像机，ATX电源，支持满配8块12T  总容量96T；</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6.2个HDMI接口，2个VGA接口，可支持4K+1080P输出；</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7.2个RJ45 10M/100M/1000Mbps 网口；</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8.2个USB2.0接口、1个USB3.0接口；</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9.1个eSATA接口；</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10.支持RAID0、1、5、6、10，支持全局热备盘（仅支持监控级AI盘或企业级硬盘启用RAID）；</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11.报警IO接口：16路报警输入， 4路报警输出；</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12.串行接口：1路全双工485接口，1路标准RS-232接口；</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13.输入带宽：320Mbps；</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14.输出带宽：256Mbps；</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15.接入能力：32路H.264、H.265格式高清码流接入；</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16.解码能力：最大支持16×1080P解码；                                                                                                                                                                              17.支持不经过人工干预自主训练生成新算法，可查看训练任务状态和进度，支持算法自动迭代更新；</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★18.万级数据量下，自学习算法可在5小时内完成一轮训练；</w:t>
            </w:r>
            <w:r>
              <w:rPr>
                <w:rFonts w:hint="eastAsia" w:ascii="宋体" w:hAnsi="宋体" w:cs="宋体"/>
                <w:i w:val="0"/>
                <w:color w:val="auto"/>
                <w:kern w:val="0"/>
                <w:sz w:val="21"/>
                <w:szCs w:val="21"/>
                <w:highlight w:val="none"/>
                <w:u w:val="none"/>
                <w:lang w:val="en-US" w:eastAsia="zh-CN" w:bidi="ar"/>
              </w:rPr>
              <w:t>提供公安部检验报告证明及查询链接</w:t>
            </w:r>
            <w:r>
              <w:rPr>
                <w:rFonts w:hint="eastAsia" w:ascii="宋体" w:hAnsi="宋体" w:eastAsia="宋体" w:cs="宋体"/>
                <w:i w:val="0"/>
                <w:color w:val="auto"/>
                <w:kern w:val="0"/>
                <w:sz w:val="21"/>
                <w:szCs w:val="21"/>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19.支持算法训练任务状态实时监控，包含训练状态展示、训练进度展示；</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20.支持配置算法自动迭代升级的时间；</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7</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人脸识别摄像机</w:t>
            </w:r>
            <w:r>
              <w:rPr>
                <w:rFonts w:hint="eastAsia" w:ascii="宋体" w:hAnsi="宋体" w:eastAsia="宋体" w:cs="宋体"/>
                <w:b w:val="0"/>
                <w:bCs/>
                <w:i w:val="0"/>
                <w:color w:val="auto"/>
                <w:kern w:val="0"/>
                <w:sz w:val="21"/>
                <w:szCs w:val="21"/>
                <w:highlight w:val="none"/>
                <w:u w:val="none"/>
                <w:lang w:val="en-US" w:eastAsia="zh-CN" w:bidi="ar"/>
              </w:rPr>
              <w:t>（与安防核心产品同一品牌）</w:t>
            </w:r>
          </w:p>
        </w:tc>
        <w:tc>
          <w:tcPr>
            <w:tcW w:w="5975" w:type="dxa"/>
            <w:vAlign w:val="top"/>
          </w:tcPr>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传感器类型：通道1：1/1.8英寸CMOS；通道2：1/2.8英寸CMOS；</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像素：通道1：400万；通道2：400万；</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最大分辨率：通道1：2688×1520；通道2：2688×1520；</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最低照度：0.001Lux(彩色模式)；0.0001Lux(黑白模式)；0Lux(补光灯开启)；</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最大补光距离：100m（红外监控距离）60m（暖光监控距离）16m（人脸检测距离）；</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补光灯：2颗（暖光灯）；4颗（混光（红外+暖光）灯）；</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镜头类型：通道1：电动变焦；通道2：定焦；</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镜头焦距：通道1：8mm~32mm；通道2：3.6mm；</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镜头光圈：通道1：F1.6；通道2：F1.0；</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视场角：通道1：水平：43°~15°；垂直：24°~9°；对角：50°~17°；通道2：水平82°×垂直44°×对角96°；</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通用行为分析：物品遗留；物品搬移；</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智能说明：细节：人脸检测，人数统计，通用行为分析，视频结构化，人脸识别，道路监控；全景：NA；</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周界防范：绊线入侵；区域入侵；快速移动（三项均支持人车分类及精准检测）；徘徊检测；人员聚集；停车检测；</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人脸抓拍：支持；</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人脸比对：支持；</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人脸检测：支持人脸检测；支持跟踪；支持优选；支持抓拍；支持上报最优的人脸抓图；支持人脸增强，支持人脸曝光；支持人脸属性提取，支持6种属性8种表情：性别，年龄，眼镜，表情（愤怒，平静，高兴，悲伤，厌恶，惊讶，困惑，害怕），口罩，胡子；支持人脸抠图区域可设:人脸，单寸照，自定义；支持实时抓拍、优选抓拍、质量优先三种抓拍策略；支持人脸角度过滤功能；支持优选时长可设；</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人脸识别：支持人脸检测；支持跟踪；支持优选；支持抓拍；支持上报最优的人脸抓图；支持人脸增强，人脸曝光；支持人脸属性提取，支持6种属性8种表情：性别，年龄，眼镜，表情（愤怒，平静，高兴，悲伤，厌恶，惊讶，困惑，害怕），口罩，胡子；支持人脸抠图区域可设：人脸，单寸照，自定义；支持优选抓拍、识别优先2种抓拍策略；支持人脸角度过滤功能；支持优选时长可设；支持添加5个人脸库；支持单个以及批量人员注册；支持人脸识别相似度设置；支持5万人脸底库的人脸比对；</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人数统计：支持绊线人数统计，并可显示及输出日、月、年统计报表；支持区域内人数统计，支持排队管理功能，并可显示及输出日、月统计报表；支持4个绊线人数统计，4个区域内人数统计，4个排队管理功能；</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道路监控：支持非机动车逆行检测；支持机动车占道检测；支持卡口；支持交通拥堵；支持绘制4个车道；支持车道方向可设；支持车辆拥堵阈值可设；支持拥堵时间可设；</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视频结构化：支持机动车、非机动车、人脸、人体检测；支持跟踪；支持优选；支持抓拍；支持上报最优的人脸抓图机动车属性（车牌，车辆类型，车身颜色，车牌颜色，车标，车系/年款，其他属性:遮阳板，安全带，抽烟，打电话，车内饰品，年检标志）非机动车属性（类型，车身颜色，骑车人数，上衣类型，上衣颜色）人体属性（上衣类型，下衣类型，上衣颜色，下衣颜色，背包，帽子，性别）人脸属性（性别，年龄，表情，戴眼镜，戴口罩，胡子）；</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在分辨率1920x1080 @ 25fps，码流设置为1Mbps时，视频图像传输延时不大于60ms。</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支持数据感知功能，在IE 浏览器下，重启事件记录可包括正常重启和异常重启2种类型。正常重启可记录重启的时间、服务类型、用户名、IP/域名信息；异常重启可记录重启时间、异常类型信息。</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支持固件安全检验功能，摄像机uboot应采用加密存储，通过离线烧写存储器方式写入的uboot执行程序，不能被硬件微引导程序加载执行。</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设备具有耀光抑制功能，耀光区域≤1%。</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内置不少于6颗混合补光灯。</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支持对镜头前盖玻璃加热，去除玻璃上的冰状和水状附着物。</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智能编码：H.264:支持；H.265:支持；</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宽动态：120dB；</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走廊模式：90°/270°（在2688×1520分辨率及以下支持）；</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音频接口：支持；</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内置MIC：支持，内置双MIC；</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内置扬声器：支持，内置1个扬声器；</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报警事件：无SD卡；SD卡空间不足；SD卡出错；网络断开；IP冲突；非法访问；动态检测；视频遮挡；绊线入侵；区域入侵；快速移动；物品遗留；物品搬移；徘徊检测；人员聚集；停车检测；场景变更；音频异常侦测；声强突变；电压检测；虚焦侦测；安全异常；外部报警；人脸检测；人脸识别；视频结构化；区域内人数统计；滞留报警；人数统计；排队停留时间；排队人数异常；人员检测；机动车检测；非机动车检测；交通拥堵；非机动车逆行；有车占道；卡口；；</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预览最大用户数：20个；</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最大Micro SD卡：512GB；</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RS-485接口：1个（波特率范围:1200bps~115200bps）；</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音频输入：2路（RCA头）；</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音频输出：1路（RCA头）；</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报警输入：3路（湿节点,支持直流3V~5V电位,5mA电流）；</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报警输出：2路（湿节点,支持直流最大12V电位,0.3A电流）；</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模拟输出接口：1路（CVBS输出 BNC接口）；</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供电方式：DC12V/POE；</w:t>
            </w:r>
          </w:p>
          <w:p>
            <w:pPr>
              <w:keepNext w:val="0"/>
              <w:keepLines w:val="0"/>
              <w:widowControl/>
              <w:suppressLineNumbers w:val="0"/>
              <w:jc w:val="left"/>
              <w:textAlignment w:val="top"/>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防护等级：IP67</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15</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8</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电梯半球</w:t>
            </w:r>
            <w:r>
              <w:rPr>
                <w:rFonts w:hint="eastAsia" w:ascii="宋体" w:hAnsi="宋体" w:eastAsia="宋体" w:cs="宋体"/>
                <w:b w:val="0"/>
                <w:bCs/>
                <w:i w:val="0"/>
                <w:color w:val="auto"/>
                <w:kern w:val="0"/>
                <w:sz w:val="21"/>
                <w:szCs w:val="21"/>
                <w:highlight w:val="none"/>
                <w:u w:val="none"/>
                <w:lang w:val="en-US" w:eastAsia="zh-CN" w:bidi="ar"/>
              </w:rPr>
              <w:t>（与安防核心产品同一品牌）</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支持电瓶车入梯检测算法，可实现电瓶车入梯行为的检测及报警；</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内置ToF传感器，可对画面中人为手、雨伞等恶意遮挡相机行为进行报警                                                                                                                                                          传感器类型：1/3英寸CMOS；</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像素：400万；</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最大分辨率：2688×1520；</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最低照度：0.002Lux（彩色模式）；0.0002Lux（黑白模式）；0Lux（补光灯开启）；</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最大补光距离：20m（红外）；</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补光灯：1颗（红外灯）；1颗（暖光灯）；</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镜头类型：定焦；</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镜头焦距：2.8mm；</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镜头光圈：F1.6；</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视场角：水平102°×垂直54°×对角121°；</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智能编码：H.264:支持;H.265:支持；</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宽动态：支持；</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走廊模式：90°/270°；</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自适应镜头校正（图像矫正）：支持；</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内置MIC：支持；</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内置扬声器：支持；</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报警事件：无SD卡；SD卡空间不足；SD卡出错；网络断开；IP冲突；非法访问；动态检测；视频遮挡；场景变更；音频异常侦测；电压检测；外部报警；安全异常；</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预览最大用户数：20个（总带宽:64M）；</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最大Micro SD卡：256GB；</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报警输入：1路（湿节点,支持直流3V~5V电位,5mA电流）；</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报警输出：1路（干节点,支持直流最大30V电位,1A电流/交流最大50V电位,0.5A电流）；</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供电方式：DC12V/POE</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5</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9</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电梯网桥</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100m 2.4G电梯网桥，包含发射端和接收端两个设备，出厂默认配对，无需配置即可使用；最大桥接速率300Mbps，内置定向天线水平60度，垂直30度，推荐在100m内无遮挡环境使用，支持壁挂/抱杆等安装方式，，工作温度：-10℃～+55℃（电源标配）</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对</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5</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10</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枪机支架</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壁装支架/白色/铝合金，配套</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161</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11</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球机支架</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壁装支架/白色/铝合金，配套</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5</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12</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全局摄像机支架</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材质：热镀锌高温喷塑；根据现场环境定制尺寸；</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5</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13</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监控立杆（含地笼）</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高度：3.5米；材质：镀锌钢管、静电喷塑烤漆；地笼基础：300cm*300cm*450cm;混凝土C25浇筑；地笼:螺栓M10；</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20</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14</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L型侧吸墙监控支架</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L型不锈钢支架；尺寸：根据环境定制；材质：201不锈钢；</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27</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15</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防水盒</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监控专用防水盒，ABS/PC材质</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个</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476</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16</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磁盘阵列（72盘位，</w:t>
            </w:r>
            <w:r>
              <w:rPr>
                <w:rFonts w:hint="eastAsia" w:ascii="宋体" w:hAnsi="宋体" w:eastAsia="宋体" w:cs="宋体"/>
                <w:b w:val="0"/>
                <w:bCs/>
                <w:i w:val="0"/>
                <w:color w:val="auto"/>
                <w:kern w:val="0"/>
                <w:sz w:val="21"/>
                <w:szCs w:val="21"/>
                <w:highlight w:val="none"/>
                <w:u w:val="none"/>
                <w:lang w:val="en-US" w:eastAsia="zh-CN" w:bidi="ar"/>
              </w:rPr>
              <w:t>与安防核心产品同一品牌</w:t>
            </w:r>
            <w:r>
              <w:rPr>
                <w:rFonts w:hint="eastAsia" w:ascii="宋体" w:hAnsi="宋体" w:eastAsia="宋体" w:cs="宋体"/>
                <w:b w:val="0"/>
                <w:bCs w:val="0"/>
                <w:i w:val="0"/>
                <w:color w:val="auto"/>
                <w:kern w:val="0"/>
                <w:sz w:val="21"/>
                <w:szCs w:val="21"/>
                <w:highlight w:val="none"/>
                <w:u w:val="none"/>
                <w:lang w:val="en-US" w:eastAsia="zh-CN" w:bidi="ar"/>
              </w:rPr>
              <w:t>)</w:t>
            </w:r>
          </w:p>
        </w:tc>
        <w:tc>
          <w:tcPr>
            <w:tcW w:w="5975" w:type="dxa"/>
            <w:vAlign w:val="center"/>
          </w:tcPr>
          <w:p>
            <w:pPr>
              <w:keepNext w:val="0"/>
              <w:keepLines w:val="0"/>
              <w:widowControl/>
              <w:suppressLineNumbers w:val="0"/>
              <w:spacing w:after="220" w:afterAutospacing="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服务器配置：≥1颗64位多核处理器，≥4GB内存，内存支持扩展到≥128GB，内置SSD固态硬盘（可以扩展到2个SSD作为缓存盘），配置≥6个风扇，可热插拔冗余温控调速风扇。</w:t>
            </w:r>
          </w:p>
          <w:p>
            <w:pPr>
              <w:keepNext w:val="0"/>
              <w:keepLines w:val="0"/>
              <w:widowControl/>
              <w:suppressLineNumbers w:val="0"/>
              <w:spacing w:after="220" w:afterAutospacing="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支持热插拔1+1AC220V 或 1+1 直流冗余金牌电源供电（照片证明）或采用可热插拔3+1AC220V 或 3+1直流冗余，机箱具备防尘滤网，采用双立柱防震设计；</w:t>
            </w:r>
          </w:p>
          <w:p>
            <w:pPr>
              <w:keepNext w:val="0"/>
              <w:keepLines w:val="0"/>
              <w:widowControl/>
              <w:suppressLineNumbers w:val="0"/>
              <w:spacing w:after="220" w:afterAutospacing="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标配≥2个千兆网口，可增扩≥6个千兆网口，或可增扩≥4个10Gb光纤接口；支持≥12级扩展柜级联扩展；可支持12GB SAS扩展口；</w:t>
            </w:r>
          </w:p>
          <w:p>
            <w:pPr>
              <w:keepNext w:val="0"/>
              <w:keepLines w:val="0"/>
              <w:widowControl/>
              <w:suppressLineNumbers w:val="0"/>
              <w:spacing w:after="220" w:afterAutospacing="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可接入硬盘≥72块；</w:t>
            </w:r>
          </w:p>
          <w:p>
            <w:pPr>
              <w:keepNext w:val="0"/>
              <w:keepLines w:val="0"/>
              <w:widowControl/>
              <w:suppressLineNumbers w:val="0"/>
              <w:spacing w:after="220" w:afterAutospacing="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支持SATA和SAS混插，支持不同品牌的硬盘混插；支持不同大小的硬盘混合使用，可显示硬盘的总容量（各个硬盘容量之和）</w:t>
            </w:r>
          </w:p>
          <w:p>
            <w:pPr>
              <w:keepNext w:val="0"/>
              <w:keepLines w:val="0"/>
              <w:widowControl/>
              <w:suppressLineNumbers w:val="0"/>
              <w:spacing w:after="220" w:afterAutospacing="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配备独立元数据系统、支持元数据系统组成RAID和网络RAID（N+M配置，且M≥8）</w:t>
            </w:r>
          </w:p>
          <w:p>
            <w:pPr>
              <w:keepNext w:val="0"/>
              <w:keepLines w:val="0"/>
              <w:widowControl/>
              <w:suppressLineNumbers w:val="0"/>
              <w:spacing w:after="220" w:afterAutospacing="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网络中断后重新恢复，可续存断网期间存储在前端设备中的录像文件，并可通过IE浏览器设置自动回传和手动回传；支持256路4Mbps的录像回传。</w:t>
            </w:r>
          </w:p>
          <w:p>
            <w:pPr>
              <w:keepNext w:val="0"/>
              <w:keepLines w:val="0"/>
              <w:widowControl/>
              <w:suppressLineNumbers w:val="0"/>
              <w:spacing w:after="220" w:afterAutospacing="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支持视音频、图片、智能数据流进行混合直存，无须存储服务器和图片服务器的参与，平台服务器宕机时，存储业务正常；</w:t>
            </w:r>
          </w:p>
          <w:p>
            <w:pPr>
              <w:keepNext w:val="0"/>
              <w:keepLines w:val="0"/>
              <w:widowControl/>
              <w:suppressLineNumbers w:val="0"/>
              <w:spacing w:after="220" w:afterAutospacing="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支持国际GB/T 28181和Onvif视频流直存模式；支持iSCSI直存功能，前端网络摄像机和设备之间可直接通过iSCSI协议进行块存储；</w:t>
            </w:r>
          </w:p>
          <w:p>
            <w:pPr>
              <w:keepNext w:val="0"/>
              <w:keepLines w:val="0"/>
              <w:widowControl/>
              <w:suppressLineNumbers w:val="0"/>
              <w:spacing w:after="220" w:afterAutospacing="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根据数据对象的重要性、访问频率等属性按照预先设定的分层存储区域可进行自动分层存储并可实现快速访问</w:t>
            </w:r>
          </w:p>
          <w:p>
            <w:pPr>
              <w:keepNext w:val="0"/>
              <w:keepLines w:val="0"/>
              <w:widowControl/>
              <w:suppressLineNumbers w:val="0"/>
              <w:spacing w:after="220" w:afterAutospacing="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 ONVIF、PSIA、TCP/IP、UDP、SIP、SIP2.0、RTSP、RTP、RTCP、iSCSI、CIFS(SMB)、NFS、FTP、HTTP、AFP、RSYNC、SNMP、IPV4、IPV6、HLS、S3、OSS等协议</w:t>
            </w:r>
          </w:p>
          <w:p>
            <w:pPr>
              <w:keepNext w:val="0"/>
              <w:keepLines w:val="0"/>
              <w:widowControl/>
              <w:suppressLineNumbers w:val="0"/>
              <w:spacing w:after="220" w:afterAutospacing="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支持不低于1536Mbps图片转发；支持不低于1536Mbps图片并发输入，同时不低于1536Mbps图片并发输出；</w:t>
            </w:r>
          </w:p>
          <w:p>
            <w:pPr>
              <w:keepNext w:val="0"/>
              <w:keepLines w:val="0"/>
              <w:widowControl/>
              <w:suppressLineNumbers w:val="0"/>
              <w:spacing w:after="220" w:afterAutospacing="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可在视频画面上绘制区域或界线，检索指定范围内的报警录像；可输入车牌号码可查证出相关图片和视频；可按照报警事件进行检索。可通过客户端将交通卡口数据（包括车标、车道、车速范围、车牌及车身颜色），行为分析的图片及数据（包括进入警戒线、进入警戒区、物品遗留、人脸检测）直接存入存储服务器，并可通过客户端进行检索、查看、下载图片及进行录像</w:t>
            </w:r>
          </w:p>
          <w:p>
            <w:pPr>
              <w:keepNext w:val="0"/>
              <w:keepLines w:val="0"/>
              <w:widowControl/>
              <w:suppressLineNumbers w:val="0"/>
              <w:spacing w:after="220" w:afterAutospacing="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支持磁盘冷启动，设备内的磁盘发生非物理性损坏导致的读写中断等异常时，设备可自动判断磁盘损坏程度，可通过磁盘冷启动进行恢复操作，业务不中断</w:t>
            </w:r>
          </w:p>
          <w:p>
            <w:pPr>
              <w:keepNext w:val="0"/>
              <w:keepLines w:val="0"/>
              <w:widowControl/>
              <w:suppressLineNumbers w:val="0"/>
              <w:spacing w:after="220" w:afterAutospacing="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可根据业务需要配置重构速度，支持低速、中速、高速和全速四种重构速度配置，可通过客户端软件显示重构速度；RAID模式下，当RAID内某一块硬盘发生故障，更换该硬盘或热备盘替换时，可自动进行RAID重构；当RAID处于降级或重构状态下，不影响数据写入；可将损坏RAID按照RAID损坏等级进行重构。</w:t>
            </w:r>
          </w:p>
          <w:p>
            <w:pPr>
              <w:keepNext w:val="0"/>
              <w:keepLines w:val="0"/>
              <w:widowControl/>
              <w:suppressLineNumbers w:val="0"/>
              <w:spacing w:after="220" w:afterAutospacing="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可扩展支持将前端一路视频流同时存入两台存储；支持双机间编码器和录像同步，故障时可进行互相接管</w:t>
            </w:r>
          </w:p>
          <w:p>
            <w:pPr>
              <w:keepNext w:val="0"/>
              <w:keepLines w:val="0"/>
              <w:widowControl/>
              <w:suppressLineNumbers w:val="0"/>
              <w:spacing w:after="220" w:afterAutospacing="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可根据事件名称查询所有相关联的不同前端或时间的录像段并进行回放和下载</w:t>
            </w:r>
          </w:p>
          <w:p>
            <w:pPr>
              <w:keepNext w:val="0"/>
              <w:keepLines w:val="0"/>
              <w:widowControl/>
              <w:suppressLineNumbers w:val="0"/>
              <w:spacing w:after="220" w:afterAutospacing="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可对指定事件的1个或多个不同时间段的录像段添加标签，并自动备份到存档卷中，使之不会被覆盖删除，并根据标签查询录像，可将相同标签的录像进行统一回放、下载；可对录像卷和存档卷配置不同的存储周期；</w:t>
            </w:r>
          </w:p>
          <w:p>
            <w:pPr>
              <w:keepNext w:val="0"/>
              <w:keepLines w:val="0"/>
              <w:widowControl/>
              <w:suppressLineNumbers w:val="0"/>
              <w:spacing w:after="220" w:afterAutospacing="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支持大于4个容器，存储业务模块可存放在不同容器中，业务之间互相隔离，一个业务模块发生故障时，不影响其它业务模块。当一个业务模块异常，系统可自动重启业务模块并恢复原有业务；</w:t>
            </w:r>
          </w:p>
          <w:p>
            <w:pPr>
              <w:keepNext w:val="0"/>
              <w:keepLines w:val="0"/>
              <w:widowControl/>
              <w:suppressLineNumbers w:val="0"/>
              <w:spacing w:after="220" w:afterAutospacing="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可在KVM虚拟化环境下进行U盘等硬件热插拔；可对虚机镜像进行异常监控；可在无独立显卡情况下，使用主板CPU集成显卡为虚拟机提供视频图像显示能力；</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17</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监控级硬盘</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10T,7200RPM,3.5寸,SATA</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个</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144</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18</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解码器</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超高清解码器</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视频输入</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支持电脑、视频会议终端等视频输入信号源，支持2路1080P@50/60 或1路4K@30，通过HDMI 1.4本地输入，HDMI可内嵌音频</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支持网络IPC、NVR等设备类型作为网络信号源输入</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视频输出</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 支持HDMI 1.4视频信号输出，支持4K分辨率（3840 × 2160@30 Hz）超高清输出，输出采用帧同步技术，保证所有输出口的图像完全同步</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支持两种音频输出方式：HDMI内嵌音频和外置音频输出</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视频编解码</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 采用H.264/H.265编码标准，默认采用H.265，支持子码流及主码流编码</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 支持网络设备解码，支持H.264、H.265、Smart264、Smart265、MJPEG、HIK264等主流码流格式，支持PS、TS、ES、RTP等主流封装格式，支持子码流及主码流切换</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 最大支持3200w分辨率解码，具有96个解码通道，支持96路200W视频同时解码上墙</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 支持加密码流、多轨码流、智能码流解码；支持码流修改和切换；支持解码异常提示</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电视墙功能</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支持单面电视墙拼接、开窗、窗口跨屏漫游、场景轮巡和窗口轮巡功能，单屏支持3个1080P或2个4K图层，单窗口支持1/4/6/8/9/16/25窗口分屏功能，整机最大支持64个场景，整机支持256个平台预案轮巡组</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支持RTP\RTSP协议进行网络源预览，可通过smartwall客户端进行桌面投屏上墙</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 支持电视墙界面对网络信号源云台八个方向、自动扫描、光圈、调焦、聚焦、调用预置点等操作</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 支持电视墙窗口开始/停止预览、开始/停止解码、开始/停止轮巡、打开/关闭声音、置顶/置底等操作</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为保证产品兼容性，需提供设备支持GB/T 28181-2022的证明。</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支持PC 软件客户端、WEB 浏览器客户端、平台客户端、IPAD、可视化触控平台方式访问管理。</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支持黑白名单功能，可设置256个黑白名单；当设置白名单时，只允许白名单IP访问设备；当设置黑名单时，黑名单内IP无法访问设备；</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 机箱接口：RJ45 10M/100 M/1000 Mbps 自适应以太网接口*2； 光口 100base-FX/1000base-X*2， 支持光电自适应；报警输入*8；报警输出*8；232接口 *1（RJ45）；485接口*1；USB 2.0接口*2</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 功耗：＜120 W </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底图数量：不支持底图，只支持背景色</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解码源上墙延时：120ms</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场景切换延时：3s </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视频解码能力：支持6路3200 W，或6路2400 W，或12路1200 W，或24路800 W，或30路600W，或36路500 W，或54路400 W，或60路300 W，或96路1080P及以下分辨率实时解码（每4个输出口一组，共享解码能力）</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视频解码通道：96</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视频解码格式：H.264，H.265，Smart264，Smart265，MJPEG </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视频输入接口：2路HDMI 1.4，最大支持4K（仅奇数口）</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视频输入分辨率：3840 × 2160@30 Hz（仅奇数口）,1920 × 1080@50 Hz,1920 × 1080@60 Hz, 1280 × 720@50/60 Hz </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视频输出接口类型：12路HDMI 1.4，支持4K</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视频输出分辨率：3840 × 2160@30 Hz、2560 × 1440@30 Hz、1920 × 1200@60 Hz、1920 × 1080@60 Hz、1920 × 1080@50 Hz、1680 × 1050@60 Hz、1600 × 1200@60 Hz、1280 × 1024@60 Hz、1280 × 720@60 Hz、1280 × 720@50 Hz、1024 × 768@60 Hz </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音频解码格式：G711-A，G711-U，G722.1，G726-16/U/A，MPEG，AAC-LC </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音频输入接口：音频输入接口 </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 xml:space="preserve">音频输入接口：12路HDMI内嵌或DB15转BNC独立音频输出 </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19</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操作台</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同监视墙，3联.三联平面 操作抬长1700*高750*宽900下面箱体宽度640  桌面框体厚度1.2 下筐体1.0  材质镀锌版喷塑  桌面采用防火板材质</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套</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20</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综合安防管理平台（安防核心产品）</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系统基础包，提供业务应用依赖的基础资源信息及基础服务能力，包括组织管理、区域管理、人员管理、车辆管理、用户管理、设备管理、低代码引擎、门户工作台、云眸与本地EDU融合等。</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系统基础信息管理：</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系统基础信息管理提供了系统业务应用依赖的基础资源，包括安保用户管理、安保基础数据管理、安保区域管理、安保系统配置、物联设备管理，统一管理了组织、区域、人员、卡片、车辆和物联设备等资源，并提供人车、人卡的关联关系配置能力。</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一、组织资源管理</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1、支持组织基础信息的增删改查、导入、导出等功能；</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二、区域资源管理</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1、支持区域基础信息的增删改查、导入、导出等功能；</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三、人员信息管理</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1、支持人员信息的增删改查、导入、导出，包括人脸、指纹采集；</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2、支持人员基础信息自定义扩展；</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四、卡片信息管理</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1、支持卡片基本信息的增删改查、导入、导出；</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2、支持人员开卡、退卡、挂失、解挂、换卡及卡扇区加密；</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五、车辆信息管理</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1、支持车辆基本信息的增删改查、导入、导出；</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六、设备信息管理</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1、提供设备统一接入管理，包括：视频设备、出入口设备、门禁设备、梯控设备、可视对讲设备、食堂消费设备、寻车诱导设备、卡口设备、车载设备、报警设备等。</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七、系统用户管理</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1、支持账户基本信息和角色信息的增删改查；</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2、支持配置不同角色权限，包括菜单权限、组织权限、区域权限、资源权限、功能控制权限；</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3、支持用户组权限分配；</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4、支持用户安全管理，可绑定用户mac地址及IP，可自行修改用户密码或者管理员重置密码；</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5、支持从Windows域同步用户信息，用于域账户进行平台登录；</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八、低代码引擎</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1、支持流程表单引擎、报表引擎、巡检引擎、规则引擎、界面编排引擎等</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人员布控应用以人脸识别技术为核心，通过前端视频和后端比对分析设备，对人脸进行抓拍、分析，实现人脸自动识别，提供人员布控服务能力。</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1、支持重点人员、陌生人、高频人员信息管理能力；</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2、支持重点人员识别计划、陌生人识别计划、高频人员识别计划管理能力，实现人员实时布控；</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 xml:space="preserve">3、支持重点人员、陌生人、高频人员识别记录管理及轨迹追踪能力                                                    九、授权数量：视频设备650路；出入口设备：6路；门禁设备：100路；梯控设备：20路；                                                                                                                                                                                                   </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套</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21</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平台管理服务器</w:t>
            </w:r>
            <w:r>
              <w:rPr>
                <w:rFonts w:hint="eastAsia" w:ascii="宋体" w:hAnsi="宋体" w:eastAsia="宋体" w:cs="宋体"/>
                <w:b w:val="0"/>
                <w:bCs/>
                <w:i w:val="0"/>
                <w:color w:val="auto"/>
                <w:kern w:val="0"/>
                <w:sz w:val="21"/>
                <w:szCs w:val="21"/>
                <w:highlight w:val="none"/>
                <w:u w:val="none"/>
                <w:lang w:val="en-US" w:eastAsia="zh-CN" w:bidi="ar"/>
              </w:rPr>
              <w:t>（与安防核心产品同一品牌）</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CPU：配置2颗intel至强4210R处理器，核数≥10核，主频≥2.4GHz</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内存：配置128G DDR4，16根内存插槽，最大支持扩展至2TB内存</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硬盘：配置2块600G 10K 2.5寸 SAS硬盘；最高支持12块3.5寸(兼容2.5寸)热插拔SAS/SATA硬盘，支持可选2块后置热插拔2.5寸硬盘</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阵列卡：配置SAS_HBA卡，支持RAID 0/1/10 ; </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PCIE扩展：支持6个PCIE扩展插槽</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网口：板载2个千兆电口；支持选配10GbE、25GbE SFP+等多种网络接口</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其他接口：1个RJ45管理接口，后置2个USB 3.0接口，前置2个USB2.0接口，1个VGA接口</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 xml:space="preserve">电源：标配550W（1+1）高效铂金CRPS冗余电源 </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22</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流媒体管理服务器</w:t>
            </w:r>
            <w:r>
              <w:rPr>
                <w:rFonts w:hint="eastAsia" w:ascii="宋体" w:hAnsi="宋体" w:eastAsia="宋体" w:cs="宋体"/>
                <w:b w:val="0"/>
                <w:bCs/>
                <w:i w:val="0"/>
                <w:color w:val="auto"/>
                <w:kern w:val="0"/>
                <w:sz w:val="21"/>
                <w:szCs w:val="21"/>
                <w:highlight w:val="none"/>
                <w:u w:val="none"/>
                <w:lang w:val="en-US" w:eastAsia="zh-CN" w:bidi="ar"/>
              </w:rPr>
              <w:t>（与安防核心产品同一品牌）</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CPU：配置1颗intel至强4208处理器，核数≥8核，主频≥2.1GHz</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内存：配置16G DDR4，16根内存插槽，最大支持扩展至2TB内存</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硬盘：配置2块600G SAS硬盘；整机支持前置：12块3.5寸SAS/SATA硬盘或24块2.5寸热插拔SAS/SATA硬盘；后置：最大支持2块2.5寸SAS/SATA硬盘</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阵列卡：配置SAS_HBA卡，支持RAID 0/1/10 ;</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PCIE扩展：最大可支持6个PCIE扩展插槽</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网口：2个千兆电口</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其他接口：1个RJ-45管理接口，位于机箱后部；4个USB 3.0接口，2个位于机箱后部、2个位于机箱前部；一个后置VGA，一个前置VGA；1个串口，位于机箱后部；</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电源：标配550W（1+1）高效铂金CRPS冗余电源</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23</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网络键盘</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屏幕区和摇杆区采用分体设计;</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支持网络方式接入本司全系列DVR、DVS、NVR、网络摄像机、球机等设备;</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支持在触控屏上预览图像或通过HDMI/DVI将图像投到外接显示屏上;</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支持控制视频综合平台、解码器、多屏控制器或NVR&amp;解码上墙一体机，直观展示电视墙布局;</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支持云台控制，支持预置点、巡航设置与调用;</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支持回放硬盘录像机上的录像文件，支持控制解码器回放;</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支持抓图、录像功能，文件保存至U盘或上传至FTP服务器;</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支持最多添加8000台设备，支持以ONVIF协议接入设备;</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支持通过excel批量添加点位，借助U盘导入;</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两级用户权限，支持32个用户 ，1个admin管理员用户和31个操作员用户;</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支持接入iSecure（海豚）平台;</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支持U盘升级及导入/导出配置文件;</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支持接入综合安防平台;</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支持语音识别，通过指定的语音指令实现快捷切换操作。;</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开机时间≤35秒；</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延时≤190毫秒；</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显示屏：10.1英寸TFT LCD</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控制方式：网络方式   电源：DC12V/POE   功耗：≤15W </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最大解码分辨率：4路1080P或1路4K </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工作温度：-10℃--＋55℃</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工作湿度：10％--90％ </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网络接口：1个</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WiFi：1个</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串行接口：不支持</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语音对讲输入：1个，3.5mm立体声</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语音对讲输出：1个，3.5mm立体声</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摇杆类型：四维单按键摇杆</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USB接口：USB2.0x2</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 xml:space="preserve">视频接口：DVIx1;HDMIx1 </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24</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人证比对终端</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操作系统：Android 7.1.2，双核Cortex-A72 + 四核Cortex-A53；</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屏幕参数： 操作员屏15.6寸电容触屏(内侧)，用户屏11.6寸非触屏(外侧)；</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摄像头参数：采用宽动态200万双目摄像头；</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存储容量：2G内存，16G存储；</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硬件接口：LAN*1、USB*2;</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通信方式：TCP/IP、 Wifi;</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使用环境：室内使用；</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工作电压：AC220V;</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出厂APK：联网版访客APK</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当同一访客多次来访时，能自动显示该访客最近一次的访问记录，当没有签离得访客再次到访时，应能提示访客需要签离后再进行访客登记。</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人证比对时间不大于1s；</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应具有人脸比对功能，对来访者进行现场人脸抓拍，并与来访者的居民身份证芯片内的照片进行人脸比对，人证核验通过后，才能进行访客登记操作。</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一、基础功能介绍：</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①人证功能：内置人证比对算法，支持人证（身份证）比对功能，即：将现场抓拍的访客人脸照片与身份证内读取的人像信息进行比对，验证是否为本人，比对时间≤1s；</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②凭条打印：内置热敏打印机，支持打印访客凭条，当访客登记成功后，打印访客登记信息；</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③扫码功能：内置二维码扫描仪，默认支持扫描软件生成的H5界面或微信访客预约码，完成访客登记；第三方访客码需要定制支持；</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④测温功能：支持外接测温模块（需单独采购），实现访客登记并测温功能，完成体温与访客信息绑定；</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二、联网访客版本功能（出厂默认、需搭配平台使用）：</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①已预约访客自助登记：提前预约的访客，当访客到达园区时，当到达园区时只需输入预约信息，即可完成访客登记。访客登记共有三种方式：二维码登记、身份证登记，访客码/手机号码登记；</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②未预约访客登记：未提前预约的访客，支持在工作人员协助下通过刷身份证在访客机上进行人工登记；</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三、单机访客版本功能（需现场升级）：</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①已预约访客登记：被访者通过客户端可预约访客，访客预约后，访客可使用预约手机号或访客码进行访客登记，访客刷身份证并且人证比对通过后自动完成访客信息录入；</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②未预约访客登记：内部员工在访客机上刷员工卡完成被访对象身份验证，由工作人员手动输入身份信息完成登记；</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25</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室外设备箱</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不小于400*500*200mm，不锈钢防水设备箱</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18</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26</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监岗管理软件</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1、重要人员离开岗位实时或预设时间内预警；</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2、重要岗位与位置捆绑； </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3、地图式重要岗位人员状态监控</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套</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27</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巡更管理软件</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1、采用低功耗蓝牙触发器，普通手机、专业手持机均可实现在线动态方式的巡更（结合巡更APP）；</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2、地图式巡更：巡更人员手持终端软件动态地图（结合学校3维视觉效果地图）式显示巡更导航（逐一显示已巡更点和未巡更点以及引导路线）路线，监控管理中心同步显示监视；</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3、未巡检任务提醒及路线动态指示，已巡检路线查找及地图式展示；</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4、提供详细的巡检分析报表（巡检记录，漏点记录，异常记录，统计报表等）；</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5、提供巡更人员到达各巡更点的日期、时间、班次，漏检巡更点和异常信息报表；</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6、支持时间查询，路线查询，地点查询，班次查询，人员查询等多种查询方式；</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7、支持对巡检路线，班次，人员，次序可随时进行方便的设置、修改</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套</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28</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监岗定位读写器</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1、全向识别；</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2、内置天线；</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3、IP68 防水结构；</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4、识别距离 10 米可调；</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5、支持 POE 供电</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29</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POE8口交换机</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1.固化10/100/1000M以太网电口≥8个，1G/2.5G SFP光接口≥1个；</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2.支持采用物理隔离的方式进行端口拓展，实现一机双网管理。支持最大4+2、8+2端口拓展；</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3.尺寸小，支持放入400*300*100的标准弱电箱中部署，保障室内环境的美观；</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4.要求所投产品支持POE和POE+远程供电，POE供电功率为125W；</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5.为保证设备在受到外接机械碰撞时能够正常运行，要求交换机IK防护测试级别至少达到IK05；</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6.要求设备采用金属外壳和金属网口设计；</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7.支持端口浪涌抗扰度≥8KV（即具备8KV的防雷能力）；</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8.支持IPv4和IPv6的静态路由、RIP/RIPng、OSPFv2/OSPFv3等三层路由协议；</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9.支持专门针对CPU的保护机制，能够针对发往CPU处理的各种报文进行流区分和优先级队列分级处理，保护交换机在各种环境下稳定工作；</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10.符合国家低碳环保等政策要求，支持IEEE 802.3az标准的EEE节能技术；</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11.支持生成树协议STP(IEEE 802.1d)，RSTP(IEEE 802.1w)和MSTP(IEEE 802.1s)，完全保证快速收敛，提高容错能力，保证网络的稳定运行和链路的负载均衡，合理使用网络通道，提供冗余链路利用率；</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12.支持通过WEB可视化界面配置交换机；</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13.当室内交换机出现故障，替换用的新设备支持智能零替换。支持自适应不同型号间的设备替换，以及替换后新设备支持终端在任意端口接入，并且终端在原有设备接入端口的配置可自动跟随到新设备端口；</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40</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30</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POE24口交换机</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1.交换容量≥335G，包转发率≥50Mpps；</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2.固化10/100/1000M以太网端口≥24，固化1G SFP光接口≥4个；</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3.为保证设备在受到外界机械碰撞时能够正常运行，要求所投交换机IK防护测试级别至少达到IK05；</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4.支持POE和POE+,同时可POE供电端口≥24个，POE最大输出功率≥370W；</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5.支持生成树协议STP(IEEE 802.1d)，RSTP(IEEE 802.1w)和MSTP(IEEE 802.1s)，完全保证快速收敛，提高容错能力，保证网络的稳定运行和链路的负载均衡，合理使用网络通道，提供冗余链路利用率；</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6.支持IPV4/IPV6静态路由，RIP、RIPng；</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28</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31</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千兆光模块</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 xml:space="preserve">SFP 模块(1310nm,10km,LC) </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136</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32</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双绞线缆</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1、名称：管内穿非屏蔽6类双绞线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2、规格、型号：1）护套材质：PVC、绝缘层材料：PE、含十字骨架、线规：24AWG；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2）导体需采用99.99%以上纯铜，导体直径不小于0.515（±0.005）mm；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3）符合YD/T 1019、ISO/IEC 11801、ANSI/TIA-568-C.2标准；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4）工作电容最大值：≤5.6nF/100m；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5）单根导体直流电阻：≤9.5Ω/100m at 20℃；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6）线对直流电阻不平衡性：≤2.5%；</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米</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9450</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33</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双绞线缆</w:t>
            </w:r>
          </w:p>
        </w:tc>
        <w:tc>
          <w:tcPr>
            <w:tcW w:w="5975"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1、名称：桥架内配非屏蔽6类双绞线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2、规格、型号：1）护套材质：PVC、绝缘层材料：PE、含十字骨架、线规：24AWG；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2）导体需采用99.99%以上纯铜，导体直径不小于0.515（±0.005）mm；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3）符合YD/T 1019、ISO/IEC 11801、ANSI/TIA-568-C.2标准；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4）工作电容最大值：≤5.6nF/100m；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5）单根导体直流电阻：≤9.5Ω/100m at 20℃；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6）线对直流电阻不平衡性：≤2.5%；</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米</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22050</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34</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室外非屏蔽6类双绞线</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1、护套材质：PVC、绝缘层材料：PE、含十字骨架、线规：24AWG；</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2、导体需采用99.99%以上纯铜，导体直径不小于0.515（±0.005）mm；  </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3、符合YD/T 1019、ISO/IEC 11801、ANSI/TIA-568-C.2标准；</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4、工作电容最大值：≤5.6nF/100m；</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5、单根导体直流电阻：≤9.5Ω/100m at 20℃； </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6、线对直流电阻不平衡性：≤2.5%；</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米</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3500</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35</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基础支架</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1、适用于箱体后维护；</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2、立柱安装、基础开挖浇筑；双立柱、基础开挖、钢筋绑扎、混凝土浇、结构焊接，外框304不锈钢边框）</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3、基础开挖600*600*1200mm；浇筑：混泥土C25；预埋地笼：30*30*50mm；不锈钢边框：5mm*0.8mm;</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10.7</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36</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电源线</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RVV2*1无氧铜</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米</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4980</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r>
    </w:tbl>
    <w:p>
      <w:pP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2.5考场系统</w:t>
      </w:r>
    </w:p>
    <w:tbl>
      <w:tblPr>
        <w:tblStyle w:val="99"/>
        <w:tblW w:w="105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1138"/>
        <w:gridCol w:w="5975"/>
        <w:gridCol w:w="775"/>
        <w:gridCol w:w="662"/>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序号</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项目名称</w:t>
            </w:r>
          </w:p>
        </w:tc>
        <w:tc>
          <w:tcPr>
            <w:tcW w:w="59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技术参数</w:t>
            </w:r>
          </w:p>
        </w:tc>
        <w:tc>
          <w:tcPr>
            <w:tcW w:w="7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单位</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数量</w:t>
            </w:r>
          </w:p>
        </w:tc>
        <w:tc>
          <w:tcPr>
            <w:tcW w:w="1013"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标考红外高清半球摄像机</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 符合《国家教育考试网上巡查系统视频标准技术规范（2017版）》规范；符合《公共安全视频监控联网信息安全技术要求》GB35114-2017标准；</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2.采用高性能两百万像素1/3英寸或以上CMOS图像传感器，低照度效果好，图像清晰度高；</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3.可输出200万（1920×1080）@25fps；</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4.支持H.265编码，压缩比高，超低码流；</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5.最大红外监控距离30米；</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6.支持走廊模式，宽动态，3D降噪，强光抑制，背光补偿，数字水印，适用不同监控环境；</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7.支持ROI，SMART H.264/H.265，灵活编码，适用不同带宽和存储环境；</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8.支持多类报警：无SD卡、SD卡空间不足、SD卡出错、网络断开、IP冲突、移动检测、视频遮挡、非法访问、安全异常、外部报警等；</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9.支持插拔128G SD卡；</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10.支持DC12V/POE供电方式，支持DC12V电源返送；</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支持IP66防护等级； </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 11.支持智能红外功能：当开启红外灯光功能后，能根据所射目标距离自动调节红外辐射功率，红外距离≥50米；</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12.支持根据热度信息生成热度图，并支持热度图导出；</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13.支持通过回放功能中按智能分析行为检索；</w:t>
            </w:r>
            <w:r>
              <w:rPr>
                <w:rFonts w:hint="eastAsia" w:ascii="宋体" w:hAnsi="宋体" w:eastAsia="宋体" w:cs="宋体"/>
                <w:i w:val="0"/>
                <w:color w:val="auto"/>
                <w:kern w:val="0"/>
                <w:sz w:val="21"/>
                <w:szCs w:val="21"/>
                <w:highlight w:val="none"/>
                <w:u w:val="none"/>
                <w:lang w:val="en-US" w:eastAsia="zh-CN" w:bidi="ar"/>
              </w:rPr>
              <w:fldChar w:fldCharType="begin"/>
            </w:r>
            <w:r>
              <w:rPr>
                <w:rFonts w:hint="eastAsia" w:ascii="宋体" w:hAnsi="宋体" w:eastAsia="宋体" w:cs="宋体"/>
                <w:i w:val="0"/>
                <w:color w:val="auto"/>
                <w:kern w:val="0"/>
                <w:sz w:val="21"/>
                <w:szCs w:val="21"/>
                <w:highlight w:val="none"/>
                <w:u w:val="none"/>
                <w:lang w:val="en-US" w:eastAsia="zh-CN" w:bidi="ar"/>
              </w:rPr>
              <w:instrText xml:space="preserve">INCLUDEPICTURE \d "C:\\Users\\s\\AppData\\Local\\Temp\\ksohtml\\clip_image2.png" \* MERGEFORMATINET </w:instrText>
            </w:r>
            <w:r>
              <w:rPr>
                <w:rFonts w:hint="eastAsia" w:ascii="宋体" w:hAnsi="宋体" w:eastAsia="宋体" w:cs="宋体"/>
                <w:i w:val="0"/>
                <w:color w:val="auto"/>
                <w:kern w:val="0"/>
                <w:sz w:val="21"/>
                <w:szCs w:val="21"/>
                <w:highlight w:val="none"/>
                <w:u w:val="none"/>
                <w:lang w:val="en-US" w:eastAsia="zh-CN" w:bidi="ar"/>
              </w:rPr>
              <w:fldChar w:fldCharType="separate"/>
            </w:r>
            <w:r>
              <w:rPr>
                <w:rFonts w:hint="eastAsia" w:ascii="宋体" w:hAnsi="宋体" w:eastAsia="宋体" w:cs="宋体"/>
                <w:i w:val="0"/>
                <w:color w:val="auto"/>
                <w:kern w:val="0"/>
                <w:sz w:val="21"/>
                <w:szCs w:val="21"/>
                <w:highlight w:val="none"/>
                <w:u w:val="none"/>
                <w:lang w:val="en-US" w:eastAsia="zh-CN" w:bidi="ar"/>
              </w:rPr>
              <w:drawing>
                <wp:inline distT="0" distB="0" distL="114300" distR="114300">
                  <wp:extent cx="9525" cy="9525"/>
                  <wp:effectExtent l="0" t="0" r="0" b="0"/>
                  <wp:docPr id="8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2" descr="IMG_256"/>
                          <pic:cNvPicPr>
                            <a:picLocks noChangeAspect="1"/>
                          </pic:cNvPicPr>
                        </pic:nvPicPr>
                        <pic:blipFill>
                          <a:blip r:embed="rId13"/>
                          <a:stretch>
                            <a:fillRect/>
                          </a:stretch>
                        </pic:blipFill>
                        <pic:spPr>
                          <a:xfrm>
                            <a:off x="0" y="0"/>
                            <a:ext cx="9525" cy="9525"/>
                          </a:xfrm>
                          <a:prstGeom prst="rect">
                            <a:avLst/>
                          </a:prstGeom>
                          <a:noFill/>
                          <a:ln w="9525">
                            <a:noFill/>
                          </a:ln>
                        </pic:spPr>
                      </pic:pic>
                    </a:graphicData>
                  </a:graphic>
                </wp:inline>
              </w:drawing>
            </w:r>
            <w:r>
              <w:rPr>
                <w:rFonts w:hint="eastAsia" w:ascii="宋体" w:hAnsi="宋体" w:eastAsia="宋体" w:cs="宋体"/>
                <w:i w:val="0"/>
                <w:color w:val="auto"/>
                <w:kern w:val="0"/>
                <w:sz w:val="21"/>
                <w:szCs w:val="21"/>
                <w:highlight w:val="none"/>
                <w:u w:val="none"/>
                <w:lang w:val="en-US" w:eastAsia="zh-CN" w:bidi="ar"/>
              </w:rPr>
              <w:fldChar w:fldCharType="end"/>
            </w:r>
            <w:r>
              <w:rPr>
                <w:rFonts w:hint="eastAsia" w:ascii="宋体" w:hAnsi="宋体" w:eastAsia="宋体" w:cs="宋体"/>
                <w:i w:val="0"/>
                <w:color w:val="auto"/>
                <w:kern w:val="0"/>
                <w:sz w:val="21"/>
                <w:szCs w:val="21"/>
                <w:highlight w:val="none"/>
                <w:u w:val="none"/>
                <w:lang w:val="en-US" w:eastAsia="zh-CN" w:bidi="ar"/>
              </w:rPr>
              <w:t xml:space="preserve"> </w:t>
            </w:r>
          </w:p>
        </w:tc>
        <w:tc>
          <w:tcPr>
            <w:tcW w:w="7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5</w:t>
            </w:r>
          </w:p>
        </w:tc>
        <w:tc>
          <w:tcPr>
            <w:tcW w:w="1013"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2</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高清SIP管理平台</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1.符合《国家教育考试网上巡查系统视频标准技术规范（2017版）》相关技术规范；</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2.具备实时操作系统Linux或国产操作系统，本身具有抗病毒和抗攻击能力；</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3.支持标准SIP 2.0，支持域、子域管理，可最多支持5级域、子域；</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4.支持SIP向上级的主动注册与多级注册的管理；</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5.支持IP、UDP、RTP、RTCP、SIP、TCP/IP、DHCP、PPPOE等网络协议；</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6.支持多转发分布式部署协同工作，支持媒体流分发，满足大路数高清视频流的转发需求；</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7.支持根据网络情况和使用需求，动态调整视频分辨率；</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8.支持考场编排报表，并可打印考场编号；</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9.支持图形化操作入口、图形化机构拓扑呈现、设备拓扑呈现；</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10.支持根据考试类型进行视频图像上传控制；</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11.可设置SIP路由器的相关信息；</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12.可设置分发服务器的相关信息；</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13.可设置客户端、巡查主机、控制器等账号权限；</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14.支持生成设备清单报表；</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15.支持报警信息查询及搜索；</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16.设备支持国产嵌入式CPU，单颗CPU核心数≥8核；</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17.支持巡检任务设置，可关联考试计划，巡检结果支持文件导出，设备作为上级平台时，可查看考点编号、故障点和故障原因，设备作为考点平台时，可查看设备连接状态、OSD设置、设备性能、硬盘信息、视频质量信息；</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18.支持根据组网模式、上下级机构拓扑关系生成可视化3D拓扑结构图，支持以3D形式展示系统实时运行状态，SIP工作状态、转发工作状态、平台间SIP注册状态、数据流状态等；</w:t>
            </w:r>
          </w:p>
        </w:tc>
        <w:tc>
          <w:tcPr>
            <w:tcW w:w="7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套</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w:t>
            </w:r>
          </w:p>
        </w:tc>
        <w:tc>
          <w:tcPr>
            <w:tcW w:w="1013"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3</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监控级硬盘</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6T,7200RPM,3.5寸,SATA</w:t>
            </w:r>
          </w:p>
        </w:tc>
        <w:tc>
          <w:tcPr>
            <w:tcW w:w="7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块</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2</w:t>
            </w:r>
          </w:p>
        </w:tc>
        <w:tc>
          <w:tcPr>
            <w:tcW w:w="1013"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4</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标考高清电视墙管理平台</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1.符合《国家教育考试网上巡查系统视频标准技术规范（2017版）》相关技术规范；</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2.插卡式模块设计，可根据市场需求灵活配置；</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3.冗余风扇散热系统设计，智能调控温度，确保机箱内温度平衡；</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4.双通道冗余电源设计，支持直流/交流电源，适应于机房等应用环境；</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5.支持模拟、数字视频信号的输入和矩阵输出；</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6.支持高清视频信号的矩阵切换和输出；</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7.采用H.264或MPEG4视频压缩标准，支持双码流技术，可变码流，支持复合流和视频流编码，且音频和视频同步；</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8.满配最大支持80路3840*2160@30fps或320路1080p@30fps标清视频解码能力；</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9.支持解码H.265/H264/MPEG4，满配最大支持320路H.265的1080P解码输出；</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10.支持1/4/9/16画面分割显示，支持自由分割；</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11.支持最大60个显示屏的任意拼接；</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12.支持调用主码流、辅码流、三码流解码，支持远程录像文件的解码上墙，并支持选择实时/流畅的解码策略；</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13.支持解码透雾功能设置，支持通过网络将远端电脑操作界面投射到电视墙；</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14.不少于4个千兆网口，具有多网口绑定功能，并支持容错网络模式、多网络模式、负载均衡网络模式、链路聚合网络模式；</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15.采用嵌入式设备，Linux操作系统，采用模块化设计，并支持双风扇、双电源冗余设计；</w:t>
            </w:r>
          </w:p>
        </w:tc>
        <w:tc>
          <w:tcPr>
            <w:tcW w:w="7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套</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w:t>
            </w:r>
          </w:p>
        </w:tc>
        <w:tc>
          <w:tcPr>
            <w:tcW w:w="1013"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5</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解码卡</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1.6路HDMI视频接口</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2.支持4K输出显示（4路支持4K，2路支持1080p）</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3.支持8路3840*2160@30fps，32路1080p@30fps（H.264、H.265），72路720p@30fps，150路D1解码</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4.支持32路1080P的H.265解码</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5.支持8路1080P的SVAC解码</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6.支持24路非标D1码流解码</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4096*2160@30fps，3840*2160@30fps，1920*1080P@60fps，</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1280*1024P@60fps，1280*720P@60fps，1024*768P@60fps等</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7.6路HDMI接口，音频内嵌</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8.1/4/9/16画面分割，自由分割</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w:t>
            </w:r>
          </w:p>
        </w:tc>
        <w:tc>
          <w:tcPr>
            <w:tcW w:w="1013"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6</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音频采集器（拾音器）</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1.拾音范围 5-120平方米</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2.灵敏度 -35dB</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3.频率响应 100Hz～16kHz</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4.信噪比 75dB（1米40 dB音源SPL）30dB(10米40 dB 音源SPL)1KHz at 1 Pa</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5.动态范围 104dB(1KHz at Max dB SPL)</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6.最大承受音压 120dB SPL（1KHz，THD 1%）</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7.输出阻抗 最大600欧姆非平衡</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8.输出信号幅度 2.5Vpp</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9.麦克风 震膜电容咪头</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10.信号处理电路 降噪处理电路</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11.驱动能力 内置前置放大电路，可直接驱动耳机</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5</w:t>
            </w:r>
          </w:p>
        </w:tc>
        <w:tc>
          <w:tcPr>
            <w:tcW w:w="1013"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7</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24口万兆交换机</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1、交换容量≥336G，包转发率≥108Mpps；</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2、固化10/100/1000M以太网端口≥24，固化10G/1G SFP+光接口≥4个；</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3、为保证设备在受到外界机械碰撞时能够正常运行，要求所投交换机IK防护测试级别至少达到IK05；</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4、支持生成树协议STP(IEEE 802.1d)，RSTP(IEEE 802.1w)和MSTP(IEEE 802.1s)，完全保证快速收敛，提高容错能力，保证网络的稳定运行和链路的负载均衡，合理使用网络通道，提供冗余链路利用率；</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5、支持IPV4/IPV6静态路由，RIP、RIPng；</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6、支持特有的CPU保护策略，对发往CPU的数据流，进行流区分和优先级队列分级处理，并根据需要实施带宽限速，充分保护CPU不被非法流量占用、恶意攻击和资源消耗；</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7、设备自带云管理功能，即插即用，可随时查看网络健康度，告警及时推送，有日记事件供回溯；</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8、要求所投设备遵守国家标准的设计规则；                                                                                </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9、可创建VLAN的数量≥4000；</w:t>
            </w:r>
          </w:p>
        </w:tc>
        <w:tc>
          <w:tcPr>
            <w:tcW w:w="7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 xml:space="preserve">1 </w:t>
            </w:r>
          </w:p>
        </w:tc>
        <w:tc>
          <w:tcPr>
            <w:tcW w:w="1013"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8</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下一代防火墙</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1.系统应采用标准机架式设备，而非插卡式设备，不需要业务卡即可实现下一代防火墙业务；</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2.为保证防火墙运行的稳定性和处理能力，要求设备采用非X86架构对各项安全功能进行加速优化处理；</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3.要求固化千兆电口数量≥18个；固化千兆光口数量≥4个；固化Combo口数量≥4个；固化万兆光口数量≥2个；为保障接口稳定性，所投产品必须是全部是固化接口，而非板卡接口；标配冗余电源；</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4.系统具有良好的可扩展性，能够扩展支持病毒防御、入侵防御、应用识别、垃圾邮件过滤、文件防泄漏、上网行为管理、APT防御、僵尸主机检测、IPSEC VPN与SSL VPN等功能；</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5.三层网络吞吐≥20Gbps ，IPS吞吐量≥1.6Gbps，最大并发连接≥150万，最大新建连接≥5.6万；</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6.可自动检测互联设备及连接终端信息，自动生成逻辑拓扑，并基于拓扑展示终端指纹信息和网络连接信息；</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7.为保障语音系统效果，支持VoIP防护，可基于SIP与SCCP协议防护，可限制SIP的注册请求，可限制SCCP的呼叫建立。</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8.IPSEC VPN支持阶段二下的DH组的秘钥交换方式，支持DH group 21、27、28、29、30、31的类型；</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9.支持ICAP服务器联动，实现对于HTTP请求和应答的自定义处理，要求提供功能截图；</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10.支持基于应用防御、入侵防御、恶意软件防御的统计结果定义用户的信誉值；</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内置IP威胁域名查询，可直接输入IP或域名查询IP和域名的威胁属性。</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11.支持SD-WAN功能，支持基于用户、用户组的SD-WAN策略，包括带宽质量监控、链路优化、一键配置上线等；</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12.具备12000种以上攻击特征库规则列表，至少支持基于协议类型、操作系统、严重程度、特征名称、应用类型等方式的查询；</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13.IPSEC VPN隧道数≥2500，设备本身要求自带2500个 IPSec VPN授权；SSL VPN并发用户数≥500，设备本身要求自带500个 SSL VPN授权。</w:t>
            </w:r>
          </w:p>
        </w:tc>
        <w:tc>
          <w:tcPr>
            <w:tcW w:w="7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 xml:space="preserve">1 </w:t>
            </w:r>
          </w:p>
        </w:tc>
        <w:tc>
          <w:tcPr>
            <w:tcW w:w="1013"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w:t>
            </w:r>
          </w:p>
        </w:tc>
        <w:tc>
          <w:tcPr>
            <w:tcW w:w="1138"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插箱、机柜</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1、名称：机柜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2、规格、参数：600*800*2000</w:t>
            </w:r>
          </w:p>
        </w:tc>
        <w:tc>
          <w:tcPr>
            <w:tcW w:w="77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1013"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10</w:t>
            </w:r>
          </w:p>
        </w:tc>
        <w:tc>
          <w:tcPr>
            <w:tcW w:w="1138"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主材辅助材料</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安装所需的集中供电电源模块（12V2A5个、辅助工具、线缆测试、HDMI高清线（机房使用1条10米）、控制线、插线板。</w:t>
            </w:r>
          </w:p>
        </w:tc>
        <w:tc>
          <w:tcPr>
            <w:tcW w:w="7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项</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w:t>
            </w:r>
          </w:p>
        </w:tc>
        <w:tc>
          <w:tcPr>
            <w:tcW w:w="1013"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p>
        </w:tc>
      </w:tr>
    </w:tbl>
    <w:p>
      <w:pP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2.6智能通道、门禁系统</w:t>
      </w:r>
    </w:p>
    <w:tbl>
      <w:tblPr>
        <w:tblStyle w:val="99"/>
        <w:tblW w:w="105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1138"/>
        <w:gridCol w:w="5975"/>
        <w:gridCol w:w="775"/>
        <w:gridCol w:w="662"/>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序号</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项目名称</w:t>
            </w:r>
          </w:p>
        </w:tc>
        <w:tc>
          <w:tcPr>
            <w:tcW w:w="59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技术参数</w:t>
            </w:r>
          </w:p>
        </w:tc>
        <w:tc>
          <w:tcPr>
            <w:tcW w:w="7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单位</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数量</w:t>
            </w:r>
          </w:p>
        </w:tc>
        <w:tc>
          <w:tcPr>
            <w:tcW w:w="1013"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职员卡</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 xml:space="preserve">2.4G低功耗供电，标准卡尺寸，工作寿命&gt;=3年，识读距离20米可调 </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4</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低功耗蓝牙巡更点</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1、低功耗蓝牙触发器;</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2、IP68防水设计; </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3、手机蓝牙触发距离根据巡更要求2~5米可调;</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个</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100</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3</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巡更手持机</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 支持多点触控，支持手套或湿手操作，IPS FHD 1920x1080分辨率触控屏，不小于5.2英寸；</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 Cortex-A53 1.45GHz 四核或更高配置；</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3、支持Android 6.0；</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4、主机防护等级IP65，达到 IEC 密封标准  ；</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5、工业级设计，承受10次以上从1.5米高度跌落至混凝土地面的冲击 ；</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套</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4</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4</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卡口专用高速摄像机（主机）</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1、传感器：支持WDR、强光抑制、低照度等参数调节；</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2、处理器：高速ARM双核处理器；</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3、视频流：H.264格式；</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4、摄像像素：高清200万像素(标配)，500万像素(可选)；</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5、内嵌智能视频分析，全天候平均检测率大于99%；</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6、内嵌视频流车牌识别，全天候平均识别率大于99%；</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7、支持根据环境亮度自动调节参数、智能降噪、夜间增强技术；</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8、玻璃加热去雾功能：摄像机镜头配置加热去雾模块，大幅提高雨雾、雨雪天气的设备稳定性、识别准确性；</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9、支持自动补光同步、延时技术；</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10、支持连续抓拍技术，提高抓拍率；</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11、支持通讯及硬件故障判断，并报警提示；</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12、可脱机工作，当网络出现故障时，摄像机内置白名单（VIP、固定车等）功能，可保证车辆正常通行。同时会将车辆图片及识别结果存储在摄像机内，当网络恢复后，再自动上传至服务器，脱机存储图片记录大于10000条；</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13、配置高速ARM双核处理器，支持接收车辆检测器信号，并输出两路道闸控制信号和控制摄像主机及辅机上的摄像机进行车牌抓拍及补拍功能；</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14、支持TCP/IP协议、ONVIF协议；</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高可靠无风扇设计、宽温度范围正常启动和长期运行</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5</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智能道闸</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1、抬杆速度、落杆速度为1-3秒；</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2、闸杆类型：直杆≤4.5米；</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3、专业的外观设计，机箱采用2mm冷轧钢板加工，橘皮纹表面抗紫外线静电喷涂，防锈、不褪色，防尘、防水等级符合室外设备IP54级别要求；</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4、采用无触点光耦合限位开关，寿命长，限位精确，消除触点开关接触不良、限位误差大而造成的闸杆定位偏差、误动作等现象；</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5、配备开关控制盒、遥控器、RS485命令三种控制闸机升降的方式；</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6、物理防砸：闸杆上配带有橡胶条或外层包裹泡沫珍珠棉，可以减轻因为意外而造成的损失；</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7、遇阻反弹功能：闸杆在下落过程中遇到外力阻挡后立即抬杠，灵敏度高；</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地感防砸：闸杆在下落过程中若接收到地感输入触发信号则立即抬杆，触发期间不会落杆，待地感输入恢复后自动落杆；</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8、红外线防砸：闸杆在下落过程中若接收到红外输入触发信号则立即抬杠，触发期间不会落杆，待红外线输入恢复后自动落杆（选配）；</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9、当抬杆输入信号持续保持或RS485串行指令设置畅通模式时，道闸将忽略任何落杆动作一直保持抬杆状态，直到抬杆输入解除后接收到落杆触发时止；</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10、RS485串行命令：半双工RS485接口，8个数据位、1个停止位、无校验、19200bps，ASCII十进制编码；</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11、电路自检：运行中自动刷新检测电路出现的异常并报警；</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12、手动抬落杆：在停电或紧急情况下，可以通过手柄转动电机，可以轻松将闸杆升起或者落下</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6</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落杆雷达</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1、采用耐磨防腐线，用于触发摄像机进行抓拍及补拍，并实现道闸的防砸功能；</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2、绝缘体FE；</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3、导体镀锡铜线；</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4、长度50m</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7</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8口交换机</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传输速度: 1000Mbps；是否可堆叠: 不可堆叠；交换容量：1.6Gbps；整机最大包转发率：1.19Mpps；最大整机功耗：:5W；</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4</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8</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安全岛</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根据环境定制长1.3米、宽0.6米、高度0.15米；混泥土浇筑C25；</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表面刷漆黄色；</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个</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9</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单机芯右边道</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 支持每天多个时段常开/常闭管控，设置某时段通道为常开或常闭；门翼开/关速度可调（提供1~10档）；当设备检测到有翻越行为时有警示；</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在门翼复位的过程中，遇阻时电机自动停止工作，同时触发语音报警；设备集成语音模块，可根据用户需求自定义语音播报内容，并可设置联动语音提示；设备支持人数统计功能，可针对进出方向分别进行统计，并可清零；</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设备可查看本地拨码信息、总线同步性状态、遥控器接收模块状态、红外接收板/发射板状态、电机传感器/摆臂状态、闸机腔体温度等。设备具有防拆报警功能；设备应具有大容量存储能力，不少于18万事件记录存储；</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4、闸机通道物理接口应满足同时可接入RS485 和wiegand 接口的读卡器，同时具备TCP/IP接口不少于1个，单独232接口不少于3个，RS485/RS232可切换通讯接口不少于5个，事件输入接口不少于4个，报警输出接口不少于4个，开门按钮接口不少于2个，电锁输出接口不少于2个，CAN接口不少于2个；</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5、消防联动功能；</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主机应具备反潜回（防跟随）功能；多重卡认证功能；多重卡+中心远程开门；多重卡+超级卡开门；超级权限开门；中心远程开门；支持手机开门；支持居民身份证开门；支持银行卡开门；支持指纹开门；支持二维码/条码开门；支持人脸识别开门；</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7、设备支持读卡器、二维码、人脸识别组件、指纹、指静脉、显示屏等设备集成，实现多种认证方式组合应用；</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8、设备应具有开关量信号输入接口；设备可支持一种或多种通讯接口，如RS485/232/422、以太网、CAN总线等接口；</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9、系统应以自定义协议支持多种通信接口，如：CAN，RS232、Ethernet和其他电子系统进行对接。室外+70±2℃；室外  -25±3  ℃；RH （93±3）%，+40±2℃；</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10、 设备应支持通道宽度 550mm-1100mm；设备应采用直流无刷电机；设备应提供机芯连续运行不小于300万次的检测报告；设备应支持不小于12对红外检测； 设备应支持1.5mm厚304不锈钢拉丝框体；设备应支持尺寸 1500mm*200mm*960mm(H)；设备应支持通行频率：30-60人/分。</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3</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10</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双机芯中间道</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 支持每天多个时段常开/常闭管控，设置某时段通道为常开或常闭；门翼开/关速度可调（提供1~10档）；当设备检测到有翻越行为时有警示；</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在门翼复位的过程中，遇阻时电机自动停止工作，同时触发语音报警；设备集成语音模块，可根据用户需求自定义语音播报内容，并可设置联动语音提示；设备支持人数统计功能，可针对进出方向分别进行统计，并可清零；</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设备可查看本地拨码信息、总线同步性状态、遥控器接收模块状态、红外接收板/发射板状态、电机传感器/摆臂状态、闸机腔体温度等。设备具有防拆报警功能；设备应具有大容量存储能力，不少于18万事件记录存储；</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4、闸机通道物理接口应满足同时可接入RS485 和wiegand 接口的读卡器，同时具备TCP/IP接口不少于1个，单独232接口不少于3个，RS485/RS232可切换通讯接口不少于5个，事件输入接口不少于4个，报警输出接口不少于4个，开门按钮接口不少于2个，电锁输出接口不少于2个，CAN接口不少于2个；</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5、消防联动功能；</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主机应具备反潜回（防跟随）功能；多重卡认证功能；多重卡+中心远程开门；多重卡+超级卡开门；超级权限开门；中心远程开门；支持手机开门；支持居民身份证开门；支持银行卡开门；支持指纹开门；支持二维码/条码开门；支持人脸识别开门；</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7、设备支持读卡器、二维码、人脸识别组件、指纹、指静脉、显示屏等设备集成，实现多种认证方式组合应用；</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8、设备应具有开关量信号输入接口；设备可支持一种或多种通讯接口，如RS485/232/422、以太网、CAN总线等接口；</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9、系统应以自定义协议支持多种通信接口，如：CAN，RS232、Ethernet和其他电子系统进行对接。室外+70±2℃；室外  -25±3  ℃；RH （93±3）%，+40±2℃；</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10、 设备应支持通道宽度 550mm-1100mm；设备应采用直流无刷电机；设备应提供机芯连续运行不小于300万次的；设备应支持不小于12对红外检测； 设备应支持1.5mm厚304不锈钢拉丝框体；设备应支持通行频率：30-60人/分。</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6</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11</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单机芯左边道</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 支持每天多个时段常开/常闭管控，设置某时段通道为常开或常闭；门翼开/关速度可调（提供1~10档）；当设备检测到有翻越行为时有警示；</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在门翼复位的过程中，遇阻时电机自动停止工作，同时触发语音报警；设备集成语音模块，可根据用户需求自定义语音播报内容，并可设置联动语音提示；设备支持人数统计功能，可针对进出方向分别进行统计，并可清零；</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设备可查看本地拨码信息、总线同步性状态、遥控器接收模块状态、红外接收板/发射板状态、电机传感器/摆臂状态、闸机腔体温度等。设备具有防拆报警功能；设备应具有大容量存储能力，不少于18万事件记录存储；</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4、闸机通道物理接口应满足同时可接入RS485 和wiegand 接口的读卡器，同时具备TCP/IP接口不少于1个，单独232接口不少于3个，RS485/RS232可切换通讯接口不少于5个，事件输入接口不少于4个，报警输出接口不少于4个，开门按钮接口不少于2个，电锁输出接口不少于2个，CAN接口不少于2个；</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5、消防联动功能；</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主机应具备反潜回（防跟随）功能；多重卡认证功能；多重卡+中心远程开门；多重卡+超级卡开门；超级权限开门；中心远程开门；支持手机开门；支持居民身份证开门；支持银行卡开门；支持指纹开门；支持二维码/条码开门；支持人脸识别开门；</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7、设备支持读卡器、二维码、人脸识别组件、指纹、指静脉、显示屏等设备集成，实现多种认证方式组合应用；</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8、设备应具有开关量信号输入接口；设备可支持一种或多种通讯接口，如RS485/232/422、以太网、CAN总线等接口；</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9、系统应以自定义协议支持多种通信接口，如：CAN，RS232、Ethernet和其他电子系统进行对接。室外+70±2℃；室外  -25±3  ℃；RH （93±3）%，+40±2℃；</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10、 设备应支持通道宽度 550mm-1100mm；设备应采用直流无刷电机；设备应提供机芯连续运行不小于300万次的检测报告；设备应支持不小于12对红外检测； 设备应支持1.5mm厚304不锈钢拉丝框体；设备应支持通行频率：30-60人/分。</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3</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12</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人员通道读卡配件</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1、支持Mifare卡;</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2、支持485、Wiegand协议;</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3、闸机内安装;</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 xml:space="preserve">4、读卡频率 13.56MHz </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18</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13</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抓拍设备</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1、采用7英寸LCD触摸显示屏；200万像素双目宽动态摄像头，采用星光级图像传感器，可适应夜间低照度环境；面部识别距离0.3m-1.5m，支持照片视频防假；</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2、支持20000张人脸白名单，1：N人脸比对时间≤0.2s/人；支持不少于50000笔事件记录存储；</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3、支持人脸；支持通过RS485或韦根外接读卡器，实现刷卡开闸；支持访客二维码识别（与门口机可识别二维码类型保持一致）；基线支持标准韦根34，韦根26需定制对接；</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4、TCP/IP；支持Wifi；</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5、支持视频语音对讲功能；可接NVR，支持视频预览；</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6、设备接口至少配置LAN*1；RS485*1；韦根*1；USB *1；门磁*1、开门按钮*1、报警输入*2；电锁*1、报警输出*1；</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7、IP65防护</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18</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14</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开门按钮</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1、耐电流不小于1.25A，电压250V；</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2、常开；</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3、86*86mm；</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97</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15</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人脸识别门禁一体机（含控制器）</w:t>
            </w:r>
          </w:p>
        </w:tc>
        <w:tc>
          <w:tcPr>
            <w:tcW w:w="5975" w:type="dxa"/>
            <w:vAlign w:val="top"/>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支持多网络同时连接(10M/100M自适应)；RS-485接口×1个；韦根接口×1个；USB接口×1个；喇叭扬声器；门锁I/O输出×1个；门磁I/O输入×1个；开门按钮I/O输入X1个；机械防拆开关×1个</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设备采用4.3英寸LCD触摸显示屏，屏幕防暴等级IK04，设备结构后壳防破坏能力应满足IK07的要求，设备防护等级应满足IP65。</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设备应支持TCP/IP有线网络通信传输方式；设备应支特10M/100M网络自适应配置；设备应支持通过IPV4网络地址登录；设备应支持云平台通信，实现视频、对讲及权限管控功能；设备应支持被4个客户端软件同时实时监听，在线状态下实时上传比对记录。</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支持红外补光；指示灯支持固定频率的亮起和熄灭（呼吸状态）及识别状态提示</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设备应能离线存储10000个用户信息（用户能设定为管理员）；设备应能离线存储10000张人脸库；设备应能离线存储50000张卡片信息；设备应能离线存储150000笔进出记录；设备应能离线存储10000个密码；</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应支持通过 WEB进行设备各项功能参数配置</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应支持以下认证方式：人脸；支持刷卡（支持IC卡、CPU卡、NFC、身份证序列号）；二维码；密码；应支持任意一种、任意两组、任意三组组合认证。</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设备应支持在管理中心远程视频预览功能；应支持与管理平台或客户端中心、室内机、管理机、手机APP可视对讲功能；应能通过web进行视频连接；应支持配置一键呼叫管理机或室内机的可视对讲功能</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支持对用户进行非授权名单标注；支持本地非授权名单信息比对；支持本地非授权名单记录上传。</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应支持在没有用户使用时，自动切换到屏保或息屏待机状态；支持物体靠近自动唤醒待机设备，唤醒距离可调节；设备待机功耗低手8W</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系统应能对门的开启方式，卡（人脸、密码）的各种使用权限进行组合设置，实现以下权限管理：反潜回（防跟随）功能；多重卡认证开门；多重卡+中心远程认证开门；多重卡+超级密码开门；多重卡+超级卡开门；首卡开门；超级权限开门；管理中心远程升门；APP远程开门；室内机及管理机远程开门；应支持普通卡、来宾卡、胁迫卡、超级卡、巡更卡等多种类型用户权限设置；应支持按时间分时段管控门禁权限，支持255组时段计划管理，支持1024个假日计划管理；应支持常开、常闭时段管理；应支持首卡开门管理。</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设备应支持手动校时和自动校时功能</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发生以下情况时，系统应告警：当连续若干次在目标信息识读设备或管理/控制部分上实施错误操作时；当未使用授权的钥匙而强行通过出入口时；未经正常操作而使出入口开启时；出入口开启时间超过设定值时；设备被拆除时；胁迫卡和胁迫码；非授权名单卡刷卡时，接入系统平台后可支持视频联动报警功能</w:t>
            </w:r>
            <w:r>
              <w:rPr>
                <w:rFonts w:hint="eastAsia" w:ascii="宋体" w:hAnsi="宋体" w:cs="宋体"/>
                <w:i w:val="0"/>
                <w:color w:val="auto"/>
                <w:kern w:val="0"/>
                <w:sz w:val="21"/>
                <w:szCs w:val="21"/>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对所要求的功能而言，需要的所有软件均应保存到固态存储器中；具有文字界面系统管理软件，文字必须为简体中文；当电源不正常、掉电或更换电池时，系统的密钥（钥匙）信息及各记录信息不得丢失；提供国家认可的检测机构出具的测试报告</w:t>
            </w:r>
            <w:r>
              <w:rPr>
                <w:rFonts w:hint="eastAsia" w:ascii="宋体" w:hAnsi="宋体" w:cs="宋体"/>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检测机构官网查询截图</w:t>
            </w:r>
            <w:r>
              <w:rPr>
                <w:rFonts w:hint="eastAsia" w:ascii="宋体" w:hAnsi="宋体" w:cs="宋体"/>
                <w:i w:val="0"/>
                <w:color w:val="auto"/>
                <w:kern w:val="0"/>
                <w:sz w:val="21"/>
                <w:szCs w:val="21"/>
                <w:highlight w:val="none"/>
                <w:u w:val="none"/>
                <w:lang w:val="en-US" w:eastAsia="zh-CN" w:bidi="ar"/>
              </w:rPr>
              <w:t>及查询链接</w:t>
            </w:r>
            <w:r>
              <w:rPr>
                <w:rFonts w:hint="eastAsia" w:ascii="宋体" w:hAnsi="宋体" w:eastAsia="宋体" w:cs="宋体"/>
                <w:i w:val="0"/>
                <w:color w:val="auto"/>
                <w:kern w:val="0"/>
                <w:sz w:val="21"/>
                <w:szCs w:val="21"/>
                <w:highlight w:val="none"/>
                <w:u w:val="none"/>
                <w:lang w:val="en-US" w:eastAsia="zh-CN" w:bidi="ar"/>
              </w:rPr>
              <w:t>；                        设备支持在线升级、本地U盘升级、OTA 升级功能</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根据设定事件的联动关系，当检测到该件发生时，可触发对应的动作。</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有授权人员刷人脸时，设备可抓拍图片并实时上传平台；设备应支持将非授权人员刷脸记录上报平台。</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90</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16</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单门磁力锁（含磁力锁支架）</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1、最大静态直线拉力不小于280kg(600Lbs)*1；</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2、断电开锁，满足消防要求；</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3、具有电锁状态指示灯（红灯为开锁状态， 绿灯为上锁状态）；</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4、支持锁状态侦测信号(门磁)输出：NO/NC/COM接点；</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5、工作电压：12V/840mA 或 24V/420mA；</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6、适用木门、玻璃门、金属门、防火门。</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90</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17</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双绞线缆</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1、名称：管内穿放非屏蔽6类双绞线</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2、规格、参数：1）护套材质：PVC、绝缘层材料：PE、含十字骨架、线规：24AWG；</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 xml:space="preserve">2）导体需采用99.99%以上纯铜，导体直径不小于0.515（±0.005） mm；  </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3）符合YD/T 1019、ISO/IEC 11801、ANSI/TIA-568-C.2标准；</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4）工作电容最大值：≤5.6nF/100m；</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 xml:space="preserve">5）单根导体直流电阻：≤9.5Ω/100m at 20℃； </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6）线对直流电阻不平衡性：≤2.5%；</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米</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1620</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18</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双绞线缆</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1、名称：线槽(桥架)内布放非屏蔽6类双绞线</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2、规格、参数：1）护套材质：PVC、绝缘层材料：PE、含十字骨架、线规：24AWG；</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 xml:space="preserve">2）导体需采用99.99%以上纯铜，导体直径不小于0.515（±0.005） mm；  </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3）符合YD/T 1019、ISO/IEC 11801、ANSI/TIA-568-C.2标准；</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4）工作电容最大值：≤5.6nF/100m；</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 xml:space="preserve">5）单根导体直流电阻：≤9.5Ω/100m at 20℃； </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6）线对直流电阻不平衡性：≤2.5%；</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米</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3780</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19</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配线</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1、名称：管内穿放电源线</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2、规格、参数：RVV2*1无氧铜</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米</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1620</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i w:val="0"/>
                <w:color w:val="auto"/>
                <w:kern w:val="0"/>
                <w:sz w:val="21"/>
                <w:szCs w:val="21"/>
                <w:highlight w:val="none"/>
                <w:u w:val="none"/>
                <w:lang w:val="en-US" w:eastAsia="zh-CN" w:bidi="ar"/>
              </w:rPr>
              <w:t>20</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配线</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1、名称：线槽(桥架)内布放电源线</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2、规格、参数：RVV2*1无氧铜</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米</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3780</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i w:val="0"/>
                <w:color w:val="auto"/>
                <w:kern w:val="0"/>
                <w:sz w:val="21"/>
                <w:szCs w:val="21"/>
                <w:highlight w:val="none"/>
                <w:u w:val="none"/>
                <w:lang w:val="en-US" w:eastAsia="zh-CN" w:bidi="ar"/>
              </w:rPr>
              <w:t>21</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开关电源</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人脸识别门禁一体机配套使用</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90</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i w:val="0"/>
                <w:color w:val="auto"/>
                <w:kern w:val="0"/>
                <w:sz w:val="21"/>
                <w:szCs w:val="21"/>
                <w:highlight w:val="none"/>
                <w:u w:val="none"/>
                <w:lang w:val="en-US" w:eastAsia="zh-CN" w:bidi="ar"/>
              </w:rPr>
              <w:t>22</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Mifare异形卡</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1、采用PVC、AB透明胶外观小巧玲珑，坚固耐用，可窜挂于钥匙扣上，携带方便；</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2、符合ISO/IEC14443标准；</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3、容量为1KEEPROM；</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4、工作频率为13.56MHz</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张</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1000</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23</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卡片发卡器</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1、符合ISO14443、ISO7816标准；</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2、读卡频率：13.56MHz</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3、支持发卡类型：Mifare卡</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bl>
    <w:p>
      <w:pP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2.7数字广播系统</w:t>
      </w:r>
    </w:p>
    <w:tbl>
      <w:tblPr>
        <w:tblStyle w:val="99"/>
        <w:tblW w:w="105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1138"/>
        <w:gridCol w:w="4"/>
        <w:gridCol w:w="5971"/>
        <w:gridCol w:w="775"/>
        <w:gridCol w:w="662"/>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序号</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项目名称</w:t>
            </w:r>
          </w:p>
        </w:tc>
        <w:tc>
          <w:tcPr>
            <w:tcW w:w="5975" w:type="dxa"/>
            <w:gridSpan w:val="2"/>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技术参数</w:t>
            </w:r>
          </w:p>
        </w:tc>
        <w:tc>
          <w:tcPr>
            <w:tcW w:w="7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单位</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数量</w:t>
            </w:r>
          </w:p>
        </w:tc>
        <w:tc>
          <w:tcPr>
            <w:tcW w:w="1013"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c>
          <w:tcPr>
            <w:tcW w:w="5975" w:type="dxa"/>
            <w:gridSpan w:val="2"/>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主机房设备</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控制主机</w:t>
            </w:r>
          </w:p>
        </w:tc>
        <w:tc>
          <w:tcPr>
            <w:tcW w:w="5975" w:type="dxa"/>
            <w:gridSpan w:val="2"/>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1.IP网络数字广播服务器软件的运行载体，是广播系统的控制中心。</w:t>
            </w:r>
          </w:p>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2.安装在主控室，对整个广播系统进行实时有效的管理。</w:t>
            </w:r>
          </w:p>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3.工业级机柜式机箱设计，机箱采用钢结构，有较高的防磁、防尘、防冲击的能力。</w:t>
            </w:r>
          </w:p>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4.≥17.3英寸LED液晶显示屏高，分辨率LED液晶屏(1920*1080)，内置五线工业加固触摸屏，简单易用的触摸屏操控。</w:t>
            </w:r>
          </w:p>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5.内置工业级抽拉键盘、内置工业级触控鼠标面板+左右按键设计，支持通过USB接口外接鼠标键盘，方便用户操作。</w:t>
            </w:r>
          </w:p>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6.工业级专用主板设计，≥Intel Core  i5四核处理器，处理速度更快，运作性能更强，可以长时期不断电稳定工作。</w:t>
            </w:r>
          </w:p>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7.内置大容量128GBmSATA固态硬盘，具有抗震动、抗摔、读写速度快、功耗低等特点。</w:t>
            </w:r>
          </w:p>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8.自带≥8路USB接口，6路通用串口（6组工业异步传输接口），最高480M传输速率。方便外扩周边设备接入。</w:t>
            </w:r>
          </w:p>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9.自带≥2路千兆网卡，同时兼容百兆网络。自适应交换机连接系统。</w:t>
            </w:r>
          </w:p>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10.支持双显卡，可外接最大FullHD显示设备。</w:t>
            </w:r>
          </w:p>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11.具有≥一路短路触发开机运行接口，用于外部设备定时驱动开机运行，实现无人值守功能。</w:t>
            </w:r>
          </w:p>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12.支持操作系统配置通电自动开机、定时自动开机，定时自动关机功能，方便项目灵活操作管理。</w:t>
            </w:r>
          </w:p>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13.运载服务器软件后构成系统管理控制中心，服务器软件采用后台系统服务运行，是企业级的标准服务器工作模式，开机系统即可自动运行，相比运行在界面前台的软件具有更高的稳定性和可靠性。</w:t>
            </w:r>
          </w:p>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14.支持录音存储功能，可在后台自定义设置录音文件保存路径。</w:t>
            </w:r>
          </w:p>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15.屏幕颜色：TFT262144色真彩色</w:t>
            </w:r>
          </w:p>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16.触摸屏：≥10点电容触摸屏</w:t>
            </w:r>
          </w:p>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17.工作环境温度：-10℃~50℃</w:t>
            </w:r>
          </w:p>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18.相对湿度：10%～95%，非凝结状态</w:t>
            </w:r>
          </w:p>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19.标准接口：≥6 x 串口；1xHDMI、1xVGA；8xUSB口</w:t>
            </w:r>
          </w:p>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20.存储：支持3.5"、2.5"、mSATA硬盘；标配：mSATA ≥128G</w:t>
            </w:r>
          </w:p>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21.内存：标配：8G /DDR</w:t>
            </w:r>
          </w:p>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22.网卡：2个Realtek GbE，1000M</w:t>
            </w:r>
          </w:p>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23.网络协议：支持IPV6、IPV4网络协议</w:t>
            </w:r>
          </w:p>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24.CPU：≥Intel Core  i5 四核</w:t>
            </w:r>
          </w:p>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25.系统音频信号信噪比：LINE：70dB；MIC：60dB</w:t>
            </w:r>
          </w:p>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26.系统音频信号失真度：1KHz&lt;0.5%</w:t>
            </w:r>
          </w:p>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27.系统音频信号标准输入电平：LINE：300mV； MIC：5mV</w:t>
            </w:r>
          </w:p>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28.系统音频信号标准输出电平：0dBV</w:t>
            </w:r>
          </w:p>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29.电源：输入电压：AC100V-240V</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color w:val="auto"/>
                <w:sz w:val="21"/>
                <w:szCs w:val="21"/>
                <w:highlight w:val="none"/>
              </w:rPr>
              <w:t>30.软件操作平台：Windows Server 2008 R2 Standard(x64),Windows Server 2012 R2 Standard(x64)及以上</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客户端管理软件</w:t>
            </w:r>
          </w:p>
        </w:tc>
        <w:tc>
          <w:tcPr>
            <w:tcW w:w="5975" w:type="dxa"/>
            <w:gridSpan w:val="2"/>
            <w:vAlign w:val="top"/>
          </w:tcPr>
          <w:p>
            <w:pPr>
              <w:keepNext w:val="0"/>
              <w:keepLines w:val="0"/>
              <w:widowControl/>
              <w:suppressLineNumbers w:val="0"/>
              <w:jc w:val="left"/>
              <w:textAlignment w:val="top"/>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1.软件是整个系统的运行核心，统一管理系统内所有音频终端，包括寻呼话筒、对讲终端、广播终端和消防接口设备，实时显示音频终端的IP地址、在线状态、任务状态、音量等运行状态。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支撑各音频终端的运行，负责音频流传输管理，响应各音频终端播放请求和音频全双工交换，支持B/S架构，通过网页登陆可进行终端管理、用户管理、节目播放管理、音频文件管理、录音存贮、内部通讯调度处理等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3.管理节目库资源，为所有音频终端器提供定时播放和实时点播媒体服务，响应各终端的节目播放请求，为各音频工作站提供数据接口服务。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4.提供全双工语音数据交换，响应各对讲终端的呼叫和通话请求，支持一键呼叫、一键对讲、一键求助、一键报警等通话模式，支持自动接听、手动接听，支持自定义接听提示音。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多种呼叫策略，包括无响应转移、占线转移、关机转移，支持时间策略和转移策略自定义设置。支持设置对讲终端呼叫策略，可自定义通话时间0-180S或不受限，可选择是否自动接听，支持自定义选择来电铃声与等待铃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6.支持终端短路输入联动触发，可任意设置联动触发方案和触发终端数量，触发方案包括短路输出、音乐播放、巡更警报等。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7.编程定时任务，支持编程多套定时方案，支持选择任意终端和设置任意时间；支持定时任务执行测试、设置重复周期。支持定时任务多种音源选择（音乐播放、声卡采集、终端采集）。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8.支持多套定时打铃方案同时启用，每套定时打铃方案支持多套任务同时进行，支持一键启用/停用所有方案。</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9.支持定时打铃功能，支持打铃方案克隆，任务执行与停止控制、定时任务禁用与启用功能。</w:t>
            </w:r>
            <w:r>
              <w:rPr>
                <w:rFonts w:hint="eastAsia" w:ascii="宋体" w:hAnsi="宋体" w:eastAsia="宋体" w:cs="宋体"/>
                <w:i w:val="0"/>
                <w:iCs w:val="0"/>
                <w:color w:val="auto"/>
                <w:kern w:val="0"/>
                <w:sz w:val="21"/>
                <w:szCs w:val="21"/>
                <w:highlight w:val="none"/>
                <w:u w:val="none"/>
                <w:vertAlign w:val="baseline"/>
                <w:lang w:val="en-US" w:eastAsia="zh-CN" w:bidi="ar"/>
              </w:rPr>
              <w:br w:type="textWrapping"/>
            </w:r>
            <w:r>
              <w:rPr>
                <w:rStyle w:val="223"/>
                <w:rFonts w:hint="eastAsia" w:ascii="宋体" w:hAnsi="宋体" w:eastAsia="宋体" w:cs="宋体"/>
                <w:color w:val="auto"/>
                <w:sz w:val="21"/>
                <w:szCs w:val="21"/>
                <w:highlight w:val="none"/>
                <w:vertAlign w:val="baseline"/>
                <w:lang w:val="en-US" w:eastAsia="zh-CN" w:bidi="ar"/>
              </w:rPr>
              <w:t>10.支持定时巡更功能，支持自定义巡更任务的执行时间及重复周期，可自定义指示灯闪烁间隔时间0-30s，提供功能界面截图。</w:t>
            </w:r>
            <w:r>
              <w:rPr>
                <w:rStyle w:val="285"/>
                <w:rFonts w:hint="eastAsia" w:ascii="宋体" w:hAnsi="宋体" w:eastAsia="宋体" w:cs="宋体"/>
                <w:color w:val="auto"/>
                <w:sz w:val="21"/>
                <w:szCs w:val="21"/>
                <w:highlight w:val="none"/>
                <w:vertAlign w:val="baseline"/>
                <w:lang w:val="en-US" w:eastAsia="zh-CN" w:bidi="ar"/>
              </w:rPr>
              <w:br w:type="textWrapping"/>
            </w:r>
            <w:r>
              <w:rPr>
                <w:rStyle w:val="285"/>
                <w:rFonts w:hint="eastAsia" w:ascii="宋体" w:hAnsi="宋体" w:eastAsia="宋体" w:cs="宋体"/>
                <w:color w:val="auto"/>
                <w:sz w:val="21"/>
                <w:szCs w:val="21"/>
                <w:highlight w:val="none"/>
                <w:vertAlign w:val="baseline"/>
                <w:lang w:val="en-US" w:eastAsia="zh-CN" w:bidi="ar"/>
              </w:rPr>
              <w:t>11.支持今日任务列表查看，轻松管理今日执行的所有定时任务信息和执行状态。</w:t>
            </w:r>
            <w:r>
              <w:rPr>
                <w:rStyle w:val="285"/>
                <w:rFonts w:hint="eastAsia" w:ascii="宋体" w:hAnsi="宋体" w:eastAsia="宋体" w:cs="宋体"/>
                <w:color w:val="auto"/>
                <w:sz w:val="21"/>
                <w:szCs w:val="21"/>
                <w:highlight w:val="none"/>
                <w:vertAlign w:val="baseline"/>
                <w:lang w:val="en-US" w:eastAsia="zh-CN" w:bidi="ar"/>
              </w:rPr>
              <w:br w:type="textWrapping"/>
            </w:r>
            <w:r>
              <w:rPr>
                <w:rStyle w:val="285"/>
                <w:rFonts w:hint="eastAsia" w:ascii="宋体" w:hAnsi="宋体" w:eastAsia="宋体" w:cs="宋体"/>
                <w:color w:val="auto"/>
                <w:sz w:val="21"/>
                <w:szCs w:val="21"/>
                <w:highlight w:val="none"/>
                <w:vertAlign w:val="baseline"/>
                <w:lang w:val="en-US" w:eastAsia="zh-CN" w:bidi="ar"/>
              </w:rPr>
              <w:t>12.支持终端防拆报警，终端拆卸触发警报或其他终端联动触发警报；支持报警任务自动解除报警功能。</w:t>
            </w:r>
            <w:r>
              <w:rPr>
                <w:rStyle w:val="285"/>
                <w:rFonts w:hint="eastAsia" w:ascii="宋体" w:hAnsi="宋体" w:eastAsia="宋体" w:cs="宋体"/>
                <w:color w:val="auto"/>
                <w:sz w:val="21"/>
                <w:szCs w:val="21"/>
                <w:highlight w:val="none"/>
                <w:vertAlign w:val="baseline"/>
                <w:lang w:val="en-US" w:eastAsia="zh-CN" w:bidi="ar"/>
              </w:rPr>
              <w:br w:type="textWrapping"/>
            </w:r>
            <w:r>
              <w:rPr>
                <w:rStyle w:val="285"/>
                <w:rFonts w:hint="eastAsia" w:ascii="宋体" w:hAnsi="宋体" w:eastAsia="宋体" w:cs="宋体"/>
                <w:color w:val="auto"/>
                <w:sz w:val="21"/>
                <w:szCs w:val="21"/>
                <w:highlight w:val="none"/>
                <w:vertAlign w:val="baseline"/>
                <w:lang w:val="en-US" w:eastAsia="zh-CN" w:bidi="ar"/>
              </w:rPr>
              <w:t>13.支持音频终端外控电源管理，支持定时打开和延时关闭；支持对灯光控制功能，可对灯光模式进行配置。</w:t>
            </w:r>
            <w:r>
              <w:rPr>
                <w:rStyle w:val="285"/>
                <w:rFonts w:hint="eastAsia" w:ascii="宋体" w:hAnsi="宋体" w:eastAsia="宋体" w:cs="宋体"/>
                <w:color w:val="auto"/>
                <w:sz w:val="21"/>
                <w:szCs w:val="21"/>
                <w:highlight w:val="none"/>
                <w:vertAlign w:val="baseline"/>
                <w:lang w:val="en-US" w:eastAsia="zh-CN" w:bidi="ar"/>
              </w:rPr>
              <w:br w:type="textWrapping"/>
            </w:r>
            <w:r>
              <w:rPr>
                <w:rStyle w:val="285"/>
                <w:rFonts w:hint="eastAsia" w:ascii="宋体" w:hAnsi="宋体" w:eastAsia="宋体" w:cs="宋体"/>
                <w:color w:val="auto"/>
                <w:sz w:val="21"/>
                <w:szCs w:val="21"/>
                <w:highlight w:val="none"/>
                <w:vertAlign w:val="baseline"/>
                <w:lang w:val="en-US" w:eastAsia="zh-CN" w:bidi="ar"/>
              </w:rPr>
              <w:t>14.支持全区、分区消防联动，支持消防N±N模式，支持人工报警与数字报警。支持配置报警器触发终端采集任务。</w:t>
            </w:r>
            <w:r>
              <w:rPr>
                <w:rStyle w:val="285"/>
                <w:rFonts w:hint="eastAsia" w:ascii="宋体" w:hAnsi="宋体" w:eastAsia="宋体" w:cs="宋体"/>
                <w:color w:val="auto"/>
                <w:sz w:val="21"/>
                <w:szCs w:val="21"/>
                <w:highlight w:val="none"/>
                <w:vertAlign w:val="baseline"/>
                <w:lang w:val="en-US" w:eastAsia="zh-CN" w:bidi="ar"/>
              </w:rPr>
              <w:br w:type="textWrapping"/>
            </w:r>
            <w:r>
              <w:rPr>
                <w:rStyle w:val="285"/>
                <w:rFonts w:hint="eastAsia" w:ascii="宋体" w:hAnsi="宋体" w:eastAsia="宋体" w:cs="宋体"/>
                <w:color w:val="auto"/>
                <w:sz w:val="21"/>
                <w:szCs w:val="21"/>
                <w:highlight w:val="none"/>
                <w:vertAlign w:val="baseline"/>
                <w:lang w:val="en-US" w:eastAsia="zh-CN" w:bidi="ar"/>
              </w:rPr>
              <w:t>15.支持统一管理终端登陆密码，支持多级优先级管理，并支持轻松自动授权。支持任务优先级、终端优先级、用户优先级自定义</w:t>
            </w:r>
            <w:r>
              <w:rPr>
                <w:rStyle w:val="285"/>
                <w:rFonts w:hint="eastAsia" w:ascii="宋体" w:hAnsi="宋体" w:eastAsia="宋体" w:cs="宋体"/>
                <w:color w:val="auto"/>
                <w:sz w:val="21"/>
                <w:szCs w:val="21"/>
                <w:highlight w:val="none"/>
                <w:vertAlign w:val="baseline"/>
                <w:lang w:val="en-US" w:eastAsia="zh-CN" w:bidi="ar"/>
              </w:rPr>
              <w:br w:type="textWrapping"/>
            </w:r>
            <w:r>
              <w:rPr>
                <w:rStyle w:val="285"/>
                <w:rFonts w:hint="eastAsia" w:ascii="宋体" w:hAnsi="宋体" w:eastAsia="宋体" w:cs="宋体"/>
                <w:color w:val="auto"/>
                <w:sz w:val="21"/>
                <w:szCs w:val="21"/>
                <w:highlight w:val="none"/>
                <w:vertAlign w:val="baseline"/>
                <w:lang w:val="en-US" w:eastAsia="zh-CN" w:bidi="ar"/>
              </w:rPr>
              <w:t>16.支持多用户、任意级别的分控管理，实现远程节目播放管理。</w:t>
            </w:r>
            <w:r>
              <w:rPr>
                <w:rStyle w:val="285"/>
                <w:rFonts w:hint="eastAsia" w:ascii="宋体" w:hAnsi="宋体" w:eastAsia="宋体" w:cs="宋体"/>
                <w:color w:val="auto"/>
                <w:sz w:val="21"/>
                <w:szCs w:val="21"/>
                <w:highlight w:val="none"/>
                <w:vertAlign w:val="baseline"/>
                <w:lang w:val="en-US" w:eastAsia="zh-CN" w:bidi="ar"/>
              </w:rPr>
              <w:br w:type="textWrapping"/>
            </w:r>
            <w:r>
              <w:rPr>
                <w:rStyle w:val="285"/>
                <w:rFonts w:hint="eastAsia" w:ascii="宋体" w:hAnsi="宋体" w:eastAsia="宋体" w:cs="宋体"/>
                <w:color w:val="auto"/>
                <w:sz w:val="21"/>
                <w:szCs w:val="21"/>
                <w:highlight w:val="none"/>
                <w:vertAlign w:val="baseline"/>
                <w:lang w:val="en-US" w:eastAsia="zh-CN" w:bidi="ar"/>
              </w:rPr>
              <w:t>17.支持多用户、多级别、指定权限、指定功能、指定终端对后台进行分类管理。</w:t>
            </w:r>
            <w:r>
              <w:rPr>
                <w:rStyle w:val="285"/>
                <w:rFonts w:hint="eastAsia" w:ascii="宋体" w:hAnsi="宋体" w:eastAsia="宋体" w:cs="宋体"/>
                <w:color w:val="auto"/>
                <w:sz w:val="21"/>
                <w:szCs w:val="21"/>
                <w:highlight w:val="none"/>
                <w:vertAlign w:val="baseline"/>
                <w:lang w:val="en-US" w:eastAsia="zh-CN" w:bidi="ar"/>
              </w:rPr>
              <w:br w:type="textWrapping"/>
            </w:r>
            <w:r>
              <w:rPr>
                <w:rStyle w:val="285"/>
                <w:rFonts w:hint="eastAsia" w:ascii="宋体" w:hAnsi="宋体" w:eastAsia="宋体" w:cs="宋体"/>
                <w:color w:val="auto"/>
                <w:sz w:val="21"/>
                <w:szCs w:val="21"/>
                <w:highlight w:val="none"/>
                <w:vertAlign w:val="baseline"/>
                <w:lang w:val="en-US" w:eastAsia="zh-CN" w:bidi="ar"/>
              </w:rPr>
              <w:t>18.支持终端3、4制音控强切功能，（4线制音控需外接电源）。</w:t>
            </w:r>
            <w:r>
              <w:rPr>
                <w:rStyle w:val="285"/>
                <w:rFonts w:hint="eastAsia" w:ascii="宋体" w:hAnsi="宋体" w:eastAsia="宋体" w:cs="宋体"/>
                <w:color w:val="auto"/>
                <w:sz w:val="21"/>
                <w:szCs w:val="21"/>
                <w:highlight w:val="none"/>
                <w:vertAlign w:val="baseline"/>
                <w:lang w:val="en-US" w:eastAsia="zh-CN" w:bidi="ar"/>
              </w:rPr>
              <w:br w:type="textWrapping"/>
            </w:r>
            <w:r>
              <w:rPr>
                <w:rStyle w:val="285"/>
                <w:rFonts w:hint="eastAsia" w:ascii="宋体" w:hAnsi="宋体" w:eastAsia="宋体" w:cs="宋体"/>
                <w:color w:val="auto"/>
                <w:sz w:val="21"/>
                <w:szCs w:val="21"/>
                <w:highlight w:val="none"/>
                <w:vertAlign w:val="baseline"/>
                <w:lang w:val="en-US" w:eastAsia="zh-CN" w:bidi="ar"/>
              </w:rPr>
              <w:t>19.网络广播系统支持IPV6、IPV4网络协议，可实现基于IPV6网络的终端广播、定时任务播放、远程喊话、对讲功能。</w:t>
            </w:r>
            <w:r>
              <w:rPr>
                <w:rStyle w:val="285"/>
                <w:rFonts w:hint="eastAsia" w:ascii="宋体" w:hAnsi="宋体" w:eastAsia="宋体" w:cs="宋体"/>
                <w:color w:val="auto"/>
                <w:sz w:val="21"/>
                <w:szCs w:val="21"/>
                <w:highlight w:val="none"/>
                <w:vertAlign w:val="baseline"/>
                <w:lang w:val="en-US" w:eastAsia="zh-CN" w:bidi="ar"/>
              </w:rPr>
              <w:br w:type="textWrapping"/>
            </w:r>
            <w:r>
              <w:rPr>
                <w:rStyle w:val="285"/>
                <w:rFonts w:hint="eastAsia" w:ascii="宋体" w:hAnsi="宋体" w:eastAsia="宋体" w:cs="宋体"/>
                <w:color w:val="auto"/>
                <w:sz w:val="21"/>
                <w:szCs w:val="21"/>
                <w:highlight w:val="none"/>
                <w:vertAlign w:val="baseline"/>
                <w:lang w:val="en-US" w:eastAsia="zh-CN" w:bidi="ar"/>
              </w:rPr>
              <w:t>20.支持对</w:t>
            </w:r>
            <w:r>
              <w:rPr>
                <w:rStyle w:val="223"/>
                <w:rFonts w:hint="eastAsia" w:ascii="宋体" w:hAnsi="宋体" w:eastAsia="宋体" w:cs="宋体"/>
                <w:color w:val="auto"/>
                <w:sz w:val="21"/>
                <w:szCs w:val="21"/>
                <w:highlight w:val="none"/>
                <w:vertAlign w:val="baseline"/>
                <w:lang w:val="en-US" w:eastAsia="zh-CN" w:bidi="ar"/>
              </w:rPr>
              <w:t>≥</w:t>
            </w:r>
            <w:r>
              <w:rPr>
                <w:rStyle w:val="285"/>
                <w:rFonts w:hint="eastAsia" w:ascii="宋体" w:hAnsi="宋体" w:eastAsia="宋体" w:cs="宋体"/>
                <w:color w:val="auto"/>
                <w:sz w:val="21"/>
                <w:szCs w:val="21"/>
                <w:highlight w:val="none"/>
                <w:vertAlign w:val="baseline"/>
                <w:lang w:val="en-US" w:eastAsia="zh-CN" w:bidi="ar"/>
              </w:rPr>
              <w:t>8路功率分区终端进行功率控制分区设置，通过web页面后台或分控客户端均可轻松设置分区。</w:t>
            </w:r>
            <w:r>
              <w:rPr>
                <w:rStyle w:val="285"/>
                <w:rFonts w:hint="eastAsia" w:ascii="宋体" w:hAnsi="宋体" w:eastAsia="宋体" w:cs="宋体"/>
                <w:color w:val="auto"/>
                <w:sz w:val="21"/>
                <w:szCs w:val="21"/>
                <w:highlight w:val="none"/>
                <w:vertAlign w:val="baseline"/>
                <w:lang w:val="en-US" w:eastAsia="zh-CN" w:bidi="ar"/>
              </w:rPr>
              <w:br w:type="textWrapping"/>
            </w:r>
            <w:r>
              <w:rPr>
                <w:rStyle w:val="285"/>
                <w:rFonts w:hint="eastAsia" w:ascii="宋体" w:hAnsi="宋体" w:eastAsia="宋体" w:cs="宋体"/>
                <w:color w:val="auto"/>
                <w:sz w:val="21"/>
                <w:szCs w:val="21"/>
                <w:highlight w:val="none"/>
                <w:vertAlign w:val="baseline"/>
                <w:lang w:val="en-US" w:eastAsia="zh-CN" w:bidi="ar"/>
              </w:rPr>
              <w:t>21.支持对终端设置时间显示配置，可设置0-6级别亮度值，可设置离线后不显示时间等模式。</w:t>
            </w:r>
            <w:r>
              <w:rPr>
                <w:rStyle w:val="285"/>
                <w:rFonts w:hint="eastAsia" w:ascii="宋体" w:hAnsi="宋体" w:eastAsia="宋体" w:cs="宋体"/>
                <w:color w:val="auto"/>
                <w:sz w:val="21"/>
                <w:szCs w:val="21"/>
                <w:highlight w:val="none"/>
                <w:vertAlign w:val="baseline"/>
                <w:lang w:val="en-US" w:eastAsia="zh-CN" w:bidi="ar"/>
              </w:rPr>
              <w:br w:type="textWrapping"/>
            </w:r>
            <w:r>
              <w:rPr>
                <w:rStyle w:val="285"/>
                <w:rFonts w:hint="eastAsia" w:ascii="宋体" w:hAnsi="宋体" w:eastAsia="宋体" w:cs="宋体"/>
                <w:color w:val="auto"/>
                <w:sz w:val="21"/>
                <w:szCs w:val="21"/>
                <w:highlight w:val="none"/>
                <w:vertAlign w:val="baseline"/>
                <w:lang w:val="en-US" w:eastAsia="zh-CN" w:bidi="ar"/>
              </w:rPr>
              <w:t>22.支持对终端设置不同的灯光模式，可分别自定义设置红灯亮、红灯灭、绿灯/蓝灯亮、绿灯/蓝灯灭时间0.1S-10S。</w:t>
            </w:r>
            <w:r>
              <w:rPr>
                <w:rStyle w:val="285"/>
                <w:rFonts w:hint="eastAsia" w:ascii="宋体" w:hAnsi="宋体" w:eastAsia="宋体" w:cs="宋体"/>
                <w:color w:val="auto"/>
                <w:sz w:val="21"/>
                <w:szCs w:val="21"/>
                <w:highlight w:val="none"/>
                <w:vertAlign w:val="baseline"/>
                <w:lang w:val="en-US" w:eastAsia="zh-CN" w:bidi="ar"/>
              </w:rPr>
              <w:br w:type="textWrapping"/>
            </w:r>
            <w:r>
              <w:rPr>
                <w:rStyle w:val="285"/>
                <w:rFonts w:hint="eastAsia" w:ascii="宋体" w:hAnsi="宋体" w:eastAsia="宋体" w:cs="宋体"/>
                <w:color w:val="auto"/>
                <w:sz w:val="21"/>
                <w:szCs w:val="21"/>
                <w:highlight w:val="none"/>
                <w:vertAlign w:val="baseline"/>
                <w:lang w:val="en-US" w:eastAsia="zh-CN" w:bidi="ar"/>
              </w:rPr>
              <w:t>23.支持配置终端冻结时间，在终端被冻结期间禁止终端执行任务，适用于考试或休息等场景。</w:t>
            </w:r>
            <w:r>
              <w:rPr>
                <w:rStyle w:val="285"/>
                <w:rFonts w:hint="eastAsia" w:ascii="宋体" w:hAnsi="宋体" w:eastAsia="宋体" w:cs="宋体"/>
                <w:color w:val="auto"/>
                <w:sz w:val="21"/>
                <w:szCs w:val="21"/>
                <w:highlight w:val="none"/>
                <w:vertAlign w:val="baseline"/>
                <w:lang w:val="en-US" w:eastAsia="zh-CN" w:bidi="ar"/>
              </w:rPr>
              <w:br w:type="textWrapping"/>
            </w:r>
            <w:r>
              <w:rPr>
                <w:rStyle w:val="285"/>
                <w:rFonts w:hint="eastAsia" w:ascii="宋体" w:hAnsi="宋体" w:eastAsia="宋体" w:cs="宋体"/>
                <w:color w:val="auto"/>
                <w:sz w:val="21"/>
                <w:szCs w:val="21"/>
                <w:highlight w:val="none"/>
                <w:vertAlign w:val="baseline"/>
                <w:lang w:val="en-US" w:eastAsia="zh-CN" w:bidi="ar"/>
              </w:rPr>
              <w:t>24.支持广播、对讲、实时采集、终端监听进行录音。</w:t>
            </w:r>
            <w:r>
              <w:rPr>
                <w:rStyle w:val="285"/>
                <w:rFonts w:hint="eastAsia" w:ascii="宋体" w:hAnsi="宋体" w:eastAsia="宋体" w:cs="宋体"/>
                <w:color w:val="auto"/>
                <w:sz w:val="21"/>
                <w:szCs w:val="21"/>
                <w:highlight w:val="none"/>
                <w:vertAlign w:val="baseline"/>
                <w:lang w:val="en-US" w:eastAsia="zh-CN" w:bidi="ar"/>
              </w:rPr>
              <w:br w:type="textWrapping"/>
            </w:r>
            <w:r>
              <w:rPr>
                <w:rStyle w:val="285"/>
                <w:rFonts w:hint="eastAsia" w:ascii="宋体" w:hAnsi="宋体" w:eastAsia="宋体" w:cs="宋体"/>
                <w:color w:val="auto"/>
                <w:sz w:val="21"/>
                <w:szCs w:val="21"/>
                <w:highlight w:val="none"/>
                <w:vertAlign w:val="baseline"/>
                <w:lang w:val="en-US" w:eastAsia="zh-CN" w:bidi="ar"/>
              </w:rPr>
              <w:t>25.支持远程遥控点播功能，实现操场远程遥控点播。</w:t>
            </w:r>
            <w:r>
              <w:rPr>
                <w:rStyle w:val="285"/>
                <w:rFonts w:hint="eastAsia" w:ascii="宋体" w:hAnsi="宋体" w:eastAsia="宋体" w:cs="宋体"/>
                <w:color w:val="auto"/>
                <w:sz w:val="21"/>
                <w:szCs w:val="21"/>
                <w:highlight w:val="none"/>
                <w:vertAlign w:val="baseline"/>
                <w:lang w:val="en-US" w:eastAsia="zh-CN" w:bidi="ar"/>
              </w:rPr>
              <w:br w:type="textWrapping"/>
            </w:r>
            <w:r>
              <w:rPr>
                <w:rStyle w:val="285"/>
                <w:rFonts w:hint="eastAsia" w:ascii="宋体" w:hAnsi="宋体" w:eastAsia="宋体" w:cs="宋体"/>
                <w:color w:val="auto"/>
                <w:sz w:val="21"/>
                <w:szCs w:val="21"/>
                <w:highlight w:val="none"/>
                <w:vertAlign w:val="baseline"/>
                <w:lang w:val="en-US" w:eastAsia="zh-CN" w:bidi="ar"/>
              </w:rPr>
              <w:t>26.支持终端音频采播功能，实现听力考试语音文件采播。</w:t>
            </w:r>
            <w:r>
              <w:rPr>
                <w:rStyle w:val="285"/>
                <w:rFonts w:hint="eastAsia" w:ascii="宋体" w:hAnsi="宋体" w:eastAsia="宋体" w:cs="宋体"/>
                <w:color w:val="auto"/>
                <w:sz w:val="21"/>
                <w:szCs w:val="21"/>
                <w:highlight w:val="none"/>
                <w:vertAlign w:val="baseline"/>
                <w:lang w:val="en-US" w:eastAsia="zh-CN" w:bidi="ar"/>
              </w:rPr>
              <w:br w:type="textWrapping"/>
            </w:r>
            <w:r>
              <w:rPr>
                <w:rStyle w:val="285"/>
                <w:rFonts w:hint="eastAsia" w:ascii="宋体" w:hAnsi="宋体" w:eastAsia="宋体" w:cs="宋体"/>
                <w:color w:val="auto"/>
                <w:sz w:val="21"/>
                <w:szCs w:val="21"/>
                <w:highlight w:val="none"/>
                <w:vertAlign w:val="baseline"/>
                <w:lang w:val="en-US" w:eastAsia="zh-CN" w:bidi="ar"/>
              </w:rPr>
              <w:t>27.支持本地音频采集功能，播放到任意指定终端。</w:t>
            </w:r>
            <w:r>
              <w:rPr>
                <w:rStyle w:val="285"/>
                <w:rFonts w:hint="eastAsia" w:ascii="宋体" w:hAnsi="宋体" w:eastAsia="宋体" w:cs="宋体"/>
                <w:color w:val="auto"/>
                <w:sz w:val="21"/>
                <w:szCs w:val="21"/>
                <w:highlight w:val="none"/>
                <w:vertAlign w:val="baseline"/>
                <w:lang w:val="en-US" w:eastAsia="zh-CN" w:bidi="ar"/>
              </w:rPr>
              <w:br w:type="textWrapping"/>
            </w:r>
            <w:r>
              <w:rPr>
                <w:rStyle w:val="285"/>
                <w:rFonts w:hint="eastAsia" w:ascii="宋体" w:hAnsi="宋体" w:eastAsia="宋体" w:cs="宋体"/>
                <w:color w:val="auto"/>
                <w:sz w:val="21"/>
                <w:szCs w:val="21"/>
                <w:highlight w:val="none"/>
                <w:vertAlign w:val="baseline"/>
                <w:lang w:val="en-US" w:eastAsia="zh-CN" w:bidi="ar"/>
              </w:rPr>
              <w:t>28.支持离线定时打铃功能，实现断网时终端托管执行定时打铃任务；支持定时打铃任务离线下载。</w:t>
            </w:r>
            <w:r>
              <w:rPr>
                <w:rStyle w:val="285"/>
                <w:rFonts w:hint="eastAsia" w:ascii="宋体" w:hAnsi="宋体" w:eastAsia="宋体" w:cs="宋体"/>
                <w:color w:val="auto"/>
                <w:sz w:val="21"/>
                <w:szCs w:val="21"/>
                <w:highlight w:val="none"/>
                <w:vertAlign w:val="baseline"/>
                <w:lang w:val="en-US" w:eastAsia="zh-CN" w:bidi="ar"/>
              </w:rPr>
              <w:br w:type="textWrapping"/>
            </w:r>
            <w:r>
              <w:rPr>
                <w:rStyle w:val="285"/>
                <w:rFonts w:hint="eastAsia" w:ascii="宋体" w:hAnsi="宋体" w:eastAsia="宋体" w:cs="宋体"/>
                <w:color w:val="auto"/>
                <w:sz w:val="21"/>
                <w:szCs w:val="21"/>
                <w:highlight w:val="none"/>
                <w:vertAlign w:val="baseline"/>
                <w:lang w:val="en-US" w:eastAsia="zh-CN" w:bidi="ar"/>
              </w:rPr>
              <w:t>29.支持设置节假日或特殊日期，实现指定时间停用所有定时任务。</w:t>
            </w:r>
            <w:r>
              <w:rPr>
                <w:rStyle w:val="285"/>
                <w:rFonts w:hint="eastAsia" w:ascii="宋体" w:hAnsi="宋体" w:eastAsia="宋体" w:cs="宋体"/>
                <w:color w:val="auto"/>
                <w:sz w:val="21"/>
                <w:szCs w:val="21"/>
                <w:highlight w:val="none"/>
                <w:vertAlign w:val="baseline"/>
                <w:lang w:val="en-US" w:eastAsia="zh-CN" w:bidi="ar"/>
              </w:rPr>
              <w:br w:type="textWrapping"/>
            </w:r>
            <w:r>
              <w:rPr>
                <w:rStyle w:val="285"/>
                <w:rFonts w:hint="eastAsia" w:ascii="宋体" w:hAnsi="宋体" w:eastAsia="宋体" w:cs="宋体"/>
                <w:color w:val="auto"/>
                <w:sz w:val="21"/>
                <w:szCs w:val="21"/>
                <w:highlight w:val="none"/>
                <w:vertAlign w:val="baseline"/>
                <w:lang w:val="en-US" w:eastAsia="zh-CN" w:bidi="ar"/>
              </w:rPr>
              <w:t>30.支持广播接收方提示音，广播接收方响应广播任务时，加入“叮咚”提示音。</w:t>
            </w:r>
            <w:r>
              <w:rPr>
                <w:rStyle w:val="285"/>
                <w:rFonts w:hint="eastAsia" w:ascii="宋体" w:hAnsi="宋体" w:eastAsia="宋体" w:cs="宋体"/>
                <w:color w:val="auto"/>
                <w:sz w:val="21"/>
                <w:szCs w:val="21"/>
                <w:highlight w:val="none"/>
                <w:vertAlign w:val="baseline"/>
                <w:lang w:val="en-US" w:eastAsia="zh-CN" w:bidi="ar"/>
              </w:rPr>
              <w:br w:type="textWrapping"/>
            </w:r>
            <w:r>
              <w:rPr>
                <w:rStyle w:val="285"/>
                <w:rFonts w:hint="eastAsia" w:ascii="宋体" w:hAnsi="宋体" w:eastAsia="宋体" w:cs="宋体"/>
                <w:color w:val="auto"/>
                <w:sz w:val="21"/>
                <w:szCs w:val="21"/>
                <w:highlight w:val="none"/>
                <w:vertAlign w:val="baseline"/>
                <w:lang w:val="en-US" w:eastAsia="zh-CN" w:bidi="ar"/>
              </w:rPr>
              <w:t>31.扩展支持电话广播功能，实现电话发起全区广播、分区广播、终端对讲的功能。</w:t>
            </w:r>
            <w:r>
              <w:rPr>
                <w:rStyle w:val="285"/>
                <w:rFonts w:hint="eastAsia" w:ascii="宋体" w:hAnsi="宋体" w:eastAsia="宋体" w:cs="宋体"/>
                <w:color w:val="auto"/>
                <w:sz w:val="21"/>
                <w:szCs w:val="21"/>
                <w:highlight w:val="none"/>
                <w:vertAlign w:val="baseline"/>
                <w:lang w:val="en-US" w:eastAsia="zh-CN" w:bidi="ar"/>
              </w:rPr>
              <w:br w:type="textWrapping"/>
            </w:r>
            <w:r>
              <w:rPr>
                <w:rStyle w:val="285"/>
                <w:rFonts w:hint="eastAsia" w:ascii="宋体" w:hAnsi="宋体" w:eastAsia="宋体" w:cs="宋体"/>
                <w:color w:val="auto"/>
                <w:sz w:val="21"/>
                <w:szCs w:val="21"/>
                <w:highlight w:val="none"/>
                <w:vertAlign w:val="baseline"/>
                <w:lang w:val="en-US" w:eastAsia="zh-CN" w:bidi="ar"/>
              </w:rPr>
              <w:t>32.支持文本广播功能，可实现将文本转成语音，支持后台调整语速、设置播放语音功能。</w:t>
            </w:r>
            <w:r>
              <w:rPr>
                <w:rStyle w:val="285"/>
                <w:rFonts w:hint="eastAsia" w:ascii="宋体" w:hAnsi="宋体" w:eastAsia="宋体" w:cs="宋体"/>
                <w:color w:val="auto"/>
                <w:sz w:val="21"/>
                <w:szCs w:val="21"/>
                <w:highlight w:val="none"/>
                <w:vertAlign w:val="baseline"/>
                <w:lang w:val="en-US" w:eastAsia="zh-CN" w:bidi="ar"/>
              </w:rPr>
              <w:br w:type="textWrapping"/>
            </w:r>
            <w:r>
              <w:rPr>
                <w:rStyle w:val="285"/>
                <w:rFonts w:hint="eastAsia" w:ascii="宋体" w:hAnsi="宋体" w:eastAsia="宋体" w:cs="宋体"/>
                <w:color w:val="auto"/>
                <w:sz w:val="21"/>
                <w:szCs w:val="21"/>
                <w:highlight w:val="none"/>
                <w:vertAlign w:val="baseline"/>
                <w:lang w:val="en-US" w:eastAsia="zh-CN" w:bidi="ar"/>
              </w:rPr>
              <w:t>33.支持配置指定终端在指定时间段内启用考试模式，考试模式下，数模备份能进行相互切换，支持一键结束所有设备的考试模式。</w:t>
            </w:r>
            <w:r>
              <w:rPr>
                <w:rStyle w:val="285"/>
                <w:rFonts w:hint="eastAsia" w:ascii="宋体" w:hAnsi="宋体" w:eastAsia="宋体" w:cs="宋体"/>
                <w:color w:val="auto"/>
                <w:sz w:val="21"/>
                <w:szCs w:val="21"/>
                <w:highlight w:val="none"/>
                <w:vertAlign w:val="baseline"/>
                <w:lang w:val="en-US" w:eastAsia="zh-CN" w:bidi="ar"/>
              </w:rPr>
              <w:br w:type="textWrapping"/>
            </w:r>
            <w:r>
              <w:rPr>
                <w:rStyle w:val="285"/>
                <w:rFonts w:hint="eastAsia" w:ascii="宋体" w:hAnsi="宋体" w:eastAsia="宋体" w:cs="宋体"/>
                <w:color w:val="auto"/>
                <w:sz w:val="21"/>
                <w:szCs w:val="21"/>
                <w:highlight w:val="none"/>
                <w:vertAlign w:val="baseline"/>
                <w:lang w:val="en-US" w:eastAsia="zh-CN" w:bidi="ar"/>
              </w:rPr>
              <w:t>34.支持对终端进行远程固件升级，无需到终端本地升级，减轻维护人员工作强度。</w:t>
            </w:r>
            <w:r>
              <w:rPr>
                <w:rStyle w:val="285"/>
                <w:rFonts w:hint="eastAsia" w:ascii="宋体" w:hAnsi="宋体" w:eastAsia="宋体" w:cs="宋体"/>
                <w:color w:val="auto"/>
                <w:sz w:val="21"/>
                <w:szCs w:val="21"/>
                <w:highlight w:val="none"/>
                <w:vertAlign w:val="baseline"/>
                <w:lang w:val="en-US" w:eastAsia="zh-CN" w:bidi="ar"/>
              </w:rPr>
              <w:br w:type="textWrapping"/>
            </w:r>
            <w:r>
              <w:rPr>
                <w:rStyle w:val="285"/>
                <w:rFonts w:hint="eastAsia" w:ascii="宋体" w:hAnsi="宋体" w:eastAsia="宋体" w:cs="宋体"/>
                <w:color w:val="auto"/>
                <w:sz w:val="21"/>
                <w:szCs w:val="21"/>
                <w:highlight w:val="none"/>
                <w:vertAlign w:val="baseline"/>
                <w:lang w:val="en-US" w:eastAsia="zh-CN" w:bidi="ar"/>
              </w:rPr>
              <w:t>35.支持后台换肤功能，可根据喜好自由切换皮肤主题。</w:t>
            </w:r>
            <w:r>
              <w:rPr>
                <w:rStyle w:val="285"/>
                <w:rFonts w:hint="eastAsia" w:ascii="宋体" w:hAnsi="宋体" w:eastAsia="宋体" w:cs="宋体"/>
                <w:color w:val="auto"/>
                <w:sz w:val="21"/>
                <w:szCs w:val="21"/>
                <w:highlight w:val="none"/>
                <w:vertAlign w:val="baseline"/>
                <w:lang w:val="en-US" w:eastAsia="zh-CN" w:bidi="ar"/>
              </w:rPr>
              <w:br w:type="textWrapping"/>
            </w:r>
            <w:r>
              <w:rPr>
                <w:rStyle w:val="285"/>
                <w:rFonts w:hint="eastAsia" w:ascii="宋体" w:hAnsi="宋体" w:eastAsia="宋体" w:cs="宋体"/>
                <w:color w:val="auto"/>
                <w:sz w:val="21"/>
                <w:szCs w:val="21"/>
                <w:highlight w:val="none"/>
                <w:vertAlign w:val="baseline"/>
                <w:lang w:val="en-US" w:eastAsia="zh-CN" w:bidi="ar"/>
              </w:rPr>
              <w:t>36.支持多语言功能，支持中文、繁体中文、英文、韩文等。</w:t>
            </w:r>
            <w:r>
              <w:rPr>
                <w:rStyle w:val="285"/>
                <w:rFonts w:hint="eastAsia" w:ascii="宋体" w:hAnsi="宋体" w:eastAsia="宋体" w:cs="宋体"/>
                <w:color w:val="auto"/>
                <w:sz w:val="21"/>
                <w:szCs w:val="21"/>
                <w:highlight w:val="none"/>
                <w:vertAlign w:val="baseline"/>
                <w:lang w:val="en-US" w:eastAsia="zh-CN" w:bidi="ar"/>
              </w:rPr>
              <w:br w:type="textWrapping"/>
            </w:r>
            <w:r>
              <w:rPr>
                <w:rStyle w:val="285"/>
                <w:rFonts w:hint="eastAsia" w:ascii="宋体" w:hAnsi="宋体" w:eastAsia="宋体" w:cs="宋体"/>
                <w:color w:val="auto"/>
                <w:sz w:val="21"/>
                <w:szCs w:val="21"/>
                <w:highlight w:val="none"/>
                <w:vertAlign w:val="baseline"/>
                <w:lang w:val="en-US" w:eastAsia="zh-CN" w:bidi="ar"/>
              </w:rPr>
              <w:t>37.支持终端明细导出功能，支持通过表格方式导出当前系统终端的配置详情，为系统管理带来方便。</w:t>
            </w:r>
            <w:r>
              <w:rPr>
                <w:rStyle w:val="285"/>
                <w:rFonts w:hint="eastAsia" w:ascii="宋体" w:hAnsi="宋体" w:eastAsia="宋体" w:cs="宋体"/>
                <w:color w:val="auto"/>
                <w:sz w:val="21"/>
                <w:szCs w:val="21"/>
                <w:highlight w:val="none"/>
                <w:vertAlign w:val="baseline"/>
                <w:lang w:val="en-US" w:eastAsia="zh-CN" w:bidi="ar"/>
              </w:rPr>
              <w:br w:type="textWrapping"/>
            </w:r>
            <w:r>
              <w:rPr>
                <w:rStyle w:val="285"/>
                <w:rFonts w:hint="eastAsia" w:ascii="宋体" w:hAnsi="宋体" w:eastAsia="宋体" w:cs="宋体"/>
                <w:color w:val="auto"/>
                <w:sz w:val="21"/>
                <w:szCs w:val="21"/>
                <w:highlight w:val="none"/>
                <w:vertAlign w:val="baseline"/>
                <w:lang w:val="en-US" w:eastAsia="zh-CN" w:bidi="ar"/>
              </w:rPr>
              <w:t>38.支持批量修改定时任务的时间、音量、执行终端。</w:t>
            </w:r>
            <w:r>
              <w:rPr>
                <w:rStyle w:val="285"/>
                <w:rFonts w:hint="eastAsia" w:ascii="宋体" w:hAnsi="宋体" w:eastAsia="宋体" w:cs="宋体"/>
                <w:color w:val="auto"/>
                <w:sz w:val="21"/>
                <w:szCs w:val="21"/>
                <w:highlight w:val="none"/>
                <w:vertAlign w:val="baseline"/>
                <w:lang w:val="en-US" w:eastAsia="zh-CN" w:bidi="ar"/>
              </w:rPr>
              <w:br w:type="textWrapping"/>
            </w:r>
            <w:r>
              <w:rPr>
                <w:rStyle w:val="285"/>
                <w:rFonts w:hint="eastAsia" w:ascii="宋体" w:hAnsi="宋体" w:eastAsia="宋体" w:cs="宋体"/>
                <w:color w:val="auto"/>
                <w:sz w:val="21"/>
                <w:szCs w:val="21"/>
                <w:highlight w:val="none"/>
                <w:vertAlign w:val="baseline"/>
                <w:lang w:val="en-US" w:eastAsia="zh-CN" w:bidi="ar"/>
              </w:rPr>
              <w:t>39.扩展支持手机移动端WIFI点播、广播、对讲功能，兼容Android和IOS系统手机APP进行操作。</w:t>
            </w:r>
            <w:r>
              <w:rPr>
                <w:rStyle w:val="285"/>
                <w:rFonts w:hint="eastAsia" w:ascii="宋体" w:hAnsi="宋体" w:eastAsia="宋体" w:cs="宋体"/>
                <w:color w:val="auto"/>
                <w:sz w:val="21"/>
                <w:szCs w:val="21"/>
                <w:highlight w:val="none"/>
                <w:vertAlign w:val="baseline"/>
                <w:lang w:val="en-US" w:eastAsia="zh-CN" w:bidi="ar"/>
              </w:rPr>
              <w:br w:type="textWrapping"/>
            </w:r>
            <w:r>
              <w:rPr>
                <w:rStyle w:val="285"/>
                <w:rFonts w:hint="eastAsia" w:ascii="宋体" w:hAnsi="宋体" w:eastAsia="宋体" w:cs="宋体"/>
                <w:color w:val="auto"/>
                <w:sz w:val="21"/>
                <w:szCs w:val="21"/>
                <w:highlight w:val="none"/>
                <w:vertAlign w:val="baseline"/>
                <w:lang w:val="en-US" w:eastAsia="zh-CN" w:bidi="ar"/>
              </w:rPr>
              <w:t>40.支持提供二次软件开发包、提供标准MFC动态链接库和HTTP协议，实现与第三方平台整合。</w:t>
            </w:r>
            <w:r>
              <w:rPr>
                <w:rStyle w:val="285"/>
                <w:rFonts w:hint="eastAsia" w:ascii="宋体" w:hAnsi="宋体" w:eastAsia="宋体" w:cs="宋体"/>
                <w:color w:val="auto"/>
                <w:sz w:val="21"/>
                <w:szCs w:val="21"/>
                <w:highlight w:val="none"/>
                <w:vertAlign w:val="baseline"/>
                <w:lang w:val="en-US" w:eastAsia="zh-CN" w:bidi="ar"/>
              </w:rPr>
              <w:br w:type="textWrapping"/>
            </w:r>
            <w:r>
              <w:rPr>
                <w:rStyle w:val="285"/>
                <w:rFonts w:hint="eastAsia" w:ascii="宋体" w:hAnsi="宋体" w:eastAsia="宋体" w:cs="宋体"/>
                <w:color w:val="auto"/>
                <w:sz w:val="21"/>
                <w:szCs w:val="21"/>
                <w:highlight w:val="none"/>
                <w:vertAlign w:val="baseline"/>
                <w:lang w:val="en-US" w:eastAsia="zh-CN" w:bidi="ar"/>
              </w:rPr>
              <w:t>41.支持对接高精准基于GPS的定时系统，可脱离因特网独立进行广播系统授时，使得系统时间误差每年小于1/300000秒。</w:t>
            </w:r>
            <w:r>
              <w:rPr>
                <w:rStyle w:val="285"/>
                <w:rFonts w:hint="eastAsia" w:ascii="宋体" w:hAnsi="宋体" w:eastAsia="宋体" w:cs="宋体"/>
                <w:color w:val="auto"/>
                <w:sz w:val="21"/>
                <w:szCs w:val="21"/>
                <w:highlight w:val="none"/>
                <w:vertAlign w:val="baseline"/>
                <w:lang w:val="en-US" w:eastAsia="zh-CN" w:bidi="ar"/>
              </w:rPr>
              <w:br w:type="textWrapping"/>
            </w:r>
            <w:r>
              <w:rPr>
                <w:rStyle w:val="285"/>
                <w:rFonts w:hint="eastAsia" w:ascii="宋体" w:hAnsi="宋体" w:eastAsia="宋体" w:cs="宋体"/>
                <w:color w:val="auto"/>
                <w:sz w:val="21"/>
                <w:szCs w:val="21"/>
                <w:highlight w:val="none"/>
                <w:vertAlign w:val="baseline"/>
                <w:lang w:val="en-US" w:eastAsia="zh-CN" w:bidi="ar"/>
              </w:rPr>
              <w:t>42.支持电子地图功能，在地图/导览图上可实时查看终端状态。</w:t>
            </w:r>
            <w:r>
              <w:rPr>
                <w:rStyle w:val="285"/>
                <w:rFonts w:hint="eastAsia" w:ascii="宋体" w:hAnsi="宋体" w:eastAsia="宋体" w:cs="宋体"/>
                <w:color w:val="auto"/>
                <w:sz w:val="21"/>
                <w:szCs w:val="21"/>
                <w:highlight w:val="none"/>
                <w:vertAlign w:val="baseline"/>
                <w:lang w:val="en-US" w:eastAsia="zh-CN" w:bidi="ar"/>
              </w:rPr>
              <w:br w:type="textWrapping"/>
            </w:r>
            <w:r>
              <w:rPr>
                <w:rStyle w:val="285"/>
                <w:rFonts w:hint="eastAsia" w:ascii="宋体" w:hAnsi="宋体" w:eastAsia="宋体" w:cs="宋体"/>
                <w:color w:val="auto"/>
                <w:sz w:val="21"/>
                <w:szCs w:val="21"/>
                <w:highlight w:val="none"/>
                <w:vertAlign w:val="baseline"/>
                <w:lang w:val="en-US" w:eastAsia="zh-CN" w:bidi="ar"/>
              </w:rPr>
              <w:t>43.支持在线地图功能，可直接使用百度地图实现在地图上实时查看终端状态。</w:t>
            </w:r>
            <w:r>
              <w:rPr>
                <w:rStyle w:val="285"/>
                <w:rFonts w:hint="eastAsia" w:ascii="宋体" w:hAnsi="宋体" w:eastAsia="宋体" w:cs="宋体"/>
                <w:color w:val="auto"/>
                <w:sz w:val="21"/>
                <w:szCs w:val="21"/>
                <w:highlight w:val="none"/>
                <w:vertAlign w:val="baseline"/>
                <w:lang w:val="en-US" w:eastAsia="zh-CN" w:bidi="ar"/>
              </w:rPr>
              <w:br w:type="textWrapping"/>
            </w:r>
            <w:r>
              <w:rPr>
                <w:rStyle w:val="285"/>
                <w:rFonts w:hint="eastAsia" w:ascii="宋体" w:hAnsi="宋体" w:eastAsia="宋体" w:cs="宋体"/>
                <w:color w:val="auto"/>
                <w:sz w:val="21"/>
                <w:szCs w:val="21"/>
                <w:highlight w:val="none"/>
                <w:vertAlign w:val="baseline"/>
                <w:lang w:val="en-US" w:eastAsia="zh-CN" w:bidi="ar"/>
              </w:rPr>
              <w:t>44.支持终端自定义区域划分，实现对终端的实时状态分区域管理。</w:t>
            </w:r>
            <w:r>
              <w:rPr>
                <w:rStyle w:val="285"/>
                <w:rFonts w:hint="eastAsia" w:ascii="宋体" w:hAnsi="宋体" w:eastAsia="宋体" w:cs="宋体"/>
                <w:color w:val="auto"/>
                <w:sz w:val="21"/>
                <w:szCs w:val="21"/>
                <w:highlight w:val="none"/>
                <w:vertAlign w:val="baseline"/>
                <w:lang w:val="en-US" w:eastAsia="zh-CN" w:bidi="ar"/>
              </w:rPr>
              <w:br w:type="textWrapping"/>
            </w:r>
            <w:r>
              <w:rPr>
                <w:rStyle w:val="285"/>
                <w:rFonts w:hint="eastAsia" w:ascii="宋体" w:hAnsi="宋体" w:eastAsia="宋体" w:cs="宋体"/>
                <w:color w:val="auto"/>
                <w:sz w:val="21"/>
                <w:szCs w:val="21"/>
                <w:highlight w:val="none"/>
                <w:vertAlign w:val="baseline"/>
                <w:lang w:val="en-US" w:eastAsia="zh-CN" w:bidi="ar"/>
              </w:rPr>
              <w:t>45.日志记录系统运行状态，实时记录系统运行及终端工作状态，每次呼叫、通话和广播操作均有记录。</w:t>
            </w:r>
            <w:r>
              <w:rPr>
                <w:rStyle w:val="285"/>
                <w:rFonts w:hint="eastAsia" w:ascii="宋体" w:hAnsi="宋体" w:eastAsia="宋体" w:cs="宋体"/>
                <w:color w:val="auto"/>
                <w:sz w:val="21"/>
                <w:szCs w:val="21"/>
                <w:highlight w:val="none"/>
                <w:vertAlign w:val="baseline"/>
                <w:lang w:val="en-US" w:eastAsia="zh-CN" w:bidi="ar"/>
              </w:rPr>
              <w:br w:type="textWrapping"/>
            </w:r>
            <w:r>
              <w:rPr>
                <w:rStyle w:val="285"/>
                <w:rFonts w:hint="eastAsia" w:ascii="宋体" w:hAnsi="宋体" w:eastAsia="宋体" w:cs="宋体"/>
                <w:color w:val="auto"/>
                <w:sz w:val="21"/>
                <w:szCs w:val="21"/>
                <w:highlight w:val="none"/>
                <w:vertAlign w:val="baseline"/>
                <w:lang w:val="en-US" w:eastAsia="zh-CN" w:bidi="ar"/>
              </w:rPr>
              <w:t>46.支持媒体文件分类分用户管理，可配置公有/私有文件夹，私有文件单独使用。</w:t>
            </w:r>
            <w:r>
              <w:rPr>
                <w:rStyle w:val="285"/>
                <w:rFonts w:hint="eastAsia" w:ascii="宋体" w:hAnsi="宋体" w:eastAsia="宋体" w:cs="宋体"/>
                <w:color w:val="auto"/>
                <w:sz w:val="21"/>
                <w:szCs w:val="21"/>
                <w:highlight w:val="none"/>
                <w:vertAlign w:val="baseline"/>
                <w:lang w:val="en-US" w:eastAsia="zh-CN" w:bidi="ar"/>
              </w:rPr>
              <w:br w:type="textWrapping"/>
            </w:r>
            <w:r>
              <w:rPr>
                <w:rStyle w:val="285"/>
                <w:rFonts w:hint="eastAsia" w:ascii="宋体" w:hAnsi="宋体" w:eastAsia="宋体" w:cs="宋体"/>
                <w:color w:val="auto"/>
                <w:sz w:val="21"/>
                <w:szCs w:val="21"/>
                <w:highlight w:val="none"/>
                <w:vertAlign w:val="baseline"/>
                <w:lang w:val="en-US" w:eastAsia="zh-CN" w:bidi="ar"/>
              </w:rPr>
              <w:t>47.系统兼容路由器、交换机、网桥网关、Modem、Internet、2G、3G、4G等任意网络结构。</w:t>
            </w:r>
            <w:r>
              <w:rPr>
                <w:rStyle w:val="285"/>
                <w:rFonts w:hint="eastAsia" w:ascii="宋体" w:hAnsi="宋体" w:eastAsia="宋体" w:cs="宋体"/>
                <w:color w:val="auto"/>
                <w:sz w:val="21"/>
                <w:szCs w:val="21"/>
                <w:highlight w:val="none"/>
                <w:vertAlign w:val="baseline"/>
                <w:lang w:val="en-US" w:eastAsia="zh-CN" w:bidi="ar"/>
              </w:rPr>
              <w:br w:type="textWrapping"/>
            </w:r>
            <w:r>
              <w:rPr>
                <w:rStyle w:val="285"/>
                <w:rFonts w:hint="eastAsia" w:ascii="宋体" w:hAnsi="宋体" w:eastAsia="宋体" w:cs="宋体"/>
                <w:color w:val="auto"/>
                <w:sz w:val="21"/>
                <w:szCs w:val="21"/>
                <w:highlight w:val="none"/>
                <w:vertAlign w:val="baseline"/>
                <w:lang w:val="en-US" w:eastAsia="zh-CN" w:bidi="ar"/>
              </w:rPr>
              <w:t>48.Windows服务模式，支持win7、server2008及更高版本系统。</w:t>
            </w:r>
            <w:r>
              <w:rPr>
                <w:rStyle w:val="285"/>
                <w:rFonts w:hint="eastAsia" w:ascii="宋体" w:hAnsi="宋体" w:eastAsia="宋体" w:cs="宋体"/>
                <w:color w:val="auto"/>
                <w:sz w:val="21"/>
                <w:szCs w:val="21"/>
                <w:highlight w:val="none"/>
                <w:vertAlign w:val="baseline"/>
                <w:lang w:val="en-US" w:eastAsia="zh-CN" w:bidi="ar"/>
              </w:rPr>
              <w:br w:type="textWrapping"/>
            </w:r>
            <w:r>
              <w:rPr>
                <w:rStyle w:val="285"/>
                <w:rFonts w:hint="eastAsia" w:ascii="宋体" w:hAnsi="宋体" w:eastAsia="宋体" w:cs="宋体"/>
                <w:color w:val="auto"/>
                <w:sz w:val="21"/>
                <w:szCs w:val="21"/>
                <w:highlight w:val="none"/>
                <w:vertAlign w:val="baseline"/>
                <w:lang w:val="en-US" w:eastAsia="zh-CN" w:bidi="ar"/>
              </w:rPr>
              <w:t>49.采用后台系统服务运行，是企业级的标准服务器工作模式，开机系统即可自动运行，相比运行在界面前台的软件具有更高的稳定性和可靠性。</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套</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3</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话筒</w:t>
            </w:r>
          </w:p>
        </w:tc>
        <w:tc>
          <w:tcPr>
            <w:tcW w:w="5975" w:type="dxa"/>
            <w:gridSpan w:val="2"/>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1.换能方式：驻极体</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2.指向性：心型指向</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3.频率响应：40Hz-16kHz</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4.灵敏度：-43dB±2dB</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5.前奏音灵敏度：-50dB±2dB</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6.钟声提示：带钟声提示功能</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7.线材配备：10米（卡农母头转6.35音频线）</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8.咪杆长度 ：420mm</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9.电源：~AC 220/50Hz（电源适配器DC 11.4V）；电池：DC9V</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4</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前置放大器</w:t>
            </w:r>
          </w:p>
        </w:tc>
        <w:tc>
          <w:tcPr>
            <w:tcW w:w="5975" w:type="dxa"/>
            <w:gridSpan w:val="2"/>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 标准机柜式设计（2U），人性化的设计，考究的工艺，尽显高档气质；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2.具有≥5路话筒（MIC）输入，3路标准信号线路（AUX）输入，2路紧急线路（EMC）输入；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 MIC 5具有最高优先、强行切入优先功能；MIC 5和EMC最高优先权限功能可通过拔动开关交替选择，客户可根据使用情况选择优先；</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4.紧急输入线路具有二级优先，强行切入优先功能；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5.MIC1、2、3、4、5 和2路紧急输入（EMC）通道均附设有线路辅助输入接口功能；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6.MIC1、2、3、4和AUX1、2、3可交叉混合输出；其中MIC1灵敏度可根据项目现场应用通过电位器灵活调节。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 话筒（MIC）输入通道和线路（AUX）输入通道均可独立调校音量，并设有总音量控制旋钮；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 设有高音（TREBLE）和低音（BASS）独立调节；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9.具有默音深度调节旋钮和EMC输入增益调节旋钮。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10.话筒1-5的输入灵敏度：话筒:5mV/600Ω非平衡；线路RCA:775mV /10KΩ非平衡.辅助1-3输入：AUX 11.2.3: 350mV/10KΩ非平衡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12.EMC1-2输入：RAC:非平衡 200mV～1000mV/10KΩ；MIC：非平衡 5mV～25mV/600Ω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13.频率响应：20Hz-20KHz(±3dB)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14.信噪比：MIC 输入:50dB； AUX输入:80dB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15.音调调节：低音:±10dB at 100Hz；高音:±10dB at 10KHz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16.电源：～220V/50Hz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17.电源功耗：20W</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5</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IP音频采集器</w:t>
            </w:r>
          </w:p>
        </w:tc>
        <w:tc>
          <w:tcPr>
            <w:tcW w:w="5975" w:type="dxa"/>
            <w:gridSpan w:val="2"/>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1.全铝外壳工艺，体积小巧精致，坚固耐用。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2.设备采用嵌入式计算机技术和DSP音频处理技术设计。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3.内置≥1路网络硬件音频编码模块，支持TCP/IP、UDP协议，实现网络化传输16位CD音质的音频信号。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4.内置≥2组RCA输入端子，带输入音量调节，灵活适配多种不同灵敏度音频设备，支持输入音频压限功能。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5.支持≥5分区独立触发打开或关闭采集功能，面板带有5个分区触发按键及指示灯。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6.支持定时采播任务、临时采播任务，采播任务优先级别可通过服务器设置。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支持“普通采播”、“中级采播”和“高级采播”三种采播模式，“普通采播”，可获得极低延迟的网络音频采集效果，“中级采播”可获得低延迟一般音质的网络采集效果，“高级采播”，可获得极低失真率的网络音频采集效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8.支持路由器、交换机、网桥网关、Modem、Internet、2G、3G、4G等任意网络结构。</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9.支持广播系统对终端进行远程固件升级，无需到终端本地升级，减轻维护人员工作强度。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10.支持音频触发采集任务；可通过服务器的采集配置，实现AUX输入自动触发采集任务。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11.网络接口：标准RJ45输入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12.支持协议：TCP/IP，UDP</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13.音频格式：MP3、PCM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14.采样率：8KHz~48KHz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15.传输速率：100Mbps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16.音频模式：ADPCM PCM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17.输入频率：80Hz～16KHz   +1/-3dB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18.AUX输入灵敏度：350mV 标准莲花座输入接口（非平衡）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19.AUX声压触发阀值：≥10MV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20.谐波失真：≤0.3%</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21.信噪比：≥68dB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22.环境温度：5℃～40℃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23.环境湿度：20%～80%相对湿度，无结露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24.功耗：≤10W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25.输入电源：DC12V/1A</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6</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寻呼话筒</w:t>
            </w:r>
          </w:p>
        </w:tc>
        <w:tc>
          <w:tcPr>
            <w:tcW w:w="5975" w:type="dxa"/>
            <w:gridSpan w:val="2"/>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1.桌面式设计，自带≥7英寸800 x 480的图形点阵K600+内核65K色显示的电阻触屏。显示清晰，触感灵敏。人性化的人机操作界面。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2.自带数字键，功能键界面。支持呼叫分区及多个分区，呼叫全区广播；支持直接操作呼叫或对讲任意终端；支持直接操作监听（环境监听）任意终端根据实际环境，监听距离达到5m。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3.采用嵌入式计算机技术和DSP音频处理技术设计。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4.内置1路网络硬件音频解码模块，支持TCP/IP、UDP协议，实现网络化传输16位CD音质的音频信号。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5.兼容路由器、交换机、网桥网关、Modem、Internet、2G、3G、4G等任意网络结构。</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6.支持全双工双向对讲功能，自带网络回声消除模块；IP终端之间实现两两双向对讲，延时低于100ms；同时网络回声啸叫彻底抑制。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7.支持求助信号铃声、闪灯提示，一键接受求助、对讲功能，同时也可以支持免提通话和接收广播，实现快速链接。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8.支持多种呼叫策略，包括无响应转移、占线转移、关机转移。</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9.支持自动接听、手动接听，支持自定义接听提示音。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10.支持转移时间、无人接听时间、呼叫等待时间自定义。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11.内置≥2W全频高保真扬声器，实现双向通话和网络监听。</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12.不低于一个φ3.5耳机插座和一个φ3.5MIC输入插座，匹配市场上95%的耳机和便携式麦克风。</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13.不低于一路音频线路输出，外扩功率放大器；一路音频线路输入，提供多音源传输。</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14.不低于一路报警触发短路输出，级联外扩警示设备或控制门禁；一路短路输入，可以用作触发预置语音提示（或报警），亦可用于控制门禁联动输入短路信号。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15.数字化产品，扩容方便，不受地理位置限制，无需增加机房管理设备，采用共网免线路施工的设计理念，安装简便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16.支持广播系统对终端进行远程固件升级，无需到终端本地升级，减轻维护人员工作强度。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17.可支持≥10个按键自定义一键呼叫广播功能。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18.网络接口：标准RJ45输入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19.支持协议：TCP/IP，UDP</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20.网络协议：支持IPv6、IPv4网络协议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21.音频格式：MP3</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22.采样率：8KHz~48KHz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23.传输速率：100Mbps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24.音频模式：16位CD音质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25.显示屏尺寸：≥7英寸</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26.屏幕分辨率：≥800 x 480 像素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27.屏幕类型：65K色DGUS屏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28.键盘类型：虚拟QWERTY键盘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29.键盘输入方式：触控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30.内接扬声器阻抗及额定功率：4Ω，2W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31.总偕波失真：≤1%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32.内置喇叭频率响应：317Hz~3.4KHz  +1/-3dB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33.LIEN OUT频率响应：80Hz~16KHz  +1/-3dB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34.信噪比：&gt;65dB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35.PHONE OUT输出阻抗及额定功率：32Ω，2mW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36.LINE OUT 输出电平：1000mV 工业标准压线接线端子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37.LINE OUT 输出阻抗：470Ω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38.LINE IN输入灵敏度：350mV  工业标准压线接线端子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39.MIC输入灵敏度（非平衡）：10mV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40.短路输入：干接点输入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41.短路输出：最大1A/30VDC干接点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42.工作温度：5℃～40℃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43.工作湿度：20%～80%相对湿度，无结露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44.整机功耗：≤6W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45.输入电源：～190V-240V 50Hz-60Hz(电源适配器);DC24V/1.5A</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7</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采集器</w:t>
            </w:r>
          </w:p>
        </w:tc>
        <w:tc>
          <w:tcPr>
            <w:tcW w:w="5975" w:type="dxa"/>
            <w:gridSpan w:val="2"/>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1.标准机柜式设计，1U高度，高档拉丝铝合金面板，工艺考究，尽显高档气质。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2.设备采用嵌入式计算机技术和DSP音频处理技术设计。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3.支持≥16路消防短路信号输入，可无限扩展输入接口，方便更大的系统使用。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4.面板支持一键取消任务。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5.支持后台设置报警策略，可为每路短路信号输入端口配置报警策略，关联联动的终端及播放曲目等功能。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6.标配网络接口，全速率连接最高可达100M。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7.支持广播系统对终端进行远程固件升级，无需到终端本地升级，减轻维护人员工作强度。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8.网络接口：标准RJ45输入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9.传输速率：100Mbps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10.支持协议：TCP/IP、UDP</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11.短路接口：工业标准压线接线端子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12.功耗：≤20W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13.输入电源：～190V-240V 50Hz-60Hz</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8</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IP网络音箱</w:t>
            </w:r>
          </w:p>
        </w:tc>
        <w:tc>
          <w:tcPr>
            <w:tcW w:w="5975" w:type="dxa"/>
            <w:gridSpan w:val="2"/>
            <w:vAlign w:val="top"/>
          </w:tcPr>
          <w:p>
            <w:pPr>
              <w:keepNext w:val="0"/>
              <w:keepLines w:val="0"/>
              <w:widowControl/>
              <w:suppressLineNumbers w:val="0"/>
              <w:jc w:val="left"/>
              <w:textAlignment w:val="top"/>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1.专业一体化壁挂式音箱设计，箱体符合声音共振原理设计理念；</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2.设备采用嵌入式计算机技术和DSP音频处理技术设计。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3.内置1路网络硬件音频解码模块，支持TCP/IP、UDP，实现网络化传输16位CD音质的音频信号。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4.内置2 x 20W（MAX）的双通道数字功率放大器，一路接主音箱，一路外接到副音箱；音质非常细腻，功率强劲；具有网络音量设置。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5.具备有≥1路线路（AUX）输入接口，具有独立的音量电位器控制，支持断网本地寻呼功能；同时支持缄默强度预置减少功能，支持背景伴奏预置功能。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6.可扩展2.4G无线音频模块，实现2.4G无线麦克风进行本地扩音。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7.可扩展连接蓝牙接收器实现接收蓝牙音频进行本地扩声。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8.内置2级优先设置：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1）网络报警信号优先AUX和网络背景音乐信号。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2）AUX优先网络背景音乐信号。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9.兼容路由器、交换机、网桥网关、Modem、Internet、2G、3G、4G等任意网络结构。</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10.数字化产品，扩容方便，不受地理位置限制，无需增加机房管理设备，采用共网免线路施工的设计理念，安装简便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11.支持广播系统对终端进行远程固件升级，无需到终端本地升级，减轻维护人员工作强度。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 网络接口：标准RJ45输入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 传输速率：100Mbps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 支持协议：TCP/IP，UDP</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 音频格式：MP3</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 音频模式：16位CD音质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 采样率：8KHz～48KHz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 AUX输入灵敏度：350mV  (非平衡）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19. 频率响应：80Hz～16KHz   +1/-3dB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20. 谐波失真：≤1%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21. 信噪比：＞65dB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22. 整机功耗：≤50W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23. 保护电路：过载、短路保护电路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24. 工作环境温度：5℃～40℃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25. 工作环境湿度：20%～80%相对湿度，无结露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26. 工作电源：～190V-240V 50Hz-60Hz</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9</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电源管理器</w:t>
            </w:r>
          </w:p>
        </w:tc>
        <w:tc>
          <w:tcPr>
            <w:tcW w:w="5975" w:type="dxa"/>
            <w:gridSpan w:val="2"/>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1.≥16路电源输出，具有14个AC220V(10A)，2个AC220V(16A)接口，电源插口总容量达6000W。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2.设有船型开关，可手动控制≥16个电源上断电；也可与定时器、智能控制器相连接，实现自动控制；支持配置CH1和CH2通道为受控或不受控状态。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3.≥16路电源插座依次间隔1秒打开。</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4.有≥1路24V消防信号输入接口；1路消防短路报警触发信号输出。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5.电源：AC ~220V  50Hz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6.电源功耗：50W</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10</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机柜</w:t>
            </w:r>
          </w:p>
        </w:tc>
        <w:tc>
          <w:tcPr>
            <w:tcW w:w="5975" w:type="dxa"/>
            <w:gridSpan w:val="2"/>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1.机柜采用19英寸行业标准尺寸设计；</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2.外观设计高贵典雅，工艺精湛、尺寸精密；</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3.同时安有万向脚轮和支撑脚，便于移动、固定；</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4.左右侧门可快速拆、装，方便工作；</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5.带线槽设计方便设备连接线梳理。</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c>
          <w:tcPr>
            <w:tcW w:w="5975" w:type="dxa"/>
            <w:gridSpan w:val="2"/>
            <w:vAlign w:val="center"/>
          </w:tcPr>
          <w:p>
            <w:pPr>
              <w:keepNext w:val="0"/>
              <w:keepLines w:val="0"/>
              <w:widowControl/>
              <w:suppressLineNumbers w:val="0"/>
              <w:jc w:val="left"/>
              <w:textAlignment w:val="center"/>
              <w:rPr>
                <w:rFonts w:hint="eastAsia" w:ascii="宋体" w:hAnsi="宋体" w:eastAsia="宋体" w:cs="宋体"/>
                <w:b/>
                <w:bCs/>
                <w:i w:val="0"/>
                <w:color w:val="auto"/>
                <w:kern w:val="0"/>
                <w:sz w:val="21"/>
                <w:szCs w:val="21"/>
                <w:highlight w:val="none"/>
                <w:u w:val="none"/>
                <w:lang w:val="en-US" w:eastAsia="zh-CN" w:bidi="ar"/>
              </w:rPr>
            </w:pPr>
            <w:r>
              <w:rPr>
                <w:rFonts w:hint="eastAsia" w:ascii="宋体" w:hAnsi="宋体" w:eastAsia="宋体" w:cs="宋体"/>
                <w:b/>
                <w:bCs/>
                <w:i w:val="0"/>
                <w:color w:val="auto"/>
                <w:kern w:val="0"/>
                <w:sz w:val="21"/>
                <w:szCs w:val="21"/>
                <w:highlight w:val="none"/>
                <w:u w:val="none"/>
                <w:lang w:val="en-US" w:eastAsia="zh-CN" w:bidi="ar"/>
              </w:rPr>
              <w:t>模拟备份系统设备</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控制主机</w:t>
            </w:r>
          </w:p>
        </w:tc>
        <w:tc>
          <w:tcPr>
            <w:tcW w:w="5975" w:type="dxa"/>
            <w:gridSpan w:val="2"/>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 人性化的设计，操作简单方便，系统线路连接完毕后，只需在控制器上操作即可满足日常的广播需求。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 超强的编程自动控制，内置≥4套主程序，每天可编多达200步，并设1套特殊备用程序，设有晴天、雨天运行模式。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 内置强大灵活的音频矩阵，8路输入，16路输出，可手动或自动任意切换；各区可同时播放不同节目，互不干扰。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 输入信号带独立的音量调节，可适用于不同的音源设备。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 内置可编程控制的MP3音源，音质优美；采用SD卡存储，最大支持32GB内存卡，随机附送读卡器，下载曲目简单方便。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 外控各种音源设备，实现在规定时间、指定地点（区域），播放对应的节目（音乐）。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 强大的电源管理，内置≥6路可编程控制的电源，并可外控电源时序器进行扩充。</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 多模式的消防报警功能，包括全区独立报警、分区独立报警、相邻（1.2.3.4）分区6种报警模式。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 本地广播寻呼功能，可灵活的实现全区，分区广播寻呼。</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 配合呼叫站可进行远程寻呼广播；通过呼叫站的音频接入口，可将异地广播节目回传到机房进行广播。</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 与电话寻呼器连接则可实现电话远程全区，分区寻呼广播。无论您在何地只需要拿起电话即可进入系统进行广播。</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 内置监听，可对各种输入信号进行选择监听。</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 自创的后备自动控制功能，方便实用，灵活的手动，自动控制，设有多个功能快捷。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14.电源：~220V  50Hz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15.功耗：30W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16.音频输入：LINE 10KΩ 775mV 不平衡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17.音频输出：1KΩ 0~1.5V 不平衡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18.频响：20Hz~20kHz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19.信噪比：90dB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20.失真度：0.1%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21.报警输入电平：0V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22.报警输出电平：0V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23.电源控制输出电平：0V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24.监听喇叭功率：0.5W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25.通信接口：RJ45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26.通信协议：RS-422、RS-485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27.通信速度：4800bps</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2</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寻呼器</w:t>
            </w:r>
          </w:p>
        </w:tc>
        <w:tc>
          <w:tcPr>
            <w:tcW w:w="5975" w:type="dxa"/>
            <w:gridSpan w:val="2"/>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1.液晶屏和分区指示灯配合显示每个分区工作状态，≥16个数字键和功能键，操作简单；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2.带有钟声提示音提醒及音量调节；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3.≥1路话筒（MIC）以及独立的音量调节；一路辅助线路输入；一路音频辅助输出，外扩有源音箱；</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4.可扩展到16台远程呼叫话筒进行寻呼广播，最大接线距离1Km。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5.电源：～220V/50Hz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6.通讯接口：RJ45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7.通讯协议：RS-485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8.功耗：10W</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3</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前置放大器</w:t>
            </w:r>
          </w:p>
        </w:tc>
        <w:tc>
          <w:tcPr>
            <w:tcW w:w="5975" w:type="dxa"/>
            <w:gridSpan w:val="2"/>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1.≥八路line输入，独立控制,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2.话筒/line具有独立高/低音调节,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 ≥2路EMC输入，可以切换八路line信号,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4.MIC输入可切断EMC输入信号,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5.≥八路非平衡输出。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6.输入：MIC: 5mV/600Ω, 非平衡输入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 CH1-CH8: 350mV/10KΩ；非平衡输入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 EMC: 775mV/10KΩ,  非平衡输入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7.输出：1V, 600Ω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8.频率响应：线路/EMC频响：20Hz-20KHz (±2dB)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 话筒频响：50Hz-16KHz (±2dB)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9.信噪比：MIC: 66dB, LINE: 80dB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10.失真度：0.01%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11.串音：MIC: 80dB, LINE: 85dB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12.默音功能：MIC对EMC1-2有默音作用；EMC对CH1-CH8；有自动默音作用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13.控制功能：LINE, MIC 独立音量调节, 高低音调调节，话筒切换选择，电源开关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14.指示灯：电源指示灯，通道选择指示灯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15.电源电压范围：~220V/60Hz or ~230V/50Hz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16.整机功耗：35W</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4</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数字功放</w:t>
            </w:r>
          </w:p>
        </w:tc>
        <w:tc>
          <w:tcPr>
            <w:tcW w:w="5975" w:type="dxa"/>
            <w:gridSpan w:val="2"/>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1.采用高效D类放大电路，内置高效率开关电源，使得整机效率高达≥85%。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2.产品内部采用合理的散热布局，使得产品即使在极其恶劣的工作环境下内部仍能保持低于55度的工作温度，大大地延长了设备的使用寿命。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3.采用1U标准19英寸工业机箱设计。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4.1通道数字功率放大器提供1路100V或4-16Ω输出端子接线扬声器。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5.不带变压器输出100V和可以切换定阻4-16Ω输出。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6.支持故障输出功能，可远程监控功放设备工作状态。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7.产品具有短路、过载、过热保护。</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8.支持1通道独立电源供电功能。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9.≥85%高效放大器，电源损耗小，发热量小。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10.具有≥1通道欧式端子平衡输入，1通道欧式端子输出。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11.额定功率输出：≥650W；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12.额定输出：100V/4-16Ω；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13.输入灵敏度(阻抗）：±385mV/20KΩ，平衡输入；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14.过载源电动势：&gt;11dB；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15.频率响应：80Hz~16KHz (+1, -3dB)；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16.信噪比：≥85dB；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17.THD：≤0.1% at 1KHz, 1/3 额定功率；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18.控制：远程电源控制和故障指示；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19.指示灯：信号、峰值、保护、电源；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20.保护：高温、过载、短路；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21.冷却：风机强制散热；</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22.电源供电：220V/50Hz；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23.功耗：900W；</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3</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5</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数字功放</w:t>
            </w:r>
          </w:p>
        </w:tc>
        <w:tc>
          <w:tcPr>
            <w:tcW w:w="5975" w:type="dxa"/>
            <w:gridSpan w:val="2"/>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1.采用高效D类放大电路，内置高效率开关电源，使得整机效率高达≥85%。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2.产品内部采用合理的散热布局，使得产品即使在极其恶劣的工作环境下内部仍能保持低于55度的工作温度，大大地延长了设备的使用寿命。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3.采用1U标准19英寸工业机箱设计。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4.1通道数字功率放大器提供1路100V或4-16Ω输出端子接线扬声器。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5.不带变压器输出100V和可以切换定阻4-16Ω输出。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6.支持故障输出功能，可远程监控功放设备工作状态。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7.产品具有短路、过载、过热保护。</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8.支持1通道独立电源供电功能。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9.≥85%高效放大器，电源损耗小，发热量小。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10.具有≥1通道欧式端子平衡输入，1通道欧式端子输出。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11.额定功率输出：≥500W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12.额定输出：100V/4-16Ω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13.输入灵敏度(阻抗）：±385mV/20KΩ，平衡输入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14.过载源电动势：&gt;11dB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15.频率响应：80Hz~16KHz (+1, -3dB)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16.信噪比：≥85dB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17.THD：≤0.1% at 1KHz, 1/3 额定功率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18.控制：远程电源控制和故障指示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19.指示灯：信号、峰值、保护、电源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20.保护：高温、过载、短路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21.冷却：风机强制散热</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22.电源供电：220V/50Hz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23.功耗：750W</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6</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主备切换器</w:t>
            </w:r>
          </w:p>
        </w:tc>
        <w:tc>
          <w:tcPr>
            <w:tcW w:w="5975" w:type="dxa"/>
            <w:gridSpan w:val="2"/>
            <w:vAlign w:val="top"/>
          </w:tcPr>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1.采用2U机箱，高集成化的设计，外观简约，坚固耐用；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2.设备关闭与掉电，不影响正常广播；</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3.功放≥1备8主，合理整合资源，节省成本；</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4.实时功放状态检测，并且以不同的LED颜色指示；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5.同时支持≥8路非平衡音频输入输出，8路功率信号输入输出；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6.设备可选择工作在单机或网络模式，默认为单机模式，网络模式优先，具备掉电模式记忆功能；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7.具有以太网联机接口，配置PC软件，可集成第3方系统，实现集中监管，分散控制；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8.主备功放切换时间小于0.2S，音源无间断切换；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9.功放通道切换能力最大支持100V,20A；</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10.≥8个主功放通道可设置启用或关闭检测功能，通道设置立即生效，不必重启设备；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11.交流供电电压：AC 220V±10% 50-60Hz；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12.交流供电最大电流：小于0.5A；</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13.保险丝规格：250V/1A，慢速型；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14.交流供电功耗：12W；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15.直流供电电压：24V DC, ±20%；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16.直流供电最大电流：0.5 A；</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17.线路输入灵敏度：775mV；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18.线路输入阻抗：10KΩ；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19.线路输出幅度：775mV；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20.线路输出阻抗：470Ω；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21.失真：＜0.1% （额定输出功率）,1KHz；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22.频响：20Hz-16KHz；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23.信噪比：&gt;70dB；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24.可控切换通道数：8；</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25.通道切换能力：100V 20A；</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26.功放切换时间：＜0.2S；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27.冷却方式：自然散热；</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28.操作温度：+ 5℃ ～+ 4 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29.存储温度：- 20℃ ～+ 70℃；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30.相对湿度：&lt; 9 5 %（无凝露）；</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7</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数字功放</w:t>
            </w:r>
          </w:p>
        </w:tc>
        <w:tc>
          <w:tcPr>
            <w:tcW w:w="5975"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1.通道数字功率放大器提供1路100V或4-16Ω输出端子接线扬声器。</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2.不带变压器输出100V和可以切换定阻4-16Ω输出。</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★3.具有故障监控端子，可远程监控功放设备工作状态。</w:t>
            </w:r>
            <w:r>
              <w:rPr>
                <w:rFonts w:hint="eastAsia" w:ascii="宋体" w:hAnsi="宋体" w:eastAsia="宋体" w:cs="宋体"/>
                <w:i w:val="0"/>
                <w:color w:val="auto"/>
                <w:kern w:val="0"/>
                <w:sz w:val="21"/>
                <w:szCs w:val="21"/>
                <w:highlight w:val="none"/>
                <w:u w:val="none"/>
                <w:lang w:val="en-US" w:eastAsia="zh-CN" w:bidi="ar"/>
              </w:rPr>
              <w:t>提供国家认可的检测机构出具的测试报告</w:t>
            </w:r>
            <w:r>
              <w:rPr>
                <w:rFonts w:hint="eastAsia" w:ascii="宋体" w:hAnsi="宋体" w:cs="宋体"/>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检测机构官网查询截图</w:t>
            </w:r>
            <w:r>
              <w:rPr>
                <w:rFonts w:hint="eastAsia" w:ascii="宋体" w:hAnsi="宋体" w:cs="宋体"/>
                <w:i w:val="0"/>
                <w:color w:val="auto"/>
                <w:kern w:val="0"/>
                <w:sz w:val="21"/>
                <w:szCs w:val="21"/>
                <w:highlight w:val="none"/>
                <w:u w:val="none"/>
                <w:lang w:val="en-US" w:eastAsia="zh-CN" w:bidi="ar"/>
              </w:rPr>
              <w:t>及查询链接</w:t>
            </w:r>
            <w:r>
              <w:rPr>
                <w:rFonts w:hint="eastAsia" w:ascii="宋体" w:hAnsi="宋体" w:eastAsia="宋体" w:cs="宋体"/>
                <w:i w:val="0"/>
                <w:color w:val="auto"/>
                <w:kern w:val="0"/>
                <w:sz w:val="21"/>
                <w:szCs w:val="21"/>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4.产品具有短路、过载、过热保护。</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5.支持1通道独立电源供电功能。</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6.85%高效放大器，电源损耗小，发热量小。</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7.具有1通道欧式端子平衡输入，1通道欧式端子输出。</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8.额定功率输出：650W</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9.额定输出：100V/4-16Ω</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10.输入灵敏度(阻抗）：±385mV/20KΩ，平衡输入</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11.过载源电动势：&gt;11dB</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12.频率响应：80Hz~16KHz (+1, -3dB)</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13.信噪比：≥85dB</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14.THD：≤0.1% at 1KHz, 1/3 额定功率</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15.控制：远程电源控制和故障指示</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16.指示灯：信号、峰值、保护、电源</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17.保护：高温、过载、短路</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18.冷却：风机强制散热</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19.电源供电：220V/50Hz</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20.功耗：900W</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8</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考务CD机</w:t>
            </w:r>
          </w:p>
        </w:tc>
        <w:tc>
          <w:tcPr>
            <w:tcW w:w="5975" w:type="dxa"/>
            <w:gridSpan w:val="2"/>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噪声声级：≤25DB-15KHZ；支持格式：CD\CD-R\CDRW\MP3\WMA；失真限制输出功率：10W+10W；</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9" w:hRule="atLeast"/>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9</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UPS主机</w:t>
            </w:r>
          </w:p>
        </w:tc>
        <w:tc>
          <w:tcPr>
            <w:tcW w:w="5975" w:type="dxa"/>
            <w:gridSpan w:val="2"/>
            <w:vAlign w:val="top"/>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1.单进单出高频 UPS，采用全数字DSP控制技术，智能双变换纯在线式。</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2.先进的整流技术和IGBT逆变控制技术，支持220/110/，50/60Hz电网体系；</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3.DSP数字芯片、可编程逻辑芯片（CPLD）、高速微处理器（MCU）全数字控制，使控制精确、快速、稳定、可靠；</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4.控制电路板采用工业“三防”技术，具有防尘、防潮、防腐蚀等功能；</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5.辅助电源冗余备份设计理念，更能确保主机系统运行的稳定性和可靠性；</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6.智能的人机界面，LCD液晶显示器，LCD+LED面板,显示输入电压、频率，输出电压、频率，负载大小，电池可待机时间、当前状态、历史记录、故障告警等UPS运行指标，界面友好，方便客户使用。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7.整流器软启动开机，并能在5-300秒内设置延时启动，可大大减少对电网或油机的冲击；</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8.关键器件选用国际知名品牌，以确保系统长时间运行稳定可靠。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9.UPS具有定期对电池组进行自动浮充、均充转换及电池组放电记录功能</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10.UPS能通过RS232接口送出以下遥测和遥信：</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 遥测：输入电压，直流电压，电池电压，输出电压，输出电流，输出频率，输出负载，工作方式等；</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 遥信：输入电源故障，整流器故障，逆变器故障，旁路故障，过载、电池故障、过温故障等信息。</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11.UPS标准配置RS232通信接口，可选配SNMP网络适配器、备有SNMP插槽，以实现UPS远程监控功能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12.UPS主机采用DSP全数字控制设计，提高整个系统的集成率及可靠度。</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13.UPS输入端（包括旁路）具备D级雷击浪涌保护装置。</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14.环境条件：</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环境温度：0～+40℃</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相对湿度：0~95%（无冷凝）</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 在正常使用环境下，UPS主机平均无故障时间MTBF大于20万小时。</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16.UPS人机界面提供LED显示和LCD液晶菜单显示。可存储事件记录大于50条；具备电脑辅助诊断功能并能正确判断，提高维护实效。</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17.保护接地措施&lt;0.04，电机与能量防护，需符合IEC60950-1:2001的2.1.1.5规定,效率：电源效率应符合GB/T 14715-2017；</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18.防止误碰操作，按键采用三键组成，LCD液晶显示屏幕与LED相组合，可通过显示屏了解UPS运行状态如负载值、市电、频率、机箱温度等，人性化设计LED显示由市电输入、旁路输入、电池模式、逆变输出组成一目了然，故障时LED灯闪烁，UPS须光声报警提示；</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19.机器需通过250N以下的恒定作用力试验及冲击试验；</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20.容量：6KVA</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21.工作模式高频双变换纯在线式智能型UPS。</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22.系统组成UPS主机、电池柜、电池组、必要的连接件。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23.输入交流电压范围(V)120-275。</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24.输入交流电压频率（Hz）40~70Hz,依据电网频率自动选择同步范围。</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25.输入功率因数（PF）＞0.9。</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26.直流输入电压（VDC）192V/240V(通过短路针可以设置电池节数)电池节数必须可以设置。</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27.额定交流输出电压220/240VAC。</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28.整机效率＞92%，ECO节能模式效率为98%。</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29.输出电压精度（稳态）(V)220V±1％，两相三线制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30.输出频率精度（Hz）50Hz±0.2％（电池模式）。</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31.输出功率因数0.9。</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32.输出过载能力125％满载时维持10min后转旁路，150％满载时维持1min后转旁路，减少负载后又能自动转逆变输出</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33.切换时间旁路到逆变，逆变到旁路的切换时间0ms。</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34.电池管理采用智能化电池管理方案，能对电池温度进行检测和补偿，能自动维护电池，延长电池的使用寿命。</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35.防雷UPS输入端应具备D级防雷装置。</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36.使用环境工作温度0—40℃，湿度为0-95%</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37.噪音＜65dB(1m距离)</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38.配置LCD液晶显示器</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LCD面板，用于显示 UPS 的各当前运行参数及历史运行参数，及显示当前报警状态与历史报警记录，并能够显示中英文信息和图形信息。</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39.报警装置具备声光报警功能</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10</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蓄电池（12V100AH）</w:t>
            </w:r>
          </w:p>
        </w:tc>
        <w:tc>
          <w:tcPr>
            <w:tcW w:w="5975" w:type="dxa"/>
            <w:gridSpan w:val="2"/>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1、全密封：铅酸免维护12V100AH,采用独特的生产工艺和特殊的结构设计，保证电池使用安全性和密封性。</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2、免维护（无需加水）：独特气体再化合系统能将产生的气体化合成成水，吸附式下班纤维隔板，在寿命期内无需要加任何电液及水。</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3、极低的自放电率：使用耐腐蚀性好的特殊铅钙合制成的板，把自放电控制在最小，室温25度储存，可半年之内不用补充电。</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4、使用环境：电池可在0度~45度的温度范围内使用。</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5、安装方便：可根据用户的要求立放、卧放方式进行安装。</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6、长使用寿命：采用耐腐蚀结构的重型铅钙金极板，保证电池的浮充使用寿命。</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7、优越的安全性能：正常使用下无电解液漏出和无鼓包,无电池膨胀及破裂。（后备电池使用3小时）</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个</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32</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11</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电池机柜</w:t>
            </w:r>
          </w:p>
        </w:tc>
        <w:tc>
          <w:tcPr>
            <w:tcW w:w="5975" w:type="dxa"/>
            <w:gridSpan w:val="2"/>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32节100AH-12V电池柜，含1套6平方电池连结线</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12</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操作台</w:t>
            </w:r>
          </w:p>
        </w:tc>
        <w:tc>
          <w:tcPr>
            <w:tcW w:w="5975" w:type="dxa"/>
            <w:gridSpan w:val="2"/>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平面操作抬长1200*高750*宽900下面箱体宽度640  桌面框体厚度1.2 下筐体1.0  材质镀锌版喷塑  桌面采用防火板材质</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个</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13</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静电地板</w:t>
            </w:r>
          </w:p>
        </w:tc>
        <w:tc>
          <w:tcPr>
            <w:tcW w:w="5975" w:type="dxa"/>
            <w:gridSpan w:val="2"/>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地板板基：地板为全钢组件，底面采用深级拉伸钢板，表面采用硬质钢板，上下钢板冲压、点焊成形，地板基体表面经磷化后进行静电喷涂处理，喷涂层材料为热固性环氧塑料粉末，表面达到柔光、防腐、耐磨效果。内腔内填充发泡水泥，表面粘贴防静电瓷砖，达到整体合一的效果。</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支承系统：防静电瓷砖架空地板采用四角支承式，支架采用镀锌处理，支承高度可从80mm-1000mm,通过旋转支架上托片进行调节，调整范围为±20mm，支承高度调整后，可通过拧紧罗母进行锁定。600*600*30mm单片</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平方</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25</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14</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机房接地紫铜带</w:t>
            </w:r>
          </w:p>
        </w:tc>
        <w:tc>
          <w:tcPr>
            <w:tcW w:w="5975" w:type="dxa"/>
            <w:gridSpan w:val="2"/>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材质：纯铜；厚度：0.03mm*100mm；</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米</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40</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15</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接地连接线</w:t>
            </w:r>
          </w:p>
        </w:tc>
        <w:tc>
          <w:tcPr>
            <w:tcW w:w="5975" w:type="dxa"/>
            <w:gridSpan w:val="2"/>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接地连接线 BVR-6mm2 </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米</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20</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c>
          <w:tcPr>
            <w:tcW w:w="5975" w:type="dxa"/>
            <w:gridSpan w:val="2"/>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b/>
                <w:i w:val="0"/>
                <w:color w:val="auto"/>
                <w:kern w:val="0"/>
                <w:sz w:val="21"/>
                <w:szCs w:val="21"/>
                <w:highlight w:val="none"/>
                <w:u w:val="none"/>
                <w:lang w:val="en-US" w:eastAsia="zh-CN" w:bidi="ar"/>
              </w:rPr>
              <w:t>前端设备</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扩声系统设备</w:t>
            </w:r>
          </w:p>
        </w:tc>
        <w:tc>
          <w:tcPr>
            <w:tcW w:w="5975" w:type="dxa"/>
            <w:gridSpan w:val="2"/>
            <w:vAlign w:val="center"/>
          </w:tcPr>
          <w:p>
            <w:pPr>
              <w:keepNext w:val="0"/>
              <w:keepLines w:val="0"/>
              <w:widowControl/>
              <w:suppressLineNumbers w:val="0"/>
              <w:jc w:val="left"/>
              <w:textAlignment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名称：IP网络音箱</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1.设备采用嵌入式计算机技术和DSP音频处理技术设计。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2.内置≥1路网络硬件音频解码模块，支持TCP/IP、UDP协议，实现网络化传输16位CD音质的音频信号。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3.内置≥2 x 20W数字功率放大器，一路接主音箱，一路外接到副音箱，音质非常细腻，功率强劲，并具有网络音量调节。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4.内置高性能主备切换模块，断网断电主/备切换时间小于0.3秒，通网上电备/主切换时间小于0.3秒。</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5.具备有≥1路线路（AUX）输入接口，具有独立的音量电位器控制，支持断网本地寻呼功能，支持缄默强度预置功能，支持背景伴奏预置功能。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6.可扩展连接蓝牙接收器实现接收蓝牙音频进行本地扩声。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7.内置模拟音频信号备份模块，支持定压100V信号输入，当设备检测到网络故障或者设备断电时，自动切换输入定压信号，实现双线路冗余。</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8.内置2.4G无线音频模块，传输频率：2.40MHz—2.53MHz，高保真、抗干扰性好，实现2.4G无线麦克风进行本地扩音。为行业内最高64K @16bit×2, 具有HDCD音质效果，音质最佳。声音延迟（＜0.5ms)。响应频率：80Hz~16KHz。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9.2.4G麦克风音量支持音量调节调节功能。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10.实现加密传输，接收器支持自动扫频功能，轻松避开干扰。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11.开机自动进入配对状态，配对成功后，有提示音，自动转入接收状态。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12.主机与麦克风自动配对连接距离≤3米，配对连接时间≤3秒。</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13.充电功能，带充电管理，支持边充电边工作，充电用TYPE-C插口，通用手机充电器。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14.对频距离（功率）可以自行设定。</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15.有效使用距离最远可达≥30m（与使用环境有关）。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16.内置≥2级优先设置：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17.网络报警信号优先AUX和网络背景音乐信号。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18.AUX优先网络背景音乐信号。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19.支持断网本地AUX和2.4G无线音频输入本地扩音功能。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20.兼容路由器、交换机、网桥网关、Modem、Internet、2G、3G、4G等任意网络结构。</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21.数字化产品，扩容方便，不受地理位置限制，无需增加机房管理设备，采用共网免线路施工的设计理念，安装简便。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22.支持广播系统对终端进行远程固件升级，无需到终端本地升级，减轻维护人员工作强度。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23. 网络接口：标准RJ45输入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24. 支持协议：TCP/IP，UDP</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25. 音频格式：MP3</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26. 采样率：8KHz～48KHz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27. 传输速率：100Mbps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28. 音频模式：16位CD音质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29. 输出频率：80Hz～16KHz   +1/-3dB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30. 谐波失真：≤1%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31. 信噪比：＞65dB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32. AUX输入灵敏度：350mV  (非平衡）工业标准接线端子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33. 100V定压输入：有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34. 环境温度：5℃～40℃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35. 环境湿度：20%～80%相对湿度，无结露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36. 功耗：≤50W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37. 输入电源：～190V-240V 50Hz-60Hz</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77</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2</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扩声系统设备</w:t>
            </w:r>
          </w:p>
        </w:tc>
        <w:tc>
          <w:tcPr>
            <w:tcW w:w="5975" w:type="dxa"/>
            <w:gridSpan w:val="2"/>
            <w:vAlign w:val="center"/>
          </w:tcPr>
          <w:p>
            <w:pPr>
              <w:keepNext w:val="0"/>
              <w:keepLines w:val="0"/>
              <w:widowControl/>
              <w:suppressLineNumbers w:val="0"/>
              <w:jc w:val="left"/>
              <w:textAlignment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1、名称：音柱</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2、产品特点：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1．额定功率（100V）：≥5W,10W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2．额定功率（70V）：≥2.5W,5W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3．灵敏度：≥88dB±3dB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4．阻抗：黑:COM白:2KΩ绿:1KΩ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5．频率响应：150Hz-16KHz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6．喇叭单元：≥2.5"×2</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7.外壳材料：铝合金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8.防护等级：IP66</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63</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3</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扩声系统设备</w:t>
            </w:r>
          </w:p>
        </w:tc>
        <w:tc>
          <w:tcPr>
            <w:tcW w:w="5975" w:type="dxa"/>
            <w:gridSpan w:val="2"/>
            <w:vAlign w:val="center"/>
          </w:tcPr>
          <w:p>
            <w:pPr>
              <w:keepNext w:val="0"/>
              <w:keepLines w:val="0"/>
              <w:widowControl/>
              <w:suppressLineNumbers w:val="0"/>
              <w:jc w:val="left"/>
              <w:textAlignment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名称：IP网络功放终端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1.不低于工业级3.4英寸LCD显示屏，可以清晰显示大多数点阵图案和机器工作状态；支持红外功能，搭配红外遥控器可实现点播服务器节目库任意内容、可控制播放/暂停，操作灵活简单。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2.设备采用嵌入式计算机技术和DSP音频处理技术设计。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3.内置1路网络硬件音频解码模块，支持TCP/IP、UDP，实现网络化传输16位CD音质的音频信号。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4.内置高保真专业数字功放，具有120W定压100V功率输出。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5.≥1路线路（AUX）和1路话筒（MIC）输入接口，具有独立的音量和高低音调节电位器控制，支持断网本地寻呼功能。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6.≥1路EMC输入接口，输入紧急报警语音信号为直通，具有最高优先级。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7.≥1路音频信号辅助输出接口，可扩展外接功率放大器，标准的莲花座接口，布线连接非常方便。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8.≥1路三线制音控强切输出接口，无需强切电源。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9.内置智能电源管理，无音乐或呼叫时，自动切断功放电源，有信号时自动打开功放电源，支持IP软件编程预打开功放电源功能。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10.内置3级优先设置：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EMC为最高优先。</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网络报警信号优先MIC,AUX和网络背景音乐信号。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MIC优先AUX和网络背景音乐信号。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AUX和网络背景音乐为同级，无任何优先。</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11.支持缄默强度预置减少功能，支持背景伴奏预置功能；支持状态灯显示，包括电平指示灯、保护指示灯、待机指示灯等。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12.兼容路由器、交换机、网桥网关、Modem、Internet、2G、3G、4G等任意网络结构。</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13.数字化产品，扩容方便，不受地理位置限制，无需增加机房管理设备，采用共网免线路施工的设计理念，安装简便。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14.支持广播系统对终端进行远程固件升级，无需到终端本地升级，减轻维护人员工作强度。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15.具有USB播放功能，接入U盘。搭配红外遥控器可实现播放任意一首歌曲和播放上一曲、下一曲、暂停、停止等功能（或选择面板按键操作）。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16.一路短路输入，可以用作触发预置语音提示（或报警），亦可用于控制门禁联动输入短路信号。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17、自带1路100V定压功率备份输入接口，可灵活组成一主多备、多主一备、多主多备的高可靠公共打铃系统。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★18、内置高性能主/备切换检测模块，断网断电以及本机故障时0.3秒内切换到备份功率输入，满足高可靠公共打铃系统需求。</w:t>
            </w:r>
            <w:r>
              <w:rPr>
                <w:rFonts w:hint="eastAsia" w:ascii="宋体" w:hAnsi="宋体" w:eastAsia="宋体" w:cs="宋体"/>
                <w:i w:val="0"/>
                <w:color w:val="auto"/>
                <w:kern w:val="0"/>
                <w:sz w:val="21"/>
                <w:szCs w:val="21"/>
                <w:highlight w:val="none"/>
                <w:u w:val="none"/>
                <w:lang w:val="en-US" w:eastAsia="zh-CN" w:bidi="ar"/>
              </w:rPr>
              <w:t>提供国家认可的检测机构出具的测试报告</w:t>
            </w:r>
            <w:r>
              <w:rPr>
                <w:rFonts w:hint="eastAsia" w:ascii="宋体" w:hAnsi="宋体" w:cs="宋体"/>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检测机构官网查询截图</w:t>
            </w:r>
            <w:r>
              <w:rPr>
                <w:rFonts w:hint="eastAsia" w:ascii="宋体" w:hAnsi="宋体" w:cs="宋体"/>
                <w:i w:val="0"/>
                <w:color w:val="auto"/>
                <w:kern w:val="0"/>
                <w:sz w:val="21"/>
                <w:szCs w:val="21"/>
                <w:highlight w:val="none"/>
                <w:u w:val="none"/>
                <w:lang w:val="en-US" w:eastAsia="zh-CN" w:bidi="ar"/>
              </w:rPr>
              <w:t>及查询链接</w:t>
            </w:r>
            <w:r>
              <w:rPr>
                <w:rFonts w:hint="eastAsia" w:ascii="宋体" w:hAnsi="宋体" w:eastAsia="宋体" w:cs="宋体"/>
                <w:i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19.网络接口：标准RJ45输入：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20.传输速率：100Mbps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21.支持协议：TCP/IP，UDP</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22.音频格式：MP3</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23.音频模式：16位CD音质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24.采样率：8KHz～48KHz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25.EMC输入灵敏度：775mV  (非平衡）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26.AUX输入灵敏度：350mV  (非平衡）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27.MIC输入灵敏度：5mV   (非平衡）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28.AUX输出幅度：1000mV  2路莲花座输出接口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29.AUX输出阻抗：470Ω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30.高音提升、衰减：±10dB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31.低音提升、衰减：±10dB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32.USB接口：最大支持16G内存U盘接入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33.额定功率：≥120W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34.整机功耗：180W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35.待机功耗：＜10W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36.频率响应：80Hz～16KHz   +1/-3dB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37.谐波失真：≤1%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38.信噪比：＞65dB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39.输出方式：100V定压输出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40.短路输入：干接点输入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41.保护电路：直流输出、过载、过温、短路保护电路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42.工作环境温度：5℃～40℃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43.工作环境湿度：20%～80%相对湿度，无结露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44.输入电源：~220V 50Hz</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4</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按钮</w:t>
            </w:r>
          </w:p>
        </w:tc>
        <w:tc>
          <w:tcPr>
            <w:tcW w:w="5975" w:type="dxa"/>
            <w:gridSpan w:val="2"/>
            <w:vAlign w:val="center"/>
          </w:tcPr>
          <w:p>
            <w:pPr>
              <w:keepNext w:val="0"/>
              <w:keepLines w:val="0"/>
              <w:widowControl/>
              <w:suppressLineNumbers w:val="0"/>
              <w:jc w:val="left"/>
              <w:textAlignment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1、名称：一键报警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1.设备采用嵌入式计算机技术和DSP音频处理技术设计。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2.一键求助，呼叫值班室对讲话筒，实现快速链接，操作简单快捷。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3.一键报警，可选择本终端用于报警任务触发设备。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4.内置高灵敏度麦克风，声音采集区域广、音色还原度高。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5.内置3W全频扬声器，声音清晰、洪亮。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6.支持免提通话和接收广播。</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7.支持本地电子门锁，本地报警指示灯（2选1）。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8.支持≥2路本地短路信号接入，联动1路短路输出，用于监控短路联动。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9.压接式直流供电接口，外接24V电源适配器或集中供电电源。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10.两种安装方式：嵌入安装或明装安装。</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11.自带≥1路线路输出，用于接驳有源音箱，实现广播语音寻呼</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12.支持巡更设备短路信号输入，自定义设定辖区安保巡逻签到时间计划</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13.支持面板按键联动1路短路输出或铃声报警，用于监控短路联动或紧急事件提示</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提供接口截图。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14.支持面板拆卸报警功能，面板拆卸报警的同时联动本地和远程多台设备短路输出，用于接驳警铃或警用报警号角。</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15.支持广播系统对终端进行远程固件升级，无需到终端本地升级，减轻维护人员工作强度。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16.网络接口：标准RJ45输入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17.传输速率：100Mbps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18.支持协议：TCP/IP，UDP</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19.音频格式：MP3</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20.音频模式：16位CD音质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21.采样率：8KHz～48KHz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22.MIC输入灵敏度：10mV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23.频率响应：317Hz~3.4KHz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24.整机功耗：10W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25.谐波失真：≤1%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26.信噪比：＞65dB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27.工作环境温度：-20℃～60℃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28.工作环境湿度：20%～80%相对湿度，无结露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29.输入电源：～190V-240V 50Hz-60Hz（电源适配器）；DC24V/1A</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个</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5</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扩声系统设备</w:t>
            </w:r>
          </w:p>
        </w:tc>
        <w:tc>
          <w:tcPr>
            <w:tcW w:w="5975" w:type="dxa"/>
            <w:gridSpan w:val="2"/>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1、名称：IP网络功放终端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1.不低于工业级3.4英寸LCD显示屏，可以清晰显示大多数点阵图案和机器工作状态；支持红外功能，搭配红外遥控器可实现点播服务器节目库任意内容、可控制播放/暂停，操作灵活简单。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2.设备采用嵌入式计算机技术和DSP音频处理技术设计。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3.内置1路网络硬件音频解码模块，支持TCP/IP、UDP，实现网络化传输16位CD音质的音频信号。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4.内置高保真专业数字功放，具有240W定压100V功率输出。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5.≥1路线路（AUX）和1路话筒（MIC）输入接口，具有独立的音量和高低音调节电位器控制，支持断网本地寻呼功能。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6.≥1路EMC输入接口，输入紧急报警语音信号为直通，具有最高优先级。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7.≥1路音频信号辅助输出接口，可扩展外接功率放大器，标准的莲花座接口，布线连接非常方便。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8.≥1路三线制音控强切输出接口，无需强切电源。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9.内置智能电源管理，无音乐或呼叫时，自动切断功放电源，有信号时自动打开功放电源，支持IP软件编程预打开功放电源功能。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10.内置3级优先设置：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EMC为最高优先。</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网络报警信号优先MIC,AUX和网络背景音乐信号。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MIC优先AUX和网络背景音乐信号。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AUX和网络背景音乐为同级，无任何优先。</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 支持缄默强度预置减少功能，支持背景伴奏预置功能；支持状态灯显示，包括电平指示灯、保护指示灯、待机指示灯等。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12.兼容路由器、交换机、网桥网关、Modem、Internet、2G、3G、4G等任意网络结构。</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13.数字化产品，扩容方便，不受地理位置限制，无需增加机房管理设备，采用共网免线路施工的设计理念，安装简便。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14.支持广播系统对终端进行远程固件升级，无需到终端本地升级，减轻维护人员工作强度。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15.具有USB播放功能，接入U盘。搭配红外遥控器可实现播放任意一首歌曲和播放上一曲、下一曲、暂停、停止等功能（或选择面板按键操作）。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16.一路短路输入，可以用作触发预置语音提示（或报警），亦可用于控制门禁联动输入短路信号。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17、自带1路100V定压功率备份输入接口，可灵活组成一主多备、多主一备、多主多备的高可靠公共打铃系统。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18、内置高性能主/备切换检测模块，断网断电以及本机故障时0.3秒内切换到备份功率输入，满足高可靠公共打铃系统需求。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19.网络接口：标准RJ45输入：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20.传输速率：100Mbps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21.支持协议：TCP/IP，UDP</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22.音频格式：MP3</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23.音频模式：16位CD音质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24.采样率：8KHz～48KHz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25.EMC输入灵敏度：775mV  (非平衡）26.AUX输入灵敏度：350mV  (非平衡）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26.MIC输入灵敏度：5mV   (非平衡）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27.AUX输出幅度：1000mV  2路莲花座输出接口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28.AUX输出阻抗：470Ω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29.高音提升、衰减：±10dB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30.低音提升、衰减：±10dB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31.USB接口：最大支持16G内存U盘接入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32.额定功率：≥240W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33.整机功耗：370W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34.待机功耗：＜10W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35.频率响应：80Hz～16KHz   +1/-3dB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36.谐波失真：≤1%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37.信噪比：＞65dB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38.输出方式：100V定压输出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39.短路输入：干接点输入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40.保护电路：直流输出、过载、过温、短路保护电路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41.工作环境温度：5℃～40℃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42.工作环境湿度：20%～80%相对湿度，无结露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43.输入电源：~220V 50Hz</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5</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6</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扩声系统设备</w:t>
            </w:r>
          </w:p>
        </w:tc>
        <w:tc>
          <w:tcPr>
            <w:tcW w:w="5975" w:type="dxa"/>
            <w:gridSpan w:val="2"/>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1、名称：音柱</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2、产品特点：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1.额定功率（100V）：≥22.5W,120W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2.额定功率（70V）：≥11.2W,22.5W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3.灵敏度：≥91dB±3dB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4.阻抗：黑:COM白:440Ω绿:220Ω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5.频率响应：50Hz-18KHz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6.喇叭单元：4"×4,2.5"×1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7.防护等级：IP66</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10.材料：铝合金</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18</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top"/>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7</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扩声系统设备</w:t>
            </w:r>
          </w:p>
        </w:tc>
        <w:tc>
          <w:tcPr>
            <w:tcW w:w="5975" w:type="dxa"/>
            <w:gridSpan w:val="2"/>
            <w:vAlign w:val="center"/>
          </w:tcPr>
          <w:p>
            <w:pPr>
              <w:keepNext w:val="0"/>
              <w:keepLines w:val="0"/>
              <w:widowControl/>
              <w:numPr>
                <w:ilvl w:val="0"/>
                <w:numId w:val="4"/>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名称：IP终端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1.不低于工业级3.4英寸LCD显示屏，可以清晰显示大多数点阵图案和机器工作状态；支持红外功能，搭配红外遥控器可实现点播服务器节目库任意内容、可控制播放/暂停，操作灵活简单。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2.设备采用嵌入式计算机技术和DSP音频处理技术设计。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3.内置1路网络硬件音频解码模块，支持TCP/IP、UDP，实现网络化传输16位CD音质的音频信号。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4.1路线路（AUX）和1路话筒（MIC）输入接口，具有独立的音量和高低音调节电位器控制，支持断网本地寻呼功能。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5.1路EMC输入接口，输入紧急报警语音信号为直通，具有最高优先级。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6.1路音频信号辅助输出接口，可扩展外接功率放大器，标准的莲花座接口，布线连接非常方便。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7.2路三线制音控强切输出接口，无需强切电源。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★8.支持≥2路电源输出插座，内置智能电源管理，无音乐或呼叫时，自动切断输出座电源，有信号时自动打开输出座电源。提供设备有2路电源输出电源插座证明图。</w:t>
            </w:r>
          </w:p>
          <w:p>
            <w:pPr>
              <w:keepNext w:val="0"/>
              <w:keepLines w:val="0"/>
              <w:widowControl/>
              <w:numPr>
                <w:ilvl w:val="0"/>
                <w:numId w:val="0"/>
              </w:numPr>
              <w:suppressLineNumbers w:val="0"/>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9.内置3级优先设置：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EMC为最高优先。                                                                                                                                                                                                       网络报警信号优先MIC,AUX和网络背景音乐信号。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MIC优先AUX和网络背景音乐信号。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AUX和网络背景音乐为同级，无任何优先。</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10.支持缄默强度预置减少功能，支持背景伴奏预置功能；支持状态灯显示，包括电平指示灯、保护指示灯、待机指示灯等；支持授权操作管理功能，由服务器统一配置管理用户及密码。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11.兼容路由器、交换机、网桥网关、Modem、Internet、2G、3G、4G等任意网络结构。</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12.数字化产品，扩容方便，不受地理位置限制，无需增加机房管理设备，采用共网免线路施工的设计理念，安装简便。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13.支持广播系统对终端进行远程固件升级，无需到终端本地升级，减轻维护人员工作强度。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14.具有USB播放功能，接入U盘。搭配红外遥控器可实现播放任意一首歌曲和播放上一曲、下一曲、暂停、停止等功能（或选择面板按键操作）。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15.网络接口：标准RJ45输入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16.传输速率：100Mbps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17.支持协议：TCP/IP，UDP</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18.音频格式：MP3</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19.音频模式：16位CD音质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20.采样率：8KHz～48KHz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21.EMC输入灵敏度：775mV  (非平衡）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22.AUX输入灵敏度：350mV  (非平衡）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23.MIC输入灵敏度：5mV   (非平衡）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24.AUX输出幅度：1000mV  2路莲花座输出接口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25.AUX输出阻抗：470Ω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26.高音提升、衰减：±10dB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27.低音提升、衰减：±10dB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28.USB接口：最大支持16G内存U盘接入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29.频率响应：80Hz～16KHz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30.整机功耗：≤2000W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31.谐波失真：≤0.3%</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32.信噪比：＞65dB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33.工作环境温度：5℃～40℃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34.工作环境湿度：20%～80%相对湿度，无结露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35.输入电源：~220V 50Hz</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8</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扩声系统设备</w:t>
            </w:r>
          </w:p>
        </w:tc>
        <w:tc>
          <w:tcPr>
            <w:tcW w:w="5975" w:type="dxa"/>
            <w:gridSpan w:val="2"/>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名称：前置放大器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 标准机柜式设计（2U），人性化的设计，考究的工艺，尽显高档气质；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2.具有≥5路话筒（MIC）输入，3路标准信号线路（AUX）输入，2路紧急线路（EMC）输入；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 MIC 5具有最高优先、强行切入优先功能；MIC 5和EMC最高优先权限功能可通过拔动开关交替选择，客户可根据使用情况选择优先；</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4.紧急输入线路具有二级优先，强行切入优先功能；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5.MIC1、2、3、4、5 和2路紧急输入（EMC）通道均附设有线路辅助输入接口功能；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6.MIC1、2、3、4和AUX1、2、3可交叉混合输出；其中MIC1灵敏度可根据项目现场应用通过电位器灵活调节。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 话筒（MIC）输入通道和线路（AUX）输入通道均可独立调校音量，并设有总音量控制旋钮；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 设有高音（TREBLE）和低音（BASS）独立调节；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9.具有默音深度调节旋钮和EMC输入增益调节旋钮。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10.话筒1-5的输入灵敏度：话筒:5mV/600Ω非平衡；线路RCA:775mV /10KΩ非平衡.辅助1-3输入：AUX 11.2.3: 350mV/10KΩ非平衡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12.EMC1-2输入：RAC:非平衡 200mV～1000mV/10KΩ；MIC：非平衡 5mV～25mV/600Ω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13.频率响应：20Hz-20KHz(±3dB)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14.信噪比：MIC 输入:50dB； AUX输入:80dB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15.音调调节：低音:±10dB at 100Hz；高音:±10dB at 10KHz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16.电源：～220V/50Hz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17.电源功耗：20W</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9</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扩声系统设备</w:t>
            </w:r>
          </w:p>
        </w:tc>
        <w:tc>
          <w:tcPr>
            <w:tcW w:w="5975"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1、名称：纯后级功放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1.全新第三代D类数字功放技术，高效功率放大电路设计，轻重量和长久的系统使用寿命,高保真的音质，完美还原的音源品质。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2.具有良好的管道式散热结构，内置自动温度控制风扇冷却系统，有效排除热空气，降低机器温度，保护设备长时间正常运行。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3.1通道LINE不平衡TRS/XLR高品质多功能输入接口，1通道LINE平衡XLR级联输出。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4.内置PFC电路和软开关电源技术，开关机自动软启动控制，达到≥92%的超高系统效率。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5.新型功放电路，零交越失真，保证信号在放大过程中的质量无损。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6.内置智能削顶失真和过流压限系统，能有效保护扬声器单元。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7.具有过温、过压、欠压、过流、短路多重智能检测保护系统。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8.2种定阻和定压输出模式:4-16Ω/100V可选择。</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9.额定输出功率：≥1000W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10.扬声器输出：4-16Ω,100V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11.输入灵敏度 &amp; 输入阻抗：775mV/10KΩ, 平衡 XLR/TRS接口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12.输出灵敏度 &amp; 输出源阻抗：775mV/470Ω, 平衡 XLR 接口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13.频率响应：80Hz~16KHz(+1dB, -3dB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14.信噪比：&gt;90dB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15.总谐波失真：1KHz时0.5%, 1/3 输出功率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16.散热：由前往后强制风冷，散热器温度45度时启动内置风扇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17.保护：过热, 过载&amp;短路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18.电源：~220V/50Hz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19.电源功耗 ：1300W</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5</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10</w:t>
            </w:r>
          </w:p>
        </w:tc>
        <w:tc>
          <w:tcPr>
            <w:tcW w:w="1142" w:type="dxa"/>
            <w:gridSpan w:val="2"/>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交换机</w:t>
            </w:r>
          </w:p>
        </w:tc>
        <w:tc>
          <w:tcPr>
            <w:tcW w:w="5971"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1、名称：16口千兆交换机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2、以太网交换机传输速度: 10Mbps 100Mbps 1000Mbps ；</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11</w:t>
            </w:r>
          </w:p>
        </w:tc>
        <w:tc>
          <w:tcPr>
            <w:tcW w:w="1142" w:type="dxa"/>
            <w:gridSpan w:val="2"/>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跳线</w:t>
            </w:r>
          </w:p>
        </w:tc>
        <w:tc>
          <w:tcPr>
            <w:tcW w:w="5971"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1、名称：音频连接线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2、1.8米音频连接线：莲花（RCA）*2,线径：0.3mm</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条</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5</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12</w:t>
            </w:r>
          </w:p>
        </w:tc>
        <w:tc>
          <w:tcPr>
            <w:tcW w:w="1142" w:type="dxa"/>
            <w:gridSpan w:val="2"/>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跳线</w:t>
            </w:r>
          </w:p>
        </w:tc>
        <w:tc>
          <w:tcPr>
            <w:tcW w:w="5971"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1、名称：音频连接线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2、1.8米音频连接线：莲花（RCA）*1，6.35话筒插头*1，线径：0.3mm</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条</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13</w:t>
            </w:r>
          </w:p>
        </w:tc>
        <w:tc>
          <w:tcPr>
            <w:tcW w:w="1142" w:type="dxa"/>
            <w:gridSpan w:val="2"/>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跳线</w:t>
            </w:r>
          </w:p>
        </w:tc>
        <w:tc>
          <w:tcPr>
            <w:tcW w:w="5971"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1、名称：音频连接线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2、1.8米音频连接线：3.5（耳机插头）*1,双莲花（RCA）*1,线径：0.3mm</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条</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14</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双绞线缆</w:t>
            </w:r>
          </w:p>
        </w:tc>
        <w:tc>
          <w:tcPr>
            <w:tcW w:w="5975"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1、名称：管内穿放非屏蔽6类双绞线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2、规格、参数：1）护套材质：PVC、绝缘层材料：PE、含十字骨架、线规：24AWG；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2）导体需采用99.99%以上纯铜，导体直径不小于0.515（±0.005） mm；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3）符合YD/T 1019、ISO/IEC 11801、ANSI/TIA-568-C.2标准；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4）工作电容最大值：≤5.6nF/100m；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5）单根导体直流电阻：≤9.5Ω/100m at 20℃；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6）线对直流电阻不平衡性：≤2.5%；</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m</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1917</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15</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双绞线缆</w:t>
            </w:r>
          </w:p>
        </w:tc>
        <w:tc>
          <w:tcPr>
            <w:tcW w:w="5975"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1、名称：线槽(桥架)内布放非屏蔽6类双绞线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2、规格、参数：1）护套材质：PVC、绝缘层材料：PE、含十字骨架、线规：24AWG；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2）导体需采用99.99%以上纯铜，导体直径不小于0.515（±0.005） mm；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3）符合YD/T 1019、ISO/IEC 11801、ANSI/TIA-568-C.2标准；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4）工作电容最大值：≤5.6nF/100m；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5）单根导体直流电阻：≤9.5Ω/100m at 20℃；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6）线对直流电阻不平衡性：≤2.5%；</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m</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4473</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16</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配线</w:t>
            </w:r>
          </w:p>
        </w:tc>
        <w:tc>
          <w:tcPr>
            <w:tcW w:w="5975"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1、名称：管内穿放广播支音箱线（室内）</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2、RVVSP2*1.5无氧铜</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m</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930</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17</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配线</w:t>
            </w:r>
          </w:p>
        </w:tc>
        <w:tc>
          <w:tcPr>
            <w:tcW w:w="5975"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1、名称：线槽(桥架)内布放广播支音箱线（室内）</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2、RVVSP2*1.5无氧铜</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m</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2170</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18</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配线</w:t>
            </w:r>
          </w:p>
        </w:tc>
        <w:tc>
          <w:tcPr>
            <w:tcW w:w="5975"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1、名称：广播主音箱线（室外）</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2、RVVSP2*2.5无氧铜、室外防水</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m</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2600</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19</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监控摄像设备</w:t>
            </w:r>
          </w:p>
        </w:tc>
        <w:tc>
          <w:tcPr>
            <w:tcW w:w="5975" w:type="dxa"/>
            <w:gridSpan w:val="2"/>
            <w:vAlign w:val="center"/>
          </w:tcPr>
          <w:p>
            <w:pPr>
              <w:keepNext w:val="0"/>
              <w:keepLines w:val="0"/>
              <w:widowControl/>
              <w:suppressLineNumbers w:val="0"/>
              <w:jc w:val="left"/>
              <w:textAlignment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1、名称：音柱立杆（含地笼）</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2、高度：4米；材质：镀锌钢管、静电喷塑烤漆；地笼基础：35cm*35cm*50cm;混凝土C25浇筑；地笼:螺栓M10；</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8</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5975"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7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62" w:type="dxa"/>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13" w:type="dxa"/>
            <w:vAlign w:val="top"/>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p>
        </w:tc>
      </w:tr>
    </w:tbl>
    <w:p>
      <w:pP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2.8  明厨亮灶管理系统</w:t>
      </w:r>
    </w:p>
    <w:tbl>
      <w:tblPr>
        <w:tblStyle w:val="99"/>
        <w:tblW w:w="105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1138"/>
        <w:gridCol w:w="5975"/>
        <w:gridCol w:w="775"/>
        <w:gridCol w:w="662"/>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序号</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项目名称</w:t>
            </w:r>
          </w:p>
        </w:tc>
        <w:tc>
          <w:tcPr>
            <w:tcW w:w="59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技术参数</w:t>
            </w:r>
          </w:p>
        </w:tc>
        <w:tc>
          <w:tcPr>
            <w:tcW w:w="7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单位</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数量</w:t>
            </w:r>
          </w:p>
        </w:tc>
        <w:tc>
          <w:tcPr>
            <w:tcW w:w="1013"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抗油污摄像机</w:t>
            </w:r>
          </w:p>
        </w:tc>
        <w:tc>
          <w:tcPr>
            <w:tcW w:w="5975" w:type="dxa"/>
            <w:vAlign w:val="top"/>
          </w:tcPr>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1.具有400万像素 CMOS传感器。</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2.最大分辨率2560x1440。</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3.筒机镜头护罩无需任何工具即可实现快速拆卸及安装，方便镜头护罩的清洗、更换。</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4.存储接口：具备USB接口或者存储卡接口连接外部存储介质；</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5.具有时钟同步功能；</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6.具有视音频参数调节功能；</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7.需具大于110dB宽动态；</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8.具有断线自动重连、在线升级、配置保存获取、恢复出厂设置和重启、字符叠加、双（多）码流、制动注册、本机存储、web服务、报警、日志记录、余韵、视音频编码码流的传输、存储封装格式等功能；</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9.多路访问功能：支持主码流同时输出20路2560x1440、25帧/s、2MBPS图像以供客户端浏览；</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10.具有抗丢包（10%）处理能力；</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11.网络协议：具有TCP/IP、IPv6、HTTP、HTTPS、FTP、DNS、DDNS、RTSP、PPPoE、SMTP、NTP、SNMP、组播设置选项；</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12.抓拍图片功能：具有手动抓拍、定时抓拍、报警抓拍，并将抓拍图片FTP上传功能设置选项，抓图的时间间隔和报警抓拍图片数量可设置；</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13.感兴趣区域增强编码功能：支持感兴趣区域增强编码功能，能通过菜单设置功能开启/关闭，并具有6个图像质量等级设置选项；</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14.非法访问报警功能：当使用某账户登录，密码输入错误次数超过所设定的次数时，会锁定该账户并触发报警，且在一定时间内使用该账户无法登录设备；</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15.密码复杂度提示功能：支持设置账户登录密码时，可自动提示密码复杂度为低、中、高。</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16.视频编码格式：H.265、H.264（baseline/main/high profile）、MJPEG；</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17.音频编码格式：G.711a、G.711u、MP2L2、G726、G.722.1、AAC、PCM；</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18.录像配置功能：具有定时、移动侦测、动测或报警、动测和报警、事件和报警6中录像触发方式配置设置选项。</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19.智能分析功能：具有以下智能分析功能设置选项：音频异常、虚焦侦测、场景变更、区域入侵、越界、进入区域、离开区域、徘徊、人员聚集、快速移动、停车、物品遗留、物品拿取。</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20.支持人脸抓拍功能，可对经过设定区域的行人进行人脸检测，当检测到人脸后，可抓拍人脸图片，抓拍图片数量可设；</w:t>
            </w:r>
          </w:p>
          <w:p>
            <w:pPr>
              <w:keepNext w:val="0"/>
              <w:keepLines w:val="0"/>
              <w:widowControl/>
              <w:suppressLineNumbers w:val="0"/>
              <w:jc w:val="left"/>
              <w:textAlignment w:val="top"/>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21.具有人脸跟踪设置选项；</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22</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HDMI高清线</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HDMI高清线20米</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条</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3</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NVR32路</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主处理器：工业级微控制器；</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操作系统：嵌入式Linux操作系统；</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操作界面：WEB方式，本地GUI操作；</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接入路数：32路；</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硬盘接口：16个SATA，单盘最大16T。硬盘的最大容量随环境温度而变化。；</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分辨率：32MP;24MP;16MP; 12MP; 8MP; 6MP; 5MP; 4MP; 3MP; 1080p; 960p; 720p; D1; CIF；</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解码能力：不开智能：2路32M@20fps; 2路24M@20fps; 4路 16 MP@30fps; 5路 12 MP@30fps; 8路 8 MP@30fps; 12路 5 MP@30fps; 16路 4 MP@30fps; 32路 1080p@30fps开智能：1路 32 MP@20fps; 1路 24 MP@20fps; 2路 16 MP@30fps; 4路 12 MP@30fps; 4路 8 MP@30fps; 8路 5 MP@30fps; 12路 4 MP@30fps; 24路 1080p@30fps；</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多路回放：最大支持16路回放；</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报警输入：16路；</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报警输出：8路，其中1路12V1A ctrl输出；</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画面分割：主屏: 1/4/8/9/16/25/36辅屏: 1/4/8/9/16；</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前智能分析：支持前智能人脸检测、人像检测、人脸识别、周界防范、视频结构化（人、车、非机动车）、SMD、立体行为分析、人群分布、人数统计、车牌识别、热度图、车辆密度；</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后智能分析：支持后智能人脸检测、人脸识别、周界防范、SMD；</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音频输入：1路，RCA接口；</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音频输出：2路，RCA接口；</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HDMI接口：2个；</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VGA接口：2个；</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人脸检测前智能性能（路数）：16路；</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人脸检测后智能性能（1080P）(路数)：2路，单路同时最多检测12张人脸；</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人脸识别前智能性能（路数）：16路；</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人脸识别后智能性能（1080P）(路数)：1、前端人脸检测+后端人脸比对支持16路，图片流人脸16张/秒2、后端人脸检测+后端人脸比对支持2路，视频流人脸12张/秒；</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结构化前智能性能（路数）：8路</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4</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储存硬盘</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10T,7200RPM,3.5寸,SATA</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个</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4</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5</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24口POE交换机</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1.固化10/100/1000M以太网电口≥24，100/1000M SFP千兆光接口≥4个，10/100/1000M复用电口≥2个；</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2.交换容量≥330Gbps，包转发率≥40Mpps；</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3.要求所投产品支持POE和POE+远程供电，POE供电功率为370W；</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bl>
    <w:p>
      <w:pP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w:t>
      </w:r>
      <w:r>
        <w:rPr>
          <w:rFonts w:hint="eastAsia" w:ascii="宋体" w:hAnsi="宋体" w:cs="宋体"/>
          <w:b/>
          <w:bCs/>
          <w:color w:val="auto"/>
          <w:sz w:val="21"/>
          <w:szCs w:val="21"/>
          <w:highlight w:val="none"/>
          <w:lang w:val="en-US" w:eastAsia="zh-CN"/>
        </w:rPr>
        <w:t>9</w:t>
      </w:r>
      <w:r>
        <w:rPr>
          <w:rFonts w:hint="eastAsia" w:ascii="宋体" w:hAnsi="宋体" w:eastAsia="宋体" w:cs="宋体"/>
          <w:b/>
          <w:bCs/>
          <w:color w:val="auto"/>
          <w:sz w:val="21"/>
          <w:szCs w:val="21"/>
          <w:highlight w:val="none"/>
          <w:lang w:val="en-US" w:eastAsia="zh-CN"/>
        </w:rPr>
        <w:t xml:space="preserve">  报告厅灯光、音响</w:t>
      </w:r>
    </w:p>
    <w:tbl>
      <w:tblPr>
        <w:tblStyle w:val="99"/>
        <w:tblW w:w="105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1138"/>
        <w:gridCol w:w="5975"/>
        <w:gridCol w:w="775"/>
        <w:gridCol w:w="662"/>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序号</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项目名称</w:t>
            </w:r>
          </w:p>
        </w:tc>
        <w:tc>
          <w:tcPr>
            <w:tcW w:w="59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技术参数</w:t>
            </w:r>
          </w:p>
        </w:tc>
        <w:tc>
          <w:tcPr>
            <w:tcW w:w="7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单位</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数量</w:t>
            </w:r>
          </w:p>
        </w:tc>
        <w:tc>
          <w:tcPr>
            <w:tcW w:w="1013"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LED成像面光灯</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1.光学：高精度玻璃光学透镜（4层镀膜），玻璃螺纹镜。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2.光学角度：12-36度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3.变焦系统：电动放大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4.光源: COB 200W LED</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5.调光：0-100%线性调光。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6.控制协议：DMX512，RDM/通过DMX数据线升级。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7.显示界面：LCD液晶显示+四按键 可支持中英文切换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8.智能散热：采用铜管散热器风向引流与温度智能监控技术，根据灯具不同位置的温度高低，自动驱动灯具里面不同部位的冷却风扇，对灯具部件进行有效的冷却。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9.输入电压：AC 110-240V 50/60Hz，200W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10.光源：COB 200W LED 2700K-7000K</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11.平均寿命：50000H</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12.色温：2700K-7000K可调  显值Ra≥95；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13.光学角度：12-36度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14.显示界面：LCD液晶显示+四按键 /可支持中英文切换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15.信号输入/输出：3P-XLR输入/输出，DMX512信号。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16.通道模式：3/6通道</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17.灯具材料：压铸铝</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18.工作环境：-20℃~45℃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19.防护等级：IP20</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套</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13</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固定染色灯</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1.频闪：独立电子频闪1-25Hz。</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2.混色：RGBW(红绿蓝白)线性混色，1670万种颜色（0-100%饱和度可调），内置宏功能。</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3.电子调光：0-100%独立电子线性调光，摄像视频真实无闪烁，主从自走自动同步功能，控台正常控制自走永久同步。</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4.液晶显示菜单：调用各种场景，内置程序可以直接调用执行。</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5.灯具连接：三芯信号线IN/OUT电源线IN/OUT。</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6.特点：铸铝外壳，光效高，混光均匀，性能稳定，配一进一出手拉手1.3米长电源、信号线。</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7.声控灵敏度：65-130dB。</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8.过温保护功能：内置NTC温度控测功能，当LED工作过热时，智能降低LED的输出功率。</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9.输入电压：AC 110-240V 50/60Hz，165W</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10.光源：54×3W LED(R14G14B14W12)</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11.平均寿命：50000H</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12.色温：3200K～7200K线性调节</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13.透镜角度：25°(15°、45°可选)</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14.控制方式：多种声控、DMX512、内置程序自走、主从联机模式，支持RDM协议及程序在线更新功能</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15.通道：4/8通道</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16.灯具材料：铸铝外壳</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17.防护等级：防火V-1，防护IP20</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套</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40</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3</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影视灯</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1.颜色：冷暖白色温可调。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2.调光：0-100%无抖动平滑线性调光。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3.过温保护功能：内置NTC温度控测功能，当LED工作过热时，智能降低LED的输出功率。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4.输入电压:AC 110-240V 50/60Hz，120W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5.光源:暖白300颗0.2W 2835 LED+冷白330颗0.2W 2835 LED</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6.平均寿命:30000H</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7.色温:3000-6500K可调，CRI≥97，TLCI≥95；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8.通道:2/5通道</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9.控制模式:DMX信号控制或手动按键控制，支持RDM协议及程序在线更新功能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10.防护等级:IP20</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套</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9</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4</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LED三基色会议平板灯</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1.颜色：冷暖白色温可调。</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2.调光：0-100%无抖动平滑线性调光。</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3.过温保护功能：内置NTC温度控测功能，当LED工作过热时，智能降低LED的输出功率。</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4.输入电压:AC 110-240V 50/60Hz，120W</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5.光源:暖白300颗0.2W 2835 LED+冷白330颗0.2W 2835 LED</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6.平均寿命:30000H</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7.色温:3000-6500K可调，CRI≥97，TLCI≥95；</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8.通道:2/5通道</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9.控制模式:DMX信号控制或手动按键控制，支持RDM协议及程序在线更新功能</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10.防护等级:IP20</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套</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18</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5</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摇头灯</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1.电源:AC110-240V,50/60Hz</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2.光源：380W 凤凰灯泡</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3.调光:0-100%线性调光</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4.频闪: 双片式频闪(0.5-9次/秒)</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5.雾化:0-100%线性雾化</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6.调焦:电子调焦</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光学镜头:彩色镀膜透镜</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棱镜盘：8菱镜，8+16+24蜂窝菱镜，双菱镜可叠加</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7.颜色：1个固定颜色盘，13个颜色+白光，彩虹效果速度可调，半步颜色效果</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8.固图：1个固定图案盘，13个图案+白光+3个玻璃图案，可双向变速旋转</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9.水平扫描:540度(160bit精度扫描)电子纠错.</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垂直扫描:250度(160bit精度扫描)电子纠错.</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10.通道模式:18个国际标准DMX512通道,主从模式.</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11.显示：彩色触摸显示屏</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12.整流器:电子整流器使产品重量更轻，亮度更强，灯泡更稳定，更环保，节能。</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套</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6</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jc w:val="center"/>
              <w:rPr>
                <w:rFonts w:hint="eastAsia" w:ascii="宋体" w:hAnsi="宋体" w:eastAsia="宋体" w:cs="宋体"/>
                <w:b w:val="0"/>
                <w:bCs w:val="0"/>
                <w:color w:val="auto"/>
                <w:sz w:val="21"/>
                <w:szCs w:val="21"/>
                <w:highlight w:val="none"/>
                <w:vertAlign w:val="baseline"/>
                <w:lang w:val="en-US" w:eastAsia="zh-CN"/>
              </w:rPr>
            </w:pPr>
          </w:p>
        </w:tc>
        <w:tc>
          <w:tcPr>
            <w:tcW w:w="1138" w:type="dxa"/>
            <w:vAlign w:val="center"/>
          </w:tcPr>
          <w:p>
            <w:pPr>
              <w:jc w:val="center"/>
              <w:rPr>
                <w:rFonts w:hint="eastAsia" w:ascii="宋体" w:hAnsi="宋体" w:eastAsia="宋体" w:cs="宋体"/>
                <w:b w:val="0"/>
                <w:bCs w:val="0"/>
                <w:color w:val="auto"/>
                <w:sz w:val="21"/>
                <w:szCs w:val="21"/>
                <w:highlight w:val="none"/>
                <w:vertAlign w:val="baseline"/>
                <w:lang w:val="en-US" w:eastAsia="zh-CN"/>
              </w:rPr>
            </w:pPr>
          </w:p>
        </w:tc>
        <w:tc>
          <w:tcPr>
            <w:tcW w:w="59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控制设备</w:t>
            </w:r>
          </w:p>
        </w:tc>
        <w:tc>
          <w:tcPr>
            <w:tcW w:w="775" w:type="dxa"/>
            <w:vAlign w:val="center"/>
          </w:tcPr>
          <w:p>
            <w:pPr>
              <w:jc w:val="center"/>
              <w:rPr>
                <w:rFonts w:hint="eastAsia" w:ascii="宋体" w:hAnsi="宋体" w:eastAsia="宋体" w:cs="宋体"/>
                <w:b w:val="0"/>
                <w:bCs w:val="0"/>
                <w:color w:val="auto"/>
                <w:sz w:val="21"/>
                <w:szCs w:val="21"/>
                <w:highlight w:val="none"/>
                <w:vertAlign w:val="baseline"/>
                <w:lang w:val="en-US" w:eastAsia="zh-CN"/>
              </w:rPr>
            </w:pPr>
          </w:p>
        </w:tc>
        <w:tc>
          <w:tcPr>
            <w:tcW w:w="662" w:type="dxa"/>
            <w:vAlign w:val="center"/>
          </w:tcPr>
          <w:p>
            <w:pPr>
              <w:jc w:val="center"/>
              <w:rPr>
                <w:rFonts w:hint="eastAsia" w:ascii="宋体" w:hAnsi="宋体" w:eastAsia="宋体" w:cs="宋体"/>
                <w:b w:val="0"/>
                <w:bCs w:val="0"/>
                <w:color w:val="auto"/>
                <w:sz w:val="21"/>
                <w:szCs w:val="21"/>
                <w:highlight w:val="none"/>
                <w:vertAlign w:val="baseline"/>
                <w:lang w:val="en-US" w:eastAsia="zh-CN"/>
              </w:rPr>
            </w:pP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控台</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1.DMX512 通道数：1024</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2.电脑灯的配接数量：96</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3.电脑灯重新配接地址码：支持</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4.灯具水平垂直交换：支持</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5.灯具通道反相输出：支持</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6.灯具通道滑步模式切换：支持</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7.每台电脑灯最多可用控制通道：40主通道+40微调通道</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8.灯库：支持珍珠R20灯库</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9.可保存的场景数量：60</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10.可同时运行的场景数量：10</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11.多步场景的总步数：600</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12.场景的时间控制：淡入、淡出、LTP滑步</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13.每个场景可存储图形数量：5</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14.推杆启动场景并进行调光：支持</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15.互锁场景：支持</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16.点控场景：支持</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17.图形生成器：可生成Dimmer, P/T, RGB, CMY, Color, Gobo, Iris, Focus图形</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18.可同时运行图形数量：10</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19.主控推杆：全局、重演、灯具</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20.立即黑场：支持</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21.转盘调整通道数值：支持</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22.推杆调整通道数值：支持</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23.推杆调光：支持</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24.U盘读取：支持FAT32格式</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25.Art-net协议与RDM协议：支持</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信号放大器</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1.DMX512公母接口输入。                                                                                                                                                                                                              </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2.输入输出光电隔离 。                                                                                                                                                                                                                </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3.8路独立放大驱动输出。                                                                                                                                                                                                       </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4.信号放大整形功能，延长信号传输距离。                                                                                                                                                                                                        </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5.增强数据总线接入设备数量的能力。保护灯光控制台DMX512输出接口，故障现场隔离，提高数字式灯光控制系统的安全可靠性。                                                                                                                 </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6.独立的LED信号指示。                                                                                                                                                                                                          </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7.输入电压：AC 110-240V 50/60Hz</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8.输出：DMX512/1990信号</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3</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3</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直通箱</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1.过载与短路双重保护高分断空气开关。</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2.A.B.C三相工作指示灯。</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3.设两脚和三脚万能用插座方便使用，进口接线端输入，单32A胶木插输出。</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4.供电：三相五线制AC380V±10％，频率50Hz±5％</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5.额定功率：12路×4kW，可适用于任何负载。</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4</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特效设备</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1.烟雾输出量：3200cuft/min</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2.预热时间：0Min</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3.输入电压：AC 220-240V 50Hz，750W</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4.保险丝：10A/250V</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5.油桶容积 ：2L</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6.耗油量：24h/L</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7.控制方式：DMX512控制、遥控控制</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8.通道：2CH</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通道一：出烟开和关</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通道二：调节风力大小</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9.防护等级：IP20</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jc w:val="center"/>
              <w:rPr>
                <w:rFonts w:hint="eastAsia" w:ascii="宋体" w:hAnsi="宋体" w:eastAsia="宋体" w:cs="宋体"/>
                <w:b w:val="0"/>
                <w:bCs w:val="0"/>
                <w:color w:val="auto"/>
                <w:sz w:val="21"/>
                <w:szCs w:val="21"/>
                <w:highlight w:val="none"/>
                <w:vertAlign w:val="baseline"/>
                <w:lang w:val="en-US" w:eastAsia="zh-CN"/>
              </w:rPr>
            </w:pPr>
          </w:p>
        </w:tc>
        <w:tc>
          <w:tcPr>
            <w:tcW w:w="1138" w:type="dxa"/>
            <w:vAlign w:val="center"/>
          </w:tcPr>
          <w:p>
            <w:pPr>
              <w:jc w:val="center"/>
              <w:rPr>
                <w:rFonts w:hint="eastAsia" w:ascii="宋体" w:hAnsi="宋体" w:eastAsia="宋体" w:cs="宋体"/>
                <w:b w:val="0"/>
                <w:bCs w:val="0"/>
                <w:color w:val="auto"/>
                <w:sz w:val="21"/>
                <w:szCs w:val="21"/>
                <w:highlight w:val="none"/>
                <w:vertAlign w:val="baseline"/>
                <w:lang w:val="en-US" w:eastAsia="zh-CN"/>
              </w:rPr>
            </w:pPr>
          </w:p>
        </w:tc>
        <w:tc>
          <w:tcPr>
            <w:tcW w:w="59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舞台机械</w:t>
            </w:r>
          </w:p>
        </w:tc>
        <w:tc>
          <w:tcPr>
            <w:tcW w:w="775" w:type="dxa"/>
            <w:vAlign w:val="center"/>
          </w:tcPr>
          <w:p>
            <w:pPr>
              <w:jc w:val="center"/>
              <w:rPr>
                <w:rFonts w:hint="eastAsia" w:ascii="宋体" w:hAnsi="宋体" w:eastAsia="宋体" w:cs="宋体"/>
                <w:b w:val="0"/>
                <w:bCs w:val="0"/>
                <w:color w:val="auto"/>
                <w:sz w:val="21"/>
                <w:szCs w:val="21"/>
                <w:highlight w:val="none"/>
                <w:vertAlign w:val="baseline"/>
                <w:lang w:val="en-US" w:eastAsia="zh-CN"/>
              </w:rPr>
            </w:pPr>
          </w:p>
        </w:tc>
        <w:tc>
          <w:tcPr>
            <w:tcW w:w="662" w:type="dxa"/>
            <w:vAlign w:val="center"/>
          </w:tcPr>
          <w:p>
            <w:pPr>
              <w:jc w:val="center"/>
              <w:rPr>
                <w:rFonts w:hint="eastAsia" w:ascii="宋体" w:hAnsi="宋体" w:eastAsia="宋体" w:cs="宋体"/>
                <w:b w:val="0"/>
                <w:bCs w:val="0"/>
                <w:color w:val="auto"/>
                <w:sz w:val="21"/>
                <w:szCs w:val="21"/>
                <w:highlight w:val="none"/>
                <w:vertAlign w:val="baseline"/>
                <w:lang w:val="en-US" w:eastAsia="zh-CN"/>
              </w:rPr>
            </w:pP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拉幕机</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1.行程限位和机械限位双重保护</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2.可实现软停软启动</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3.便携式安装，无需现场制作安装结构,可实现正反随意调整</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4.（采用先进的虚拟样机技术进行大幕机驱动的设计、分析和计算（提供完整的三维设计建模，力学分析）；</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5.安装类型：抱箍安装</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6.电源：380V/50Hz</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7.功率：P4/1.1kw</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8.输出转速：93.3rpm</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9.额定扭矩：93NM</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10.对开速度：0.01-1.0m/s</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11.运行噪音：&lt;50dB(A)</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12.驱动方式：钢丝绳</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13.防护等级：IP54</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14.绝缘等级：F级</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15.工作制：S1</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16.驱动类型：变频调速拉幕机装置</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17.保护装置：行程限位、机械限位</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18.辅材：带头车，安全板，导向滑轮等</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轨道</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1.行程限位和机械限位双重保护</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2.全拼接式安装结构，无需焊接</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3.轨道任意副杆空位均可安装限位，并可在任意调整，满足幕布最理想的停靠效果</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4.采用先进的虚拟样机技术进行轨道的设计、分析和计算；</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5.安装类型：吊挂安装</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6.轨道尺寸：Xm，</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7.单边尺寸：Xm</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8.类型：拼接式三角桁架结构，</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9.承载：吊拉间距&lt;5m，居中集中荷载150kg，每3米吊拉均布荷载100kg/m</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10.安全保护：开合限位、安全板</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11.轨道截面尺寸：W216mm*H350mm，</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米</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16</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3</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吊杆</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1.吊杆尺寸：xm；</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2.数量：X条；</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3.结构：￠48×2.7双管H型结构，中间采用40×20×2方管/40*4扁</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4.铁连接；</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5.发黑处理；</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6.尺寸：￠48mm*H350mm</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7.自重：7.7kg/m</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8.双管H型结构，中间采用40×20×2方管/40*4扁铁连接，发黑处理，尺寸：￠48mm*H350mm，自重：7.7kg/m</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9.配件包括：设备所需的所有辅助配件</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米</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90</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4</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机柜</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42U，600*800*2000mm；优质冷轧钢板、整体焊接式机柜框架、优质钢化玻璃门</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5</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交换机</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传输速度: 1000Mbps；是否可堆叠: 不可堆叠；交换容量：1.6Gbps；整机最大包转发率：1.19Mpps；最大整机功耗：:5W；</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jc w:val="center"/>
        </w:trPr>
        <w:tc>
          <w:tcPr>
            <w:tcW w:w="1025" w:type="dxa"/>
            <w:vAlign w:val="center"/>
          </w:tcPr>
          <w:p>
            <w:pPr>
              <w:jc w:val="center"/>
              <w:rPr>
                <w:rFonts w:hint="eastAsia" w:ascii="宋体" w:hAnsi="宋体" w:eastAsia="宋体" w:cs="宋体"/>
                <w:b w:val="0"/>
                <w:bCs w:val="0"/>
                <w:color w:val="auto"/>
                <w:sz w:val="21"/>
                <w:szCs w:val="21"/>
                <w:highlight w:val="none"/>
                <w:vertAlign w:val="baseline"/>
                <w:lang w:val="en-US" w:eastAsia="zh-CN"/>
              </w:rPr>
            </w:pPr>
          </w:p>
        </w:tc>
        <w:tc>
          <w:tcPr>
            <w:tcW w:w="1138" w:type="dxa"/>
            <w:vAlign w:val="center"/>
          </w:tcPr>
          <w:p>
            <w:pPr>
              <w:jc w:val="center"/>
              <w:rPr>
                <w:rFonts w:hint="eastAsia" w:ascii="宋体" w:hAnsi="宋体" w:eastAsia="宋体" w:cs="宋体"/>
                <w:b w:val="0"/>
                <w:bCs w:val="0"/>
                <w:color w:val="auto"/>
                <w:sz w:val="21"/>
                <w:szCs w:val="21"/>
                <w:highlight w:val="none"/>
                <w:vertAlign w:val="baseline"/>
                <w:lang w:val="en-US" w:eastAsia="zh-CN"/>
              </w:rPr>
            </w:pPr>
          </w:p>
        </w:tc>
        <w:tc>
          <w:tcPr>
            <w:tcW w:w="59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幕布系统</w:t>
            </w:r>
          </w:p>
        </w:tc>
        <w:tc>
          <w:tcPr>
            <w:tcW w:w="775" w:type="dxa"/>
            <w:vAlign w:val="center"/>
          </w:tcPr>
          <w:p>
            <w:pPr>
              <w:jc w:val="center"/>
              <w:rPr>
                <w:rFonts w:hint="eastAsia" w:ascii="宋体" w:hAnsi="宋体" w:eastAsia="宋体" w:cs="宋体"/>
                <w:b w:val="0"/>
                <w:bCs w:val="0"/>
                <w:color w:val="auto"/>
                <w:sz w:val="21"/>
                <w:szCs w:val="21"/>
                <w:highlight w:val="none"/>
                <w:vertAlign w:val="baseline"/>
                <w:lang w:val="en-US" w:eastAsia="zh-CN"/>
              </w:rPr>
            </w:pPr>
          </w:p>
        </w:tc>
        <w:tc>
          <w:tcPr>
            <w:tcW w:w="662" w:type="dxa"/>
            <w:vAlign w:val="center"/>
          </w:tcPr>
          <w:p>
            <w:pPr>
              <w:jc w:val="center"/>
              <w:rPr>
                <w:rFonts w:hint="eastAsia" w:ascii="宋体" w:hAnsi="宋体" w:eastAsia="宋体" w:cs="宋体"/>
                <w:b w:val="0"/>
                <w:bCs w:val="0"/>
                <w:color w:val="auto"/>
                <w:sz w:val="21"/>
                <w:szCs w:val="21"/>
                <w:highlight w:val="none"/>
                <w:vertAlign w:val="baseline"/>
                <w:lang w:val="en-US" w:eastAsia="zh-CN"/>
              </w:rPr>
            </w:pP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幕布</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25×2×3:1×1(长×高×折比3×块)B1级阻燃处理，金丝绒250g/㎡</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平方米</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437</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jc w:val="center"/>
              <w:rPr>
                <w:rFonts w:hint="eastAsia" w:ascii="宋体" w:hAnsi="宋体" w:eastAsia="宋体" w:cs="宋体"/>
                <w:b w:val="0"/>
                <w:bCs w:val="0"/>
                <w:color w:val="auto"/>
                <w:sz w:val="21"/>
                <w:szCs w:val="21"/>
                <w:highlight w:val="none"/>
                <w:vertAlign w:val="baseline"/>
                <w:lang w:val="en-US" w:eastAsia="zh-CN"/>
              </w:rPr>
            </w:pPr>
          </w:p>
        </w:tc>
        <w:tc>
          <w:tcPr>
            <w:tcW w:w="1138" w:type="dxa"/>
            <w:vAlign w:val="center"/>
          </w:tcPr>
          <w:p>
            <w:pPr>
              <w:jc w:val="center"/>
              <w:rPr>
                <w:rFonts w:hint="eastAsia" w:ascii="宋体" w:hAnsi="宋体" w:eastAsia="宋体" w:cs="宋体"/>
                <w:b w:val="0"/>
                <w:bCs w:val="0"/>
                <w:color w:val="auto"/>
                <w:sz w:val="21"/>
                <w:szCs w:val="21"/>
                <w:highlight w:val="none"/>
                <w:vertAlign w:val="baseline"/>
                <w:lang w:val="en-US" w:eastAsia="zh-CN"/>
              </w:rPr>
            </w:pPr>
          </w:p>
        </w:tc>
        <w:tc>
          <w:tcPr>
            <w:tcW w:w="59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600人报告厅音响系统</w:t>
            </w:r>
          </w:p>
        </w:tc>
        <w:tc>
          <w:tcPr>
            <w:tcW w:w="775" w:type="dxa"/>
            <w:vAlign w:val="center"/>
          </w:tcPr>
          <w:p>
            <w:pPr>
              <w:jc w:val="center"/>
              <w:rPr>
                <w:rFonts w:hint="eastAsia" w:ascii="宋体" w:hAnsi="宋体" w:eastAsia="宋体" w:cs="宋体"/>
                <w:b w:val="0"/>
                <w:bCs w:val="0"/>
                <w:color w:val="auto"/>
                <w:sz w:val="21"/>
                <w:szCs w:val="21"/>
                <w:highlight w:val="none"/>
                <w:vertAlign w:val="baseline"/>
                <w:lang w:val="en-US" w:eastAsia="zh-CN"/>
              </w:rPr>
            </w:pPr>
          </w:p>
        </w:tc>
        <w:tc>
          <w:tcPr>
            <w:tcW w:w="662" w:type="dxa"/>
            <w:vAlign w:val="center"/>
          </w:tcPr>
          <w:p>
            <w:pPr>
              <w:jc w:val="center"/>
              <w:rPr>
                <w:rFonts w:hint="eastAsia" w:ascii="宋体" w:hAnsi="宋体" w:eastAsia="宋体" w:cs="宋体"/>
                <w:b w:val="0"/>
                <w:bCs w:val="0"/>
                <w:color w:val="auto"/>
                <w:sz w:val="21"/>
                <w:szCs w:val="21"/>
                <w:highlight w:val="none"/>
                <w:vertAlign w:val="baseline"/>
                <w:lang w:val="en-US" w:eastAsia="zh-CN"/>
              </w:rPr>
            </w:pP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线阵音箱</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 即插即用、使用方便、指示清晰、不需专业人员即可操作。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 专用铝合金挂件组合，简易快捷的吊挂方式，易于音响工程装配。</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 设计功率强劲，声音平顺柔和，自然清晰，富有弹性，还原度高。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 产品应用范围广,适用于体育馆，会议多功能厅，娱乐业等各种行业和场合</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5.类型：二分频线性阵列全频音箱</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6.额定功率：≥500W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7.峰值功率：≥2000W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8.标称阻抗：8Ω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9.频率范围：70Hz-20kHz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10.灵敏度：100dB (1M/1W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11.最大声压级（额定/峰值 ）：127dB/133dB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12.低频扬声器：8"*2</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13.高频扬声器：75mm（3"）压缩驱动器*1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14.水平覆盖角(-6dB)：90°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15.垂直覆盖角(-6dB)：10°</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10</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专业功放</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1.1U机箱设计，体积小，重量轻。</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2.采用最新D类数字功放设计方案，失真小，效率高。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3.电源采用开关电源技术，效率高，有效的抑制电源谐波，达到欧盟绿色电源标准。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4.智能削峰限幅器，控制功率模块及扬声器系统在安全范围内工作。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5.标准XLR输入接口，和LINK输出口，简洁的接口更加方便不同用户需求。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6.开机软启动，防止开机时向电网吸收大电流，干扰其它用电设备。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7.智能控制强制散热设计，风机噪音小，散热效率高等特点。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8.具有单声道、立体声、桥接三种模式可选择切换。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9.具有：过压保护，欠压保护，过流保护，直流保护，输出短路保护，温控风扇等功能。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10.输出功率：立体声@8Ω：≥700W×2；立体声@4Ω：1000W×2；桥接@16Ω：1400W；桥接@8Ω：2000W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11.输入灵敏度：2.2dBu(1V)/8.2dBu(2V)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12.输入阻抗：10KΩ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13.频率响应(@1W功率下)：20Hz-20KHz/±1dB @8Ω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14.THD+N(@1/8功率下) ：≤0.01%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15.分离度(@1KHz) ：≥80dB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16.阻尼系数(@1KHz) ：≥200@ 8 ohms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17.信噪比（A计权）：≥102dB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18.输入电压：~220V/50Hz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19.最大功耗：1800W</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5</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3</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支架</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产品尺寸：700*620*50mm</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产品重量：9.8KG（不含U型扣重量）</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套</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4</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支架</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1.标配长度10米，承重2吨；外观尺寸300*260*300mm</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2.净重：33kg</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3.毛重：35kg</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4.承重：2000kg</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5.包含：葫芦架1套。</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套</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5</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钢丝绳</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钢丝绳，Φ8mm*1米（7*19）</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参考重量：100米/Kg=25.6</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最小破断拉力：33.35KN</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最大承重：3403Kg</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米</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60</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6</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钢丝绳锁扣</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304不锈钢741夹头、卡头</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个</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70</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7</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专业音箱</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1.采用1只10寸中低音喇叭单元和1只1.4"环形聚乙烯振膜压缩高音单元。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2.箱体采用15mm夹板制作，质量轻，耐磨喷漆处理，外贴防尘网棉。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3.精确设计的分频器优化人声部分的中频表现力。</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4.多个螺丝吊装孔位，一个口径35 mm的柱杆插座，多种安装方式。5.阻抗：8Ω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5.频响：55Hz~20KHz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6.额定功率：≥300W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7.峰值功率：≥1200W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8.灵敏度：≥98dB/W/M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9.最大声压级（额定/峰值）：123dB/129dB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10.覆盖角度：(H)80°(V)60°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11.高音：1.4"压缩高音单元×1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12.低音：10"低音×1</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6</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8</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专业功放</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1.1U机箱设计，体积小，重量轻。</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2.采用最新D类数字功放设计方案，失真小，效率高。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3.电源采用开关电源技术，效率高，有效的抑制电源谐波，达到欧盟绿色电源标准。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4.智能削峰限幅器，控制功率模块及扬声器系统在安全范围内工作。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5.标准XLR输入接口，和LINK输出口，简洁的接口更加方便不同用户需求。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6.开机软启动，防止开机时向电网吸收大电流，干扰其它用电设备。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7.智能控制强制散热设计，风机噪音小，散热效率高等特点。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8.具有单声道、立体声、桥接三种模式可选择切换。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9.具有：过压保护，欠压保护，过流保护，直流保护，输出短路保护，温控风扇等功能。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10.输出功率：立体声@8Ω：≥500W×2；立体声@4Ω：850W×2；桥接@8Ω：1700W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11.输入灵敏度：2.2dBu(1V)/8.2dBu(2V)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12.输入阻抗：10KΩ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13.频率响应(@1W功率下)：20Hz-20KHz/±1dB @8Ω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14.THD+N(@1/8功率下) ：≤0.01%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15.分离度(@1KHz) ：≥80dB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16.阻尼系数(@1KHz) ：≥200@ 8 ohms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17.信噪比（A计权）：≥100dB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18.输入电压：~220V/50Hz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19.最大功耗：1200W</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3</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9</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支架</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1.固定面板尺寸（长*宽）：227mm*150mm±1mm</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2.臂长：280mm至400mm（可调节）</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3.重量：2.2kg</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套</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6</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10</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专业音箱</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1.采用1只10寸中低音喇叭单元和1只1.4"环形聚乙烯振膜压缩高音单元。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2.箱体采用15mm夹板制作，质量轻，耐磨喷漆处理，外贴防尘网棉。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3.精确设计的分频器优化人声部分的中频表现力。</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4.多个螺丝吊装孔位，一个口径35 mm的柱杆插座，多种安装方式。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5.阻抗：8Ω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6.频响：55Hz~20KHz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7.额定功率：≥300W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8.峰值功率：≥1200W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9.灵敏度：≥98dB/W/M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10.最大声压级（额定/峰值）：123dB/129dB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11.覆盖角度：(H)80°(V)60°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12.高音：1.4"压缩高音单元×1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13.低音：10"低音×1</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6</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11</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专业功放</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1.1U机箱设计，体积小，重量轻。</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2.采用最新D类数字功放设计方案，失真小，效率高。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3.电源采用开关电源技术，效率高，有效的抑制电源谐波，达到欧盟绿色电源标准。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4.智能削峰限幅器，控制功率模块及扬声器系统在安全范围内工作。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5.标准XLR输入接口，和LINK输出口，简洁的接口更加方便不同用户需求。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6.开机软启动，防止开机时向电网吸收大电流，干扰其它用电设备。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7.智能控制强制散热设计，风机噪音小，散热效率高等特点。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8.具有单声道、立体声、桥接三种模式可选择切换。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9.具有：过压保护，欠压保护，过流保护，直流保护，输出短路保护，温控风扇等功能。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10.输出功率：立体声@8Ω：≥500W×2；立体声@4Ω：850W×2；桥接@8Ω：1700W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11.输入灵敏度：2.2dBu(1V)/8.2dBu(2V)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12.输入阻抗：10KΩ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13.频率响应(@1W功率下)：20Hz-20KHz/±1dB @8Ω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14.THD+N(@1/8功率下) ：≤0.01%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15.分离度(@1KHz) ：≥80dB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16.阻尼系数(@1KHz) ：≥200@ 8 ohms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17.信噪比（A计权）：≥100dB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18.输入电压：~220V/50Hz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19.最大功耗：1200W</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3</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15</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专业音箱</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1.采用1只8寸中低音喇叭单元和2只3"锥形高音单元。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2.箱体采用15mm夹板制作，质量轻，耐磨喷漆处理，外贴防尘网棉。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3.精确设计的分频器优化人声部分的中频表现力。</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4.多个螺丝吊装孔位，多种安装方式。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5.阻抗：8Ω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6.频响：65Hz~20KHz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7.额定功率：≥150W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8.峰值功率：≥600W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9.灵敏度：≥95dB/W/M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10.最大声压级（额定/峰值）：117dB/123dB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11.覆盖角度：(H)80°(V)60°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12.高音：3"锥形高音单元×2</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13.低音：8"低音×1</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4</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16</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专业功放</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1.1U机箱设计，体积小，重量轻。</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2.采用最新D类数字功放设计方案，失真小，效率高。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3.电源采用开关电源技术，效率高，有效的抑制电源谐波，达到欧盟绿色电源标准。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4.智能削峰限幅器，控制功率模块及扬声器系统在安全范围内工作。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5.标准XLR输入接口，和LINK输出口，简洁的接口更加方便不同用户需求。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6.开机软启动，防止开机时向电网吸收大电流，干扰其它用电设备。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7.智能控制强制散热设计，风机噪音小，散热效率高等特点。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8.具有：过压保护，欠压保护，过流保护，直流保护，输出短路保护，温控风扇等功能。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9.输出功率：立体声@8Ω：≥200W×2；立体声@4Ω：400W×2</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10.输入灵敏度：2.2dBu(1V)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11.输入阻抗：10KΩ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12.频率响应(@1W功率下)：20Hz-20KHz/±1dB @8Ω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13.THD+N(@1/8功率下) ：≤0.01%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14.分离度(@1KHz) ：≥80dB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15.阻尼系数(@1KHz) ：≥200@ 8 ohms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16.信噪比（A计权）：≥93dB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17.输入电压：~220V/50Hz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18.最大功耗：500W</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17</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专业音箱</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1.采用1只18寸超低音喇叭单元。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2.箱体采用18mm夹板制作，质量轻，耐磨喷漆处理，外贴防尘网棉。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3.大面积倒相孔能降低失真度。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4.顶部设有插孔可安装直径为35 mm的柱。</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5.阻抗：8Ω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6.频响：40Hz~400Hz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7.额定功率：≥600W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8.峰值功率：≥2400W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9.灵敏度：≥99dB/W/M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10.最大声压级（额定/峰值）：127dB/133dB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11.低音：18"低音×1</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只</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18</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专业功放</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1.双通道大功率专业数字功放；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2.功放有直流、短路、过载、过热保护；</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★3.采用可变震荡调制技术、多重反馈调控技术以及创新的输出功率控制技术，拥有超过95%超高效率和出色的稳定性</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提供技术参数证明材料；</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4.支持灵敏度1V/2V可选择切换，XLR平衡式输入/XLR 平衡式LINK输出；SPEAKON音响插座输出；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5.具备信号、功率、温度压限功能；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6.MONO /STEREO/BRIDGE三种模式可选择切换；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7.带温控风机，开机即转，随着温度长高风扇加速，大概60度时全速；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8.面板有信号（绿）、削顶（橙）、保护指示灯（红）、电源指示灯（蓝）；</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9.常规带载8欧，4欧，最低2欧。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10.输出功率（1KHz/THD≤1％）：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 1)连续功率：立体声8Ω×2：≥2*1000W；立体声4Ω×2：2*1700W；立体声2Ω×2：2*2900W；桥接16Ω：2000W；桥接8Ω：3400W；桥接4Ω：5800W；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 2)最大功率*：立体声8Ω×2：2*1500W；立体声4Ω×2：2*2600W；立体声2Ω×2：2*4350W；桥接16Ω：3000W；桥接8Ω：5100W；桥接4Ω：8670W；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11.连接座：XLR 接口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12.电压增益 (@1KHz)：39dB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13.输入灵敏度：2.2dBU(1V)、8.2dBU(2V)、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14.输入阻抗：10K Ω 非平衡、20KΩ 平衡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15.频率响应(@1W功率下）：20Hz-20KHz/±1dB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16.THD+N(@1/8功率下）：≤0.01％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17.信噪比 (A计权)：≥105dB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18.阻尼系数 (@ 1KHz)：≥200@ 8 ohms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19.分离度 (@1KHz)：≥85dB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20.保护方式：过压保护、欠压保护、过流保护、直流保护、短路保护</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21.指示灯：电源 、保护、信号、失真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22.冷却方式：风扇冷却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23.供电：~ 220 50Hz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24.最大功耗：2500W</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19</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无线话筒</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1.采用UHF超高频段双真分集接收，并采用PLL锁相环多信道频率合成技术。</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2.具有SCAN 自动扫频功能，使用前按SET功能键自动找一个环境最干净的频点处停下来，此频率作为接收机的使用频率</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3.V/A显示屏在任何角度观察字体清晰同时显示信道号与工作频率。带8级射频电平显示，8级音频电平显示，频道菜单显示，静音显示。</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4.平衡和非平衡两种选择输出端口，适应不同的设备连接需求。</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5.超强的抗干扰能力，能有效抑制由外部带来的噪音干扰及同频干扰。</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6.红外对频功能，能方便、快捷的使发射机与接收机频率同步。</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7.中频丰富，声音且有磁性感和混厚感，属人声话筒音持的精华。</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8.轻触式按钮控制简捷，让用户使用更方便。</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9.配套有1台接收主机和2个无线手持话筒。</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10.频率指标不低于：支持470-510MHz、540-590MHz、640-690MHz、807-830MHz</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11.调制方式：宽带FM</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12.频道数目：100-200个在每个频率段</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13.频道间隔：25KHz的倍数</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14.频率稳定度：±0.005%以内</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15.动态范围：100dB</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16.最大频偏：±45KHz</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17.频率响应：80Hz-18KHz（±3dB）（整个系统的频率取决于话筒单元）</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18.综合信噪比：105dB</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19.综合失真：≤0.5%</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20.工作距离：约100m（工作距离取决于很多因素，包括RF信号的吸收、反射和干扰等）直线无障碍</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21.工作温度：-10℃~+60℃</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20</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无线话筒</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1.采用UHF超高频段双真分集接收，并采用PLL锁相环多信道频率合成技术。</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2.具有SCAN 自动扫频功能，使用前按SET功能键自动找一个环境最干净的频点处停下来，此频率作为接收机的使用频率</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3.V/A显示屏在任何角度观察字体清晰同时显示信道号与工作频率。带8级射频电平显示，8级音频电平显示，频道菜单显示，静音显示。</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4.平衡和非平衡两种选择输出端口，适应不同的设备连接需求。</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5.超强的抗干扰能力，能有效抑制由外部带来的噪音干扰及同频干扰。</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6.红外对频功能，能方便、快捷的使发射机与接收机频率同步。</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7.中频丰富，声音且有磁性感和混厚感，属人声话筒音持的精华。</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8.配套有1台接收主机和2个头戴式话筒。</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9.频率指标不低于：支持470-510MHz、540-590MHz、640-690MHz、807-830MHz。</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10.调制方式：宽带FM</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11.频道数目：100-200个在每个频率段</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12.频道间隔：25KHz的倍数</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13.频率稳定度：±0.005%以内</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14.动态范围：100dB</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15.最大频偏：±45KHz</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16.频率响应：80Hz-18KHz（±3dB）（整个系统的频率取决于话筒单元）</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17.综合信噪比：105dB</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18.综合失真：≤0.5%</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19.工作距离：约100m（工作距离取决于很多因素，包括RF信号的吸收、反射和干扰等）直线无障碍</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20.工作温度：-10℃~+60℃</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21</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天线分配器</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1.提供4台一拖二真分集话筒自动选讯接收机的多频道系统，共用一对天线和一个电源。</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2.简化天线装配工程，提升接收距离及效能。</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3.两路天线信号接收到分配器的天线输入端</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4.两路级联信号输出到下一台分配器的天线输入端</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5.宽频段的对数周期偶极阵天线或双极化天线或全向的鞭式天线与放大器和分配器组成的系统具有拾取和放大信号再输出分配的作用。</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6.覆盖UHF段内的470-960M所有频率的无线接收机。</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7.频带范围 ：470-960MHz</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8.输出/入增益 ：+1.0dB(频段中心)</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9.输出/入阻抗 ：50Ω</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10.LINK输出增益：约5 dBm 在每个不同频率段有差异.</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11.RF 输出衰减：约-3dBm 在每个不同频率段有差异.</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12.1台分配器：支持2天线的接收机4台</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13.2台分配器：支持2天线的接收机8台</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14.3台分配器：支持2天线的接收机12台</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15.频宽 ：320MHz</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16.电源供应 ：12V DC 3000mA</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17.分配电源输出：12V DC 4套接收机负载不能超过3A</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18.天线BNC输入接口：BNC 5V DC 100mA</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22</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话筒天线</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1.采用专业UHF频段无线真分集接收机用的45度极化宽频全向天线。</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2.天线主要单元的波束聚焦在天线正前方，垂直或水平方向皆能提供均匀的辐射场型特性，背后也有提高信号强度的效果。</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3.天线的频款涵盖无线麦克风法规的550 MHz ~ 850 MHz频率范围频段，具有 8 dBi的高指向特性的增益。</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4.在专业无线传输工程使用可以在最复杂的演出或会议的环境下，讯号几乎没有明显的衰落现象，所以能提供较长的传输距离、抗干扰特性及最稳定的信号接收效果。</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5.天线输出电缆上串接天线放大器直接连接到接收机（建议使用不超过25米的同轴电缆连线）；放大器具有10 dB ± 1 dB增益，专供接收机作长距离接收使用，补偿同轴电缆线连接到接收机所造成的信号损失，提升接收距离及最佳的讯号质量。</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6.频率范围：550MHz～850MHz</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7.极化方式：45°</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8.增益：8dBi</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9.半功率波瓣宽度：H:76°±5°， V:76°±5°</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10.前后比：≥23dB</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11.输入阻抗：50Ω</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12.电压驻波比（VSWR）：≤2.0</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13.交叉极化鉴别率：≥15dB@0º，≥10dB@+/-60º</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14.上第一副瓣抑制：15dB</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15.最大功率：50W</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16.雷电保护：直流接地DC </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17.接头类型：BNC</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18.电缆长度：0.3米</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20.天线罩颜色：白色</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21.工作温度：-40°c～60°c</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22.极限风速：60m/s</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23</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线材</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25米天线延长线：BNC插头*2，线径：7.2mm</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根</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4</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24</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数字调音台</w:t>
            </w:r>
          </w:p>
        </w:tc>
        <w:tc>
          <w:tcPr>
            <w:tcW w:w="5975" w:type="dxa"/>
            <w:vAlign w:val="top"/>
          </w:tcPr>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1.不低于10.1英寸1280x800真彩电阻触摸屏、数字编码器以及专用按键构成的专业操作面板，能够快速方便地进行所有设置。</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2.具有17个100mm电动推子，电动推子可操控所有的通道和主输出：1个LR主声道推子、16个通道推子以及4个推子层。</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3.支持中英文界面切换，且无需重启。</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4.内置USB录音、放音功能。能够识别USB电子盘内的中英文歌曲名，具备快进、下一曲、快速暂停等功能，非常方便现场操作；且支持播放APE、FLAC、MP3、WAV无损音频格式。</w:t>
            </w:r>
          </w:p>
          <w:p>
            <w:pPr>
              <w:keepNext w:val="0"/>
              <w:keepLines w:val="0"/>
              <w:widowControl/>
              <w:suppressLineNumbers w:val="0"/>
              <w:jc w:val="left"/>
              <w:textAlignment w:val="top"/>
              <w:rPr>
                <w:rStyle w:val="614"/>
                <w:rFonts w:hint="eastAsia" w:ascii="宋体" w:hAnsi="宋体" w:eastAsia="宋体" w:cs="宋体"/>
                <w:color w:val="auto"/>
                <w:sz w:val="21"/>
                <w:szCs w:val="21"/>
                <w:highlight w:val="none"/>
                <w:lang w:val="en-US" w:eastAsia="zh-CN" w:bidi="ar"/>
              </w:rPr>
            </w:pPr>
            <w:r>
              <w:rPr>
                <w:rFonts w:hint="eastAsia" w:ascii="宋体" w:hAnsi="宋体" w:eastAsia="宋体" w:cs="宋体"/>
                <w:i w:val="0"/>
                <w:color w:val="auto"/>
                <w:kern w:val="0"/>
                <w:sz w:val="21"/>
                <w:szCs w:val="21"/>
                <w:highlight w:val="none"/>
                <w:u w:val="none"/>
                <w:lang w:val="en-US" w:eastAsia="zh-CN" w:bidi="ar"/>
              </w:rPr>
              <w:t>5.内置16个通道独立的反馈抑制器，内置16路自动混音（增益共享型），带8个DCA；</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6.具有2个内置效果器，自带有经典混响、大房间混响等效果模块；FX音效可使用专用的返回通道返回到混音且不占用单声道和立体声输入通道。</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7.支持iPad触摸屏全功能控制，实时数据同步；支持8个终端同时控制。</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8.可通过网络或者USB升级ARM固件、DSP固件。</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9.每个输入通道具有4段参数均衡、噪声门、高低通、压缩、反相。</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10.每个输出通道具有8段参数均衡、高低通、压缩、反相、1800毫秒延时器。</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11.输出通道支持L/R、10BUS、HeadPhone(L/R)，10BUS混音总线可选择推子前、推子后（PRE/POST）。</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12.支持100组场景预设功能，可导出、导入USB存储器，便于数据备份；支持32个PEQ模式存储。</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13.内置信号发生器：正弦波、粉红噪声、白噪声。</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14.支持通道参数拷贝功能，相同的通道快速复制数据，通道名称可自定义。</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15.接线方式：平衡式输入、输出卡侬。</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16.支持8个推子编组、8个用户自定义按键、4个快速静音组按键。</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17.具有面板锁定按键，防止误操作。</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18.支持选配：镜像热备份、全通滤波器、动态均衡器等功能</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19.支持IPAD平板、安卓平板、WIN系统电脑软件控制，并支持开放中控代码</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20.模拟输入：24CH ( MIC/Line)</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21.模拟输出：Main(L/R)+10BUS+REC(L/R)+Headphone(L/R)*2+MONITOR(L/R)</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22.底噪：-92dBu，无计权AES17（20khz）</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23.失真度：0.005% @4dBu 20Hz～20KHz</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24.信噪比：108dB无计权</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25.动态范围：108dB无计权</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26.最大输入电平：平衡20dBu</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27.最大输出电平：平衡20dBu</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28.频率响应：20Hz－20kHz ±0.3dB</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29.显示屏尺寸：10.1英寸</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30.分辨率：1280x800</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31.触控：电阻、操作系统：Linux</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32.DSP：ADSP-21489 400Mhz</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33.USB：录音 播放 ( 播放格式APE、FLAC、MP3、WAV )</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34.DCA：有</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35.中英文界面：有</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36.电动推子：17</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37.ipad控制：有</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38.效果器：2个效果器母线（6个预置效果参数、24个用户存储）</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39.反馈抑制器：16个独立</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40.以太网：有</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41.RS-232协议：有</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42.USB鼠标：支持有线USB鼠标</w:t>
            </w:r>
          </w:p>
          <w:p>
            <w:pPr>
              <w:keepNext w:val="0"/>
              <w:keepLines w:val="0"/>
              <w:widowControl/>
              <w:suppressLineNumbers w:val="0"/>
              <w:jc w:val="left"/>
              <w:textAlignment w:val="top"/>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43.供电：AC 100v-240v ；50/60Hz  100W</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25</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音频处理器</w:t>
            </w:r>
          </w:p>
        </w:tc>
        <w:tc>
          <w:tcPr>
            <w:tcW w:w="5975" w:type="dxa"/>
            <w:vAlign w:val="top"/>
          </w:tcPr>
          <w:p>
            <w:pPr>
              <w:keepNext w:val="0"/>
              <w:keepLines w:val="0"/>
              <w:widowControl/>
              <w:suppressLineNumbers w:val="0"/>
              <w:jc w:val="left"/>
              <w:textAlignment w:val="top"/>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1.输入每通道：12路平衡式话筒/线路，采用裸线接口端子，平衡接法。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2.输出每通道：12路平衡式线路输出，采用裸线接口端子，平衡接法。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3.提供24bit/48kHz卓越的高品质声音。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4.全功能矩阵混音，支持用户灵活、简单的信号路由操作，路由路径和电平大小可在一个按钮上完成。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5.面板具有2.19英寸液晶显示屏，支持显示设备网络信息、实时电平、通道静音状态、矩阵混音状态。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6.面板具备USB接口。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7.配置双向RS-232接口，可用于控制外部设备。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8.配置RS-485接口，可实现自动摄像跟踪功能。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9.配置8通道可编程GPIO控制接口（可自定义输入输出）。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10.支持断电自动保护记忆功能。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11.支持通道拷贝、粘贴、联控功能。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12.Enternet多用途数据传输及控制端口，可以支持实时管理单台及多台设备。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13.支持通过浏览器访问设备，下载自带管理控制软件；软件界面直观、图形化，可工作在XP/Windows7、8、10等系统环境下。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14.支持通过ipad或iPhone或安卓手机APP软件进行操作控制。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15.支持场景预设功能，最大支持100组场景。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16.输入通道：前级放大、信号发生器、扩展器、压缩器、5段参量均衡、AM自动混音功能、AFC自适应反馈消除、AEC回声消除、ANC噪声消除</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17.输出通道：31段图示均衡器、延时器、分频器、高低通滤波器、限幅器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18.采样率：48K</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19.幻象供电：DC 48V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20.频率响应：20Hz-20kHz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21.总谐波失真+噪声：≤0.003%,4dBu</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22.数/模动态范围(A-计权)：114dB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23.模/数动态范围(A-计权)：120dB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24.输入阻抗(平衡式)：20KΩ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25.最大输出阻抗（平衡式)：100Ω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26.通道隔离度：1kHz，104dB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27.输入共模抑制：70dB @80 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28.最大输出电平：+18dBu，平衡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29.最大输入电平：+18dBu，平衡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30.工作温度：0℃-40℃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31.工作电源：AC110V-220V,50Hz/60Hz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32.电源功耗：&lt;40W</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26</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抑制器</w:t>
            </w:r>
          </w:p>
        </w:tc>
        <w:tc>
          <w:tcPr>
            <w:tcW w:w="5975" w:type="dxa"/>
            <w:vAlign w:val="top"/>
          </w:tcPr>
          <w:p>
            <w:pPr>
              <w:keepNext w:val="0"/>
              <w:keepLines w:val="0"/>
              <w:widowControl/>
              <w:suppressLineNumbers w:val="0"/>
              <w:jc w:val="left"/>
              <w:textAlignment w:val="top"/>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1.高性能DSP处理，40-bit DPS处理器,高精度32-bit/48kHz AD/DA，提供卓越高品质声音。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★2.采用“陷波”+“移频”双方式进行反馈抑制。陷波器提供≥12固定点+12动态点。高精度移频，范围为-10Hz到10Hz</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提供功能界面截图。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3.具有噪声门功能，用于消除噪声。提供同时提供多种参数设置，方便现场灵活应用。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4.具有噪声门功能，用于限制输出大小。提供同时提供多种参数设置，方便现场灵活应用。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5.具有均衡器功能，提供图示均衡器和参量均衡器类型，提供8段参量均衡器和31段图示均衡器可选。图示均衡器支持高架、底架、参量滤波器多种类型。图示均衡器支持单点带宽模式配置。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6.具有分频器功能，具有贝塞尔、林克威治-瑞利、巴特沃斯三种滤波器类型及6/12/18/24/32/48db/oct多种可选，滤波器全频段可调。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7.具有≥320*240 2英寸IPS真彩显示屏，方便快速操作，采用单键飞梭快捷操作，快速实现模式、直通、锁定及中英文选择功能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8.具有≥48个陷波器状态LED指示灯，实时显示陷波器状态。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9.支持模式场景管理，提供4个模式进行切换。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10.支持恢复出厂设置、设备定位、断电自动保护记忆。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11.以太网Enternet接口，可通过网络实时在线同时管控多台设备。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12.PC软件界面美观，操作人性化，可工作在XP/Windows7、 8、10 等系统环境下。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13.输入通道及插座：2路XLR与TRS多功能座模拟输入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14.输出通道及插座：2路XLR公座+2路TRS公座 模拟输出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15.输入阻抗：平衡：20KΩ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16.输出阻抗：平衡：100Ω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17.输入范围：≤+20dBu</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18.频率响应：20Hz-20kHz（±0.5dB）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19.信噪比：≥103dB@1kHz 20dBu（A计权）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20.失真度：&lt;0.012% OUTPUT=0dBu/1kHz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21.通道分离度：&gt;82dB(1kHz)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22.啸叫寻找与抑制方式：全自动式陷波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23.滤波器：≥24个每通道</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24.Q值范围：10-50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25.频率分辨率：1Hz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26.啸叫寻找时间：0.1—0.5S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27.FFT长度：1024</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28.传声增益：4—8dB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29.系统增益：0dB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30.陷波器：双通道各12个静态点+12个动态点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31.分频器：具有巴特沃斯，贝塞尔，林克威治-瑞利三种高低通滤波器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32.均衡器：31段图示均衡器+8段参量均衡器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33.显示：2英寸IPS真彩显示屏，分辨率320*240；48个陷波器状态LED指示灯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34.处理器：48kHz采样频率，40-bit DSP处理器；32-bit A/D及D/A转换</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27</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电源管理器</w:t>
            </w:r>
          </w:p>
        </w:tc>
        <w:tc>
          <w:tcPr>
            <w:tcW w:w="5975" w:type="dxa"/>
            <w:vAlign w:val="center"/>
          </w:tcPr>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1.工作电压：单相220V</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2.工作频率：50Hz/60Hz(±5%)</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3.电源输入：连接单相3芯连接座，3芯100A缆线输入</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4.电源控制：单相2芯100A空气开关，支持限流和短路保护</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5.电压显示：LCD显示</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6.控制接口：TCP、IP、WIFI、RS485、RS232、外部（远程）控制</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7.时序通道：12路独立控制的时序通道(6个10A插座，6个16A插座）</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8.输出电流：1-6通道，最大电流10A。7-12通道，最大电流16A</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9.电源输出：总输出不超过100A</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10.时序时间：1-999秒，可自行设置更改</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11.时序开关：PC软件锁定，可关闭</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12.接地电阻：≤100Ω</w:t>
            </w:r>
          </w:p>
          <w:p>
            <w:pPr>
              <w:keepNext w:val="0"/>
              <w:keepLines w:val="0"/>
              <w:widowControl/>
              <w:suppressLineNumbers w:val="0"/>
              <w:jc w:val="left"/>
              <w:textAlignment w:val="top"/>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13.电源滤波器：12路每路有单独的电源滤波器</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3</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28</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有源监听音箱</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 额定输出功率： ≥2×25W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 输出阻抗  ：4-8Ω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 输入灵敏度：AUX  IN ：350mV±20mV/10KΩ；MIC ：5mV±0.5mV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 信噪比：≥70dB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 频率响应： 80Hz～16KHz(≤±3dB)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 音量调节 ：1个MIC 音量，1个AUX音量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 谐波失真： ≤1%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 工作温度： 5℃～40℃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 工作湿度 ：20%～80%相对湿度，无结露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 电源功耗： ≤60W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 供电电压： ~ 220-240V 50Hz</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jc w:val="center"/>
              <w:rPr>
                <w:rFonts w:hint="eastAsia" w:ascii="宋体" w:hAnsi="宋体" w:eastAsia="宋体" w:cs="宋体"/>
                <w:b w:val="0"/>
                <w:bCs w:val="0"/>
                <w:color w:val="auto"/>
                <w:sz w:val="21"/>
                <w:szCs w:val="21"/>
                <w:highlight w:val="none"/>
                <w:vertAlign w:val="baseline"/>
                <w:lang w:val="en-US" w:eastAsia="zh-CN"/>
              </w:rPr>
            </w:pPr>
          </w:p>
        </w:tc>
        <w:tc>
          <w:tcPr>
            <w:tcW w:w="1138" w:type="dxa"/>
            <w:vAlign w:val="center"/>
          </w:tcPr>
          <w:p>
            <w:pPr>
              <w:jc w:val="center"/>
              <w:rPr>
                <w:rFonts w:hint="eastAsia" w:ascii="宋体" w:hAnsi="宋体" w:eastAsia="宋体" w:cs="宋体"/>
                <w:b w:val="0"/>
                <w:bCs w:val="0"/>
                <w:color w:val="auto"/>
                <w:sz w:val="21"/>
                <w:szCs w:val="21"/>
                <w:highlight w:val="none"/>
                <w:vertAlign w:val="baseline"/>
                <w:lang w:val="en-US" w:eastAsia="zh-CN"/>
              </w:rPr>
            </w:pPr>
          </w:p>
        </w:tc>
        <w:tc>
          <w:tcPr>
            <w:tcW w:w="59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附件</w:t>
            </w:r>
          </w:p>
        </w:tc>
        <w:tc>
          <w:tcPr>
            <w:tcW w:w="775" w:type="dxa"/>
            <w:vAlign w:val="center"/>
          </w:tcPr>
          <w:p>
            <w:pPr>
              <w:jc w:val="center"/>
              <w:rPr>
                <w:rFonts w:hint="eastAsia" w:ascii="宋体" w:hAnsi="宋体" w:eastAsia="宋体" w:cs="宋体"/>
                <w:b w:val="0"/>
                <w:bCs w:val="0"/>
                <w:color w:val="auto"/>
                <w:sz w:val="21"/>
                <w:szCs w:val="21"/>
                <w:highlight w:val="none"/>
                <w:vertAlign w:val="baseline"/>
                <w:lang w:val="en-US" w:eastAsia="zh-CN"/>
              </w:rPr>
            </w:pPr>
          </w:p>
        </w:tc>
        <w:tc>
          <w:tcPr>
            <w:tcW w:w="662" w:type="dxa"/>
            <w:vAlign w:val="center"/>
          </w:tcPr>
          <w:p>
            <w:pPr>
              <w:jc w:val="center"/>
              <w:rPr>
                <w:rFonts w:hint="eastAsia" w:ascii="宋体" w:hAnsi="宋体" w:eastAsia="宋体" w:cs="宋体"/>
                <w:b w:val="0"/>
                <w:bCs w:val="0"/>
                <w:color w:val="auto"/>
                <w:sz w:val="21"/>
                <w:szCs w:val="21"/>
                <w:highlight w:val="none"/>
                <w:vertAlign w:val="baseline"/>
                <w:lang w:val="en-US" w:eastAsia="zh-CN"/>
              </w:rPr>
            </w:pP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机柜</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600*1000*1600</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多媒体地插</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 xml:space="preserve">十孔+高清+HDMI+音频；底盒尺寸100*100*55mm，翻盖开启式隐藏地插盒，额定电流：10A,全铜， </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个</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4</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3</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音频连接线</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5米音频连接线：卡侬头（母）*1卡侬头（公）*1，线径：0.3mm</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条</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16</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4</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音频连接线</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1.8米音频连接线：卡侬头（母）*1卡侬头（公）*1，线径：0.3mm</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条</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32</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5</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音频连接线</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5米音频连接线：3.5（耳机插头）*1,6.35话筒插头*2,线径：0.3mm</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条</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6</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音频连接线</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5米音频连接线：6.35话筒插头*1，卡侬头（公）*1，线径：0.3mm</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条</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7</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操作台</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平面操作抬长3000*高750*宽900下面箱体宽度640  桌面框体厚度1.2 下筐体1.0  材质镀锌版喷塑  桌面采用防火板材质</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个</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8</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话筒线</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RVPE 2*0.5平方 37支0.1mm纯铜编网 话筒线</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米</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1200</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9</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音箱线</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HIFI音响线，300芯蓝色透明</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米</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1650</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10</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视频线HDMI</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支持2K*4K，60HZ 支持2.0版本，长度2m</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条</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10</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jc w:val="center"/>
              <w:rPr>
                <w:rFonts w:hint="eastAsia" w:ascii="宋体" w:hAnsi="宋体" w:eastAsia="宋体" w:cs="宋体"/>
                <w:b w:val="0"/>
                <w:bCs w:val="0"/>
                <w:color w:val="auto"/>
                <w:sz w:val="21"/>
                <w:szCs w:val="21"/>
                <w:highlight w:val="none"/>
                <w:vertAlign w:val="baseline"/>
                <w:lang w:val="en-US" w:eastAsia="zh-CN"/>
              </w:rPr>
            </w:pPr>
          </w:p>
        </w:tc>
        <w:tc>
          <w:tcPr>
            <w:tcW w:w="1138" w:type="dxa"/>
            <w:vAlign w:val="center"/>
          </w:tcPr>
          <w:p>
            <w:pPr>
              <w:jc w:val="center"/>
              <w:rPr>
                <w:rFonts w:hint="eastAsia" w:ascii="宋体" w:hAnsi="宋体" w:eastAsia="宋体" w:cs="宋体"/>
                <w:b w:val="0"/>
                <w:bCs w:val="0"/>
                <w:color w:val="auto"/>
                <w:sz w:val="21"/>
                <w:szCs w:val="21"/>
                <w:highlight w:val="none"/>
                <w:vertAlign w:val="baseline"/>
                <w:lang w:val="en-US" w:eastAsia="zh-CN"/>
              </w:rPr>
            </w:pPr>
          </w:p>
        </w:tc>
        <w:tc>
          <w:tcPr>
            <w:tcW w:w="5975" w:type="dxa"/>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b/>
                <w:i w:val="0"/>
                <w:color w:val="auto"/>
                <w:kern w:val="0"/>
                <w:sz w:val="21"/>
                <w:szCs w:val="21"/>
                <w:highlight w:val="none"/>
                <w:u w:val="none"/>
                <w:lang w:val="en-US" w:eastAsia="zh-CN" w:bidi="ar"/>
              </w:rPr>
              <w:t>篮球场音响系统</w:t>
            </w:r>
          </w:p>
        </w:tc>
        <w:tc>
          <w:tcPr>
            <w:tcW w:w="775" w:type="dxa"/>
            <w:vAlign w:val="center"/>
          </w:tcPr>
          <w:p>
            <w:pPr>
              <w:jc w:val="center"/>
              <w:rPr>
                <w:rFonts w:hint="eastAsia" w:ascii="宋体" w:hAnsi="宋体" w:eastAsia="宋体" w:cs="宋体"/>
                <w:b w:val="0"/>
                <w:bCs w:val="0"/>
                <w:color w:val="auto"/>
                <w:sz w:val="21"/>
                <w:szCs w:val="21"/>
                <w:highlight w:val="none"/>
                <w:vertAlign w:val="baseline"/>
                <w:lang w:val="en-US" w:eastAsia="zh-CN"/>
              </w:rPr>
            </w:pPr>
          </w:p>
        </w:tc>
        <w:tc>
          <w:tcPr>
            <w:tcW w:w="662" w:type="dxa"/>
            <w:vAlign w:val="center"/>
          </w:tcPr>
          <w:p>
            <w:pPr>
              <w:jc w:val="center"/>
              <w:rPr>
                <w:rFonts w:hint="eastAsia" w:ascii="宋体" w:hAnsi="宋体" w:eastAsia="宋体" w:cs="宋体"/>
                <w:b w:val="0"/>
                <w:bCs w:val="0"/>
                <w:color w:val="auto"/>
                <w:sz w:val="21"/>
                <w:szCs w:val="21"/>
                <w:highlight w:val="none"/>
                <w:vertAlign w:val="baseline"/>
                <w:lang w:val="en-US" w:eastAsia="zh-CN"/>
              </w:rPr>
            </w:pP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专业音箱</w:t>
            </w:r>
          </w:p>
        </w:tc>
        <w:tc>
          <w:tcPr>
            <w:tcW w:w="5975" w:type="dxa"/>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1.采用1只8寸中低音喇叭单元和2只3"锥形高音单元。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2.箱体采用15mm夹板制作，质量轻，耐磨喷漆处理，外贴防尘网棉。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3.精确设计的分频器优化人声部分的中频表现力。</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4.阻抗：8Ω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5.频响：65Hz~20KHz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6.额定功率：≥150W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7.峰值功率：≥600W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8.灵敏度：≥95dB/W/M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9.最大声压级（额定/峰值）：117dB/123dB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10.覆盖角度：(H)80°(V)60°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11.高音：3"锥形高音单元×2</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12.低音：8"低音×1</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4</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专业功放</w:t>
            </w:r>
          </w:p>
        </w:tc>
        <w:tc>
          <w:tcPr>
            <w:tcW w:w="5975" w:type="dxa"/>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1.采用最新D类数字功放设计方案，失真小，效率高。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2.电源采用开关电源技术，效率高，有效的抑制电源谐波，达到欧盟绿色电源标准。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3.智能削峰限幅器，控制功率模块及扬声器系统在安全范围内工作。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4.标准XLR输入接口，和LINK输出口，简洁的接口更加方便不同用户需求。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5.开机软启动，防止开机时向电网吸收大电流，干扰其它用电设备。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6.智能控制强制散热设计，风机噪音小，散热效率高等特点。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7.具有：过压保护，欠压保护，过流保护，直流保护，输出短路保护，温控风扇等功能。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8.输出功率：立体声@8Ω：≥200W×2；立体声@4Ω：400W×2</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9.输入灵敏度：2.2dBu(1V)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10.输入阻抗：10KΩ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11.频率响应(@1W功率下)：20Hz-20KHz/±1dB @8Ω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12.THD+N(@1/8功率下) ：≤0.01%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13.分离度(@1KHz) ：≥80dB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14.阻尼系数(@1KHz) ：≥200@ 8 ohms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15.信噪比（A计权）：≥93dB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16.输入电压：~220V/50Hz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17.最大功耗：500W</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3</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支架</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固定面板孔位尺寸（长*宽）： 140mm*65mm</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箱体固定面板孔位尺寸（长*宽）： 128mm*70mm</w:t>
            </w:r>
          </w:p>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设备面板尺寸：160mm*90mm</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套</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4</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4</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无线话筒</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1.采用UHF超高频段双真分集接收，并采用PLL锁相环多信道频率合成技术。</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2.具有SCAN 自动扫频功能，使用前按SET功能键自动找一个环境最干净的频点处停下来，此频率作为接收机的使用频率</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3.V/A显示屏在任何角度观察字体清晰同时显示信道号与工作频率。带8级射频电平显示，8级音频电平显示，频道菜单显示，静音显示。</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4.平衡和非平衡两种选择输出端口，适应不同的设备连接需求。</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5.超强的抗干扰能力，能有效抑制由外部带来的噪音干扰及同频干扰。</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6.红外对频功能，能方便、快捷的使发射机与接收机频率同步。</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7.中频丰富，声音且有磁性感和混厚感，属人声话筒音持的精华。</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8.轻触式按钮控制简捷，让用户使用更方便。</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9.配套有1台接收主机和2个无线手持话筒。</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10.频率指标不低于：支持470-510MHz、540-590MHz、640-690MHz、807-830MHz</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11.调制方式：宽带FM</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12.频道数目：100-200个在每个频率段</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13.频道间隔：25KHz的倍数</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14.频率稳定度：±0.005%以内</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15.动态范围：100dB</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16.最大频偏：±45KHz</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17.频率响应：80Hz-18KHz（±3dB）（整个系统的频率取决于话筒单元）</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18.综合信噪比：105dB</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19.综合失真：≤0.5%</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20.工作距离：约100m（工作距离取决于很多因素，包括RF信号的吸收、反射和干扰等）直线无障碍</w:t>
            </w:r>
          </w:p>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21.工作温度：-10℃~+60℃</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5</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调音台</w:t>
            </w:r>
          </w:p>
        </w:tc>
        <w:tc>
          <w:tcPr>
            <w:tcW w:w="5975" w:type="dxa"/>
            <w:vAlign w:val="top"/>
          </w:tcPr>
          <w:p>
            <w:pPr>
              <w:keepNext w:val="0"/>
              <w:keepLines w:val="0"/>
              <w:widowControl/>
              <w:suppressLineNumbers w:val="0"/>
              <w:jc w:val="left"/>
              <w:textAlignment w:val="top"/>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1、专业型紧凑式调音台,超低噪声离散式麦克风前置放大器和+48V幻象电源，功能强大齐全，音质动听。</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2、提供8路Mic输入接口兼容6路线路输入接口，CH1-CH6通道话筒输入接口带48V幻像电源。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3、提供2组立体声输入，4路RCA输入，可连接立体设备。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★4、提供2组立体主输出、4路编组输出、4路辅助输出、1组立体声监听输出、1个耳机监听输出、2个效果输出</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提供接口图。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5、提供1组主混音断点插入、6个断点插入，可连接额外的处理器（压缩器、均衡器。限幅器等）。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6、具有13个60mm行程的高精密碳膜推子。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7、内置蓝牙MP3播放器，支持1路USB接口，外接U盘和连接手机蓝牙播放音乐。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8、内置USB声卡，连接电脑进行音乐播放和声音录音。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9、内置24位DSP效果器，提供100种预设效果。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10、提供1个USB供电接口，可连接USB照明灯。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11.支持7段图示均衡推子调节。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12.麦克风输入：8路（8个XLR接口）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13.线路输入：6路单插单声道/立体声自动切换混合接口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14.立体声输入通道：2组（4路单声道）、4路RCA输入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15.输出通道：2组立体主输出、4路编组输出、4路辅助输出、1组立体声监听输出、1个耳机监听输出、2个效果输出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16.INSERT：1组主混音断点插入、6个断点插入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17.USB接口：外接U盘播放音乐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18.无线连接：内置蓝牙无线收发器，可连接手机进行播放音乐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19.效果器：24位DSP效果器（包括人声、小房子、大厅、回声、回声+回响、盘子、声乐板、合唱GTR，旋转GTR、颤音GTR类型），100种预设效果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20.USB声卡端口：支持电脑播放/录音，通过CH11/12通道回放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21.幻象电源：CH1-CH6每路通道带48V幻象开关独立控制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22.频率响应：20Hz-20kHz，±2dB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23.失真度：&lt;0.03% at+0dB,22Hz-22KHz A-weighted</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24.灵敏度：+20dB~-30dB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25.信噪比：&lt;-100dBr A-weighted</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26.单声道均衡：高频：+/-15dB @12KHz；中频：+/-15dB @100Hz-8KHz；低频：+/-15dB @80Hz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27.立体声均衡：高频：+/-15dB @12KHz；中频：+/-15dB @3KHz or +/-15dB @500Hz；低频：+/-15dB @80Hz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28.主混音串音：&lt;-80dB @0dB 20Hz-22KHz A-weighted，主输出：0dB,其他通道：最小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29.电平表：2x12-点距LED电平指示表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30.供电电压：AC 100-240V 50/60Hz</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6</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音频处理器</w:t>
            </w:r>
          </w:p>
        </w:tc>
        <w:tc>
          <w:tcPr>
            <w:tcW w:w="5975" w:type="dxa"/>
            <w:vAlign w:val="top"/>
          </w:tcPr>
          <w:p>
            <w:pPr>
              <w:keepNext w:val="0"/>
              <w:keepLines w:val="0"/>
              <w:widowControl/>
              <w:suppressLineNumbers w:val="0"/>
              <w:jc w:val="left"/>
              <w:textAlignment w:val="top"/>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1.输入：≥4路平衡式话筒/线路，采用裸线接口端子，平衡接法。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2.输出：≥4路平衡式线路输出，采用裸线接口端子，平衡接法。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3.提供24bit/48kHz卓越的高品质声音。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4.全功能矩阵混音，支持用户灵活、简单的信号路由操作，路由路径和电平大小可在一个按钮上完成。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5.面板具有≥2.19英寸液晶显示屏，支持显示设备网络信息、实时电平、通道静音状态、矩阵混音状态。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6.面板具备USB接口，支持多媒体存储，可进行播放或存储录播。</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7.配置双向RS-232接口，可用于控制外部设备。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8.配置RS-485接口，可实现自动摄像跟踪功能。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9.配置≥8通道可编程GPIO控制接口（可自定义输入输出）。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10.支持断电自动保护记忆功能。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11.支持通道拷贝、粘贴、联控功能。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12.Enternet多用途数据传输及控制端口，可以支持实时管理单台及多台设备。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13.支持通过浏览器访问设备，下载自带管理控制软件；软件界面直观、图形化，可工作在XP/Windows7、8、10等系统环境下。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14.支持通过ipad或iPhone或安卓手机APP软件进行操作控制。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15.支持场景预设功能，最大支持100组场景。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16.输入通道：前级放大、信号发生器、扩展器、压缩器、5段参量均衡、AM自动混音功能、AFC自适应反馈消除、AEC回声消除、ANC噪声消除</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17.输出通道：≥31段图示均衡器、延时器、分频器、高低通滤波器、限幅器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18.采样率：48K</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19.幻象供电：DC 48V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20.频率响应：20Hz-20kHz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21.总谐波失真+噪声：≤0.003%,4dBu</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22.数/模动态范围(A-计权)：114dB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23.模/数动态范围(A-计权)：120dB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24.输入阻抗(平衡式)：20KΩ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25.最大输出阻抗（平衡式)：100Ω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26.通道隔离度：1kHz，104dB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27.输入共模抑制：70dB @80 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28.最大输出电平：+18dBu，平衡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29.最大输入电平：+18dBu，平衡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30.工作温度：0℃-40℃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31.工作电源：AC110V-220V,50Hz/60Hz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32.电源功耗：&lt;40W</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7</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抑制器</w:t>
            </w:r>
          </w:p>
        </w:tc>
        <w:tc>
          <w:tcPr>
            <w:tcW w:w="5975" w:type="dxa"/>
            <w:vAlign w:val="top"/>
          </w:tcPr>
          <w:p>
            <w:pPr>
              <w:keepNext w:val="0"/>
              <w:keepLines w:val="0"/>
              <w:widowControl/>
              <w:suppressLineNumbers w:val="0"/>
              <w:jc w:val="left"/>
              <w:textAlignment w:val="top"/>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1.高性能DSP处理，40-bit DPS处理器,高精度32-bit/48kHz AD/DA，提供卓越高品质声音。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2.采用“陷波”+“移频”双方式进行反馈抑制。陷波器提供≥12固定点+12动态点。高精度移频，范围为-10Hz到10Hz。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3.具有噪声门功能，用于消除噪声。提供同时提供多种参数设置，方便现场灵活应用。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4.具有噪声门功能，用于限制输出大小。提供同时提供多种参数设置，方便现场灵活应用。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5.具有均衡器功能，提供图示均衡器和参量均衡器类型，提供≥8段参量均衡器和31段图示均衡器可选。图示均衡器支持高架、底架、参量滤波器多种类型。图示均衡器支持单点带宽模式配置。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6.具有分频器功能，具有贝塞尔、林克威治-瑞利、巴特沃斯三种滤波器类型及6/12/18/24/32/48db/oct多种可选，滤波器全频段可调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7.具有自动增益功能，声音达到一定峰值自动衰减变小，声音较小则自动增益放大；使音量保持在一定范围。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8.具有≥320*240 2英寸IPS真彩显示屏，方便快速操作，采用单键飞梭快捷操作，快速实现模式、直通、锁定及中英文选择功能。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9.具有≥48个陷波器状态LED指示灯，实时显示陷波器状态。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10.支持4个场景切换，灵活导入和导出场景数据。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11.支持恢复出厂设置、设备定位、断电自动保护记忆。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12.支持通过后台管理软件对多台设备进行批量升级。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13.以太网Enternet接口，可通过网络实时在线同时管控多台设备。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14.输入通道及插座：2路XLR与TRS多功能座模拟输入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15.输出通道及插座：2路XLR公座+2路TRS公座 模拟输出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16.输入阻抗：平衡：20KΩ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17.输出阻抗：平衡：100Ω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18.输入范围：≤+20dBu</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19.频率响应：20Hz-20kHz（±0.5dB）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20.信噪比：≥103dB@1kHz 20dBu（A计权）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21.失真度：&lt;0.012% OUTPUT=0dBu/1kHz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22.通道分离度：&gt;82dB(1kHz)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23.啸叫寻找与抑制方式：全自动式陷波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24.滤波器：≥24个每通道</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25.Q值范围：10-50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26.频率分辨率：1Hz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27.啸叫寻找时间：0.1—0.5S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28.FFT长度：1024</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29.传声增益：4—10dB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30.系统增益：0dB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31.陷波器：双通道各12个静态点+12个动态点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32.分频器：具有巴特沃斯，贝塞尔，林克威治-瑞利三种高低通滤波器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33.均衡器：31段图示均衡器+8段参量均衡器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34.显示：2英寸IPS真彩显示屏，分辨率320*240；48个陷波器状态LED指示灯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35.处理器：48kHz采样频率，40-bit DSP处理器；32-bit A/D及D/A转换</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8</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电源管理器</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1.设备采用标准1U机箱设计。</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2.8通道电源时序打开/关闭。</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3.远程控制（上电+24V直流信号）8通道电源时序打开/关闭—当船型开关处于off位置时有效。支持配置CH1和CH2通道为受控或不受控状态。</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4.当远程控制有效时同时控制后板ALARM（报警）端口导通以起到级联控制ALARM（报警）功能。</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5.单个通道最大负载功率2200W，所有通道负载总功率达6000W。</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6.输入连接器：大功率线码式电源连接器。</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7.输出连接器：多用途电源插座。</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8.USB输出接口，可以接LED灯。</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9.额定输出电压：AC~220V50Hz</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10.额定输出电流：30A</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11.可控制电源：8路</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12.每路动作延时时间：1秒</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13.供电电源：VAC，220V50/60Hz，30A</w:t>
            </w:r>
          </w:p>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14.单路额定输出电源：10A</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9</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灯光控制终端</w:t>
            </w:r>
          </w:p>
        </w:tc>
        <w:tc>
          <w:tcPr>
            <w:tcW w:w="5975" w:type="dxa"/>
            <w:vAlign w:val="top"/>
          </w:tcPr>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机箱：机箱≥15L，支持全高全长扩展卡</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处理器：国产海光3250处理器，核心≥8核，主频≥2.8GHz，CPU散热器使用非HDT（热管直触）底座+回流焊工艺的热管+折页散热器</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内存：≥16GB DDR4 UDIMM内存，配置≥2个内存插槽</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硬盘：≥512GB M.2接口NVME协议SSD+1T机械硬盘扩展</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显卡：≥2G独立显卡</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光驱：Slim DVD RW</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网络：RJ45 10/100/1000适应以太网口，标配1个内置M.2 WiFi接口</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接口扩展：1个PCIe x16，1个PCIe x4，1个PCIe x1扩展槽；USB接口≥9个，前置USB3.0 Type A数量≥4个，前置TYPE C数量≥1个，串口1个；麦克风1个，耳机1个；后端麦克风1个，耳机1个</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显示器：≥23.8寸LED显示器，与主机同品牌，分辨率≥1920*1080</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电源：电源功率≥300W；电源通过80PLUS认证，支持500W铂金电源；</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键盘鼠标：USB口有线光电抗菌鼠标、USB口有线防水键盘</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免工具拆卸机箱、带顶置提手，便于维护。</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支持基于BIOS级的一键备份和恢复的功能（非操作系统自带功能）；</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BIOS级USB屏蔽：USB支持BIOS下开关</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静音舒适性：考虑工作环境的静音舒适，要求设备的噪声声功率级≤3.33Bel，噪声声压级≤25.08dB；</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低气压适应性：考虑对温度/湿度/低气压的环境适应性，</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电磁兼容性：考虑设备工作稳定：需提供辐射抗扰、静电放电抗扰度、浪涌（冲击）抗扰度的适应性；</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MTBF≥30万小时；</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操作系统产品具有教育版本的软件著作权。</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操作系统产品支持多种桌面应用：QQ、微信、自研邮件客户端、画图工具、截图录屏工具、图片查看器、音频播放器、视频播放器、文件管理器、压缩工具、刻录软件、应用商店等。</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操作系统产品提供分区管理、文件系统管理、系统监视器、备份还原、安全中心、系统更新等系统工具。 </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操作系统产品提供智能语音助手功能，并支持语音和文字输入。</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系统提供图形化磁盘管理工具，支持磁盘健康检测、磁盘分区表错误检测、磁盘坏道修复检测功能，</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系统安全中心深度集成杀毒引擎，用户无需单独下载，至少提供两个杀毒库供用户自行选择。</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支持通过自带浏览器上网，拦截网页中恶意弹窗，诱导点击跳转至不良内容、低俗庸俗等有害页面的行为，在线查阅拦截报表统计、用户举报。</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系统自带远程协助软件，可以同时支持局域网和互联网远程协助功能</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操作系统产品支持保障安全升级的自动主/备双根分区，在系统升级后支持还原到之前的状态。</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为保障系统不被误操作损坏，保障系统安全，操作系统产品需支持开发者模式的用户鉴权能力，用以限制root、sudo等高级权限和安装未签名的软件；                                                                                      在国产操作系统上运行的办公软件产品，包含文字模块、表格模块、演示模块三个组件。操作系统包括但不限于：UOS、银河麒麟V10、中标麒麟、银河麒麟、中科方德、深度等；CPU包括但不限于：龙芯、飞腾、鲲鹏、兆芯、申威等。</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需要支持兼容不同类型文档格式预览和编辑，包括：.wps、.doc、.docx、.ppt、.pptx、.xls、.xlsx；</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文字模块支持章节导航、书签导航功能。“章节导航”支持显示章节内容、更改章节标题、增加节、删除节、合并节。“书签导航”支持显示书签，按照书签的名称和位置排序等。</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字模块支持智能识别目录，自动识别正文的段落结构，生成对应目录。</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文档模块支持本地磁盘文件搜索。可以根据文档名称，文档内容，按照时间及文件类型搜索出符合条件的文档素材，搜索出来的文档支持直接查看和引用，通过引用将文档内容直接插入到需要的文档中。</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表格模块支持自动筛选高级模式。支持显示计数、导出计数、按计数排序、反选、筛选唯一/重复值等高级功能。</w:t>
            </w:r>
          </w:p>
          <w:p>
            <w:pPr>
              <w:keepNext w:val="0"/>
              <w:keepLines w:val="0"/>
              <w:widowControl/>
              <w:suppressLineNumbers w:val="0"/>
              <w:jc w:val="left"/>
              <w:textAlignment w:val="top"/>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支持智能填充，可以根据已有的示例结果，智能分析出结果与原始数据之间的关系，据此填充同列的其他单元格，节省大量的复制粘贴操作。                                                                                            演示模块支持嵌入音频/视频媒体对象，嵌入后能跟随文档一起，避免文档流转时音视频无法播放。</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10</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操作台</w:t>
            </w:r>
          </w:p>
        </w:tc>
        <w:tc>
          <w:tcPr>
            <w:tcW w:w="5975" w:type="dxa"/>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平面操作抬长1500*高750*宽900下面箱体宽度640  桌面框体厚度1.2 下筐体1.0  材质镀锌版喷塑  桌面采用防火板材质</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个</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jc w:val="center"/>
              <w:rPr>
                <w:rFonts w:hint="eastAsia" w:ascii="宋体" w:hAnsi="宋体" w:eastAsia="宋体" w:cs="宋体"/>
                <w:b w:val="0"/>
                <w:bCs w:val="0"/>
                <w:color w:val="auto"/>
                <w:sz w:val="21"/>
                <w:szCs w:val="21"/>
                <w:highlight w:val="none"/>
                <w:vertAlign w:val="baseline"/>
                <w:lang w:val="en-US" w:eastAsia="zh-CN"/>
              </w:rPr>
            </w:pPr>
          </w:p>
        </w:tc>
        <w:tc>
          <w:tcPr>
            <w:tcW w:w="1138" w:type="dxa"/>
            <w:vAlign w:val="center"/>
          </w:tcPr>
          <w:p>
            <w:pPr>
              <w:jc w:val="center"/>
              <w:rPr>
                <w:rFonts w:hint="eastAsia" w:ascii="宋体" w:hAnsi="宋体" w:eastAsia="宋体" w:cs="宋体"/>
                <w:b w:val="0"/>
                <w:bCs w:val="0"/>
                <w:color w:val="auto"/>
                <w:sz w:val="21"/>
                <w:szCs w:val="21"/>
                <w:highlight w:val="none"/>
                <w:vertAlign w:val="baseline"/>
                <w:lang w:val="en-US" w:eastAsia="zh-CN"/>
              </w:rPr>
            </w:pPr>
          </w:p>
        </w:tc>
        <w:tc>
          <w:tcPr>
            <w:tcW w:w="5975" w:type="dxa"/>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b/>
                <w:i w:val="0"/>
                <w:color w:val="auto"/>
                <w:kern w:val="0"/>
                <w:sz w:val="21"/>
                <w:szCs w:val="21"/>
                <w:highlight w:val="none"/>
                <w:u w:val="none"/>
                <w:lang w:val="en-US" w:eastAsia="zh-CN" w:bidi="ar"/>
              </w:rPr>
              <w:t>辅助材料</w:t>
            </w:r>
          </w:p>
        </w:tc>
        <w:tc>
          <w:tcPr>
            <w:tcW w:w="775" w:type="dxa"/>
            <w:vAlign w:val="center"/>
          </w:tcPr>
          <w:p>
            <w:pPr>
              <w:jc w:val="center"/>
              <w:rPr>
                <w:rFonts w:hint="eastAsia" w:ascii="宋体" w:hAnsi="宋体" w:eastAsia="宋体" w:cs="宋体"/>
                <w:b w:val="0"/>
                <w:bCs w:val="0"/>
                <w:color w:val="auto"/>
                <w:sz w:val="21"/>
                <w:szCs w:val="21"/>
                <w:highlight w:val="none"/>
                <w:vertAlign w:val="baseline"/>
                <w:lang w:val="en-US" w:eastAsia="zh-CN"/>
              </w:rPr>
            </w:pPr>
          </w:p>
        </w:tc>
        <w:tc>
          <w:tcPr>
            <w:tcW w:w="662" w:type="dxa"/>
            <w:vAlign w:val="center"/>
          </w:tcPr>
          <w:p>
            <w:pPr>
              <w:jc w:val="center"/>
              <w:rPr>
                <w:rFonts w:hint="eastAsia" w:ascii="宋体" w:hAnsi="宋体" w:eastAsia="宋体" w:cs="宋体"/>
                <w:b w:val="0"/>
                <w:bCs w:val="0"/>
                <w:color w:val="auto"/>
                <w:sz w:val="21"/>
                <w:szCs w:val="21"/>
                <w:highlight w:val="none"/>
                <w:vertAlign w:val="baseline"/>
                <w:lang w:val="en-US" w:eastAsia="zh-CN"/>
              </w:rPr>
            </w:pP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机柜</w:t>
            </w:r>
          </w:p>
        </w:tc>
        <w:tc>
          <w:tcPr>
            <w:tcW w:w="5975" w:type="dxa"/>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600*800*1800</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个</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音频连接线</w:t>
            </w:r>
          </w:p>
        </w:tc>
        <w:tc>
          <w:tcPr>
            <w:tcW w:w="5975" w:type="dxa"/>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1.8米音频连接线：6.35话筒插头*1，卡侬头（公）*1，线径：0.3mm</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条</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3</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音频连接线</w:t>
            </w:r>
          </w:p>
        </w:tc>
        <w:tc>
          <w:tcPr>
            <w:tcW w:w="5975" w:type="dxa"/>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1.8米音频连接线：卡侬头（母）*1卡侬头（公）*1，线径：0.3mm</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条</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16</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4</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音频连接线</w:t>
            </w:r>
          </w:p>
        </w:tc>
        <w:tc>
          <w:tcPr>
            <w:tcW w:w="5975" w:type="dxa"/>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1.8米音频连接线：3.5（耳机插头）*1,6.35话筒插头*2,线径：0.3mm</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条</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5</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话筒线</w:t>
            </w:r>
          </w:p>
        </w:tc>
        <w:tc>
          <w:tcPr>
            <w:tcW w:w="5975" w:type="dxa"/>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RVPE 2*0.37话筒线</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米</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450</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6</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音箱线</w:t>
            </w:r>
          </w:p>
        </w:tc>
        <w:tc>
          <w:tcPr>
            <w:tcW w:w="5975" w:type="dxa"/>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HIFI音响线，300芯蓝色透明</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米</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1200</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bl>
    <w:p>
      <w:pP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2.1</w:t>
      </w:r>
      <w:r>
        <w:rPr>
          <w:rFonts w:hint="eastAsia" w:ascii="宋体" w:hAnsi="宋体" w:cs="宋体"/>
          <w:b/>
          <w:bCs/>
          <w:color w:val="auto"/>
          <w:sz w:val="21"/>
          <w:szCs w:val="21"/>
          <w:highlight w:val="none"/>
          <w:lang w:val="en-US" w:eastAsia="zh-CN"/>
        </w:rPr>
        <w:t>0</w:t>
      </w:r>
      <w:r>
        <w:rPr>
          <w:rFonts w:hint="eastAsia" w:ascii="宋体" w:hAnsi="宋体" w:eastAsia="宋体" w:cs="宋体"/>
          <w:b/>
          <w:bCs/>
          <w:color w:val="auto"/>
          <w:sz w:val="21"/>
          <w:szCs w:val="21"/>
          <w:highlight w:val="none"/>
          <w:lang w:val="en-US" w:eastAsia="zh-CN"/>
        </w:rPr>
        <w:t xml:space="preserve">  多媒体会议系统</w:t>
      </w:r>
    </w:p>
    <w:tbl>
      <w:tblPr>
        <w:tblStyle w:val="99"/>
        <w:tblW w:w="105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1138"/>
        <w:gridCol w:w="5975"/>
        <w:gridCol w:w="775"/>
        <w:gridCol w:w="662"/>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序号</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项目名称</w:t>
            </w:r>
          </w:p>
        </w:tc>
        <w:tc>
          <w:tcPr>
            <w:tcW w:w="59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技术参数</w:t>
            </w:r>
          </w:p>
        </w:tc>
        <w:tc>
          <w:tcPr>
            <w:tcW w:w="7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单位</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数量</w:t>
            </w:r>
          </w:p>
        </w:tc>
        <w:tc>
          <w:tcPr>
            <w:tcW w:w="1013"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jc w:val="center"/>
              <w:rPr>
                <w:rFonts w:hint="eastAsia" w:ascii="宋体" w:hAnsi="宋体" w:eastAsia="宋体" w:cs="宋体"/>
                <w:b w:val="0"/>
                <w:bCs w:val="0"/>
                <w:color w:val="auto"/>
                <w:sz w:val="21"/>
                <w:szCs w:val="21"/>
                <w:highlight w:val="none"/>
                <w:vertAlign w:val="baseline"/>
                <w:lang w:val="en-US" w:eastAsia="zh-CN"/>
              </w:rPr>
            </w:pPr>
          </w:p>
        </w:tc>
        <w:tc>
          <w:tcPr>
            <w:tcW w:w="1138" w:type="dxa"/>
            <w:vAlign w:val="center"/>
          </w:tcPr>
          <w:p>
            <w:pPr>
              <w:jc w:val="center"/>
              <w:rPr>
                <w:rFonts w:hint="eastAsia" w:ascii="宋体" w:hAnsi="宋体" w:eastAsia="宋体" w:cs="宋体"/>
                <w:b w:val="0"/>
                <w:bCs w:val="0"/>
                <w:color w:val="auto"/>
                <w:sz w:val="21"/>
                <w:szCs w:val="21"/>
                <w:highlight w:val="none"/>
                <w:vertAlign w:val="baseline"/>
                <w:lang w:val="en-US" w:eastAsia="zh-CN"/>
              </w:rPr>
            </w:pPr>
          </w:p>
        </w:tc>
        <w:tc>
          <w:tcPr>
            <w:tcW w:w="59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 xml:space="preserve">音频会议系统 </w:t>
            </w:r>
          </w:p>
        </w:tc>
        <w:tc>
          <w:tcPr>
            <w:tcW w:w="775" w:type="dxa"/>
            <w:vAlign w:val="center"/>
          </w:tcPr>
          <w:p>
            <w:pPr>
              <w:jc w:val="center"/>
              <w:rPr>
                <w:rFonts w:hint="eastAsia" w:ascii="宋体" w:hAnsi="宋体" w:eastAsia="宋体" w:cs="宋体"/>
                <w:b w:val="0"/>
                <w:bCs w:val="0"/>
                <w:color w:val="auto"/>
                <w:sz w:val="21"/>
                <w:szCs w:val="21"/>
                <w:highlight w:val="none"/>
                <w:vertAlign w:val="baseline"/>
                <w:lang w:val="en-US" w:eastAsia="zh-CN"/>
              </w:rPr>
            </w:pPr>
          </w:p>
        </w:tc>
        <w:tc>
          <w:tcPr>
            <w:tcW w:w="662" w:type="dxa"/>
            <w:vAlign w:val="center"/>
          </w:tcPr>
          <w:p>
            <w:pPr>
              <w:jc w:val="center"/>
              <w:rPr>
                <w:rFonts w:hint="eastAsia" w:ascii="宋体" w:hAnsi="宋体" w:eastAsia="宋体" w:cs="宋体"/>
                <w:b w:val="0"/>
                <w:bCs w:val="0"/>
                <w:color w:val="auto"/>
                <w:sz w:val="21"/>
                <w:szCs w:val="21"/>
                <w:highlight w:val="none"/>
                <w:vertAlign w:val="baseline"/>
                <w:lang w:val="en-US" w:eastAsia="zh-CN"/>
              </w:rPr>
            </w:pP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会议音箱</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1.采用1只8寸中低音喇叭单元和2只3"锥形高音单元。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2.箱体采用15mm夹板制作，质量轻，耐磨喷漆处理，外贴防尘网棉。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3.精确设计的分频器优化人声部分的中频表现力。</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4.阻抗：8Ω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5.频响：65Hz~20KHz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6.额定功率：≥150W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7.峰值功率：≥600W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8.灵敏度：≥95dB/W/M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9.最大声压级（额定/峰值）：117dB/123dB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10.覆盖角度：(H)80°(V)60°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11.高音：3"锥形高音单元×2</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12.低音：8"低音×1</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4</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全频数字功率放大器</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1.采用最新D类数字功放设计方案，失真小，效率高。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2.电源采用开关电源技术，效率高，有效的抑制电源谐波，达到欧盟绿色电源标准。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3.智能削峰限幅器，控制功率模块及扬声器系统在安全范围内工作。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4.标准XLR输入接口，和LINK输出口，简洁的接口更加方便不同用户需求。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5.开机软启动，防止开机时向电网吸收大电流，干扰其它用电设备。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6.智能控制强制散热设计，风机噪音小，散热效率高等特点。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7.具有：过压保护，欠压保护，过流保护，直流保护，输出短路保护，温控风扇等功能。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8.输出功率：立体声@8Ω：≥200W×2；立体声@4Ω：400W×2</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9.输入灵敏度：2.2dBu(1V)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10.输入阻抗：10KΩ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11.频率响应(@1W功率下)：20Hz-20KHz/±1dB @8Ω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12.THD+N(@1/8功率下) ：≤0.01%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13.分离度(@1KHz) ：≥80dB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14.阻尼系数(@1KHz) ：≥200@ 8 ohms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15.信噪比（A计权）：≥93dB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16.输入电压：~220V/50Hz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17.最大功耗：500W</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3</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音频矩阵处理器</w:t>
            </w:r>
          </w:p>
        </w:tc>
        <w:tc>
          <w:tcPr>
            <w:tcW w:w="5975" w:type="dxa"/>
            <w:vAlign w:val="top"/>
          </w:tcPr>
          <w:p>
            <w:pPr>
              <w:keepNext w:val="0"/>
              <w:keepLines w:val="0"/>
              <w:widowControl/>
              <w:suppressLineNumbers w:val="0"/>
              <w:jc w:val="left"/>
              <w:textAlignment w:val="top"/>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1.输入：≥4路平衡式话筒/线路，采用裸线接口端子，平衡接法。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2.输出：≥4路平衡式线路输出，采用裸线接口端子，平衡接法。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3.提供24bit/48kHz卓越的高品质声音。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4.全功能矩阵混音，支持用户灵活、简单的信号路由操作，路由路径和电平大小可在一个按钮上完成。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5.面板具有≥2.19英寸液晶显示屏，支持显示设备网络信息、实时电平、通道静音状态、矩阵混音状态。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6.面板具备USB接口，支持多媒体存储，可进行播放或存储录播。</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7.配置双向RS-232接口，可用于控制外部设备。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8.配置RS-485接口，可实现自动摄像跟踪功能。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9.配置≥8通道可编程GPIO控制接口（可自定义输入输出）。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10.支持断电自动保护记忆功能。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11.支持通道拷贝、粘贴、联控功能。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12.Enternet多用途数据传输及控制端口，可以支持实时管理单台及多台设备。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13.支持通过浏览器访问设备，下载自带管理控制软件；软件界面直观、图形化，可工作在XP/Windows7、8、10等系统环境下。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14.支持通过ipad或iPhone或安卓手机APP软件进行操作控制。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15.支持场景预设功能，最大支持100组场景。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16.输入通道：前级放大、信号发生器、扩展器、压缩器、5段参量均衡、AM自动混音功能、AFC自适应反馈消除、AEC回声消除、ANC噪声消除</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17.输出通道：≥31段图示均衡器、延时器、分频器、高低通滤波器、限幅器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18.采样率：48K</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19.幻象供电：DC 48V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20.频率响应：20Hz-20kHz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21.总谐波失真+噪声：≤0.003%,4dBu</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22.数/模动态范围(A-计权)：114dB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23.模/数动态范围(A-计权)：120dB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24.输入阻抗(平衡式)：20KΩ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25.最大输出阻抗（平衡式)：100Ω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26.通道隔离度：1kHz，104dB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27.输入共模抑制：70dB @80 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28.最大输出电平：+18dBu，平衡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29.最大输入电平：+18dBu，平衡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30.工作温度：0℃-40℃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31.工作电源：AC110V-220V,50Hz/60Hz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32.电源功耗：&lt;40W</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4</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反馈抑制处理器</w:t>
            </w:r>
          </w:p>
        </w:tc>
        <w:tc>
          <w:tcPr>
            <w:tcW w:w="5975" w:type="dxa"/>
            <w:vAlign w:val="top"/>
          </w:tcPr>
          <w:p>
            <w:pPr>
              <w:keepNext w:val="0"/>
              <w:keepLines w:val="0"/>
              <w:widowControl/>
              <w:suppressLineNumbers w:val="0"/>
              <w:jc w:val="left"/>
              <w:textAlignment w:val="top"/>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1.高性能DSP处理，40-bit DPS处理器,高精度32-bit/48kHz AD/DA，提供卓越高品质声音。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2.采用“陷波”+“移频”双方式进行反馈抑制。陷波器提供≥12固定点+12动态点。高精度移频，范围为-10Hz到10Hz。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3.具有噪声门功能，用于消除噪声。提供同时提供多种参数设置，方便现场灵活应用。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4.具有噪声门功能，用于限制输出大小。提供同时提供多种参数设置，方便现场灵活应用。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5.具有均衡器功能，提供图示均衡器和参量均衡器类型，提供≥8段参量均衡器和31段图示均衡器可选。图示均衡器支持高架、底架、参量滤波器多种类型。图示均衡器支持单点带宽模式配置。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6.具有分频器功能，具有贝塞尔、林克威治-瑞利、巴特沃斯三种滤波器类型及6/12/18/24/32/48db/oct多种可选，滤波器全频段可调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7.具有自动增益功能，声音达到一定峰值自动衰减变小，声音较小则自动增益放大；使音量保持在一定范围。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8.具有≥320*240 2英寸IPS真彩显示屏，方便快速操作，采用单键飞梭快捷操作，快速实现模式、直通、锁定及中英文选择功能。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9.具有≥48个陷波器状态LED指示灯，实时显示陷波器状态。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10.支持4个场景切换，灵活导入和导出场景数据。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11.支持恢复出厂设置、设备定位、断电自动保护记忆。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12.支持通过后台管理软件对多台设备进行批量升级。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13.以太网Enternet接口，可通过网络实时在线同时管控多台设备。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14.输入通道及插座：2路XLR与TRS多功能座模拟输入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15.输出通道及插座：2路XLR公座+2路TRS公座 模拟输出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16.输入阻抗：平衡：20KΩ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17.输出阻抗：平衡：100Ω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18.输入范围：≤+20dBu</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19.频率响应：20Hz-20kHz（±0.5dB）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20.信噪比：≥103dB@1kHz 20dBu（A计权）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21.失真度：&lt;0.012% OUTPUT=0dBu/1kHz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22.通道分离度：&gt;82dB(1kHz)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23.啸叫寻找与抑制方式：全自动式陷波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24.滤波器：≥24个每通道</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25.Q值范围：10-50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26.频率分辨率：1Hz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27.啸叫寻找时间：0.1—0.5S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28.FFT长度：1024</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29.传声增益：4—10dB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30.系统增益：0dB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31.陷波器：双通道各12个静态点+12个动态点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32.分频器：具有巴特沃斯，贝塞尔，林克威治-瑞利三种高低通滤波器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33.均衡器：31段图示均衡器+8段参量均衡器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34.显示：2英寸IPS真彩显示屏，分辨率320*240；48个陷波器状态LED指示灯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35.处理器：48kHz采样频率，40-bit DSP处理器；32-bit A/D及D/A转换</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5</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万向挂钩</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固定面板孔位尺寸（长*宽）： 140mm*65mm</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箱体固定面板孔位尺寸（长*宽）： 128mm*70mm</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设备面板尺寸：160mm*90mm</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只</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4</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6</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8路时序电源</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1.设备采用标准1U机箱设计。</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2.8通道电源时序打开/关闭。</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3.远程控制（上电+24V直流信号）8通道电源时序打开/关闭—当船型开关处于off位置时有效。支持配置CH1和CH2通道为受控或不受控状态。</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4.当远程控制有效时同时控制后板ALARM（报警）端口导通以起到级联控制ALARM（报警）功能。</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5.单个通道最大负载功率2200W，所有通道负载总功率达6000W。</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6.输入连接器：大功率线码式电源连接器。</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7.输出连接器：多用途电源插座。</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8.USB输出接口，可以接LED灯。</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9.额定输出电压：AC~220V50Hz</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10.额定输出电流：30A</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11.可控制电源：8路</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12.每路动作延时时间：1秒</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13.供电电源：VAC，220V50/60Hz，30A</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14.单路额定输出电源：10A</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7</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电子墨水屏</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触摸屏、支持背光显示、屏幕类型：E-ink电子墨水屏</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智能类型、屏幕尺寸：10英寸、屏幕分辨率：1600x1200像素内存容量：64GB</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屏幕色彩：黑白、可手写、语言：简体中文</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20</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jc w:val="center"/>
              <w:rPr>
                <w:rFonts w:hint="eastAsia" w:ascii="宋体" w:hAnsi="宋体" w:eastAsia="宋体" w:cs="宋体"/>
                <w:b w:val="0"/>
                <w:bCs w:val="0"/>
                <w:color w:val="auto"/>
                <w:sz w:val="21"/>
                <w:szCs w:val="21"/>
                <w:highlight w:val="none"/>
                <w:vertAlign w:val="baseline"/>
                <w:lang w:val="en-US" w:eastAsia="zh-CN"/>
              </w:rPr>
            </w:pPr>
          </w:p>
        </w:tc>
        <w:tc>
          <w:tcPr>
            <w:tcW w:w="1138" w:type="dxa"/>
            <w:vAlign w:val="center"/>
          </w:tcPr>
          <w:p>
            <w:pPr>
              <w:jc w:val="center"/>
              <w:rPr>
                <w:rFonts w:hint="eastAsia" w:ascii="宋体" w:hAnsi="宋体" w:eastAsia="宋体" w:cs="宋体"/>
                <w:b w:val="0"/>
                <w:bCs w:val="0"/>
                <w:color w:val="auto"/>
                <w:sz w:val="21"/>
                <w:szCs w:val="21"/>
                <w:highlight w:val="none"/>
                <w:vertAlign w:val="baseline"/>
                <w:lang w:val="en-US" w:eastAsia="zh-CN"/>
              </w:rPr>
            </w:pPr>
          </w:p>
        </w:tc>
        <w:tc>
          <w:tcPr>
            <w:tcW w:w="59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辅材</w:t>
            </w:r>
          </w:p>
        </w:tc>
        <w:tc>
          <w:tcPr>
            <w:tcW w:w="775" w:type="dxa"/>
            <w:vAlign w:val="center"/>
          </w:tcPr>
          <w:p>
            <w:pPr>
              <w:jc w:val="center"/>
              <w:rPr>
                <w:rFonts w:hint="eastAsia" w:ascii="宋体" w:hAnsi="宋体" w:eastAsia="宋体" w:cs="宋体"/>
                <w:b w:val="0"/>
                <w:bCs w:val="0"/>
                <w:color w:val="auto"/>
                <w:sz w:val="21"/>
                <w:szCs w:val="21"/>
                <w:highlight w:val="none"/>
                <w:vertAlign w:val="baseline"/>
                <w:lang w:val="en-US" w:eastAsia="zh-CN"/>
              </w:rPr>
            </w:pPr>
          </w:p>
        </w:tc>
        <w:tc>
          <w:tcPr>
            <w:tcW w:w="662" w:type="dxa"/>
            <w:vAlign w:val="center"/>
          </w:tcPr>
          <w:p>
            <w:pPr>
              <w:jc w:val="center"/>
              <w:rPr>
                <w:rFonts w:hint="eastAsia" w:ascii="宋体" w:hAnsi="宋体" w:eastAsia="宋体" w:cs="宋体"/>
                <w:b w:val="0"/>
                <w:bCs w:val="0"/>
                <w:color w:val="auto"/>
                <w:sz w:val="21"/>
                <w:szCs w:val="21"/>
                <w:highlight w:val="none"/>
                <w:vertAlign w:val="baseline"/>
                <w:lang w:val="en-US" w:eastAsia="zh-CN"/>
              </w:rPr>
            </w:pP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22U机柜</w:t>
            </w:r>
          </w:p>
        </w:tc>
        <w:tc>
          <w:tcPr>
            <w:tcW w:w="5975" w:type="dxa"/>
            <w:vAlign w:val="top"/>
          </w:tcPr>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1、符合GB/T3047.2、GB/T4054等标准，兼容ANSI/EIA RS-310-D、IEC297-2标准；</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2、机柜采用优质冷轧钢板；表面脱脂、酸洗、防锈纳米陶瓷化、纯水清洗、粉末静电喷塑；</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3、标准19英寸设计、标配风扇、托盘、脚轮和支撑脚等配件；</w:t>
            </w:r>
          </w:p>
          <w:p>
            <w:pPr>
              <w:keepNext w:val="0"/>
              <w:keepLines w:val="0"/>
              <w:widowControl/>
              <w:suppressLineNumbers w:val="0"/>
              <w:jc w:val="left"/>
              <w:textAlignment w:val="top"/>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4、防护等级IP20</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jc w:val="center"/>
              <w:rPr>
                <w:rFonts w:hint="eastAsia" w:ascii="宋体" w:hAnsi="宋体" w:eastAsia="宋体" w:cs="宋体"/>
                <w:b w:val="0"/>
                <w:bCs w:val="0"/>
                <w:color w:val="auto"/>
                <w:sz w:val="21"/>
                <w:szCs w:val="21"/>
                <w:highlight w:val="none"/>
                <w:vertAlign w:val="baseline"/>
                <w:lang w:val="en-US" w:eastAsia="zh-CN"/>
              </w:rPr>
            </w:pPr>
          </w:p>
        </w:tc>
        <w:tc>
          <w:tcPr>
            <w:tcW w:w="1138" w:type="dxa"/>
            <w:vAlign w:val="center"/>
          </w:tcPr>
          <w:p>
            <w:pPr>
              <w:jc w:val="center"/>
              <w:rPr>
                <w:rFonts w:hint="eastAsia" w:ascii="宋体" w:hAnsi="宋体" w:eastAsia="宋体" w:cs="宋体"/>
                <w:b w:val="0"/>
                <w:bCs w:val="0"/>
                <w:color w:val="auto"/>
                <w:sz w:val="21"/>
                <w:szCs w:val="21"/>
                <w:highlight w:val="none"/>
                <w:vertAlign w:val="baseline"/>
                <w:lang w:val="en-US" w:eastAsia="zh-CN"/>
              </w:rPr>
            </w:pPr>
          </w:p>
        </w:tc>
        <w:tc>
          <w:tcPr>
            <w:tcW w:w="59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舞蹈教室</w:t>
            </w:r>
          </w:p>
        </w:tc>
        <w:tc>
          <w:tcPr>
            <w:tcW w:w="775" w:type="dxa"/>
            <w:vAlign w:val="center"/>
          </w:tcPr>
          <w:p>
            <w:pPr>
              <w:jc w:val="center"/>
              <w:rPr>
                <w:rFonts w:hint="eastAsia" w:ascii="宋体" w:hAnsi="宋体" w:eastAsia="宋体" w:cs="宋体"/>
                <w:b w:val="0"/>
                <w:bCs w:val="0"/>
                <w:color w:val="auto"/>
                <w:sz w:val="21"/>
                <w:szCs w:val="21"/>
                <w:highlight w:val="none"/>
                <w:vertAlign w:val="baseline"/>
                <w:lang w:val="en-US" w:eastAsia="zh-CN"/>
              </w:rPr>
            </w:pPr>
          </w:p>
        </w:tc>
        <w:tc>
          <w:tcPr>
            <w:tcW w:w="662" w:type="dxa"/>
            <w:vAlign w:val="center"/>
          </w:tcPr>
          <w:p>
            <w:pPr>
              <w:jc w:val="center"/>
              <w:rPr>
                <w:rFonts w:hint="eastAsia" w:ascii="宋体" w:hAnsi="宋体" w:eastAsia="宋体" w:cs="宋体"/>
                <w:b w:val="0"/>
                <w:bCs w:val="0"/>
                <w:color w:val="auto"/>
                <w:sz w:val="21"/>
                <w:szCs w:val="21"/>
                <w:highlight w:val="none"/>
                <w:vertAlign w:val="baseline"/>
                <w:lang w:val="en-US" w:eastAsia="zh-CN"/>
              </w:rPr>
            </w:pP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会议音箱</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1.采用1只8寸中低音喇叭单元和2只3"锥形高音单元。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2.箱体采用15mm夹板制作，质量轻，耐磨喷漆处理，外贴防尘网棉。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3.精确设计的分频器优化人声部分的中频表现力。</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4.阻抗：8Ω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5.频响：65Hz~20KHz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6.额定功率：≥150W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7.峰值功率：≥600W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8.灵敏度：≥95dB/W/M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9.最大声压级（额定/峰值）：117dB/123dB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10.覆盖角度：(H)80°(V)60°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11.高音：3"锥形高音单元×2</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12.低音：8"低音×1</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全频数字功率放大器</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1.采用最新D类数字功放设计方案，失真小，效率高。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2.电源采用开关电源技术，效率高，有效的抑制电源谐波，达到欧盟绿色电源标准。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3.智能削峰限幅器，控制功率模块及扬声器系统在安全范围内工作。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4.标准XLR输入接口，和LINK输出口，简洁的接口更加方便不同用户需求。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5.开机软启动，防止开机时向电网吸收大电流，干扰其它用电设备。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6.智能控制强制散热设计，风机噪音小，散热效率高等特点。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7.具有：过压保护，欠压保护，过流保护，直流保护，输出短路保护，温控风扇等功能。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8.输出功率：立体声@8Ω：≥200W×2；立体声@4Ω：400W×2</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9.输入灵敏度：2.2dBu(1V)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10.输入阻抗：10KΩ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11.频率响应(@1W功率下)：20Hz-20KHz/±1dB @8Ω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12.THD+N(@1/8功率下) ：≤0.01%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13.分离度(@1KHz) ：≥80dB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14.阻尼系数(@1KHz) ：≥200@ 8 ohms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15.信噪比（A计权）：≥93dB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16.输入电压：~220V/50Hz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17.最大功耗：500W</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3</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音频矩阵处理器</w:t>
            </w:r>
          </w:p>
        </w:tc>
        <w:tc>
          <w:tcPr>
            <w:tcW w:w="5975" w:type="dxa"/>
            <w:vAlign w:val="top"/>
          </w:tcPr>
          <w:p>
            <w:pPr>
              <w:keepNext w:val="0"/>
              <w:keepLines w:val="0"/>
              <w:widowControl/>
              <w:suppressLineNumbers w:val="0"/>
              <w:jc w:val="left"/>
              <w:textAlignment w:val="top"/>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1.输入：≥4路平衡式话筒/线路，采用裸线接口端子，平衡接法。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2.输出：≥4路平衡式线路输出，采用裸线接口端子，平衡接法。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3.提供24bit/48kHz卓越的高品质声音。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4.全功能矩阵混音，支持用户灵活、简单的信号路由操作，路由路径和电平大小可在一个按钮上完成。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5.面板具有≥2.19英寸液晶显示屏，支持显示设备网络信息、实时电平、通道静音状态、矩阵混音状态。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6.面板具备USB接口，支持多媒体存储，可进行播放或存储录播。</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7.配置双向RS-232接口，可用于控制外部设备。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8.配置RS-485接口，可实现自动摄像跟踪功能。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9.配置≥8通道可编程GPIO控制接口（可自定义输入输出）。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10.支持断电自动保护记忆功能。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11.支持通道拷贝、粘贴、联控功能。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12.Enternet多用途数据传输及控制端口，可以支持实时管理单台及多台设备。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13.支持通过浏览器访问设备，下载自带管理控制软件；软件界面直观、图形化，可工作在XP/Windows7、8、10等系统环境下。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14.支持通过ipad或iPhone或安卓手机APP软件进行操作控制。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15.支持场景预设功能，最大支持100组场景。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16.输入通道：前级放大、信号发生器、扩展器、压缩器、5段参量均衡、AM自动混音功能、AFC自适应反馈消除、AEC回声消除、ANC噪声消除</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17.输出通道：≥31段图示均衡器、延时器、分频器、高低通滤波器、限幅器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18.采样率：48K</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19.幻象供电：DC 48V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20.频率响应：20Hz-20kHz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21.总谐波失真+噪声：≤0.003%,4dBu</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22.数/模动态范围(A-计权)：114dB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23.模/数动态范围(A-计权)：120dB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24.输入阻抗(平衡式)：20KΩ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25.最大输出阻抗（平衡式)：100Ω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26.通道隔离度：1kHz，104dB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27.输入共模抑制：70dB @80 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28.最大输出电平：+18dBu，平衡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29.最大输入电平：+18dBu，平衡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30.工作温度：0℃-40℃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31.工作电源：AC110V-220V,50Hz/60Hz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32.电源功耗：&lt;40W</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4</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反馈抑制处理器</w:t>
            </w:r>
          </w:p>
        </w:tc>
        <w:tc>
          <w:tcPr>
            <w:tcW w:w="5975" w:type="dxa"/>
            <w:vAlign w:val="top"/>
          </w:tcPr>
          <w:p>
            <w:pPr>
              <w:keepNext w:val="0"/>
              <w:keepLines w:val="0"/>
              <w:widowControl/>
              <w:suppressLineNumbers w:val="0"/>
              <w:jc w:val="left"/>
              <w:textAlignment w:val="top"/>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1.高性能DSP处理，40-bit DPS处理器,高精度32-bit/48kHz AD/DA，提供卓越高品质声音。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2.采用“陷波”+“移频”双方式进行反馈抑制。陷波器提供≥12固定点+12动态点。高精度移频，范围为-10Hz到10Hz。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3.具有噪声门功能，用于消除噪声。提供同时提供多种参数设置，方便现场灵活应用。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4.具有噪声门功能，用于限制输出大小。提供同时提供多种参数设置，方便现场灵活应用。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5.具有均衡器功能，提供图示均衡器和参量均衡器类型，提供≥8段参量均衡器和31段图示均衡器可选。图示均衡器支持高架、底架、参量滤波器多种类型。图示均衡器支持单点带宽模式配置。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6.具有分频器功能，具有贝塞尔、林克威治-瑞利、巴特沃斯三种滤波器类型及6/12/18/24/32/48db/oct多种可选，滤波器全频段可调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7.具有自动增益功能，声音达到一定峰值自动衰减变小，声音较小则自动增益放大；使音量保持在一定范围。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8.具有≥320*240 2英寸IPS真彩显示屏，方便快速操作，采用单键飞梭快捷操作，快速实现模式、直通、锁定及中英文选择功能。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9.具有≥48个陷波器状态LED指示灯，实时显示陷波器状态。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10.支持4个场景切换，灵活导入和导出场景数据。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11.支持恢复出厂设置、设备定位、断电自动保护记忆。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12.支持通过后台管理软件对多台设备进行批量升级。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13.以太网Enternet接口，可通过网络实时在线同时管控多台设备。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14.输入通道及插座：2路XLR与TRS多功能座模拟输入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15.输出通道及插座：2路XLR公座+2路TRS公座 模拟输出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16.输入阻抗：平衡：20KΩ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17.输出阻抗：平衡：100Ω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18.输入范围：≤+20dBu</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19.频率响应：20Hz-20kHz（±0.5dB）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20.信噪比：≥103dB@1kHz 20dBu（A计权）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21.失真度：&lt;0.012% OUTPUT=0dBu/1kHz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22.通道分离度：&gt;82dB(1kHz)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23.啸叫寻找与抑制方式：全自动式陷波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24.滤波器：≥24个每通道</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25.Q值范围：10-50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26.频率分辨率：1Hz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27.啸叫寻找时间：0.1—0.5S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28.FFT长度：1024</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29.传声增益：4—10dB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30.系统增益：0dB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31.陷波器：双通道各12个静态点+12个动态点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32.分频器：具有巴特沃斯，贝塞尔，林克威治-瑞利三种高低通滤波器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33.均衡器：31段图示均衡器+8段参量均衡器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34.显示：2英寸IPS真彩显示屏，分辨率320*240；48个陷波器状态LED指示灯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35.处理器：48kHz采样频率，40-bit DSP处理器；32-bit A/D及D/A转换</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5</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万向挂钩</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固定面板孔位尺寸（长*宽）： 140mm*65mm</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箱体固定面板孔位尺寸（长*宽）： 128mm*70mm</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设备面板尺寸：160mm*90mm</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只</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4</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6</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8路时序电源</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1.8通道电源时序打开/关闭。</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2.远程控制（上电+24V直流信号）8通道电源时序打开/关闭—当船型开关处于off位置时有效。支持配置CH1和CH2通道为受控或不受控状态。</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3.当远程控制有效时同时控制后板ALARM（报警）端口导通以起到级联控制ALARM（报警）功能。</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4.单个通道最大负载功率2200W，所有通道负载总功率达6000W。</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5.输入连接器：大功率线码式电源连接器。</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6.输出连接器：多用途电源插座。</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7.USB输出接口，可以接LED灯。</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8.额定输出电压：AC~220V50Hz</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9.额定输出电流：30A</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10.可控制电源：8路</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11.每路动作延时时间：1秒</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12.供电电源：VAC，220V50/60Hz，30A</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13.单路额定输出电源：10A</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jc w:val="center"/>
              <w:rPr>
                <w:rFonts w:hint="eastAsia" w:ascii="宋体" w:hAnsi="宋体" w:eastAsia="宋体" w:cs="宋体"/>
                <w:b w:val="0"/>
                <w:bCs w:val="0"/>
                <w:color w:val="auto"/>
                <w:sz w:val="21"/>
                <w:szCs w:val="21"/>
                <w:highlight w:val="none"/>
                <w:vertAlign w:val="baseline"/>
                <w:lang w:val="en-US" w:eastAsia="zh-CN"/>
              </w:rPr>
            </w:pPr>
          </w:p>
        </w:tc>
        <w:tc>
          <w:tcPr>
            <w:tcW w:w="1138" w:type="dxa"/>
            <w:vAlign w:val="center"/>
          </w:tcPr>
          <w:p>
            <w:pPr>
              <w:jc w:val="center"/>
              <w:rPr>
                <w:rFonts w:hint="eastAsia" w:ascii="宋体" w:hAnsi="宋体" w:eastAsia="宋体" w:cs="宋体"/>
                <w:b w:val="0"/>
                <w:bCs w:val="0"/>
                <w:color w:val="auto"/>
                <w:sz w:val="21"/>
                <w:szCs w:val="21"/>
                <w:highlight w:val="none"/>
                <w:vertAlign w:val="baseline"/>
                <w:lang w:val="en-US" w:eastAsia="zh-CN"/>
              </w:rPr>
            </w:pPr>
          </w:p>
        </w:tc>
        <w:tc>
          <w:tcPr>
            <w:tcW w:w="59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音乐教室</w:t>
            </w:r>
          </w:p>
        </w:tc>
        <w:tc>
          <w:tcPr>
            <w:tcW w:w="775" w:type="dxa"/>
            <w:vAlign w:val="center"/>
          </w:tcPr>
          <w:p>
            <w:pPr>
              <w:jc w:val="center"/>
              <w:rPr>
                <w:rFonts w:hint="eastAsia" w:ascii="宋体" w:hAnsi="宋体" w:eastAsia="宋体" w:cs="宋体"/>
                <w:b w:val="0"/>
                <w:bCs w:val="0"/>
                <w:color w:val="auto"/>
                <w:sz w:val="21"/>
                <w:szCs w:val="21"/>
                <w:highlight w:val="none"/>
                <w:vertAlign w:val="baseline"/>
                <w:lang w:val="en-US" w:eastAsia="zh-CN"/>
              </w:rPr>
            </w:pPr>
          </w:p>
        </w:tc>
        <w:tc>
          <w:tcPr>
            <w:tcW w:w="662" w:type="dxa"/>
            <w:vAlign w:val="center"/>
          </w:tcPr>
          <w:p>
            <w:pPr>
              <w:jc w:val="center"/>
              <w:rPr>
                <w:rFonts w:hint="eastAsia" w:ascii="宋体" w:hAnsi="宋体" w:eastAsia="宋体" w:cs="宋体"/>
                <w:b w:val="0"/>
                <w:bCs w:val="0"/>
                <w:color w:val="auto"/>
                <w:sz w:val="21"/>
                <w:szCs w:val="21"/>
                <w:highlight w:val="none"/>
                <w:vertAlign w:val="baseline"/>
                <w:lang w:val="en-US" w:eastAsia="zh-CN"/>
              </w:rPr>
            </w:pP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班(美育)教学系统(APP标准版)</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1、云资源库1).根据教材版本需要，辅助配套制作《音乐》《美术》课程课件，实现云端在线更新。2).可根据学校需求逐步添加需要的教学资料，云端上传后即可实时下载。</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2、智能远程升级系统,系统是互联网化的产品，因此产品不断迭代升级，主机重启后会从云端匹配软件，自动升级最新的软件版本，确保获得最新的服务。</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3、云平台，为互动教学提供管理和数据分析支持。完成系统所需要的学校、教学班级、学生资料的维护以及互动教学各类数据的查询统计。</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4、课堂实时控制系统</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1).支持教师主机对学生主机的状态控制，听课、自由等模式；</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2).支持学生举手提问功能，老师在讲台屏幕端即可获取，并进行相应反馈。</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3).支持老师随机提问，如有录音等可以保存到学生对应账户，实现教学过程留痕。</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4).支持将教学画面投射到平板上，通过平板可以同步控制，实现移动教学。</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5、竞技活动系统</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1).后台支持活动的创建、开展、结束，也可以参加上级组织的联网活动，能一键轻松组织竞技活动，为丰富校园生活提供支撑；</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2).通过系统的评分，也可以结合专家人工评委，进行加权评分，为学生营造公平的竞技环境；</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3).支持声音或视频录制；</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4).支持家长移动端互相点赞，家校互通，欣赏学生优秀作品，互动社交让学生互相学习，基于此可以评价出人气选手和作品。</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6、定格动画系统，通过摄像头拍摄的多个图片，根据时间轴进行逐帧切换，结合创作的音频，形成完整的音视频动画，可以叠加字幕。开动学生的脑洞，打开视频创客新世界。</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【音乐教学】</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1、互动教学系统，满足中小学音乐欣赏、演唱、演奏、创作教学之用。包括通用教学模块、视唱教学模块、歌唱教学、鉴赏等教学模块，有效辅助教师授课。</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1).支持数字化曲谱，能进行范唱、伴奏、MIDI播放、节奏节拍等多种播放方式，更有谱音同步、移调、调速等功能，其中曲谱音色可以切换多种不同音色。</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2).支持PPT课件教学，除了常规的PPT功能外，能快速链接跳转到曲谱播放、音乐节奏律动、赏析、乐理知识等；</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3).支持曲谱模式下快速链接到其他课外资源，包括词曲作者生平、视频、图片、PPT、乐理知识等，该内容可以由老师自己定义；</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曲谱支持播放、暂停、快速回放录音（支持播放过程中可暂停并快速回放已录制音频）、播放过程支持快速精准定位跳转（即点击曲谱音符和歌词任意位置可以快速定位播放），支持声部显示和隐藏，支持歌词显示和隐藏；</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5).范唱、伴唱及唱名播放支持变调播放或变速播放，或同时支持变调变速播放，播放过程谱音同步；</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6).运用奥尔夫启蒙式节奏教学，根据音乐鼓点插入不同图标，引导学生做出相应动作，如拍手、击掌、拍桌等，实现音乐节奏律动功能；</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2、备课系统，提供相关的备课工具给音乐老师：</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1).实现PPT课件制作、可以在课件中嵌入平台上的资源，包含：曲谱、音乐节奏律动、赏析、乐理知识等；</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2).音乐特色教学内容创作，如奥尔夫教学式的音乐节奏律动；</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3).可对教材曲谱中的资源链接进行编辑，导入自己喜欢的音视频、图片、PPT等资源；</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4).查找其他老师分享的教学资源、对教学资源进行二次创作、可分享自己的教学资源。</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3、合唱系统</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1).数字化合唱曲谱，让音乐老师排演更轻松，可任意选择显示和隐藏声部，并且不同声部支持不同音效。</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2).支持曲谱的二次编辑，并可以保存为新的副本；</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3).录音及回放，支持声音采集和录制，并快速进行回放，帮助老师和学生复盘问题。</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4、智能评分系统</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支持演唱和演奏（单旋律无电类乐器，如竹笛、陶笛、葫芦丝等）根据人声和乐器声的高音、音准、节奏、稳定、技巧智能实时评分，互动式的展示让学生体验更好，更愿意去反复练习，更大大的提升老师教学效率；</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2).可以回放自己演奏的歌曲，回放的时候提示错误的音节。</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5、创编制谱系统，创编系统，实现图形化制谱功能，支持师生音乐创作。</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1).针对不同年龄的学生，提供简易图形、简谱、线谱的创编模块，满足不同能力的用户音乐创作需求；</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2).所见即所得，可以直接预览、保存、二次编辑、上传、分享。</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6、乐理教学</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1).支持88键钢琴乐理教学，支持线间、音名、唱名显隐；</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2).支持音程尺调用五线谱电教板软件；</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3).汇聚包括音乐家、乐器百科、乐理知识在内的各类音乐知识，丰富音乐学习材料，让音乐学习更轻松；</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4).每个音乐知识词条，都包含了文字、图片、代表作音频。让音乐学习更直观。</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7、录音回放，能录制演唱、演奏等声音作品并且可以回放；支持上传云平台存储。</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【美术教学】</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1、课程资源：实现人教、人美、湘美、苏少、浙美四大出版社国标本美术教材一课一件。</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2、仿真画笔功能：具备铅笔、钢笔、喷笔、水彩笔、油画笔、蜡笔、麦克笔、毛笔、特制笔等不少于20种仿真画笔，具备橡皮擦和一键清除图层功能；</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3、软硬橡皮功能：可调节橡皮大小</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套</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平台空间运维</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学生录音、录像、编曲、视频等数据存储空间及流量产生的费用；教师课件、教学资源以及其他录音、录像、编曲、视频、绘画作品等数据存储空间及流量；平台维护费；官方教学等资源上新；软件的迭代升级。</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项</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jc w:val="center"/>
              <w:rPr>
                <w:rFonts w:hint="eastAsia" w:ascii="宋体" w:hAnsi="宋体" w:eastAsia="宋体" w:cs="宋体"/>
                <w:b w:val="0"/>
                <w:bCs w:val="0"/>
                <w:color w:val="auto"/>
                <w:sz w:val="21"/>
                <w:szCs w:val="21"/>
                <w:highlight w:val="none"/>
                <w:vertAlign w:val="baseline"/>
                <w:lang w:val="en-US" w:eastAsia="zh-CN"/>
              </w:rPr>
            </w:pPr>
          </w:p>
        </w:tc>
        <w:tc>
          <w:tcPr>
            <w:tcW w:w="1138" w:type="dxa"/>
            <w:vAlign w:val="center"/>
          </w:tcPr>
          <w:p>
            <w:pPr>
              <w:jc w:val="center"/>
              <w:rPr>
                <w:rFonts w:hint="eastAsia" w:ascii="宋体" w:hAnsi="宋体" w:eastAsia="宋体" w:cs="宋体"/>
                <w:b w:val="0"/>
                <w:bCs w:val="0"/>
                <w:color w:val="auto"/>
                <w:sz w:val="21"/>
                <w:szCs w:val="21"/>
                <w:highlight w:val="none"/>
                <w:vertAlign w:val="baseline"/>
                <w:lang w:val="en-US" w:eastAsia="zh-CN"/>
              </w:rPr>
            </w:pPr>
          </w:p>
        </w:tc>
        <w:tc>
          <w:tcPr>
            <w:tcW w:w="59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辅材</w:t>
            </w:r>
          </w:p>
        </w:tc>
        <w:tc>
          <w:tcPr>
            <w:tcW w:w="775" w:type="dxa"/>
            <w:vAlign w:val="center"/>
          </w:tcPr>
          <w:p>
            <w:pPr>
              <w:jc w:val="center"/>
              <w:rPr>
                <w:rFonts w:hint="eastAsia" w:ascii="宋体" w:hAnsi="宋体" w:eastAsia="宋体" w:cs="宋体"/>
                <w:b w:val="0"/>
                <w:bCs w:val="0"/>
                <w:color w:val="auto"/>
                <w:sz w:val="21"/>
                <w:szCs w:val="21"/>
                <w:highlight w:val="none"/>
                <w:vertAlign w:val="baseline"/>
                <w:lang w:val="en-US" w:eastAsia="zh-CN"/>
              </w:rPr>
            </w:pPr>
          </w:p>
        </w:tc>
        <w:tc>
          <w:tcPr>
            <w:tcW w:w="662" w:type="dxa"/>
            <w:vAlign w:val="center"/>
          </w:tcPr>
          <w:p>
            <w:pPr>
              <w:jc w:val="center"/>
              <w:rPr>
                <w:rFonts w:hint="eastAsia" w:ascii="宋体" w:hAnsi="宋体" w:eastAsia="宋体" w:cs="宋体"/>
                <w:b w:val="0"/>
                <w:bCs w:val="0"/>
                <w:color w:val="auto"/>
                <w:sz w:val="21"/>
                <w:szCs w:val="21"/>
                <w:highlight w:val="none"/>
                <w:vertAlign w:val="baseline"/>
                <w:lang w:val="en-US" w:eastAsia="zh-CN"/>
              </w:rPr>
            </w:pP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22U机柜</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1、符合GB/T3047.2、GB/T4054等标准，兼容ANSI/EIA RS-310-D、IEC297-2标准；</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2、机柜采用优质冷轧钢板；表面脱脂、酸洗、防锈纳米陶瓷化、纯水清洗、粉末静电喷塑；</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3、标准19英寸设计、标配风扇、托盘、脚轮和支撑脚等配件；</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4、防护等级IP20</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3</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画屏</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全高清32吋类纸护眼屏，木质艺术外框设计，采用无损技术，防眩光、智能感光、智能匹配画作风格，使海量画作真迹般呈现。AI语音交互，专属艺术及生活助理。家庭画廊，海量名家艺术内容，名家名作智能语音讲解，艺术云展鉴赏，尽享艺术熏陶。画屏APP联动，可AI识图、图片处理、远程操控，随时随地分享感动。屏幕尺寸：32英寸；屏幕分辨率：1920*1080;显示比例:16:9;屏幕技术:LCD;操作系统:安卓7.1;中央处理器(SOC):Amlogic T960x;CPU架构:4*Cortex A53;CPU主频:1.5GHz;图形处理器(GPU):Mali-450MP;运行内存:1G;存储内存:8G;HDMI接口:HDMI2.0*1;USB接口:USB2.0*1;</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8</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4</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视频处理器</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1、单台具备不少于24路千兆网口输出，带载能力可达1560万像素、最宽16384像素、最高8192像素，网口带载没有矩形带载限制，支持自由走线，最大化提高网口带载利用率；</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2、集视频处理、视频控制以及 LED 屏体配置等功能于一体，具备多种类的视频信号接收能力、4K×2K@60Hz 的图像处理能力和发送能力。</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3、拥有完备的视频输入接口： 1 路 HDMI 2.0，1路DP1.2，4 路 HDMI，1 路 3G-SDI+LOOP（可根据实际需求选配）。</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4、支持 HDR 输出，能够极大地增强显示屏的画质，使画面色彩更加 真实生动，细节更加清晰。</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5、支持个性化的画质缩放：支持不少于三种画面缩放模式，包括点对点模式、全屏缩放、自定义缩放。搭载superview画质处理技术，画面可无极缩放；</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6、支持对LED显示屏输出画面的画质调节，包括但不限于：亮度、饱和度、对比度等；</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7、支持多窗口显示，不少于6 窗口的任意布局，至少包含2路4K窗口+4路2K窗口；</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8、支持OSD字幕功能，字幕颜色，内容可通过软件自定义编辑；</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9、支持高位深信号输入源输入，最高支持12bit信号输入；</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10、支持音频功能，输入接口支持音频伴随输入，输出音频支持随信号切换而切换。</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11、支持场景预设功能，可创建不低于 10 个用户场景作为模板保存，方便直接调用。</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12、支持对输入信号进行分辨率自定义 ，最大可支持4096*2160@60信号输入，并向下兼容4K*1K,2K等；</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13、设备前面板应配备 LCD 显示模块，可直接观察各接口的通讯状态，设备型号，IP地址，屏幕大小及信号源状态等信息，简化系统的控制操作。</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14、为保障画面输出无撕裂，应支持选择输入源作为同步信号，达到输出的场级同步,；</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15、支持配合多功能卡，实现对屏体电源的手动控制，自动控制，以及软件控制，灵活简单。</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5</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综合管理平台</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平台集成LED全彩软件调试、全彩软件播控、单色LED软件控制、LED电源控制、方便用户使用管理。（投标时需提供软件集中控制视频操作演示），需兼容用户其他LED原有版本。支持音视频软件接入。播放软件功能如下</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1.支持主流视频格式：MPG、AVI、MP4、RMVB、MKV、MOV。</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2.支持主流图片格式：JPG、PNG、GIF、BMP、JPEG。</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3.支持主流文档格式：PDF、PPT、WORD、EXCEL。</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4.支持需支持文本、GIF、媒体、天气、时钟、文本、温度、RSS、倒计时、炫彩文字等多种复杂媒体组合。</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5.软件支持自动搜索连接终端，并进行屏体配置、节目发布、播放控制等</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6.支持自动统计媒体播放次数、时长（精确到毫秒）。</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7.支持多窗口自定义布局播放，可任意设定播放窗口分辨率，同时支持多种标准分辨率选择，可根据X、Y偏移和宽高任意设定窗口布局方式，窗口数量不限。</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8.支持局域网内实时控制，包括重启终端、软件更新、音量调节、显示屏亮度调节、双模切换、支持开关屏。</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9.支持查看媒体播放日志，并支持以日期范围、类型等条件进行查询。</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10.支持远局域网设置对时，对时需支持NTP、射频对时、GPS对时多种方式。</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11.软件同时支持X86、ARM架构终端一体化设备，支持现有X86同步终端的利旧使用，并支持以上终端设备的混合使用。</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12.软件支持节目导入和导出，导出到U盘支持即插即播和拷贝播放两种方式。</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13.支持高级节目由节目经过排期形成。 用户可新建、编辑、删除、导入、导出和发布高级节目。</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14.支持播放设备字体管理，用户可以进行添加、删除操作。</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套</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6</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配电箱</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配电系统采用三相五线制供电，配电系统保证三相平衡，屏体采用“分步加电”的上电方式，尽量减少对电网的冲击影响，同时还应配备过流、短路、断路、过压、欠压、温度过高等保护措施，以及相应的故障指示装置。实现定时开关屏体，方便用户的使用</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7</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对讲系统</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频率范围：400-520；距离：3公里以内；电源类型：锂电池；</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个</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3</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8</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HDMI线</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光纤HDMI线70米</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条</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9</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HDMI线</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光纤HDMI线20米</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条</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3</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bl>
    <w:p>
      <w:pP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2.1</w:t>
      </w:r>
      <w:r>
        <w:rPr>
          <w:rFonts w:hint="eastAsia" w:ascii="宋体" w:hAnsi="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val="en-US" w:eastAsia="zh-CN"/>
        </w:rPr>
        <w:t xml:space="preserve"> 智慧教室</w:t>
      </w:r>
    </w:p>
    <w:tbl>
      <w:tblPr>
        <w:tblStyle w:val="99"/>
        <w:tblW w:w="105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1138"/>
        <w:gridCol w:w="5975"/>
        <w:gridCol w:w="775"/>
        <w:gridCol w:w="662"/>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序号</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项目名称</w:t>
            </w:r>
          </w:p>
        </w:tc>
        <w:tc>
          <w:tcPr>
            <w:tcW w:w="59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技术参数</w:t>
            </w:r>
          </w:p>
        </w:tc>
        <w:tc>
          <w:tcPr>
            <w:tcW w:w="7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单位</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数量</w:t>
            </w:r>
          </w:p>
        </w:tc>
        <w:tc>
          <w:tcPr>
            <w:tcW w:w="1013"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86寸智能交互一体机</w:t>
            </w:r>
          </w:p>
        </w:tc>
        <w:tc>
          <w:tcPr>
            <w:tcW w:w="5975" w:type="dxa"/>
            <w:vAlign w:val="top"/>
          </w:tcPr>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一、整体设计</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1.整机采用一体化设计，外部无任何可见内部功能模块连接线。整机采用全金属外壳设计，边角采用弧形设计，表面无尖锐边缘或凸起</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2.整机屏幕边缘采用金属圆角包边防护，整机背板采用金属材质，有效屏蔽内部电路器件辐射；防潮耐盐雾蚀锈，适应多种教学环境。</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3.整机屏幕采用86英寸液晶显示器，采用UHD超高清LED液晶屏，显示比例16:9，分辨率3840*2160。</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4.触控一体机表面使用钢化玻璃，表面硬度达到9H，接近钻石硬度，有效保护教师及学生授课安全。</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5.整机采用硬件低蓝光背光技术，在源头减少有害蓝光波段能量，蓝光占比（有害蓝光415～455nm能量综合）/（整体蓝光400～500能量综合）＜50%，低蓝光保护显示不偏色、不泛黄。</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6.整机色域覆盖率（NTSC）≥79%，支持色彩空间可选，包含标准模式和sRGB模式，在sRGB模式下可做到高色准△E≤1.5；</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7.从内部Android通道切换到内部PC通道后，触摸框在1s内达到可触控状态；从内部PC通道切换到外部通道后，触摸框在3s内达到可触控状态。</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8.整机视网膜蓝光危害（蓝光加权辐射亮度LB）满足IEC TR 62778:2014蓝光危害RG0级别。</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9.整机支持纸质护眼模式，可以在任意通道任意画面任意软件所有显示内容下实现画面纹理的实时调整；支持纸质纹理：牛皮纸、素描纸、宣纸、水彩纸、水纹纸；支持透明度调节；支持色温调节。</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10.通过由中国标准化研究院制定的视觉舒适度（VICO）评价体系测试，并达到视觉舒适度A+级或以上标准。</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二、整机设计</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1.整机内置音箱顶置朝前发声，2.2声道扬声器，额定总功率60W。扬声器采用缝隙发声技术，喇叭采用槽式开口设计，不大于5.8mm；</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2.整机支持高级音效设置，可以调节左右声道平衡；在中低频段125Hz～1KHz，高频段2KHz～16KHz分别有-12dB～12dB范围的调节功能</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3.整机内置非独立外扩展的4阵列麦克风，可用于对教室环境音频进行采集，拾音距离≥12m。内置摄像头、麦克风无需外接线材连接，无任何可见外接线材及模块化拼接痕迹，未占用整机设备端口。</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4.整机内置非独立摄像头，拍摄像素数≥1500万，摄像头视场角≥135度，水平视角120度，可用于远程巡课，并且可通过摄像头进行人数统计、随机抽选、环境色温判断等功能。</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设备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6.触控一体机支持NFC投屏功能：可搭配具有NFC功能的手机、平板，无需通过软件手机或平板可投屏至一体机，支持至少4台同步显示和连接。</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7.整机支持蓝牙Bluetooth 5.2标准，整机支持Wi-Fi6；Wi-Fi及AP热点支持频段2.4GHz/5GHz。内置无线传屏接收端，无需外接接收部件，无线传屏发射器与整机匹配后即可实现传屏功能，将外部电脑的屏幕画面通过无线方式传输到整机上显示。</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8.侧置输入接口具备2路HDMI、1路RS232；侧置输出接口具备1路音频、1路触控USB；前置输入接口3路USB接口（包含1路Type-C、2路USB）。                                                                                           9.前置按键自定义：设备支持不少于5个自定义前置按键，可通过自定义设置实现前置面板功能按键一键启用小工具，如：批注、截屏、计时、降半屏、放大镜、倒数日、日历、纸质护眼模式、经典护眼模式、自动亮度模式及信号源设置等。</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三、主要功能</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1.整机支持在设备上获取并自动识别教室内所有人员，通过随机算法抽选1人。</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2.整机设备支持统一互通的用户身份认证服务，账号登录后，打开教学白板软件、学生行为评价软件的教学应用工具时无需再次输入账号密码重复登录。</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3.整机安卓和全部外接通道（HDMI、Type-c）下侧边栏支持在音乐课，学生跟随节拍器打节奏；支持设置节拍、轻重、节拍播放速度。全通道下可支持通过自定义按键调出该功能。</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整机安卓和全部外接通道（HDMI、Type-c）下侧边栏支持通过扫描二维码加入班级，老师设置题型，学生回答后提交，教师查看正确率比例及详细讲解；支持随机抽选、实时弹幕；支持管理当前班级成员；支持导出学生报告。全通道下可支持通过自定义按键调出该功能。</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5.整机设备教学桌面支持推荐应用，根据用户使用习惯，推荐常用应用，方便老师快速找到自己要用的应用，推荐应用支持进行移除。</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整机设备教学桌面支持U盘、移动硬盘等外接存储设备直接在桌面显示，无需打开文件浏览器即可快速查看文件列表，并且支持文件打开。支持查看全部文件列表以及按照文档、图片、音视频分类方式查看文件列表。</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7.整机设备教学桌面U盘文件查看窗口支持使用文件浏览器打开U盘，以便进行更多高级操作。</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8.整机内置触摸中控菜单，可查看当前正在运行的进行，支持应用切换，在全屏应用下无需退出全屏应用即可进行切换；支持应用关闭，以及关闭所有应用。</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9.整机全通道侧边栏快捷菜单包含如下小工具：批注、截屏、计时、降半屏、放大镜、日历、键盘,（在Android及其他非PC通道时，还具备答题、倒数日、节拍器、冻结小工具）。</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10.整机全通道侧边栏支持展示学校名称、设备班级、场地信息。</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11.整机关机状态下，通过长按电源键进入设置界面后，可点击屏幕选择故障检测、系统还原功能，系统还原可单独还原PC系统，单独还原整机系统。                                                                                     12.互动答题：在任意通道下支持通过前置物理按键调用互通答题功能，重点演示windows与安卓系统下，通过扫描二维码加入班级，并支持设置题型，答案提交，查看正确率比例及详细讲解；支持随机抽选、实时弹幕；支持管理当前班级成员；支持导出学生报告。                                                                                                                                                                                               13.人脸识别登录及课件分享：演示通过设备内置摄像头进行人脸识别登陆，登陆后自动获取个人最近使用课件，并一键调用教师云空间及校本资源课件，也支持将互动教学课件支持定向精准分享，分享者可将互动课件、课件组精准推送至指定接收方账号云空间，接收方可在云空间接收并打开分享课件。                                                                                                                                                         14.快捷工具：演示白板软件自带的AI智能语义分析模块，可自由开启或关闭，可对输入的英文文本的拼写、句型、语法进行错误检查，并支持一键纠错。同时白板软件自带快捷图片处理工具，无需借助专业图片处理软件，可在白板软件中对导入的图片进行快捷抠图（去背景），处理后的图片主体边缘没有明显毛边。                                                                                                                                          15.学科工具：方程式只需输入一个元素，将自动显示出和该元素相关的多个常用化学反应方程式供选用；支持语文及英语学科自定义听写频率和次数，一键生成听写卡，一键开启听写朗读。                                                                       16.微课录制：支持教学软件录制微课，老师录制微课时可批注、书写，插入学科工具辅助进行讲解，录制完成即可快速剪辑，支持设置主观题与客观题答题板、课堂活动、习题等，支持二维码分享，学生可边看微课边答题；支持生成学情报告，包括学生观看微课情况、答题数及正确率等。                                                                                                                                                  17.集体备课：：演示在白板教学软件内创建集体备课活动，支持校内和跨校集备，老师可以针对课件、教案进行批注和研讨；主备人可多次修改稿件后上传，具备稿件版本对比功能；支持数据统计和访问记录查看；支持一键导出为文字版报告。                                                                                                                                                                       18.督导巡课：演示通过集控管理平台查看全校教室的摄像头画面及多媒体设备屏幕画面；并支持在一个显示界面同时查看单个教室内屏幕、摄像头实时画面，以及麦克风声音；巡课过程中可选择评课表进行打分点评（分值、评语），评课表支持模版保存、二次编辑功能，并自动生成评课记录，记录包括课程名称、课程表、授课教师、学科、评课分数等信息，并支持查看详细信息；同时支持远程喊话功能，实现课堂与听课教师的双向语音互动。                                                                                                                                                                                                        19..远程巡视：演示通过移动端远程查看教室的实时摄像头画面、设备屏幕画面以及所有麦克风的声音，完整还原课堂全貌；发现有违规违纪行为时，可远程发消息、发语音直接干预；支持记录所有巡视记录，方便回溯。</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四、触摸系统</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1.采用红外触控技术，支持Windows系统中进行32点或以上触控，支持在Android系统中进行32点或以上触控，支持书写触控延迟≤25ms。</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2.触摸分辨率32768×32768；触摸响应时间≤4ms；触摸最小识别物≤3mm。</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3.触摸屏具有防遮挡功能，触摸接收器在单点或多点遮挡后仍能正常书写。</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五、安卓系统</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1.嵌入式系统版本≥Android 11，内存≥2GB，存储空间≥8GB。</w:t>
            </w:r>
          </w:p>
          <w:p>
            <w:pPr>
              <w:keepNext w:val="0"/>
              <w:keepLines w:val="0"/>
              <w:widowControl/>
              <w:suppressLineNumbers w:val="0"/>
              <w:jc w:val="left"/>
              <w:textAlignment w:val="top"/>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2.无PC状态下，嵌入式Android操作系统下可实现windows系统中常用的教学应用功能，如白板书写、WPS软件使用和网页浏览。</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26</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授权教学软件</w:t>
            </w:r>
          </w:p>
        </w:tc>
        <w:tc>
          <w:tcPr>
            <w:tcW w:w="5975" w:type="dxa"/>
            <w:vAlign w:val="top"/>
          </w:tcPr>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一、教学软件</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1.采用备授课一体化框架设计，为使用方全体教师配备个人账号，能够为教师提供100T的云存储空间，教师可在个人云空间中上传存储互动课件、云教案和其他教学资源。</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2.支持PPT的原生解析，教师可将pptx课件转化为互动教学课件，支持单份导入和批量文件夹导入两种导入方式。支持将互动课件导出为pptx、pdf、H5或web链接，在多终端（包含windows、Macos、iOS、安卓、uos）二次编辑。</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3.趣味选择竞赛游戏：支持创建两人pk模式的选择题竞赛游戏，答对即可得分，分高者获胜。题目支持单选题和多选题，根据题目难度设置答题时间，支持记录和展示学生作答结果，便于易错知识点讲解。</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具有课堂活动智能填写功能，支持选词填空、判断对错和趣味选择三大课堂活动，输入文本后可以一键解析，自动将文本内容结构化填充至题干和正确选项，完成课堂活动的制作；课堂互动游戏支持云储存，编辑完成的活动可一键存储至教师云空间，便于在不同课件中直接调用，无需反复编辑。</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5.操作快捷键：兼容传统课件制作工具的组合快捷按键，支持如加粗（Ctrl+B）、文字居中（Ctrl+E）等教师熟悉的组合按键，鼠标悬停至功能按键时自动提示组合快捷键，内置组合快捷键数量不少于50个。</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6.全文快速搜索：支持在课件中通过快捷键（Ctrl+F）调用搜索控件，输入文本即可查找课件内文本框、形状、表格中对应的文本匹配项。</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支持浏览和插入国际音标表，可直接点击发音，支持已整表和单个音标卡片插入。支持智能将字母、单词、句子转写为音标，并可一键插入到备课课件中形成文本。软件内置的AI智能语义分析模块，可对输入的英文文本的拼写、句型、语法进行错误检查，并支持一键纠错。</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8.提供截图工具，可对课件内容、桌面内容快速截图，可自由调整截屏范围，截屏内容直接插入课件；支持白板操作撤销和重做，防止误操作影响教学。</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9.互动教学课件支持定向分享，分享者可将互动课件、课件组推送至指定接收方账号云空间，接收方可在云空间接收并打开分享课件。</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10.互动教学课件支持开放式云分享：分享者可将互动课件、课件组以公开或加密的web链接和二维码形式进行分享，分享链接可设置访问有效期。</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11.互动课件内容的编辑修改无需人为保存即可自动同步至云空间，可根据教师需要调整云空间自动同步的时间间隔，避免教学资源的损坏、遗失。本地课件则不会自动同步到云空间以保证数据安全。编辑多份互动课件时，教师可一键将所有处于编辑状态的课件同步到互动课件云空间。</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12.提供教案模板，方便老师撰写教案，预置模板包含表格式、提纲式、集备式、多课时式、单元设计式等不少于7个。支持校本模板，管理员在教研管理后台设置校本模板后，老师可在云教案模板调用。</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13.云教案内支持插入课件页，可调用云空间中的课件列表，按单页或整份插入教案。插入后的课件可以窗口形式预览，可直接在窗口内进行翻页、元素移动、课堂活动操作、思维导图展开收起、形状工具、蒙层工具、笔工具的交互。可一键切换至全屏模式，全屏模式下支持批注和手势擦除。</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14.可一键插入思维导图，支持直接在教案页面的轻量化编辑，进入全屏后可设置更多导图格式；教案授课模式下，课件页、思维导图、插入的PDF、Word等文件均支持全屏预览板书。</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15.教学软件支持对接国产化操作系统，；</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二、设备运维管理系统软件</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1.系统基于SaaS布局，应用界面采用B/S架构设计，支持学校管理员在Windows、Linux、Android、IOS等多种不同的操作系统上通过网页浏览器登录进行所有管理指令操作。</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系统支持多类型设备接入，集中运维。包含班班通设备、录播设备、班牌设备、校园屏显设备、学生平板设备。支持实时展示不少于20台设备的运行画面，并支持切换画面模式/列表模式，方便管理员根据实际管理需要选择管理模式。</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支持系统智能分析设备违规使用情况，并提供对应的处理策略。包含：分析设备在非教学时间段使用，提供节能策略设置措施；分析设备使用的非教学软件情况，提供一键拦截功能；支持分析设备访问的网址信息，标识违规网址，以便学校针对性管理。</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4.支持同时查看8个教室的实时摄像头画面、设备屏幕画面；支持在一个显示界面同时查看单个教室内所有屏幕、所有摄像头的实时画面，以及所有麦克风的声音。支持记录所有管理员的巡视记录，方便回溯。</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5.支持远程向已冰冻的设备发送指令、安装软件、传输大文件，设备接收到后会立即执行，并在设备正常关机时触发穿透动作，且穿透过程中无需人为解冻。</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支持远程批量清理设备磁盘，保障设备磁盘可用空间最大化，从而提升设备运行流畅性、桌面整洁性；支持清理指定磁盘的指定文件夹；支持清理系统盘备份、缓存、日志等垃圾文件；支持迁移系统盘视频、图片、音乐、文档等空间占用较大的文件；支持格式化非系统盘磁盘。</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7.支持通过微信小程序，实时查看设备运行状态、异常情况；支持查看设备及教室内摄像头的实时画面及声音，当发现教室内有违纪行为时，可通过远程发消息、喊话直接干预；支持查看设备的基础使用数据。</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8.支持普通老师在移动端查看教室的实时摄像头画面、设备屏幕画面，发现有违规违纪行为时，可远程发消息、发语音直接干预；普通老师的权限由管理员统一分配，人员权限精准管理。</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支持设置巡视水印功能，可设置巡视人手机号、巡视人当前IP地址作为水印内容，避免教室画面非法传播。巡视时，支持一键开启教学评价，可自定义课程评分表，支持查看以课程维度的评价记录，包括课件名称、授课老师、所属学科、本节课的评课人数、总评价平均分，将评价数据汇总。</w:t>
            </w:r>
          </w:p>
          <w:p>
            <w:pPr>
              <w:keepNext w:val="0"/>
              <w:keepLines w:val="0"/>
              <w:widowControl/>
              <w:suppressLineNumbers w:val="0"/>
              <w:jc w:val="left"/>
              <w:textAlignment w:val="top"/>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10.设备运维管理系统支持对接国产化操作系统；</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套</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26</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3</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国产化OPS主机</w:t>
            </w:r>
          </w:p>
        </w:tc>
        <w:tc>
          <w:tcPr>
            <w:tcW w:w="5975" w:type="dxa"/>
            <w:vAlign w:val="top"/>
          </w:tcPr>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1.CPU 采用国产自主可控芯片，处理器核数≥8核，主频≥2.3GHz，内存：8GB或以上配置，硬盘：256GB或以上固态硬盘。</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2.模块主体尺寸不小于尺寸≤28.1mm*5.3mm，PC模块可抽拉式插入整机，可实现无单独接线的插拔，和整机的连接采用万兆级接口，传输速率≥10Gbps。</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3.和整机的连接接口针脚数≤40pin，尺寸≤28.1mm*5.3mm。采用按压式卡扣，无需工具就可快速拆卸电脑模块。</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4.具有独立非外扩展的视频输出接口：≥1路HDMI ，USB接口：≥3路USB，具有标准PC防盗锁孔。</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5.预装正版国产操作系统。</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6.用户界面：提供类似Windows桌面操作系统的图形化人机操作UI界面，具有良好的用户操作体验，窗口包括标题栏、菜单栏、状态栏等。</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7.文件系统支持：支持 Ext4、NTFS、Fat 等文件系统。</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8.支持多种搜索内容，支持拼音搜索和模糊搜索、快捷查找系统应用、设置项和文件（包括文本内容）。</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9.常用应用支持：支持火狐、奇安信浏览器、360 浏览器;提供自研软件，包括视频播放器、截图软件、刻录软件。</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10.备份还原功能：系统默认提供备份还原工具，支持数据备份、数据还原，支持系统全量备份、系统增量备份，提供一键还原、一键 Ghost 功能。</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11.文件保护箱：提供文件保护箱功能，用户可以创建不少于 10 个不同密码的文件保护箱，实现用户之间数据严格隔离，有效保护用户隐私数据。</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12.生物识别：系统提供图形化生物识别管理工具，默认支持指纹、指静脉、虹膜等多种生物特征识别。图形界面可进行设备驱动开启、关闭及状态查看，默认内置 20 款以上指纹模块驱动。</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13.安全特性：提供安全中心管控工具，提供图形化应用执行控制工具，具有检查应用程序完整性、来源等功能。</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14.账号安全配置：系统提供图形化账号安全配置工具，可支持图形化配置密码复杂度，包括用户名校验、长度、字符、账号锁定配置等</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15.系统安全级别管理：系统可提供安全增强组件，支持增加不同用户管理权限，如系统管理员、安全管理员、审计管理员；支持白名单控制等安全功能。</w:t>
            </w:r>
          </w:p>
          <w:p>
            <w:pPr>
              <w:keepNext w:val="0"/>
              <w:keepLines w:val="0"/>
              <w:widowControl/>
              <w:suppressLineNumbers w:val="0"/>
              <w:jc w:val="left"/>
              <w:textAlignment w:val="top"/>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16.外设管控：提供支持图形化的外设设备管控工具，包括 USB、蓝牙等设备，支持动态显示未授权设备信息，支持设备接入的黑白名单策略，支持完整的连接记录，可追溯。</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26</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4</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智能笔</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1.外观：笔身造型采用圆润一体化笔型设计，表面采用手感漆工艺便于握持；笔身长度≤17cm,笔身直径≤13mm，笔身重量≤18g；</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2.笔身配置不少于五个按键，具备上下翻页，智能语音，远程聚光灯/放大，书写颜色切换，兼顾触摸书写以及远程操控的握持姿态；</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3.笔头：采用锥型笔尖设计，直径≤3mm；同时支持电容，红外触控设备书写，书写最小精度2mm，连续书写距离不小于7km；</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4.批注：支持按键调起批注功能，可通过按键实现批注颜色切换，长按按键可实现橡皮擦功能；</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5.无线：为保障用户在不同场景使用智能笔，支持无线dongle及蓝牙两种连接方式，支持蓝牙5.1协议；无线dongle&amp;蓝牙连接距离≥12m，上下翻页/语音控制/远程批注实现距离≥12m，覆盖标准教室；</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支</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26</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5</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壁挂展台</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1.壁挂式安装，防盗防破坏，无锐角无利边设计，有效防止师生碰伤、划伤。</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2.采用三折叠开合式托板，展开后托板尺寸≥A4面积，收起时小巧不占空间，高效利用挂墙面积。</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3.采用无摄像头悬臂设计，采用1300W像素自动对焦摄像头，可拍摄A4画幅。显示视频输出像素≥3840*2160。</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4.外壳在摄像头部分带保护镜片密封，防止灰尘沾染摄像头，防护等级达到IP4X级别。</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5.支持对展台实时画面进行放大、缩小、旋转、自适应、冻结画面等操作；支持展台画面实时批注，预设多种笔划粗细及颜色供选择，且支持对展台画面联同批注内容进行同步缩放、移动。</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支持展台画面拍照截图并进行多图预览，可对任一图片进行全屏显示；老师可在一体机或电脑上选择延时拍照功能，支持5秒或10秒延时模式，预留充足时间以便调整拍摄内容；可选择图像、文本或动态等多种情景模式，适应不同展示内容。</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7.支持故障自动检测，在软件无法出现展台拍摄画面时，自动出现检测链接，帮助用户检测“无画面”的原因，并给出引导性解决方案。可判断硬件连接、显卡驱动、摄像头占用、软件版本等问题。</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8.视频展台支持对接国产化操作系统；</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26</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6</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推拉绿板</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1.整体外观尺寸：宽≥4200mm，高≥1243mm，厚≤149mm。</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2.书写板为左右推拉结构，由活动板、固定板、大框（轨道）、滑动系统构成，支持多媒体设备居中安装。书写板左右去竖框化设计，增加黑板整体美观性，也从根本上解决活动板与竖框的夹手问题。</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3.书写板分内外双层，内层为固定书写板，采用无固定件安装，与多媒体设备正面平齐；外层为滑动书写板，可左右推拉，两块活动板闭合后，无边框障碍，可连续书写。</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4.面板、背板四边折边，流水线作业，保证产品一致性，尺寸误差≤0.2mm，对角线误差≤0.3mm；活动板、固定板四边无铝合金边框，不仅更美观，且增加书写面积。</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5.大框（轨道）：采用银白色高档铝合金，表面经氧化、磨砂涂层处理，模具一次成型；双层铝合金管状结构，上框规格≤20mm×70mm，壁厚≥1.0mm；下框一体化设计，规格≤84*12mm，壁厚≥1.0mm。</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6.包角采用ABS工程塑料，模具注塑一次成型，银灰色，长≤150mm，不接受拼接，采用内插式设计</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7.面板采用优质烤漆钢板，基板厚度≥0.30mm，丙烯酸树脂漆，漆面细腻平整，整板无拼接。</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8.每块活动板上、下安装四个≥50mm增强改性尼龙滑块模组；上T型正向吊装，厚度≥5mm滑动设计；下滑块模组采用单轨限位设计，活动板晃动≤0.5mm、无噪音。</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9.采用防潮吸音塑料蜂窝板，厚度≤10mm；黑板上框内隐形安装4块≥50*20*8mm硅胶缓冲块；采用黑色彩涂板，厚度≥0.25mm。</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10.托架优质钢板一体冲压成型，尺寸≤130*45*80，有加强槽更牢固，整体镀锌防锈，数量≥7个；拉手ABS工程塑料注塑成型，尺寸≤100*18银白色拉手，流线型，美观。</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11.符合GB28231-2011《书写板安全卫生要求》，粘接剂甲醛释放量符合国家规定，</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12.硬度：涂层硬度≥5H；光泽度：光泽度在7光泽单位以下，没有明显眩光。</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套</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26</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7</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翻页笔</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光源类型: 绿光、有效距离: 100米</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支</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143</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8</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附件</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转接头、轧带、连接器、五金件、安装支架等配件</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批</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bl>
    <w:p>
      <w:pP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2.1</w:t>
      </w: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en-US" w:eastAsia="zh-CN"/>
        </w:rPr>
        <w:t xml:space="preserve">  计算机教室静电地板</w:t>
      </w:r>
    </w:p>
    <w:tbl>
      <w:tblPr>
        <w:tblStyle w:val="99"/>
        <w:tblW w:w="105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1138"/>
        <w:gridCol w:w="5975"/>
        <w:gridCol w:w="775"/>
        <w:gridCol w:w="662"/>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序号</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项目名称</w:t>
            </w:r>
          </w:p>
        </w:tc>
        <w:tc>
          <w:tcPr>
            <w:tcW w:w="59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技术参数</w:t>
            </w:r>
          </w:p>
        </w:tc>
        <w:tc>
          <w:tcPr>
            <w:tcW w:w="7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单位</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数量</w:t>
            </w:r>
          </w:p>
        </w:tc>
        <w:tc>
          <w:tcPr>
            <w:tcW w:w="1013"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网络机柜</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规格尺寸：1200（高）*600（宽）*600（深）</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结构材质：前钢化玻璃门后钣金门，左右侧门可方便拆卸，可同时安装脚轮和支架</w:t>
            </w:r>
          </w:p>
        </w:tc>
        <w:tc>
          <w:tcPr>
            <w:tcW w:w="7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2</w:t>
            </w:r>
          </w:p>
        </w:tc>
        <w:tc>
          <w:tcPr>
            <w:tcW w:w="1013"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2</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有源音箱</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无线蓝牙、插电即用、主机壁挂音响支持蓝牙功能，兼容各种手机、IPAD等多种带蓝牙设备。</w:t>
            </w:r>
          </w:p>
        </w:tc>
        <w:tc>
          <w:tcPr>
            <w:tcW w:w="7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4</w:t>
            </w:r>
          </w:p>
        </w:tc>
        <w:tc>
          <w:tcPr>
            <w:tcW w:w="1013"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3</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防静电活动地板</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地板板基：地板为全钢组件，底面采用深级拉伸钢板，表面采用硬质钢板，上下钢板冲压、点焊成形，地板基体表面经磷化后进行静电喷涂处理，喷涂层材料为热固性环氧塑料粉末，表面达到柔光、防腐、耐磨效果。内腔内填充发泡水泥，表面粘贴防静电瓷砖，达到整体合一的效果。</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支承系统：防静电瓷砖架空地板采用四角支承式，支架采用镀锌处理，支承高度可从80mm-1000mm,通过旋转支架上托片进行调节，调整范围为±20mm，支承高度调整后，可通过拧紧罗母进行锁定。600*600*30mm单片</w:t>
            </w:r>
          </w:p>
        </w:tc>
        <w:tc>
          <w:tcPr>
            <w:tcW w:w="7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平方</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220</w:t>
            </w:r>
          </w:p>
        </w:tc>
        <w:tc>
          <w:tcPr>
            <w:tcW w:w="1013"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4</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机房接地紫铜带</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材质：纯铜；厚度：0.03mm*100mm；</w:t>
            </w:r>
          </w:p>
        </w:tc>
        <w:tc>
          <w:tcPr>
            <w:tcW w:w="7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m</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 xml:space="preserve">260 </w:t>
            </w:r>
          </w:p>
        </w:tc>
        <w:tc>
          <w:tcPr>
            <w:tcW w:w="1013"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5</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接地连接线</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 xml:space="preserve">接地连接线 BVR-6mm2 </w:t>
            </w:r>
          </w:p>
        </w:tc>
        <w:tc>
          <w:tcPr>
            <w:tcW w:w="7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m</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 xml:space="preserve">100 </w:t>
            </w:r>
          </w:p>
        </w:tc>
        <w:tc>
          <w:tcPr>
            <w:tcW w:w="1013"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p>
        </w:tc>
      </w:tr>
    </w:tbl>
    <w:p>
      <w:pP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2.1</w:t>
      </w: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val="en-US" w:eastAsia="zh-CN"/>
        </w:rPr>
        <w:t xml:space="preserve">  人机对话教室静电地板</w:t>
      </w:r>
    </w:p>
    <w:tbl>
      <w:tblPr>
        <w:tblStyle w:val="99"/>
        <w:tblW w:w="105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1138"/>
        <w:gridCol w:w="5975"/>
        <w:gridCol w:w="775"/>
        <w:gridCol w:w="662"/>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序号</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项目名称</w:t>
            </w:r>
          </w:p>
        </w:tc>
        <w:tc>
          <w:tcPr>
            <w:tcW w:w="59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技术参数</w:t>
            </w:r>
          </w:p>
        </w:tc>
        <w:tc>
          <w:tcPr>
            <w:tcW w:w="7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单位</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数量</w:t>
            </w:r>
          </w:p>
        </w:tc>
        <w:tc>
          <w:tcPr>
            <w:tcW w:w="1013"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防静电活动地板</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地板板基：地板为全钢组件，底面采用深级拉伸钢板，表面采用硬质钢板，上下钢板冲压、点焊成形，地板基体表面经磷化后进行静电喷涂处理，喷涂层材料为热固性环氧塑料粉末，表面达到柔光、防腐、耐磨效果。内腔内填充发泡水泥，表面粘贴防静电瓷砖，达到整体合一的效果。</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支承系统：防静电瓷砖架空地板采用四角支承式，支架采用镀锌处理，支承高度可从80mm-1000mm,通过旋转支架上托片进行调节，调整范围为±20mm，支承高度调整后，可通过拧紧罗母进行锁定。600*600*30mm单片</w:t>
            </w:r>
          </w:p>
        </w:tc>
        <w:tc>
          <w:tcPr>
            <w:tcW w:w="7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平方</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110</w:t>
            </w:r>
          </w:p>
        </w:tc>
        <w:tc>
          <w:tcPr>
            <w:tcW w:w="1013"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2</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机房接地紫铜带</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材质：纯铜；厚度：0.03mm*100mm；</w:t>
            </w:r>
          </w:p>
        </w:tc>
        <w:tc>
          <w:tcPr>
            <w:tcW w:w="7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m</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 xml:space="preserve">120 </w:t>
            </w:r>
          </w:p>
        </w:tc>
        <w:tc>
          <w:tcPr>
            <w:tcW w:w="1013"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4</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接地连接线</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 xml:space="preserve">接地连接线 BVR-6mm2 </w:t>
            </w:r>
          </w:p>
        </w:tc>
        <w:tc>
          <w:tcPr>
            <w:tcW w:w="7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m</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 xml:space="preserve">100 </w:t>
            </w:r>
          </w:p>
        </w:tc>
        <w:tc>
          <w:tcPr>
            <w:tcW w:w="1013"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p>
        </w:tc>
      </w:tr>
    </w:tbl>
    <w:p>
      <w:pP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2.1</w:t>
      </w:r>
      <w:r>
        <w:rPr>
          <w:rFonts w:hint="eastAsia" w:ascii="宋体" w:hAnsi="宋体" w:cs="宋体"/>
          <w:b/>
          <w:bCs/>
          <w:color w:val="auto"/>
          <w:sz w:val="21"/>
          <w:szCs w:val="21"/>
          <w:highlight w:val="none"/>
          <w:lang w:val="en-US" w:eastAsia="zh-CN"/>
        </w:rPr>
        <w:t>4</w:t>
      </w:r>
      <w:r>
        <w:rPr>
          <w:rFonts w:hint="eastAsia" w:ascii="宋体" w:hAnsi="宋体" w:eastAsia="宋体" w:cs="宋体"/>
          <w:b/>
          <w:bCs/>
          <w:color w:val="auto"/>
          <w:sz w:val="21"/>
          <w:szCs w:val="21"/>
          <w:highlight w:val="none"/>
          <w:lang w:val="en-US" w:eastAsia="zh-CN"/>
        </w:rPr>
        <w:t>录播教室</w:t>
      </w:r>
    </w:p>
    <w:tbl>
      <w:tblPr>
        <w:tblStyle w:val="99"/>
        <w:tblW w:w="105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1138"/>
        <w:gridCol w:w="5975"/>
        <w:gridCol w:w="775"/>
        <w:gridCol w:w="662"/>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序号</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项目名称</w:t>
            </w:r>
          </w:p>
        </w:tc>
        <w:tc>
          <w:tcPr>
            <w:tcW w:w="59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技术参数</w:t>
            </w:r>
          </w:p>
        </w:tc>
        <w:tc>
          <w:tcPr>
            <w:tcW w:w="7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单位</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数量</w:t>
            </w:r>
          </w:p>
        </w:tc>
        <w:tc>
          <w:tcPr>
            <w:tcW w:w="1013"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教育云平台主机</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1）设备高度：≤1U，硬件架构：嵌入式ARM架构设计，主机出厂内置视频资源管理平台，无需进行复杂的系统环境、软件安装操作。系统支持：Linux系统，数据库支持：MYSQL</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2）存储容量：4TB SATA ，网络连接：RJ45千兆网口，通讯接口：USB2.0≥2，支持Rst设备一键复位功能</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采用安全电压不大于DC36V供电，节能环保，采用无风扇设计，低噪音。</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3）支持流媒体转发、直播、点播功能，单台主机支持不少于200点转发直播、支持大规模点播。</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平台功能：</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1.信息管理功能</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（1）录播管理：支持把录播设备接入平台，实现自动转码、无缝直播点播，并具备直播和点播功能。支持对录播进行远程关机、休眠唤醒、启动录制等操作。</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（2）多级平台对接：支持校平台与上级区平台进行对接，校平台资源可像区平台提交数据资源。</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录制预约：平台支持用户远程进行在线录课预约，可实现单个或批量预约；可直接导入课表实现预约；支持预约信息的申请和审核管理。支持用户手机扫码预约录制，扫码后手机端填写录播预约信息即可快速完成预约，录制结束后也可扫码在平台回顾或下载已录制的视频。</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（4）资源颗粒度管理：支持视频资源多维度分类，如按年级、学科等分类管理，支持用户自定义分类类型。并支持根据关注度、用户推荐度和点击热度的不同维度在平台呈现。</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（5）视频专辑：支持用户可灵活创建各种视频专辑，并自定义专辑类型，可将一同类型的视频进行归类，便于视频的归整和便捷查询。</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（6）公告发布：平台首页提供公告模块，支持通过平台发布校务公告、活动通知、行政公告、直播通知、紧急通告等多种类型公告。公告支持按定义的类型进行归类查询，支持用户自定义公告类型。</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（7）自动转码功能：支持视频下载、上传、编辑、管理。可实现所有主流视频文件格式自动转码，包括asf、mpg、rmvb、mov、rm、avi、3gp、wmv、flv、mp4等，可设置下载及观看权限，可设置高标清转码清晰度码流。</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虚拟切片：支持视频自动划分知识点和教学环节片段，且不破坏视频原来的完整性。知识点与教学环节目录支持在全屏状态下呈现，支持快速点击跳转到相应节点播放，支持片段循环播放。支持对上传的视频添加和修改“知识点”和“教学环节”。</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（9）教学行为分析：支持弗兰德斯教学行为分析法（S-T），平台根据跟踪数据生成S-T曲线图，帮助用户进行教学技能提升和评估。S-T行为数据支持后期在线编辑修改，便于教师进行错误修正。</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（10）文件检索：支持关键字搜索功能，用户可直接在资源管理平台的页面搜索框输入关键字，对某个视频标题、知识点和教学环节进行搜索。</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（11）一键置灰：支持平台肤色一键置灰功能，切合特殊纪念日氛围。</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（12）指定播放：支持设置指定播放源，用户点击任意视频均强制播放指定视频源，便于学校进行重要视频的统一播放和管理。</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13）流量统计：支持平台对用户访问数、页面访问量进行数量统计，访问流量数据可按日、周、月、年、总浏览数进行分类统计。支持以曲线图形式展现10天内的访问流量变化趋势。支持对视频直播量、点播量统计。</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14）存储管理：平台支持自定义视频的保存期限，支持永久保存，支持自定义视频保存天数期限，到达期限后自动删除；同时支持平台对录播内的视频保存期限进行管理，支持永久保存和自定义期限并在到达期限后录播自动删除视频文件。</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2.直播点播功能</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（1）基于FLV、HLS主流协议直播技术，无需安装插件即可进行跨平台（Windows、Linux、IOS等）视频点播观看。</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（2）支持流媒体转发服务，平台支持不少于200点以上高清直播功能。</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（3）集群技术：支持直播集群技术，以支持系统的横向拓展，随系统应用规模的拓展逐渐增加转发服务器以支持更大规模直播。</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（4）多码率支持：点播视频时可根据网络情况在播放器窗口进行高标清切换观看。</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（5）支持直播权限及密码设置，让直播信息更加安全。</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（6）支持上传教案、课件等视频附件，附件可与视频进行绑定。支持word、excel、ppt、PDF、jpeg等格式。用户在点播视频时下载附件。</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（7）提供视频转发分享功能，支持二维码分享和一键转发分享至新浪微博、QQ、微信等社交平台中。</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3.微课管理功能</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（1）提供微课管理模块，支持自定义微课时长限制，在规定时长内的视频上传平台后自动归类到微课模块当中，并支持按学段、学科进行自动归类整理。</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（2）提供专业微课录制软件，支持直接从平台下载微课录制软件并安装于笔记本电脑中。微课视频录制完毕后支持一键上传到平台，或下载到本地电脑保存。</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（3）微课录制软件需满足包括教师头像、实物展台、课件PPT在内的三路视频源切换及组合布局录制，支持课件与老师画中画模式，</w:t>
            </w:r>
            <w:r>
              <w:rPr>
                <w:rFonts w:hint="eastAsia" w:ascii="宋体" w:hAnsi="宋体" w:eastAsia="宋体" w:cs="宋体"/>
                <w:i w:val="0"/>
                <w:iCs w:val="0"/>
                <w:color w:val="auto"/>
                <w:kern w:val="0"/>
                <w:sz w:val="21"/>
                <w:szCs w:val="21"/>
                <w:highlight w:val="none"/>
                <w:u w:val="none"/>
                <w:lang w:val="en-US" w:eastAsia="zh-CN" w:bidi="ar"/>
              </w:rPr>
              <w:t>提供软件界面截图</w:t>
            </w:r>
            <w:r>
              <w:rPr>
                <w:rFonts w:hint="eastAsia" w:ascii="宋体" w:hAnsi="宋体" w:eastAsia="宋体" w:cs="宋体"/>
                <w:i w:val="0"/>
                <w:color w:val="auto"/>
                <w:kern w:val="0"/>
                <w:sz w:val="21"/>
                <w:szCs w:val="21"/>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（4）支持PPT课件导入、课件批注，在微课录制的同时支持PPT分页预览，并进行切换录制。</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4.移动APP应用服务</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（1）提供自主研发的平台移动端APP，支持Android系统，可与视频资源管理平台对接。</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（2）移动端APP应提供视频在线直播、视频点播、专辑点播等功能。</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（3）移动端同步支持虚拟切片功能，实现知识点的快速跳转观看、学习，提高学生的学习效率。</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（4）支持移动端APP点播视频时查看视频信息、视频附件。</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录播主机</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主机架构：为保障系统运行稳定、安全，要求录播主机采用嵌入式架构设计，非PC、服务器架构。主机为标准1U机架式设备，便于安装部署，并要求录播主机为非壁挂式架构，不存在机身显示屏等产生其他视频、强光源变化从而影响学生课堂专注力。</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2.功能设计：要求主机功能高度集成化，需具备录制、导播、自动跟踪、存储、点播、互动等多功能功于一体，无需额外增加跟踪主机、互动主机等其他主机。</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3.节能环保：应具有嵌入式低功耗环保特性，需采用不高于DC 24V安全电压供电，整机正常工作状态下功耗不超过19W。</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4.低噪声设计：要求所投录播主机产生噪声最大值≤16.8dB(A)。</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5.平台对接：要求支持无缝对接视频资源管理应用平台，实现主机录制生成的视频文件自动上传平台归档。</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6.视频输入输出：具备高清视频输入接口3G-SDI in≥5、HDMI in≥2；高清输出接口HDMI out≥3；且采集和输出分辨率均支持1080P@30fps。</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7.视频编解码：支持标准H.264视频编解码协议，要求支持1080P30fps、720P30fps分辨率格式编解码。</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8.POC一线通：支持连接摄像机与主机之间通过一根SDI线进行供电、控制、视频信号同传，不接受使用转接器的方式。</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9.音频输入输出：具备数字音频输入接口Digital mic≥6、线性音频输入接口Line in≥2；线性音频输出接口Line out≥2。</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10.音频编解码：采用AAC音频编解码协议标准，并支持音频处理功能。</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11.日常音频环出：支持主机在通电关机或休眠状态下，仍能按照预设置完成音频信号的输入环出，实现开展日常授课时（不录制、互动等），仍能完成麦克风、电脑等教学音频环出应用且无需重新调整线路。</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12.网络接入：具备标准RJ45网络接口，支持10/100/1000M网络自适应。并要求支持IPv4、IPv6双协议栈，</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13.存储容量：内置不少于2T存储空间，用于录制视频文件的本地存储。</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14.主机控制：具备Console控制接口≥2，支持RS232/422协议。</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15.外设连接：具备USB 2.0接口≥2，可用于连接U盘等外设。</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16.数字视频传输：支持对同品牌高清摄像机实现基于SDI同轴电缆的视频裸数据传输技术，区别于IP传输方式，摄像机到录播主机端的视频采集和传输过程无需经过编解码，无画质损耗。具备声画同步机制，实现≤100ms的声画同步，保障录制视频质量。                                                                                                                                                                                                   17.为保证设备稳定运行，要求设备平均无故障运行时间（MTBF）≥200000小时；</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3</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摄像机</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1.视频输出接口：SDI≥1、HDMI≥1</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2.传感器类型：CMOS，1/2.5英寸</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3.传感器像素：有效像素不低于207万</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4.焦距：22倍变焦</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5.水平转动速度范围：1.0° ~ 94.2°/s，垂直转动速度范围：1.0° ~ 74.8°/s，水平视场角：72.0° ~ 6.7°，垂直视场角：43.2° ~ 3.7°</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6.支持水平、垂直翻转</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7.背光补偿：支持</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8.数字降噪：2D&amp;3D数字降噪</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9.预置位数量：255</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10.通讯接口：RS232/RS422≥1</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11.网络接口：RJ45≥1</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12.音频输入接口：Line in≥1</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13.USB接口：USB Type-A≥1</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14.支持的协议类型：VISCA</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15.编码技术：视频H.265、H.264</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16.电源支持：支持POC和DC12V电源适配器两种供电方式。</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5</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4</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摄像机</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1.视频输出接口：SDI≥1、HDMI≥1</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2.传感器类型：CMOS，1/2.5英寸</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3.传感器像素：有效像素不低于207万</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4.焦距：22倍变焦</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5.水平转动速度范围：1.0° ~ 94.2°/s，垂直转动速度范围：1.0° ~ 74.8°/s，水平视场角：72.0° ~ 6.7°，垂直视场角：43.2° ~ 3.7°</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6.支持水平、垂直翻转</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7.背光补偿：支持</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8.数字降噪：2D&amp;3D数字降噪</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9.预置位数量：255</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10.通讯接口：RS232/RS422≥1</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11.网络接口：RJ45≥1</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12.音频输入接口：Line in≥1</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13.USB接口：USB Type-A≥1</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14.支持的协议类型：VISCA</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15.编码技术：视频H.265、H.264</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16.电源支持：支持POC和DC12V电源适配器两种供电方式。</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5</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摄像机</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1.视频输出接口：SDI≥1、HDMI≥1</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2.传感器类型：CMOS，1/2.5英寸</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3.传感器像素：有效像素不低于207万</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4.焦距：22倍变焦</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5.水平转动速度范围：1.0° ~ 94.2°/s，垂直转动速度范围：1.0° ~ 74.8°/s，水平视场角：72.0° ~ 6.7°，垂直视场角：43.2° ~ 3.7°</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6.支持水平、垂直翻转</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7.背光补偿：支持</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8.数字降噪：2D&amp;3D数字降噪</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9.预置位数量：255</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10.通讯接口：RS232/RS422≥1</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11.网络接口：RJ45≥1</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12.音频输入接口：Line in≥1</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13.USB接口：USB Type-A≥1</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14.支持的协议类型：VISCA</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15.编码技术：视频H.265、H.264</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16.电源支持：支持POC和DC12V电源适配器两种供电方式。</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4</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6</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监控摄像设备</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1、名称：摄像机支架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2、类型：类型：三脚架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材质：铝合金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颜色：黑色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脚管节数：3节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最大管径：18</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最小管径：14</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折合高度：810mm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最低工作高度：750mm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最高工作高度：1610mm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脚管锁类型：旋钮式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云台类型：液压云台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螺丝尺寸：1/4+3/8</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7</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视频系统设备</w:t>
            </w:r>
          </w:p>
        </w:tc>
        <w:tc>
          <w:tcPr>
            <w:tcW w:w="5975"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1、名称：接收器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2、技术参数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1.工作频段：4900-6100MHz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2.天线增益：3/5/8db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3.全向传输距离：200M左右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4.物理速率：300Mbps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5.射频频宽：20M/40MHZ/10MHZ 可选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6.输出功率：0-30dBm 可调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7.灵敏度：-66dBm@108Mbps；-69dBm@54Mbps；-88dBm@6Mbps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8.调制技术：OFDM-BPSK，QPSK，16QAM，64QAM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9.透明桥接：支持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10.DHCP功能：自定义网段</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11.NAT功能：支持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12.支持协议：TCP/IP，UDP</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13.802.1X认证：支持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14.数据加密：友持WPA-PSK/WPA2/CCMP(AES)</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15.数据压缩：支持</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16.有线局域网连接：1x10/100M Base-TX(Cat,5/5E,RJ-45)双网口</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17.无线局域网连接：点对点，点对多点，WDS</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18.天线：SMA接口</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19.电源：DC5V</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20.最大功耗：＜10W</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21.内存：64MB DRAM  16MB Flash</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22.净重：250g</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23.尺寸（L*W*D）：135.5*65*25</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24.工作温度：-10℃～+40℃</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25.环境：室内音视频传输</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8</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扩声系统设备</w:t>
            </w:r>
          </w:p>
        </w:tc>
        <w:tc>
          <w:tcPr>
            <w:tcW w:w="5975"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1、名称：无线话筒</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2、产品特点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1.采用UHF超高频段双真分集接收，并采用PLL锁相环多信道频率合成技术。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2.具有SCAN 自动扫频功能，使用前按SET功能键自动找一个环境最干净的频点处停下来，此频率作为接收机的使用频率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3.V/A显示屏在任何角度观察字体清晰同时显示信道号与工作频率。带8级射频电平显示，8级音频电平显示，频道菜单显示，静音显示。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4.平衡和非平衡两种选择输出端口，适应不同的设备连接需求。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5.超强的抗干扰能力，能有效抑制由外部带来的噪音干扰及同频干扰。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6.红外对频功能，能方便、快捷的使发射机与接收机频率同步。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7.中频丰富，声音且有磁性感和混厚感，属人声话筒音持的精华。</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8.轻触式按钮控制简捷，让用户使用更方便。</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9.配套有1台接收主机和2个无线手持话筒。</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系统指标</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1.频率指标不低于：支持470-510MHz、540-590MHz、640-690MHz、807-830MHz</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2.调制方式：宽带FM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3.频道数目：100-200个在每个频率段</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4.频道间隔：25KHz的倍数</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5.频率稳定度：±0.005%以内</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6.动态范围：100dB</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7.最大频偏：±45KHz</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8.频率响应：80Hz-18KHz（±3dB）（整个系统的频率取决于话筒单元）</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9.综合信噪比：105dB</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10.综合失真：≤0.5%</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11.工作距离：约100m（工作距离取决于很多因素，包括RF信号的吸收、反射和干扰等）直线无障碍</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12.工作温度：-10℃~+60℃</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接收机指标</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1．接收机方式：二次变频超外差</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2．中频频率：110MHz，10.7MHz</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3．无线接口：BNC/50Ω</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4．灵敏度：12dB μV（80dBS/N)</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5．灵敏度调节范围：12-32dB μV</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6．离散抑制：≥75dB</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7．最大输出电平：+10dBV</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8．供电方式：DC12V-1A输入</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9．重量：1.95 Kg ，不含天线</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10．尺寸：宽422mm×深180mm×高44.5mm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发射机指标1.音头：动圈式麦克风（双手持话筒）</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2.天线：手持麦克风内置螺旋天线，佩挂发射机采用1/4波长鞭状天线</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3.输出功率：高功率30mW；低功率3mW</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4.离散抑制：-60dB</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5.供电：2节5号1.5V碱性电池</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6.电池寿命：30mW时大约6小时取决于电池容量</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7.功能特点：采用真分集接收方式、有效避免断频现象和延长接收距离</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8.音质特点：中频丰富唱歌轻松，声音具有磁性感和混厚感属人声话筒音持的精华</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9</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扩声系统设备</w:t>
            </w:r>
          </w:p>
        </w:tc>
        <w:tc>
          <w:tcPr>
            <w:tcW w:w="5975" w:type="dxa"/>
            <w:vAlign w:val="center"/>
          </w:tcPr>
          <w:p>
            <w:pPr>
              <w:keepNext w:val="0"/>
              <w:keepLines w:val="0"/>
              <w:widowControl/>
              <w:numPr>
                <w:ilvl w:val="0"/>
                <w:numId w:val="5"/>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名称：无线话筒</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2、产品特点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1.结构坚实，性能稳定可靠，操作简易，更重要的是能将声音完美呈现。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2.采用PLL锁相环多信道频率合成技术。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3.超强的抗干扰能力，能有效抑制由外部带来的噪音干扰及同频干扰。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4.具有自动扫频功能，可自动搜索无干扰频率，作为接收机的使用频率。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5.提供200个预置道选择，真正分集式接收,有效避免断频现象和延长接收距离。</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6.接收器显示窗实时显示当前发射机的电池电量。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7.腰包机支持显示频率。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8.系统包括有一台主机+一手持无线话筒+一头戴无线话筒。</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1.调制方式：宽带调频（FM）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2.频率范围：530-580MHz，640-690MHz</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3.信道数目：200个预置频道，通道间隔250kHz</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4.频率稳定度：±0.005%</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5.动态范围：100dB</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6.最大频偏：±48kHz</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7.音频频率响应：50Hz-16.5kHz</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8.综合信噪比：105dB</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9.综合失真：≤0.3%</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10.相邻信道抑制：≥70dB</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11.工作距离：约100-150m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接收机指标</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1.接收方式：自动选讯接收</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2.振荡方式：锁相环（PLL）频率合成</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3.天线输入：BNC插座/（50Ω）</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4.中频：110MHz，10.7MHz</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5.灵敏度：12dBuV(80dBS/N)</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6.杂散抑制：≥75dB</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7.最大输出电平：+10dBV</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8.供电：DC 12V-1A</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9.工作电流：≤500mA</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10.产品尺寸（L×D×H）：420×159×43mm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11.净重：2.785kg</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发射器指标</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1.天线：手持麦克风内置螺旋天线，腰挂发射器采用1/4波长鞭状天线</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2.射频输出功率：30mW</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3.拾音头：手持：动圈式；头戴：电容式</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4.杂散抑制：-60dB</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5.供电：两节AA碱性电池</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6.电池寿命：&gt;6小时</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7.工作环境温度：-10℃到+50℃</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8.功耗：10W</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10</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扩声系统设备</w:t>
            </w:r>
          </w:p>
        </w:tc>
        <w:tc>
          <w:tcPr>
            <w:tcW w:w="5975"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1、名称：麦克风</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2、功能特点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1.拾音范围：5-50㎡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2.灵敏度级：-34dB±3dB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3.频率响应：100Hz～16kHz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4.指向特性：全指向性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5.信噪比：68dB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6.动态范围：84dB(1kHz at Max dB SPL)</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7.最大承受音压：110dB SPL（1kHz，THD 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8.输出信号幅度：2.5Vpp</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9.麦克风：震膜电容咪头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10.信号处理电路：专用音频信号处理电路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11.保护电路：8kV Air contact ESD、雷击保护、电源极性反接保护</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12.连接方式：3条引线  +（红）  -（白）  G（黑）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13.安装方式：吸顶式安装</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14.电源电压：48V幻象电源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15.电源电流：20mA</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16.工作环境温度：0℃～50℃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17.颜色：银色</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18.外壳材质：铝合金</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 xml:space="preserve">19.外形尺寸（直径*厚度）：Φ86mm×22.8mm </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4</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11</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扩声系统设备</w:t>
            </w:r>
          </w:p>
        </w:tc>
        <w:tc>
          <w:tcPr>
            <w:tcW w:w="5975"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1、名称：音频处理器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2、产品概述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1.采用工业级嵌入式架构，采用专用芯片和嵌入式操作系统，稳定可靠。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2.集成自动噪音抑制技术（去除包含空调、排气扇等噪音干扰），保证声音质量。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3.具备回声消除功能，无线麦克风、吊麦的混音需要进行AEC处理，参考信号为远程音频信号。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4.具备8路平衡输入接口，支持差分输入，支持48V幻象供电，支持16段EQ处理功能。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5.具备4路单声道LINE IN输入接口，接口定义：1-远程音频输入，2&amp;4-课件，3-无线麦。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6.具备4路平衡输出接口，接口定义：1-输出至远程（包含无线麦、吊麦、课件），2-录音（包含无线麦、吊麦、课件、远程音频输入），3&amp;4-输出至音箱（包含无线麦、课件、远程音频输入）。</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7.支持智能混音功能（8路平衡输入可任意组合）。</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8.支持语音抗混响功能，避免多路语音互相干扰，突出重要语音信号。</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9.可通过网络进行监听，软件升级和参数配置（支持局域网和公网）。</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10.具有灵活的配置方式，支持通过网口、RS485接口进行软件升级和参数配置输入/输出增益、EQ、AGC、降噪等级等参数。</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11.支持NOMA功能，根据开启的MIC 数量自动调整系统的输出电平，不会因为输入电平的叠加而使系统的输出增益提高，有效地抑制声反馈的形成。</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技术参数</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12.8路平衡输入：凤凰端子，音频输入阻抗100KΩ，支持48V幻象供电</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13.4路LINE IN输入：凤凰端子，音频输入阻抗100KΩ，最大输入电平6dBV</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14.4路平衡输出：凤凰端子，混音输出</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154.总谐波失真（THD+N）：≤0.002%@+4dBu，1KHz</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16.远程回声消除：处理回声延迟能力：128ms，256ms，512ms</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17.回声抑制比：＞60dB</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18.采样率：32KHz</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19.采样位数：16位</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20.动态范围：90dB</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21.环境噪声消除：稳态噪声消除比：30dB</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22.最大智能混音路数：8路</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23.抗混响通道：4通道</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24.频率响应 ：20Hz-16KHz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2514.最大增益 ：59dB </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26.供电：DC 12V/2A</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12</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扩声系统设备</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1、名称：专业功放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2、功能特点：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1.输出功率：立体声@8Ω：350W×2；立体声@4Ω：600W×2</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2.输入灵敏度：2.2dBu(1V)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3.输入阻抗：10KΩ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4.频率响应(@1W功率下)：20Hz-20KHz/±1dB @8Ω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5.THD+N(@1/8功率下) ：≤0.01%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6.分离度(@1KHz) ：≥80dB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7.阻尼系数(@1KHz) ：≥200@ 8 ohms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8.信噪比（A计权）：≥93dB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9.输入电压：~220V/50Hz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10.最大功耗：850W</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13</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扩声系统设备</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1、名称：专业音箱</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2、适用范围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1.阻抗：8Ω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2.频响：65Hz-20KHz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3.额定功率：200W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4.峰值功率：800W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5.灵敏度：97dB/W/M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6.最大声压级（额定/峰值）：120dB/127dB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7.覆盖角度：(H)90°(V)70°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8.高音：1.3"高音单元×1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9.低音：8"低音×1</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14</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支架</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固定面板固定孔尺寸（长*宽）：34mm*34mm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箱体固定面板固定孔尺寸：110mm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重量：0.31Kg</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15</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扩声系统设备</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1、名称：电源管理器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2、功能特点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1.额定输出电压：AC~220V50Hz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2.额定输出电流：30A</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3.可控制电源：8路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4.每路动作延时时间：1秒</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5.供电电源：VAC，220V50/60Hz，30A</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6.单路额定输出电源：10A</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16</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显示设备</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1、名称：显示器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2、23.8英寸 三面窄边框 海量app 蓝牙链接 Tizen系统 智慧屏显示器</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17</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无线鼠标键盘</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1.无线光电键鼠套装，黑色</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18</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扩声系统设备</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1、名称：有源音箱</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2、产品描述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1.额定输出功率：2×25W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2.输出阻抗：4-8Ω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3.输入灵敏度：AUX  IN ：350Mv±20MV/10KΩ；MIC ：5MV±0.5MV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4.信噪比：≥70dB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5.频率响应：40Hz~20KHz(≤±3dB)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6.线路输出：1V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7.音量调节：1个MIC 音量，1个AUX音量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8.谐波失真：≤1%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9.工作温度：5℃～40℃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10.工作湿度：20%～80%相对湿度，无结露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11.电源功耗：≤60W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12.供电电压：~ 220V 50Hz</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19</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视频系统设备</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1、名称：导播键盘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2、功能特点：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 支持不少于5种特技效果；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 支持不少于6布局选择；6路视频直播切换；6个预置位；6个视频预选功能；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 支持云台控制功能：上下左右及变焦功能；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 支持录制、暂停、停止功能；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 支持全自动录播模式和手动录播模式。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 支持通过USB线缆连接录播主机；</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20</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操作台</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平面操作台长1200*高750*宽900下面箱体宽度640  桌面框体厚度1.2 下筐体1.0  材质镀锌版喷塑  桌面采用防火板材质</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个</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21</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跳线</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1、名称：音频连接线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2、5米音频连接线：3.5（耳机插头）-双6.35话筒插头</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条</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22</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跳线</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1、名称：音频连接线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2、5米音频连接线：卡侬头（母）-卡侬头（公）</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条</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4</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23</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跳线</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1、名称：音频连接线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2、5米音频连接线：莲花（RCA）*1，6.35话筒插头*1，线径：0.3mm</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条</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24</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插箱、机柜</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1、名称：机柜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2、22U机柜，600*800*1166mm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8口PDU国标电源插排×1，固定板部件×1,风扇×4,2"重型脚轮×4，M12支脚×4，M6方螺母螺钉×20，内六角扳手×1</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25</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分配网络</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1、名称：HDMI分配器一分八</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2、40203 HDMI分配器一分八 一进八出4K数字高清视频分屏器</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个</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26</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交换机</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1、名称：交换机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2、规格、参数：1.传输速率：10/100Mbps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2.9口百兆8口POE非网管交换机</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27</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配线</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HD-SDI视频监控线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2.屏蔽:铝箔+144镀锡铜编织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3.外被: PVC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4.导体: 1.00mm精选铜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5.200米/卷</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m</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200</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28</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配线</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音箱线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1.分辨率:3840*2160，30Hz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2.屏蔽:铝箔+编织+地线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3.外被: PVC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4.线芯: 镀锡铜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5.支持HDMI 2.0版本</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6.规格：长度5米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7.HDMI头大小：20*26*10.5mm，线径：7.3mm</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条</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bl>
    <w:p>
      <w:pP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2.1</w:t>
      </w:r>
      <w:r>
        <w:rPr>
          <w:rFonts w:hint="eastAsia" w:ascii="宋体" w:hAnsi="宋体" w:cs="宋体"/>
          <w:b/>
          <w:bCs/>
          <w:color w:val="auto"/>
          <w:sz w:val="21"/>
          <w:szCs w:val="21"/>
          <w:highlight w:val="none"/>
          <w:lang w:val="en-US" w:eastAsia="zh-CN"/>
        </w:rPr>
        <w:t>5</w:t>
      </w:r>
      <w:r>
        <w:rPr>
          <w:rFonts w:hint="eastAsia" w:ascii="宋体" w:hAnsi="宋体" w:eastAsia="宋体" w:cs="宋体"/>
          <w:b/>
          <w:bCs/>
          <w:color w:val="auto"/>
          <w:sz w:val="21"/>
          <w:szCs w:val="21"/>
          <w:highlight w:val="none"/>
          <w:lang w:val="en-US" w:eastAsia="zh-CN"/>
        </w:rPr>
        <w:t xml:space="preserve">  智慧体育</w:t>
      </w:r>
    </w:p>
    <w:tbl>
      <w:tblPr>
        <w:tblStyle w:val="99"/>
        <w:tblW w:w="105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1138"/>
        <w:gridCol w:w="5975"/>
        <w:gridCol w:w="775"/>
        <w:gridCol w:w="662"/>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序号</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项目名称</w:t>
            </w:r>
          </w:p>
        </w:tc>
        <w:tc>
          <w:tcPr>
            <w:tcW w:w="59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技术参数</w:t>
            </w:r>
          </w:p>
        </w:tc>
        <w:tc>
          <w:tcPr>
            <w:tcW w:w="7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单位</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数量</w:t>
            </w:r>
          </w:p>
        </w:tc>
        <w:tc>
          <w:tcPr>
            <w:tcW w:w="1013"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智慧体育教学练测评系统</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系统平台：</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1.支持具备快速测试、随堂测试、国家体测、自由练习四大功能模块；每个功能可根据不同的需求场景独立开启任务。随堂测试，国家体测，自由练习课通过数据平台分类导出；</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2.支持PC端、Pad端、手机端登录智慧体育管理平台，可操作系统平台开展测试；</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3.支持学生个人、班级、年级、全校体测成绩分析及汇总；</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4.支持学生信息管理、学生体测数据报表导出、体测功能设置；</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5.支持测试视频存储与测试数据分析服务；</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6.支持基于老师、班级、学校分别开通管理账号，分层分级管理；</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7.支持基于班级、学生的运动锻炼数据分析、展示与导出；</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8.支持不少于6个运动项目并行开展测试，满足学校各类场景项目同时开启的实际需求。</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9.支持通过手机端，教师登录系统录入学生人脸信息。</w:t>
            </w:r>
          </w:p>
          <w:p>
            <w:pPr>
              <w:pStyle w:val="88"/>
              <w:jc w:val="both"/>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10.学生通过看摄像头，自动识别学生人脸，显示学生个人运动档案：个人信息、体育综合评分、体育运动评分、本学期运动天数、身体形态、身体机能、运动能力图5个维度（力量、耐力、速度、柔韧、灵敏）、体质评定及运动处方，校长通过看摄像头，自动识别校长人脸，显示近一个月全校学生运动档案：总运动人次、跳绳排行榜、跳远排行榜、各项运动达标率、成绩统计、各项活跃度、优秀年级占比排名、日运动趋势图；</w:t>
            </w:r>
          </w:p>
          <w:p>
            <w:pPr>
              <w:pStyle w:val="88"/>
              <w:jc w:val="both"/>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11、手机APP</w:t>
            </w:r>
          </w:p>
          <w:p>
            <w:pPr>
              <w:pStyle w:val="88"/>
              <w:jc w:val="both"/>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支持老师通过APP布置的单日、周期体育作业；学生家庭体育作业打卡提交，与校端APP数据同步，学生在家通过APP对着手机或者平板摄像头完成作业，老师可查看学生完成作业情况。</w:t>
            </w:r>
          </w:p>
          <w:p>
            <w:pPr>
              <w:pStyle w:val="88"/>
              <w:jc w:val="both"/>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学生在家对着手机摄像头或者平板摄像头进行跳绳、开合跳、高抬腿、深蹲等运动，视频 AI可以自动识别动作并进行计数，运动完成后，系统会生成运动报告，方便学生和家长进行查看。</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快速测试：</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1.应用于体育课堂训练场景，支持批量获取各测试位的学生测试成绩数据，快速获取班级整体体育成绩水平；</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2.支持无需匹配学生名单，项目即开即测，学生成绩实时语音反馈并在操作平台显示；</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3.支持同运动项目快速批量测试，支持仅需通过一个操作终端同时开启同一运动项目的多个测试位。</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1.支持应用于课堂教学、随堂测试、考试场景，自动检测项目测试成绩，智能识别违规动作，科学分析运动姿态，输出定制成绩处方报告；</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2.支持通过班级名单或人脸识别方式开启测试，最终成绩记录匹配学生信息；</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3.支持测试任务开启过程中，可根据班级类别、性别等方式开展分组测试；</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4.支持查看项目成绩、分数、等级、姿态指标、肌群分析、运动点评建议、视频回放等内容，且支持生成定制化运动处方报告。</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5.支持班级成绩整体统计，可分析整体平均成绩、优秀率、良好率、合格率、不合格率等。</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国家体测：</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1.支持各阶段学校年度国家体测功能，实现各类运动项目数据自动采集、录入、整理、分析；</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2.支持当前测试进度查看，测试记录根据时间进行分类管理；</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3.支持下载上报成绩表格模板，且表格模板符合国家体测平台标准；</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4.支持测试成绩即时更新汇总，电脑端可一键下载年度体测数据成绩表，表格形式符合国家体测平台标准，表格可修改并自动计算本年度学生体测及格情况；</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5.支持教师操作端测试过程中进行重测、修改成绩等操作；</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6.支持体测成绩综合分析，可从年级、班级、项目类型等维度分析当前的及格率、良好率、优秀率等数据情况。</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 管理员可通过平台设定体测时间，体测项目，学生可通过指定时间进行指定运动项目体测。</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 体测平台指定学生体测模式下限制次数为2次，记录体测成绩，学生超过2次不可进行测试，系统提示学生已完成测试；</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自由练习：</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1.支持应用于课后学生自主练习场景，无需老师介入指导，学生通过人脸识别或者特定手势自助触发项目测试功能，可实时获取成绩反馈；</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2.支持老师在一个操作终端远程一键开启、一键关闭所有自由练习项目；</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3.支持学生在自由练习项目开启的任意时间段进行练习；</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4.支持通过户外交互屏进行人脸识别匹配学生信息，自助开启测试任务，测试成绩可实时显示在户外小屏上，并记录测试成绩；</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5.支持无需操作任何设备的人脸识别方式，测试学生举手向摄像头示意即可刷脸匹配学生信息，自助、无感开启测试任务，测试成绩可实时播报，并记录测试成绩；</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6.支持无需操作任何设备开展自由练习，站在测试区域即可触发测试任务；支持实时语音反馈；</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7.支持各项目使用量统计，进行可视化分析；支持分析图下载。</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学生信息：</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1.支持行政班与分项班班级信息管理；</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2.支持学生名单管理，可一键导入名单信息；</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3.支持可进行人脸信息录入、本地化存储和管理；</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4.支持可根据学生体育兴趣发展进行分层、项班管理；</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5.支持自动化升学年。</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数据云平台</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1.支持查看体育课基础数据，包含开课次数、开课班级数、学生参与人数、AI智慧体育课项目数、AI智慧体育项目使用量排行；</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2.支持查看国家体测数据，包含体测概览：体测成绩分布、成绩分析，成绩管理：体测成绩上报表、体测分析表等；</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3.支持查看学生体质档案，包含在校运动档案、体测档案;</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4.支持查看学生联系数据，包含随堂测试记录、自由练习记录、成绩下载、成绩分析报告等。</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5.支持按照地区，设置学校运动项目评分标准</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套</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立定跳远AI算法及服务</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1.成绩检测：支持智能检测有效跳远距离，精准区分左右脚，以最后的落点为准计入正常成绩；</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2.成绩误差：≤0.5厘米；</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运动过程中应可实现人脸识别、身份信息匹配，支持基于视频实现立定跳远测距，自动识别踩线、单脚起跳、垫步跳、出界等犯规提示、成绩实时交互，支持手机移动端投屏，逐帧回放、慢速回放等控制，支持在大屏端回放显示。</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4.支持人脸识别测试、学生名单测试、自由练习测试</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5.支持一键统一开启所有立定跳远测试位开始测试，也可根据需求自由选择相应的测试位开展立定跳远测试</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6.支持学生随堂测试模式中，每位学生两次测试机会，测试成绩取两次中优的一次记录</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支持对起跳角度、摆臂幅度、平均速度、腾空时间、腾空高度、屈膝角度等生成运动处方报告，并对指标进行分析，给予点评与建议；支持保留学生测试视频，对运动关键动作进行逐帧分析，同时可视化展示学生运动过程中肌肉发力情况</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8.支持具有2种容错机制，学生落地时若用手向后撑地，支持以手为基准检测计算成绩；学生落地后往前滑动，支持以滑动前为准检测成绩；</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9.支持提前录入人脸信息后，学生在起跳区域朝着摄像头举手示意，可通过摄像头识别人脸信息，并将成绩与该学生绑定，识别响应速度≤2s；</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10.10.支持学生自由练习模式下作弊行为检测，支持学生侧边跨越跳违规检测、支持学生接力跳违规检测，并实时进行语音干预提醒，作弊成绩无效；</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11.响应时间：≤1.5秒。</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套</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3</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10人跳绳AI算法及服务</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1.成绩检测：支持跳绳测试成绩检测，检测过程严格按照绳子从头到脚绕一周算1个标准计数，空跳不计入正常成绩；</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2.成绩误差：≤1个/每分钟；</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3.姿态分析：支持分析平均速度（次/秒）、大臂夹角等指标，并给予点评与建议；支持保留学生测试视频，对运动关键动作进行逐帧分析，同时可视化展示学生运动过程中肌肉发力情况</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4.支持在复杂背景下，被测试学生背后多人近距离站立走动仍可正常进行成绩检测</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5.单设备可支持不少于8位测试人员同时进行测试；</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6.支持人脸识别测试、学生名单测试、自由练习测试</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7.支持一键开启所有跳绳测试位开始测试，也可根据需求自由选择相应的测试位开展跳绳测试</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8.支持中途终止测试离开测试圈可监测并播报成绩；</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9.支持提前录入人脸信息后，学生在跳绳测试区域内双手握绳脸朝着摄像头示意，可通过摄像头识别人脸信息，并将成绩与该学生绑定，识别响应速度≤2s；</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10.响应时间：≤1.5秒；</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11.支持配置户外P3全彩LED显示屏，实时展示多人跳绳测试成绩，展示学生姓名、跳绳中断次数以及前后30s成绩个数，跳绳过程中实时展示前三名</w:t>
            </w:r>
            <w:r>
              <w:rPr>
                <w:rFonts w:hint="eastAsia" w:ascii="宋体" w:hAnsi="宋体" w:cs="宋体"/>
                <w:i w:val="0"/>
                <w:color w:val="auto"/>
                <w:kern w:val="0"/>
                <w:sz w:val="21"/>
                <w:szCs w:val="21"/>
                <w:highlight w:val="none"/>
                <w:u w:val="none"/>
                <w:lang w:val="en-US" w:eastAsia="zh-CN" w:bidi="ar"/>
              </w:rPr>
              <w:t>；</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套</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4</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800&amp;1000米跑AI算法及服务</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1.成绩检测：支持800米、1000米跑成绩计时；</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2.分度值：0.1s;</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3.成绩误差：≤1.5%；</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4.支持40人同时测试，并分别记录成绩；</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5.响应时间：≤1.5秒；</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6.支持800米、1000米项目同时测试，互不干扰；</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7.考试场景下支持学生通过穿戴号码衣开展测试，且成绩检出率：≥99.6%；</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8.教学场景下支持学生人脸识别测试，无需穿戴号码衣，且人脸识别方式成绩检出率：≥98.6%。</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9.学生过终点线，跑步显示屏实时展示冲刺学生姓名及成绩；</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套</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5</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物联网摄像头A</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捕捉学生运动视频数据。</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像素：≥200万像素；</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分辨率：≥1080p；</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供电方式：支持POE供电及电源供电12v；</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供网方式：网线；</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接口类型：网线接口；</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编码方式：H.265/H.264</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支持变焦，6mm焦距</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支持红外</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5</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6</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物联网摄像头C</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捕捉学生运动视频数据。</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像素：≥400万像素；</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分辨率：≥1080p；</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供电方式：支持POE供电及电源供电12v；</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供网方式：网线；</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接口类型：网线接口；</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编码方式：H.265/H.264</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支持变焦，7mm焦距</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支持红外</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4</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7</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物联网摄像头D</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捕捉学生运动视频数据。</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像素：≥800万像素；</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分辨率：≥1080p；</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供电方式：支持POE供电及电源供电12v；</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供网方式：网线；</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接口类型：网线接口；</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编码方式：H.265/H.264</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支持变焦，8mm焦距</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支持红外</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8</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智能教师终端</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1.运行内存：6GB；</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2.存储容量:128GB；</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3.屏幕分辨率≥2000*1200；</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4.摄像头：双摄像头，前置像素：800万，后置像素：1300万；</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5.存储扩展≥支持MicroSD(TF)卡,最大支持1TB；</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6.配置AI视觉体育评测与教学系统软件</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4</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9</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10人跳绳成绩显示屏</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1.尺寸：960mm*640mm</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2.亮度：≥4200cd/㎡</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3.亮度均匀性：＞0.95</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4.最佳视距：≥3m</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5.使用环境：户外</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6.换帧频率：≥60帧/秒</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7.刷新频率：960Hz</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8.控制方式：计算机控制，逐点一一对应，视频同步，实时显示</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9.亮度调节：256级手动/自动</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10.使用寿命：≥10万小时</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11.平均无故障时间：≥1万小时</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12.工作温度：-20-40℃</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13.工作湿度：10%-90%RH</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14.成绩显示：支持跳绳成绩动态计数显示，最多支持10人成绩显示</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15.倒计时显示：右上角倒计时显示</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10</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仰卧起坐仰卧起坐AI算法及服务</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1.成绩检测：支持智能检测有效个数；</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2.成绩误差：≤1个/1分钟；</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3.</w:t>
            </w:r>
            <w:r>
              <w:rPr>
                <w:rFonts w:hint="eastAsia" w:ascii="宋体" w:hAnsi="宋体" w:eastAsia="宋体" w:cs="宋体"/>
                <w:i w:val="0"/>
                <w:color w:val="auto"/>
                <w:kern w:val="0"/>
                <w:sz w:val="21"/>
                <w:szCs w:val="21"/>
                <w:highlight w:val="none"/>
                <w:u w:val="none"/>
                <w:lang w:val="en-US" w:eastAsia="zh-CN" w:bidi="ar"/>
              </w:rPr>
              <w:t>在1个摄像头下，可支持3人运动同时计时计数，运动过程中实现人脸识别、身份信息匹配，支持前端大屏仰卧起坐过程数据实时显示，支持前端大屏结束后的计数呈现。支持动作不规范(顶胯、未抱头、未触膝)违规不计数，记录并显示违规个数；</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4.支持人脸识别测试、学生名单测试、自由练习测试</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5.支持一键开启所有仰卧起坐测试位开始测试，也可根据需求自由选择相应的测试位开展仰卧起坐测试</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6.支持生成运动处方报告，对屈膝角、仰卧速度、身体与大腿夹角等指标进行分析，并给予点评与建议；支持保留学生测试视频，对运动关键动作进行逐帧分析，同时可视化展示学生运动过程中肌肉发力情况</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7.支持提前录入人脸信息后，自由练习模式下，学生坐于辅助垫同时面朝摄像头示意，可通过摄像头识别人脸信息，并将成绩与该学生绑定，识别响应速度≤2s；</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8.支持测试过程中成绩实时报数；</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9.响应时间：≤1.5秒。</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套</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11</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仰卧起坐算法模块配套设备</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1.含200万像素AI视频流数据采集设备1台；</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2.含监控电源、户外音柱、定制立杆及配套零配件等1套；</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3.含仰卧起坐板及配件1套；</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4.配套硬件资源配置，包括服务器、算力卡等；</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5.含标准硬件3年质保费用及运费。</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套</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12</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AI智慧体育大屏</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包含户外大屏硬件产品，同时配置校级智慧体育数据分析与查看平台</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1.尺寸：≥55寸；</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2.屏幕配置：4K高清、纳米级触摸屏；</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3.亮度：≥2000cd；</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4.为安卓主控，自带人脸识别摄像头；</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5.支持防雨、防尘、防过热、户外喷涂、防球击；</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6.采用AR钢化玻璃；</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13</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立杆</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杆体材质为Q235钢材，高度：2.6米；喷塑：糖果白；</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厚度不低于2mm；</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直径不低于100mm；</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按需配置横臂，法兰等。</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智慧体育立杆基础的尺寸：600*600*1200mm ;混泥土C25；</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8</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14</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室外敷设箱</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400*300不锈钢（含插座））</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5</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15</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POE交换机</w:t>
            </w:r>
          </w:p>
        </w:tc>
        <w:tc>
          <w:tcPr>
            <w:tcW w:w="5975" w:type="dxa"/>
            <w:vAlign w:val="center"/>
          </w:tcPr>
          <w:p>
            <w:pPr>
              <w:keepNext w:val="0"/>
              <w:keepLines w:val="0"/>
              <w:widowControl/>
              <w:suppressLineNumbers w:val="0"/>
              <w:jc w:val="left"/>
              <w:textAlignment w:val="center"/>
              <w:rPr>
                <w:rStyle w:val="323"/>
                <w:rFonts w:hint="eastAsia" w:ascii="宋体" w:hAnsi="宋体" w:eastAsia="宋体" w:cs="宋体"/>
                <w:color w:val="auto"/>
                <w:sz w:val="21"/>
                <w:szCs w:val="21"/>
                <w:highlight w:val="none"/>
                <w:lang w:val="en-US" w:eastAsia="zh-CN" w:bidi="ar"/>
              </w:rPr>
            </w:pPr>
            <w:r>
              <w:rPr>
                <w:rStyle w:val="323"/>
                <w:rFonts w:hint="eastAsia" w:ascii="宋体" w:hAnsi="宋体" w:eastAsia="宋体" w:cs="宋体"/>
                <w:color w:val="auto"/>
                <w:sz w:val="21"/>
                <w:szCs w:val="21"/>
                <w:highlight w:val="none"/>
                <w:lang w:val="en-US" w:eastAsia="zh-CN" w:bidi="ar"/>
              </w:rPr>
              <w:t>1.</w:t>
            </w:r>
            <w:r>
              <w:rPr>
                <w:rFonts w:hint="eastAsia" w:ascii="宋体" w:hAnsi="宋体" w:eastAsia="宋体" w:cs="宋体"/>
                <w:i w:val="0"/>
                <w:color w:val="auto"/>
                <w:kern w:val="0"/>
                <w:sz w:val="21"/>
                <w:szCs w:val="21"/>
                <w:highlight w:val="none"/>
                <w:u w:val="none"/>
                <w:lang w:val="en-US" w:eastAsia="zh-CN" w:bidi="ar"/>
              </w:rPr>
              <w:t xml:space="preserve"> </w:t>
            </w:r>
            <w:r>
              <w:rPr>
                <w:rStyle w:val="323"/>
                <w:rFonts w:hint="eastAsia" w:ascii="宋体" w:hAnsi="宋体" w:eastAsia="宋体" w:cs="宋体"/>
                <w:color w:val="auto"/>
                <w:sz w:val="21"/>
                <w:szCs w:val="21"/>
                <w:highlight w:val="none"/>
                <w:lang w:val="en-US" w:eastAsia="zh-CN" w:bidi="ar"/>
              </w:rPr>
              <w:t>固化10/100/1000M以太网电口≥8个，1G/2.5G/5G以太网电口≥2个，1G/10G SFP+光接口≥2个；</w:t>
            </w:r>
          </w:p>
          <w:p>
            <w:pPr>
              <w:keepNext w:val="0"/>
              <w:keepLines w:val="0"/>
              <w:widowControl/>
              <w:suppressLineNumbers w:val="0"/>
              <w:jc w:val="left"/>
              <w:textAlignment w:val="center"/>
              <w:rPr>
                <w:rStyle w:val="323"/>
                <w:rFonts w:hint="eastAsia" w:ascii="宋体" w:hAnsi="宋体" w:eastAsia="宋体" w:cs="宋体"/>
                <w:color w:val="auto"/>
                <w:sz w:val="21"/>
                <w:szCs w:val="21"/>
                <w:highlight w:val="none"/>
                <w:lang w:val="en-US" w:eastAsia="zh-CN" w:bidi="ar"/>
              </w:rPr>
            </w:pPr>
            <w:r>
              <w:rPr>
                <w:rStyle w:val="323"/>
                <w:rFonts w:hint="eastAsia" w:ascii="宋体" w:hAnsi="宋体" w:eastAsia="宋体" w:cs="宋体"/>
                <w:color w:val="auto"/>
                <w:sz w:val="21"/>
                <w:szCs w:val="21"/>
                <w:highlight w:val="none"/>
                <w:lang w:val="en-US" w:eastAsia="zh-CN" w:bidi="ar"/>
              </w:rPr>
              <w:t>2.</w:t>
            </w:r>
            <w:r>
              <w:rPr>
                <w:rFonts w:hint="eastAsia" w:ascii="宋体" w:hAnsi="宋体" w:eastAsia="宋体" w:cs="宋体"/>
                <w:i w:val="0"/>
                <w:color w:val="auto"/>
                <w:kern w:val="0"/>
                <w:sz w:val="21"/>
                <w:szCs w:val="21"/>
                <w:highlight w:val="none"/>
                <w:u w:val="none"/>
                <w:lang w:val="en-US" w:eastAsia="zh-CN" w:bidi="ar"/>
              </w:rPr>
              <w:t xml:space="preserve"> </w:t>
            </w:r>
            <w:r>
              <w:rPr>
                <w:rStyle w:val="323"/>
                <w:rFonts w:hint="eastAsia" w:ascii="宋体" w:hAnsi="宋体" w:eastAsia="宋体" w:cs="宋体"/>
                <w:color w:val="auto"/>
                <w:sz w:val="21"/>
                <w:szCs w:val="21"/>
                <w:highlight w:val="none"/>
                <w:lang w:val="en-US" w:eastAsia="zh-CN" w:bidi="ar"/>
              </w:rPr>
              <w:t>交换容量≥432Gbps，包转发率≥84Mpps；</w:t>
            </w:r>
          </w:p>
          <w:p>
            <w:pPr>
              <w:keepNext w:val="0"/>
              <w:keepLines w:val="0"/>
              <w:widowControl/>
              <w:suppressLineNumbers w:val="0"/>
              <w:jc w:val="left"/>
              <w:textAlignment w:val="center"/>
              <w:rPr>
                <w:rStyle w:val="323"/>
                <w:rFonts w:hint="eastAsia" w:ascii="宋体" w:hAnsi="宋体" w:eastAsia="宋体" w:cs="宋体"/>
                <w:color w:val="auto"/>
                <w:sz w:val="21"/>
                <w:szCs w:val="21"/>
                <w:highlight w:val="none"/>
                <w:lang w:val="en-US" w:eastAsia="zh-CN" w:bidi="ar"/>
              </w:rPr>
            </w:pPr>
            <w:r>
              <w:rPr>
                <w:rStyle w:val="323"/>
                <w:rFonts w:hint="eastAsia" w:ascii="宋体" w:hAnsi="宋体" w:eastAsia="宋体" w:cs="宋体"/>
                <w:color w:val="auto"/>
                <w:sz w:val="21"/>
                <w:szCs w:val="21"/>
                <w:highlight w:val="none"/>
                <w:lang w:val="en-US" w:eastAsia="zh-CN" w:bidi="ar"/>
              </w:rPr>
              <w:t>3.</w:t>
            </w:r>
            <w:r>
              <w:rPr>
                <w:rFonts w:hint="eastAsia" w:ascii="宋体" w:hAnsi="宋体" w:eastAsia="宋体" w:cs="宋体"/>
                <w:i w:val="0"/>
                <w:color w:val="auto"/>
                <w:kern w:val="0"/>
                <w:sz w:val="21"/>
                <w:szCs w:val="21"/>
                <w:highlight w:val="none"/>
                <w:u w:val="none"/>
                <w:lang w:val="en-US" w:eastAsia="zh-CN" w:bidi="ar"/>
              </w:rPr>
              <w:t xml:space="preserve"> </w:t>
            </w:r>
            <w:r>
              <w:rPr>
                <w:rStyle w:val="323"/>
                <w:rFonts w:hint="eastAsia" w:ascii="宋体" w:hAnsi="宋体" w:eastAsia="宋体" w:cs="宋体"/>
                <w:color w:val="auto"/>
                <w:sz w:val="21"/>
                <w:szCs w:val="21"/>
                <w:highlight w:val="none"/>
                <w:lang w:val="en-US" w:eastAsia="zh-CN" w:bidi="ar"/>
              </w:rPr>
              <w:t>尺寸小，支持放入400*300*100的标准弱电箱中部署，保障室内环境的美观；</w:t>
            </w:r>
          </w:p>
          <w:p>
            <w:pPr>
              <w:keepNext w:val="0"/>
              <w:keepLines w:val="0"/>
              <w:widowControl/>
              <w:suppressLineNumbers w:val="0"/>
              <w:jc w:val="left"/>
              <w:textAlignment w:val="center"/>
              <w:rPr>
                <w:rStyle w:val="323"/>
                <w:rFonts w:hint="eastAsia" w:ascii="宋体" w:hAnsi="宋体" w:eastAsia="宋体" w:cs="宋体"/>
                <w:color w:val="auto"/>
                <w:sz w:val="21"/>
                <w:szCs w:val="21"/>
                <w:highlight w:val="none"/>
                <w:lang w:val="en-US" w:eastAsia="zh-CN" w:bidi="ar"/>
              </w:rPr>
            </w:pPr>
            <w:r>
              <w:rPr>
                <w:rStyle w:val="323"/>
                <w:rFonts w:hint="eastAsia" w:ascii="宋体" w:hAnsi="宋体" w:eastAsia="宋体" w:cs="宋体"/>
                <w:color w:val="auto"/>
                <w:sz w:val="21"/>
                <w:szCs w:val="21"/>
                <w:highlight w:val="none"/>
                <w:lang w:val="en-US" w:eastAsia="zh-CN" w:bidi="ar"/>
              </w:rPr>
              <w:t>4.</w:t>
            </w:r>
            <w:r>
              <w:rPr>
                <w:rFonts w:hint="eastAsia" w:ascii="宋体" w:hAnsi="宋体" w:eastAsia="宋体" w:cs="宋体"/>
                <w:i w:val="0"/>
                <w:color w:val="auto"/>
                <w:kern w:val="0"/>
                <w:sz w:val="21"/>
                <w:szCs w:val="21"/>
                <w:highlight w:val="none"/>
                <w:u w:val="none"/>
                <w:lang w:val="en-US" w:eastAsia="zh-CN" w:bidi="ar"/>
              </w:rPr>
              <w:t xml:space="preserve"> </w:t>
            </w:r>
            <w:r>
              <w:rPr>
                <w:rStyle w:val="323"/>
                <w:rFonts w:hint="eastAsia" w:ascii="宋体" w:hAnsi="宋体" w:eastAsia="宋体" w:cs="宋体"/>
                <w:color w:val="auto"/>
                <w:sz w:val="21"/>
                <w:szCs w:val="21"/>
                <w:highlight w:val="none"/>
                <w:lang w:val="en-US" w:eastAsia="zh-CN" w:bidi="ar"/>
              </w:rPr>
              <w:t>要求所投产品支持POE和POE+远程供电，POE供电功率为125W；</w:t>
            </w:r>
          </w:p>
          <w:p>
            <w:pPr>
              <w:keepNext w:val="0"/>
              <w:keepLines w:val="0"/>
              <w:widowControl/>
              <w:suppressLineNumbers w:val="0"/>
              <w:jc w:val="left"/>
              <w:textAlignment w:val="center"/>
              <w:rPr>
                <w:rStyle w:val="323"/>
                <w:rFonts w:hint="eastAsia" w:ascii="宋体" w:hAnsi="宋体" w:eastAsia="宋体" w:cs="宋体"/>
                <w:color w:val="auto"/>
                <w:sz w:val="21"/>
                <w:szCs w:val="21"/>
                <w:highlight w:val="none"/>
                <w:lang w:val="en-US" w:eastAsia="zh-CN" w:bidi="ar"/>
              </w:rPr>
            </w:pPr>
            <w:r>
              <w:rPr>
                <w:rStyle w:val="323"/>
                <w:rFonts w:hint="eastAsia" w:ascii="宋体" w:hAnsi="宋体" w:eastAsia="宋体" w:cs="宋体"/>
                <w:color w:val="auto"/>
                <w:sz w:val="21"/>
                <w:szCs w:val="21"/>
                <w:highlight w:val="none"/>
                <w:lang w:val="en-US" w:eastAsia="zh-CN" w:bidi="ar"/>
              </w:rPr>
              <w:t>5.</w:t>
            </w:r>
            <w:r>
              <w:rPr>
                <w:rFonts w:hint="eastAsia" w:ascii="宋体" w:hAnsi="宋体" w:eastAsia="宋体" w:cs="宋体"/>
                <w:i w:val="0"/>
                <w:color w:val="auto"/>
                <w:kern w:val="0"/>
                <w:sz w:val="21"/>
                <w:szCs w:val="21"/>
                <w:highlight w:val="none"/>
                <w:u w:val="none"/>
                <w:lang w:val="en-US" w:eastAsia="zh-CN" w:bidi="ar"/>
              </w:rPr>
              <w:t xml:space="preserve"> </w:t>
            </w:r>
            <w:r>
              <w:rPr>
                <w:rStyle w:val="323"/>
                <w:rFonts w:hint="eastAsia" w:ascii="宋体" w:hAnsi="宋体" w:eastAsia="宋体" w:cs="宋体"/>
                <w:color w:val="auto"/>
                <w:sz w:val="21"/>
                <w:szCs w:val="21"/>
                <w:highlight w:val="none"/>
                <w:lang w:val="en-US" w:eastAsia="zh-CN" w:bidi="ar"/>
              </w:rPr>
              <w:t>为保证设备在受到外接机械碰撞时能够正常运行，要求所投交换机IK防护测试级别至少达到IK05；</w:t>
            </w:r>
          </w:p>
          <w:p>
            <w:pPr>
              <w:keepNext w:val="0"/>
              <w:keepLines w:val="0"/>
              <w:widowControl/>
              <w:suppressLineNumbers w:val="0"/>
              <w:jc w:val="left"/>
              <w:textAlignment w:val="center"/>
              <w:rPr>
                <w:rStyle w:val="323"/>
                <w:rFonts w:hint="eastAsia" w:ascii="宋体" w:hAnsi="宋体" w:eastAsia="宋体" w:cs="宋体"/>
                <w:color w:val="auto"/>
                <w:sz w:val="21"/>
                <w:szCs w:val="21"/>
                <w:highlight w:val="none"/>
                <w:lang w:val="en-US" w:eastAsia="zh-CN" w:bidi="ar"/>
              </w:rPr>
            </w:pPr>
            <w:r>
              <w:rPr>
                <w:rStyle w:val="323"/>
                <w:rFonts w:hint="eastAsia" w:ascii="宋体" w:hAnsi="宋体" w:eastAsia="宋体" w:cs="宋体"/>
                <w:color w:val="auto"/>
                <w:sz w:val="21"/>
                <w:szCs w:val="21"/>
                <w:highlight w:val="none"/>
                <w:lang w:val="en-US" w:eastAsia="zh-CN" w:bidi="ar"/>
              </w:rPr>
              <w:t>6.</w:t>
            </w:r>
            <w:r>
              <w:rPr>
                <w:rFonts w:hint="eastAsia" w:ascii="宋体" w:hAnsi="宋体" w:eastAsia="宋体" w:cs="宋体"/>
                <w:i w:val="0"/>
                <w:color w:val="auto"/>
                <w:kern w:val="0"/>
                <w:sz w:val="21"/>
                <w:szCs w:val="21"/>
                <w:highlight w:val="none"/>
                <w:u w:val="none"/>
                <w:lang w:val="en-US" w:eastAsia="zh-CN" w:bidi="ar"/>
              </w:rPr>
              <w:t xml:space="preserve"> </w:t>
            </w:r>
            <w:r>
              <w:rPr>
                <w:rStyle w:val="323"/>
                <w:rFonts w:hint="eastAsia" w:ascii="宋体" w:hAnsi="宋体" w:eastAsia="宋体" w:cs="宋体"/>
                <w:color w:val="auto"/>
                <w:sz w:val="21"/>
                <w:szCs w:val="21"/>
                <w:highlight w:val="none"/>
                <w:lang w:val="en-US" w:eastAsia="zh-CN" w:bidi="ar"/>
              </w:rPr>
              <w:t>要求设备采用静音设计，噪声值＜20dB；</w:t>
            </w:r>
          </w:p>
          <w:p>
            <w:pPr>
              <w:keepNext w:val="0"/>
              <w:keepLines w:val="0"/>
              <w:widowControl/>
              <w:suppressLineNumbers w:val="0"/>
              <w:jc w:val="left"/>
              <w:textAlignment w:val="center"/>
              <w:rPr>
                <w:rStyle w:val="323"/>
                <w:rFonts w:hint="eastAsia" w:ascii="宋体" w:hAnsi="宋体" w:eastAsia="宋体" w:cs="宋体"/>
                <w:color w:val="auto"/>
                <w:sz w:val="21"/>
                <w:szCs w:val="21"/>
                <w:highlight w:val="none"/>
                <w:lang w:val="en-US" w:eastAsia="zh-CN" w:bidi="ar"/>
              </w:rPr>
            </w:pPr>
            <w:r>
              <w:rPr>
                <w:rStyle w:val="323"/>
                <w:rFonts w:hint="eastAsia" w:ascii="宋体" w:hAnsi="宋体" w:eastAsia="宋体" w:cs="宋体"/>
                <w:color w:val="auto"/>
                <w:sz w:val="21"/>
                <w:szCs w:val="21"/>
                <w:highlight w:val="none"/>
                <w:lang w:val="en-US" w:eastAsia="zh-CN" w:bidi="ar"/>
              </w:rPr>
              <w:t>7.</w:t>
            </w:r>
            <w:r>
              <w:rPr>
                <w:rFonts w:hint="eastAsia" w:ascii="宋体" w:hAnsi="宋体" w:eastAsia="宋体" w:cs="宋体"/>
                <w:i w:val="0"/>
                <w:color w:val="auto"/>
                <w:kern w:val="0"/>
                <w:sz w:val="21"/>
                <w:szCs w:val="21"/>
                <w:highlight w:val="none"/>
                <w:u w:val="none"/>
                <w:lang w:val="en-US" w:eastAsia="zh-CN" w:bidi="ar"/>
              </w:rPr>
              <w:t xml:space="preserve"> </w:t>
            </w:r>
            <w:r>
              <w:rPr>
                <w:rStyle w:val="323"/>
                <w:rFonts w:hint="eastAsia" w:ascii="宋体" w:hAnsi="宋体" w:eastAsia="宋体" w:cs="宋体"/>
                <w:color w:val="auto"/>
                <w:sz w:val="21"/>
                <w:szCs w:val="21"/>
                <w:highlight w:val="none"/>
                <w:lang w:val="en-US" w:eastAsia="zh-CN" w:bidi="ar"/>
              </w:rPr>
              <w:t>要求设备采用金属外壳和金属网口设计；</w:t>
            </w:r>
          </w:p>
          <w:p>
            <w:pPr>
              <w:keepNext w:val="0"/>
              <w:keepLines w:val="0"/>
              <w:widowControl/>
              <w:suppressLineNumbers w:val="0"/>
              <w:jc w:val="left"/>
              <w:textAlignment w:val="center"/>
              <w:rPr>
                <w:rStyle w:val="323"/>
                <w:rFonts w:hint="eastAsia" w:ascii="宋体" w:hAnsi="宋体" w:eastAsia="宋体" w:cs="宋体"/>
                <w:color w:val="auto"/>
                <w:sz w:val="21"/>
                <w:szCs w:val="21"/>
                <w:highlight w:val="none"/>
                <w:lang w:val="en-US" w:eastAsia="zh-CN" w:bidi="ar"/>
              </w:rPr>
            </w:pPr>
            <w:r>
              <w:rPr>
                <w:rStyle w:val="323"/>
                <w:rFonts w:hint="eastAsia" w:ascii="宋体" w:hAnsi="宋体" w:eastAsia="宋体" w:cs="宋体"/>
                <w:color w:val="auto"/>
                <w:sz w:val="21"/>
                <w:szCs w:val="21"/>
                <w:highlight w:val="none"/>
                <w:lang w:val="en-US" w:eastAsia="zh-CN" w:bidi="ar"/>
              </w:rPr>
              <w:t>8.</w:t>
            </w:r>
            <w:r>
              <w:rPr>
                <w:rFonts w:hint="eastAsia" w:ascii="宋体" w:hAnsi="宋体" w:eastAsia="宋体" w:cs="宋体"/>
                <w:i w:val="0"/>
                <w:color w:val="auto"/>
                <w:kern w:val="0"/>
                <w:sz w:val="21"/>
                <w:szCs w:val="21"/>
                <w:highlight w:val="none"/>
                <w:u w:val="none"/>
                <w:lang w:val="en-US" w:eastAsia="zh-CN" w:bidi="ar"/>
              </w:rPr>
              <w:t xml:space="preserve"> </w:t>
            </w:r>
            <w:r>
              <w:rPr>
                <w:rStyle w:val="323"/>
                <w:rFonts w:hint="eastAsia" w:ascii="宋体" w:hAnsi="宋体" w:eastAsia="宋体" w:cs="宋体"/>
                <w:color w:val="auto"/>
                <w:sz w:val="21"/>
                <w:szCs w:val="21"/>
                <w:highlight w:val="none"/>
                <w:lang w:val="en-US" w:eastAsia="zh-CN" w:bidi="ar"/>
              </w:rPr>
              <w:t>支持端口浪涌抗扰度≥8KV（即具备8KV的防雷能力）；</w:t>
            </w:r>
          </w:p>
          <w:p>
            <w:pPr>
              <w:keepNext w:val="0"/>
              <w:keepLines w:val="0"/>
              <w:widowControl/>
              <w:suppressLineNumbers w:val="0"/>
              <w:jc w:val="left"/>
              <w:textAlignment w:val="center"/>
              <w:rPr>
                <w:rStyle w:val="323"/>
                <w:rFonts w:hint="eastAsia" w:ascii="宋体" w:hAnsi="宋体" w:eastAsia="宋体" w:cs="宋体"/>
                <w:color w:val="auto"/>
                <w:sz w:val="21"/>
                <w:szCs w:val="21"/>
                <w:highlight w:val="none"/>
                <w:lang w:val="en-US" w:eastAsia="zh-CN" w:bidi="ar"/>
              </w:rPr>
            </w:pPr>
            <w:r>
              <w:rPr>
                <w:rStyle w:val="323"/>
                <w:rFonts w:hint="eastAsia" w:ascii="宋体" w:hAnsi="宋体" w:eastAsia="宋体" w:cs="宋体"/>
                <w:color w:val="auto"/>
                <w:sz w:val="21"/>
                <w:szCs w:val="21"/>
                <w:highlight w:val="none"/>
                <w:lang w:val="en-US" w:eastAsia="zh-CN" w:bidi="ar"/>
              </w:rPr>
              <w:t>9.</w:t>
            </w:r>
            <w:r>
              <w:rPr>
                <w:rFonts w:hint="eastAsia" w:ascii="宋体" w:hAnsi="宋体" w:eastAsia="宋体" w:cs="宋体"/>
                <w:i w:val="0"/>
                <w:color w:val="auto"/>
                <w:kern w:val="0"/>
                <w:sz w:val="21"/>
                <w:szCs w:val="21"/>
                <w:highlight w:val="none"/>
                <w:u w:val="none"/>
                <w:lang w:val="en-US" w:eastAsia="zh-CN" w:bidi="ar"/>
              </w:rPr>
              <w:t xml:space="preserve"> </w:t>
            </w:r>
            <w:r>
              <w:rPr>
                <w:rStyle w:val="323"/>
                <w:rFonts w:hint="eastAsia" w:ascii="宋体" w:hAnsi="宋体" w:eastAsia="宋体" w:cs="宋体"/>
                <w:color w:val="auto"/>
                <w:sz w:val="21"/>
                <w:szCs w:val="21"/>
                <w:highlight w:val="none"/>
                <w:lang w:val="en-US" w:eastAsia="zh-CN" w:bidi="ar"/>
              </w:rPr>
              <w:t>支持IPv4和IPv6的静态路由、RIP/RIPng、OSPFv2/OSPFv3等三层路由协议；</w:t>
            </w:r>
          </w:p>
          <w:p>
            <w:pPr>
              <w:keepNext w:val="0"/>
              <w:keepLines w:val="0"/>
              <w:widowControl/>
              <w:suppressLineNumbers w:val="0"/>
              <w:jc w:val="left"/>
              <w:textAlignment w:val="center"/>
              <w:rPr>
                <w:rStyle w:val="323"/>
                <w:rFonts w:hint="eastAsia" w:ascii="宋体" w:hAnsi="宋体" w:eastAsia="宋体" w:cs="宋体"/>
                <w:color w:val="auto"/>
                <w:sz w:val="21"/>
                <w:szCs w:val="21"/>
                <w:highlight w:val="none"/>
                <w:lang w:val="en-US" w:eastAsia="zh-CN" w:bidi="ar"/>
              </w:rPr>
            </w:pPr>
            <w:r>
              <w:rPr>
                <w:rStyle w:val="323"/>
                <w:rFonts w:hint="eastAsia" w:ascii="宋体" w:hAnsi="宋体" w:eastAsia="宋体" w:cs="宋体"/>
                <w:color w:val="auto"/>
                <w:sz w:val="21"/>
                <w:szCs w:val="21"/>
                <w:highlight w:val="none"/>
                <w:lang w:val="en-US" w:eastAsia="zh-CN" w:bidi="ar"/>
              </w:rPr>
              <w:t>10.</w:t>
            </w:r>
            <w:r>
              <w:rPr>
                <w:rFonts w:hint="eastAsia" w:ascii="宋体" w:hAnsi="宋体" w:eastAsia="宋体" w:cs="宋体"/>
                <w:i w:val="0"/>
                <w:color w:val="auto"/>
                <w:kern w:val="0"/>
                <w:sz w:val="21"/>
                <w:szCs w:val="21"/>
                <w:highlight w:val="none"/>
                <w:u w:val="none"/>
                <w:lang w:val="en-US" w:eastAsia="zh-CN" w:bidi="ar"/>
              </w:rPr>
              <w:t xml:space="preserve"> </w:t>
            </w:r>
            <w:r>
              <w:rPr>
                <w:rStyle w:val="323"/>
                <w:rFonts w:hint="eastAsia" w:ascii="宋体" w:hAnsi="宋体" w:eastAsia="宋体" w:cs="宋体"/>
                <w:color w:val="auto"/>
                <w:sz w:val="21"/>
                <w:szCs w:val="21"/>
                <w:highlight w:val="none"/>
                <w:lang w:val="en-US" w:eastAsia="zh-CN" w:bidi="ar"/>
              </w:rPr>
              <w:t>支持专门针对CPU的保护机制，能够针对发往CPU处理的各种报文进行流区分和优先级队列分级处理，保护交换机在各种环境下稳定工作；</w:t>
            </w:r>
          </w:p>
          <w:p>
            <w:pPr>
              <w:keepNext w:val="0"/>
              <w:keepLines w:val="0"/>
              <w:widowControl/>
              <w:suppressLineNumbers w:val="0"/>
              <w:jc w:val="left"/>
              <w:textAlignment w:val="center"/>
              <w:rPr>
                <w:rStyle w:val="323"/>
                <w:rFonts w:hint="eastAsia" w:ascii="宋体" w:hAnsi="宋体" w:eastAsia="宋体" w:cs="宋体"/>
                <w:color w:val="auto"/>
                <w:sz w:val="21"/>
                <w:szCs w:val="21"/>
                <w:highlight w:val="none"/>
                <w:lang w:val="en-US" w:eastAsia="zh-CN" w:bidi="ar"/>
              </w:rPr>
            </w:pPr>
            <w:r>
              <w:rPr>
                <w:rStyle w:val="323"/>
                <w:rFonts w:hint="eastAsia" w:ascii="宋体" w:hAnsi="宋体" w:eastAsia="宋体" w:cs="宋体"/>
                <w:color w:val="auto"/>
                <w:sz w:val="21"/>
                <w:szCs w:val="21"/>
                <w:highlight w:val="none"/>
                <w:lang w:val="en-US" w:eastAsia="zh-CN" w:bidi="ar"/>
              </w:rPr>
              <w:t>11.</w:t>
            </w:r>
            <w:r>
              <w:rPr>
                <w:rFonts w:hint="eastAsia" w:ascii="宋体" w:hAnsi="宋体" w:eastAsia="宋体" w:cs="宋体"/>
                <w:i w:val="0"/>
                <w:color w:val="auto"/>
                <w:kern w:val="0"/>
                <w:sz w:val="21"/>
                <w:szCs w:val="21"/>
                <w:highlight w:val="none"/>
                <w:u w:val="none"/>
                <w:lang w:val="en-US" w:eastAsia="zh-CN" w:bidi="ar"/>
              </w:rPr>
              <w:t xml:space="preserve"> </w:t>
            </w:r>
            <w:r>
              <w:rPr>
                <w:rStyle w:val="323"/>
                <w:rFonts w:hint="eastAsia" w:ascii="宋体" w:hAnsi="宋体" w:eastAsia="宋体" w:cs="宋体"/>
                <w:color w:val="auto"/>
                <w:sz w:val="21"/>
                <w:szCs w:val="21"/>
                <w:highlight w:val="none"/>
                <w:lang w:val="en-US" w:eastAsia="zh-CN" w:bidi="ar"/>
              </w:rPr>
              <w:t>符合国家低碳环保等政策要求，支持IEEE 802.3az标准的EEE节能技术；</w:t>
            </w:r>
          </w:p>
          <w:p>
            <w:pPr>
              <w:keepNext w:val="0"/>
              <w:keepLines w:val="0"/>
              <w:widowControl/>
              <w:suppressLineNumbers w:val="0"/>
              <w:jc w:val="left"/>
              <w:textAlignment w:val="center"/>
              <w:rPr>
                <w:rStyle w:val="323"/>
                <w:rFonts w:hint="eastAsia" w:ascii="宋体" w:hAnsi="宋体" w:eastAsia="宋体" w:cs="宋体"/>
                <w:color w:val="auto"/>
                <w:sz w:val="21"/>
                <w:szCs w:val="21"/>
                <w:highlight w:val="none"/>
                <w:lang w:val="en-US" w:eastAsia="zh-CN" w:bidi="ar"/>
              </w:rPr>
            </w:pPr>
            <w:r>
              <w:rPr>
                <w:rStyle w:val="323"/>
                <w:rFonts w:hint="eastAsia" w:ascii="宋体" w:hAnsi="宋体" w:eastAsia="宋体" w:cs="宋体"/>
                <w:color w:val="auto"/>
                <w:sz w:val="21"/>
                <w:szCs w:val="21"/>
                <w:highlight w:val="none"/>
                <w:lang w:val="en-US" w:eastAsia="zh-CN" w:bidi="ar"/>
              </w:rPr>
              <w:t>12.</w:t>
            </w:r>
            <w:r>
              <w:rPr>
                <w:rFonts w:hint="eastAsia" w:ascii="宋体" w:hAnsi="宋体" w:eastAsia="宋体" w:cs="宋体"/>
                <w:i w:val="0"/>
                <w:color w:val="auto"/>
                <w:kern w:val="0"/>
                <w:sz w:val="21"/>
                <w:szCs w:val="21"/>
                <w:highlight w:val="none"/>
                <w:u w:val="none"/>
                <w:lang w:val="en-US" w:eastAsia="zh-CN" w:bidi="ar"/>
              </w:rPr>
              <w:t xml:space="preserve"> </w:t>
            </w:r>
            <w:r>
              <w:rPr>
                <w:rStyle w:val="323"/>
                <w:rFonts w:hint="eastAsia" w:ascii="宋体" w:hAnsi="宋体" w:eastAsia="宋体" w:cs="宋体"/>
                <w:color w:val="auto"/>
                <w:sz w:val="21"/>
                <w:szCs w:val="21"/>
                <w:highlight w:val="none"/>
                <w:lang w:val="en-US" w:eastAsia="zh-CN" w:bidi="ar"/>
              </w:rPr>
              <w:t>支持生成树协议STP(IEEE 802.1d)，RSTP(IEEE 802.1w)和MSTP(IEEE 802.1s)，完全保证快速收敛，提高容错能力，保证网络的稳定运行和链路的负载均衡，合理使用网络通道，提供冗余链路利用率；</w:t>
            </w:r>
          </w:p>
          <w:p>
            <w:pPr>
              <w:keepNext w:val="0"/>
              <w:keepLines w:val="0"/>
              <w:widowControl/>
              <w:suppressLineNumbers w:val="0"/>
              <w:jc w:val="left"/>
              <w:textAlignment w:val="center"/>
              <w:rPr>
                <w:rStyle w:val="323"/>
                <w:rFonts w:hint="eastAsia" w:ascii="宋体" w:hAnsi="宋体" w:eastAsia="宋体" w:cs="宋体"/>
                <w:color w:val="auto"/>
                <w:sz w:val="21"/>
                <w:szCs w:val="21"/>
                <w:highlight w:val="none"/>
                <w:lang w:val="en-US" w:eastAsia="zh-CN" w:bidi="ar"/>
              </w:rPr>
            </w:pPr>
            <w:r>
              <w:rPr>
                <w:rStyle w:val="323"/>
                <w:rFonts w:hint="eastAsia" w:ascii="宋体" w:hAnsi="宋体" w:eastAsia="宋体" w:cs="宋体"/>
                <w:color w:val="auto"/>
                <w:sz w:val="21"/>
                <w:szCs w:val="21"/>
                <w:highlight w:val="none"/>
                <w:lang w:val="en-US" w:eastAsia="zh-CN" w:bidi="ar"/>
              </w:rPr>
              <w:t>13.</w:t>
            </w:r>
            <w:r>
              <w:rPr>
                <w:rFonts w:hint="eastAsia" w:ascii="宋体" w:hAnsi="宋体" w:eastAsia="宋体" w:cs="宋体"/>
                <w:i w:val="0"/>
                <w:color w:val="auto"/>
                <w:kern w:val="0"/>
                <w:sz w:val="21"/>
                <w:szCs w:val="21"/>
                <w:highlight w:val="none"/>
                <w:u w:val="none"/>
                <w:lang w:val="en-US" w:eastAsia="zh-CN" w:bidi="ar"/>
              </w:rPr>
              <w:t xml:space="preserve"> </w:t>
            </w:r>
            <w:r>
              <w:rPr>
                <w:rStyle w:val="323"/>
                <w:rFonts w:hint="eastAsia" w:ascii="宋体" w:hAnsi="宋体" w:eastAsia="宋体" w:cs="宋体"/>
                <w:color w:val="auto"/>
                <w:sz w:val="21"/>
                <w:szCs w:val="21"/>
                <w:highlight w:val="none"/>
                <w:lang w:val="en-US" w:eastAsia="zh-CN" w:bidi="ar"/>
              </w:rPr>
              <w:t>当室内交换机出现故障，替换用的新设备支持智能零替换。支持自适应不同型号间的设备替换，以及替换后新设备支持终端在任意端口接入，并且终端在原有设备接入端口的配置可自动跟随到新设备端口；</w:t>
            </w:r>
          </w:p>
          <w:p>
            <w:pPr>
              <w:keepNext w:val="0"/>
              <w:keepLines w:val="0"/>
              <w:widowControl/>
              <w:suppressLineNumbers w:val="0"/>
              <w:jc w:val="left"/>
              <w:textAlignment w:val="center"/>
              <w:rPr>
                <w:rStyle w:val="323"/>
                <w:rFonts w:hint="eastAsia" w:ascii="宋体" w:hAnsi="宋体" w:eastAsia="宋体" w:cs="宋体"/>
                <w:color w:val="auto"/>
                <w:sz w:val="21"/>
                <w:szCs w:val="21"/>
                <w:highlight w:val="none"/>
                <w:lang w:val="en-US" w:eastAsia="zh-CN" w:bidi="ar"/>
              </w:rPr>
            </w:pPr>
            <w:r>
              <w:rPr>
                <w:rStyle w:val="323"/>
                <w:rFonts w:hint="eastAsia" w:ascii="宋体" w:hAnsi="宋体" w:eastAsia="宋体" w:cs="宋体"/>
                <w:color w:val="auto"/>
                <w:sz w:val="21"/>
                <w:szCs w:val="21"/>
                <w:highlight w:val="none"/>
                <w:lang w:val="en-US" w:eastAsia="zh-CN" w:bidi="ar"/>
              </w:rPr>
              <w:t>14.</w:t>
            </w:r>
            <w:r>
              <w:rPr>
                <w:rFonts w:hint="eastAsia" w:ascii="宋体" w:hAnsi="宋体" w:eastAsia="宋体" w:cs="宋体"/>
                <w:i w:val="0"/>
                <w:color w:val="auto"/>
                <w:kern w:val="0"/>
                <w:sz w:val="21"/>
                <w:szCs w:val="21"/>
                <w:highlight w:val="none"/>
                <w:u w:val="none"/>
                <w:lang w:val="en-US" w:eastAsia="zh-CN" w:bidi="ar"/>
              </w:rPr>
              <w:t xml:space="preserve"> </w:t>
            </w:r>
            <w:r>
              <w:rPr>
                <w:rStyle w:val="323"/>
                <w:rFonts w:hint="eastAsia" w:ascii="宋体" w:hAnsi="宋体" w:eastAsia="宋体" w:cs="宋体"/>
                <w:color w:val="auto"/>
                <w:sz w:val="21"/>
                <w:szCs w:val="21"/>
                <w:highlight w:val="none"/>
                <w:lang w:val="en-US" w:eastAsia="zh-CN" w:bidi="ar"/>
              </w:rPr>
              <w:t>支持光模块与光链路运维检测与故障告警，并可在拓扑中呈现并查看详细信息，包括提供告警原因分析与处理建议；</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Style w:val="323"/>
                <w:rFonts w:hint="eastAsia" w:ascii="宋体" w:hAnsi="宋体" w:eastAsia="宋体" w:cs="宋体"/>
                <w:color w:val="auto"/>
                <w:sz w:val="21"/>
                <w:szCs w:val="21"/>
                <w:highlight w:val="none"/>
                <w:lang w:val="en-US" w:eastAsia="zh-CN" w:bidi="ar"/>
              </w:rPr>
              <w:t>15.</w:t>
            </w:r>
            <w:r>
              <w:rPr>
                <w:rFonts w:hint="eastAsia" w:ascii="宋体" w:hAnsi="宋体" w:eastAsia="宋体" w:cs="宋体"/>
                <w:i w:val="0"/>
                <w:color w:val="auto"/>
                <w:kern w:val="0"/>
                <w:sz w:val="21"/>
                <w:szCs w:val="21"/>
                <w:highlight w:val="none"/>
                <w:u w:val="none"/>
                <w:lang w:val="en-US" w:eastAsia="zh-CN" w:bidi="ar"/>
              </w:rPr>
              <w:t xml:space="preserve"> </w:t>
            </w:r>
            <w:r>
              <w:rPr>
                <w:rStyle w:val="323"/>
                <w:rFonts w:hint="eastAsia" w:ascii="宋体" w:hAnsi="宋体" w:eastAsia="宋体" w:cs="宋体"/>
                <w:color w:val="auto"/>
                <w:sz w:val="21"/>
                <w:szCs w:val="21"/>
                <w:highlight w:val="none"/>
                <w:lang w:val="en-US" w:eastAsia="zh-CN" w:bidi="ar"/>
              </w:rPr>
              <w:t>支持在室内交换机上行链路断开、无法被网管软件发现纳管时，通过手持手机扫码一键拉取链路全部信息，无需逐点排查，快速定位是光模块还是光纤异常，并给出故障诊断及处理意见；</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6</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16</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光纤模块</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接入侧万兆光模块，不同波长光模块，10G，单模，10KM，LC</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12</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6" w:hRule="atLeast"/>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17</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主材辅助</w:t>
            </w:r>
          </w:p>
        </w:tc>
        <w:tc>
          <w:tcPr>
            <w:tcW w:w="5975" w:type="dxa"/>
            <w:vAlign w:val="center"/>
          </w:tcPr>
          <w:p>
            <w:pPr>
              <w:keepNext w:val="0"/>
              <w:keepLines w:val="0"/>
              <w:widowControl/>
              <w:suppressLineNumbers w:val="0"/>
              <w:spacing w:after="220" w:afterAutospacing="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单校标配硬件设备，含监控电源、配套零配件、服务器、算力卡、PDU、不锈钢防水箱、电源线、PVC管、光纤、lc尾纤等其它辅材</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项</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center"/>
          </w:tcPr>
          <w:p>
            <w:pPr>
              <w:keepNext w:val="0"/>
              <w:keepLines w:val="0"/>
              <w:widowControl/>
              <w:suppressLineNumbers w:val="0"/>
              <w:jc w:val="left"/>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18</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双绞线缆</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网线（室外非屏蔽6类双绞线） </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1、护套材质：PVC、绝缘层材料：PE、含十字骨架、线规：24AWG；</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2、导体需采用99.99%以上纯铜，导体直径不小于0.515（±0.005）mm；  </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3、符合YD/T 1019、ISO/IEC 11801、ANSI/TIA-568-C.2标准；</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4、工作电容最大值：≤5.6nF/100m；</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5、单根导体直流电阻：≤9.5Ω/100m at 20℃； </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 xml:space="preserve">6、线对直流电阻不平衡性：≤2.5%； </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m</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1500</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19</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集线器</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无线AP  </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1.室外型无线接入点；</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2.支持802.11ax标准。</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3.整机双射频，4条空间流。</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4.整机最大无线接入速率≥2.975Gbps。</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5.内置定向天线设计。</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6.采用内置天线设计，无外置天线口。</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7.支持1G有线接口≥1个，支持2.5G光口≥1个。</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8.支持内置蓝牙5.0。</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9.支持IP68防护等级。</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10.由于室外AP部署在室外无遮挡环境中，为保证设备受到外部机械碰撞仍可以保持结构完整、功能完备并且可以正常运行，要求所投室外无线接入点符合国标GB/T 20138-2006即《电器设备外壳对外界机械碰撞的防护等级（IK代码）》标准，至少达到防护等级IK08。</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6</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tabs>
                <w:tab w:val="left" w:pos="280"/>
              </w:tabs>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20</w:t>
            </w:r>
          </w:p>
        </w:tc>
        <w:tc>
          <w:tcPr>
            <w:tcW w:w="1138" w:type="dxa"/>
            <w:vAlign w:val="center"/>
          </w:tcPr>
          <w:p>
            <w:pPr>
              <w:keepNext w:val="0"/>
              <w:keepLines w:val="0"/>
              <w:widowControl/>
              <w:suppressLineNumbers w:val="0"/>
              <w:tabs>
                <w:tab w:val="left" w:pos="280"/>
              </w:tabs>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路由器</w:t>
            </w:r>
          </w:p>
        </w:tc>
        <w:tc>
          <w:tcPr>
            <w:tcW w:w="5975" w:type="dxa"/>
            <w:vAlign w:val="center"/>
          </w:tcPr>
          <w:p>
            <w:pPr>
              <w:keepNext w:val="0"/>
              <w:keepLines w:val="0"/>
              <w:widowControl/>
              <w:suppressLineNumbers w:val="0"/>
              <w:tabs>
                <w:tab w:val="left" w:pos="280"/>
              </w:tabs>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路由器</w:t>
            </w:r>
          </w:p>
          <w:p>
            <w:pPr>
              <w:keepNext w:val="0"/>
              <w:keepLines w:val="0"/>
              <w:widowControl/>
              <w:suppressLineNumbers w:val="0"/>
              <w:tabs>
                <w:tab w:val="left" w:pos="280"/>
              </w:tabs>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有线传输率：千兆端口；无线传输速率：3000Mbps；无线网络支持频率：2.4G&amp;5G；是否无线：是；无线传输速度：108Mbps以上；是否内置防火墙：是；是否支持WDS：是；是否支持WPS：否</w:t>
            </w:r>
          </w:p>
        </w:tc>
        <w:tc>
          <w:tcPr>
            <w:tcW w:w="775" w:type="dxa"/>
            <w:vAlign w:val="center"/>
          </w:tcPr>
          <w:p>
            <w:pPr>
              <w:keepNext w:val="0"/>
              <w:keepLines w:val="0"/>
              <w:widowControl/>
              <w:suppressLineNumbers w:val="0"/>
              <w:tabs>
                <w:tab w:val="left" w:pos="280"/>
              </w:tabs>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tabs>
                <w:tab w:val="left" w:pos="280"/>
              </w:tabs>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3</w:t>
            </w:r>
          </w:p>
        </w:tc>
        <w:tc>
          <w:tcPr>
            <w:tcW w:w="1013" w:type="dxa"/>
            <w:vAlign w:val="top"/>
          </w:tcPr>
          <w:p>
            <w:pPr>
              <w:keepNext w:val="0"/>
              <w:keepLines w:val="0"/>
              <w:widowControl/>
              <w:suppressLineNumbers w:val="0"/>
              <w:tabs>
                <w:tab w:val="left" w:pos="280"/>
              </w:tabs>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tabs>
                <w:tab w:val="left" w:pos="280"/>
              </w:tabs>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21</w:t>
            </w:r>
          </w:p>
        </w:tc>
        <w:tc>
          <w:tcPr>
            <w:tcW w:w="1138" w:type="dxa"/>
            <w:vAlign w:val="center"/>
          </w:tcPr>
          <w:p>
            <w:pPr>
              <w:keepNext w:val="0"/>
              <w:keepLines w:val="0"/>
              <w:widowControl/>
              <w:suppressLineNumbers w:val="0"/>
              <w:tabs>
                <w:tab w:val="left" w:pos="280"/>
              </w:tabs>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分线接线箱（盒）</w:t>
            </w:r>
          </w:p>
        </w:tc>
        <w:tc>
          <w:tcPr>
            <w:tcW w:w="5975" w:type="dxa"/>
            <w:vAlign w:val="center"/>
          </w:tcPr>
          <w:p>
            <w:pPr>
              <w:keepNext w:val="0"/>
              <w:keepLines w:val="0"/>
              <w:widowControl/>
              <w:suppressLineNumbers w:val="0"/>
              <w:tabs>
                <w:tab w:val="left" w:pos="280"/>
              </w:tabs>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不锈钢防水箱 450*300*200mm 材质：304不锈钢厚度0.8mm；</w:t>
            </w:r>
          </w:p>
        </w:tc>
        <w:tc>
          <w:tcPr>
            <w:tcW w:w="775" w:type="dxa"/>
            <w:vAlign w:val="center"/>
          </w:tcPr>
          <w:p>
            <w:pPr>
              <w:keepNext w:val="0"/>
              <w:keepLines w:val="0"/>
              <w:widowControl/>
              <w:suppressLineNumbers w:val="0"/>
              <w:tabs>
                <w:tab w:val="left" w:pos="280"/>
              </w:tabs>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个</w:t>
            </w:r>
          </w:p>
        </w:tc>
        <w:tc>
          <w:tcPr>
            <w:tcW w:w="662" w:type="dxa"/>
            <w:vAlign w:val="center"/>
          </w:tcPr>
          <w:p>
            <w:pPr>
              <w:keepNext w:val="0"/>
              <w:keepLines w:val="0"/>
              <w:widowControl/>
              <w:suppressLineNumbers w:val="0"/>
              <w:tabs>
                <w:tab w:val="left" w:pos="280"/>
              </w:tabs>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6</w:t>
            </w:r>
          </w:p>
        </w:tc>
        <w:tc>
          <w:tcPr>
            <w:tcW w:w="1013" w:type="dxa"/>
            <w:vAlign w:val="top"/>
          </w:tcPr>
          <w:p>
            <w:pPr>
              <w:keepNext w:val="0"/>
              <w:keepLines w:val="0"/>
              <w:widowControl/>
              <w:suppressLineNumbers w:val="0"/>
              <w:tabs>
                <w:tab w:val="left" w:pos="280"/>
              </w:tabs>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tabs>
                <w:tab w:val="left" w:pos="280"/>
              </w:tabs>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22</w:t>
            </w:r>
          </w:p>
        </w:tc>
        <w:tc>
          <w:tcPr>
            <w:tcW w:w="1138" w:type="dxa"/>
            <w:vAlign w:val="center"/>
          </w:tcPr>
          <w:p>
            <w:pPr>
              <w:keepNext w:val="0"/>
              <w:keepLines w:val="0"/>
              <w:widowControl/>
              <w:suppressLineNumbers w:val="0"/>
              <w:tabs>
                <w:tab w:val="left" w:pos="280"/>
              </w:tabs>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配管</w:t>
            </w:r>
          </w:p>
        </w:tc>
        <w:tc>
          <w:tcPr>
            <w:tcW w:w="5975" w:type="dxa"/>
            <w:vAlign w:val="center"/>
          </w:tcPr>
          <w:p>
            <w:pPr>
              <w:keepNext w:val="0"/>
              <w:keepLines w:val="0"/>
              <w:widowControl/>
              <w:suppressLineNumbers w:val="0"/>
              <w:tabs>
                <w:tab w:val="left" w:pos="280"/>
              </w:tabs>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刚性阻燃管敷设 砖、混凝土结构暗配 PVC25</w:t>
            </w:r>
          </w:p>
        </w:tc>
        <w:tc>
          <w:tcPr>
            <w:tcW w:w="775" w:type="dxa"/>
            <w:vAlign w:val="center"/>
          </w:tcPr>
          <w:p>
            <w:pPr>
              <w:keepNext w:val="0"/>
              <w:keepLines w:val="0"/>
              <w:widowControl/>
              <w:suppressLineNumbers w:val="0"/>
              <w:tabs>
                <w:tab w:val="left" w:pos="280"/>
              </w:tabs>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米</w:t>
            </w:r>
          </w:p>
        </w:tc>
        <w:tc>
          <w:tcPr>
            <w:tcW w:w="662" w:type="dxa"/>
            <w:vAlign w:val="center"/>
          </w:tcPr>
          <w:p>
            <w:pPr>
              <w:keepNext w:val="0"/>
              <w:keepLines w:val="0"/>
              <w:widowControl/>
              <w:suppressLineNumbers w:val="0"/>
              <w:tabs>
                <w:tab w:val="left" w:pos="280"/>
              </w:tabs>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500</w:t>
            </w:r>
          </w:p>
        </w:tc>
        <w:tc>
          <w:tcPr>
            <w:tcW w:w="1013" w:type="dxa"/>
            <w:vAlign w:val="top"/>
          </w:tcPr>
          <w:p>
            <w:pPr>
              <w:keepNext w:val="0"/>
              <w:keepLines w:val="0"/>
              <w:widowControl/>
              <w:suppressLineNumbers w:val="0"/>
              <w:tabs>
                <w:tab w:val="left" w:pos="280"/>
              </w:tabs>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tabs>
                <w:tab w:val="left" w:pos="280"/>
              </w:tabs>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23</w:t>
            </w:r>
          </w:p>
        </w:tc>
        <w:tc>
          <w:tcPr>
            <w:tcW w:w="1138" w:type="dxa"/>
            <w:vAlign w:val="center"/>
          </w:tcPr>
          <w:p>
            <w:pPr>
              <w:keepNext w:val="0"/>
              <w:keepLines w:val="0"/>
              <w:widowControl/>
              <w:suppressLineNumbers w:val="0"/>
              <w:tabs>
                <w:tab w:val="left" w:pos="280"/>
              </w:tabs>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光缆</w:t>
            </w:r>
          </w:p>
        </w:tc>
        <w:tc>
          <w:tcPr>
            <w:tcW w:w="5975" w:type="dxa"/>
            <w:vAlign w:val="center"/>
          </w:tcPr>
          <w:p>
            <w:pPr>
              <w:keepNext w:val="0"/>
              <w:keepLines w:val="0"/>
              <w:widowControl/>
              <w:suppressLineNumbers w:val="0"/>
              <w:tabs>
                <w:tab w:val="left" w:pos="280"/>
              </w:tabs>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8芯光电复合单模光缆</w:t>
            </w:r>
          </w:p>
          <w:p>
            <w:pPr>
              <w:keepNext w:val="0"/>
              <w:keepLines w:val="0"/>
              <w:widowControl/>
              <w:suppressLineNumbers w:val="0"/>
              <w:tabs>
                <w:tab w:val="left" w:pos="280"/>
              </w:tabs>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1、产品符合YD/T769-2010、YD/T 908-2011、GB/T9771.3-2008、GB/T12357.1-2004等标准；</w:t>
            </w:r>
          </w:p>
          <w:p>
            <w:pPr>
              <w:keepNext w:val="0"/>
              <w:keepLines w:val="0"/>
              <w:widowControl/>
              <w:suppressLineNumbers w:val="0"/>
              <w:tabs>
                <w:tab w:val="left" w:pos="280"/>
              </w:tabs>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2、机械性能和温度特性良好，可在-40℃～+70℃环境下使用；</w:t>
            </w:r>
          </w:p>
          <w:p>
            <w:pPr>
              <w:keepNext w:val="0"/>
              <w:keepLines w:val="0"/>
              <w:widowControl/>
              <w:suppressLineNumbers w:val="0"/>
              <w:tabs>
                <w:tab w:val="left" w:pos="280"/>
              </w:tabs>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3、松套管材料耐水解性能好和强度高；</w:t>
            </w:r>
          </w:p>
          <w:p>
            <w:pPr>
              <w:keepNext w:val="0"/>
              <w:keepLines w:val="0"/>
              <w:widowControl/>
              <w:suppressLineNumbers w:val="0"/>
              <w:tabs>
                <w:tab w:val="left" w:pos="280"/>
              </w:tabs>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4、管内充以特种油膏对光纤进行关键性保护；</w:t>
            </w:r>
          </w:p>
          <w:p>
            <w:pPr>
              <w:keepNext w:val="0"/>
              <w:keepLines w:val="0"/>
              <w:widowControl/>
              <w:suppressLineNumbers w:val="0"/>
              <w:tabs>
                <w:tab w:val="left" w:pos="280"/>
              </w:tabs>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5、采用双面涂塑光带提高光缆的抗潮能力；</w:t>
            </w:r>
          </w:p>
          <w:p>
            <w:pPr>
              <w:keepNext w:val="0"/>
              <w:keepLines w:val="0"/>
              <w:widowControl/>
              <w:suppressLineNumbers w:val="0"/>
              <w:tabs>
                <w:tab w:val="left" w:pos="280"/>
              </w:tabs>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6、采用两根平行钢丝保证光缆的抗拉强度；</w:t>
            </w:r>
          </w:p>
          <w:p>
            <w:pPr>
              <w:keepNext w:val="0"/>
              <w:keepLines w:val="0"/>
              <w:widowControl/>
              <w:suppressLineNumbers w:val="0"/>
              <w:tabs>
                <w:tab w:val="left" w:pos="280"/>
              </w:tabs>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7、采用PE护套；                                                                                                                                8、8芯、电源线无氧铜2*1；</w:t>
            </w:r>
          </w:p>
          <w:p>
            <w:pPr>
              <w:keepNext w:val="0"/>
              <w:keepLines w:val="0"/>
              <w:widowControl/>
              <w:suppressLineNumbers w:val="0"/>
              <w:tabs>
                <w:tab w:val="left" w:pos="280"/>
              </w:tabs>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9、长期的允许拉伸力600N,短期允许拉伸力1500N；</w:t>
            </w:r>
          </w:p>
          <w:p>
            <w:pPr>
              <w:keepNext w:val="0"/>
              <w:keepLines w:val="0"/>
              <w:widowControl/>
              <w:suppressLineNumbers w:val="0"/>
              <w:tabs>
                <w:tab w:val="left" w:pos="280"/>
              </w:tabs>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10、长期允许压扁力300N/100mm，短期允许压扁力要求1000N/100mm；</w:t>
            </w:r>
          </w:p>
          <w:p>
            <w:pPr>
              <w:keepNext w:val="0"/>
              <w:keepLines w:val="0"/>
              <w:widowControl/>
              <w:suppressLineNumbers w:val="0"/>
              <w:tabs>
                <w:tab w:val="left" w:pos="280"/>
              </w:tabs>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11、动态最小弯曲半径20D mm，静态最小弯曲半径10D mm；                                                                                                                       12、光学特性：1、光缆在@1310nm时衰减≤0.36（ dB/km）；光缆在@1550nm时衰减≤0.22（ dB/km）；光缆在@1300nm时温度附加衰减（-20°~+60°）≤0.05 dB/km；光缆在@1550nm时温度附加衰减（-20°~+60°）≤0.05 dB/km</w:t>
            </w:r>
          </w:p>
        </w:tc>
        <w:tc>
          <w:tcPr>
            <w:tcW w:w="775" w:type="dxa"/>
            <w:vAlign w:val="center"/>
          </w:tcPr>
          <w:p>
            <w:pPr>
              <w:keepNext w:val="0"/>
              <w:keepLines w:val="0"/>
              <w:widowControl/>
              <w:suppressLineNumbers w:val="0"/>
              <w:tabs>
                <w:tab w:val="left" w:pos="280"/>
              </w:tabs>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米</w:t>
            </w:r>
          </w:p>
        </w:tc>
        <w:tc>
          <w:tcPr>
            <w:tcW w:w="662" w:type="dxa"/>
            <w:vAlign w:val="center"/>
          </w:tcPr>
          <w:p>
            <w:pPr>
              <w:keepNext w:val="0"/>
              <w:keepLines w:val="0"/>
              <w:widowControl/>
              <w:suppressLineNumbers w:val="0"/>
              <w:tabs>
                <w:tab w:val="left" w:pos="280"/>
              </w:tabs>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1200</w:t>
            </w:r>
          </w:p>
        </w:tc>
        <w:tc>
          <w:tcPr>
            <w:tcW w:w="1013" w:type="dxa"/>
            <w:vAlign w:val="top"/>
          </w:tcPr>
          <w:p>
            <w:pPr>
              <w:keepNext w:val="0"/>
              <w:keepLines w:val="0"/>
              <w:widowControl/>
              <w:suppressLineNumbers w:val="0"/>
              <w:tabs>
                <w:tab w:val="left" w:pos="280"/>
              </w:tabs>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tabs>
                <w:tab w:val="left" w:pos="280"/>
              </w:tabs>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24</w:t>
            </w:r>
          </w:p>
        </w:tc>
        <w:tc>
          <w:tcPr>
            <w:tcW w:w="1138" w:type="dxa"/>
            <w:vAlign w:val="center"/>
          </w:tcPr>
          <w:p>
            <w:pPr>
              <w:keepNext w:val="0"/>
              <w:keepLines w:val="0"/>
              <w:widowControl/>
              <w:suppressLineNumbers w:val="0"/>
              <w:tabs>
                <w:tab w:val="left" w:pos="280"/>
              </w:tabs>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配线</w:t>
            </w:r>
          </w:p>
        </w:tc>
        <w:tc>
          <w:tcPr>
            <w:tcW w:w="5975" w:type="dxa"/>
            <w:vAlign w:val="center"/>
          </w:tcPr>
          <w:p>
            <w:pPr>
              <w:keepNext w:val="0"/>
              <w:keepLines w:val="0"/>
              <w:widowControl/>
              <w:suppressLineNumbers w:val="0"/>
              <w:tabs>
                <w:tab w:val="left" w:pos="280"/>
              </w:tabs>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1、名称：电源线</w:t>
            </w:r>
          </w:p>
          <w:p>
            <w:pPr>
              <w:keepNext w:val="0"/>
              <w:keepLines w:val="0"/>
              <w:widowControl/>
              <w:suppressLineNumbers w:val="0"/>
              <w:tabs>
                <w:tab w:val="left" w:pos="280"/>
              </w:tabs>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2、规格、参数：RVV3*2.5</w:t>
            </w:r>
          </w:p>
        </w:tc>
        <w:tc>
          <w:tcPr>
            <w:tcW w:w="775" w:type="dxa"/>
            <w:vAlign w:val="center"/>
          </w:tcPr>
          <w:p>
            <w:pPr>
              <w:keepNext w:val="0"/>
              <w:keepLines w:val="0"/>
              <w:widowControl/>
              <w:suppressLineNumbers w:val="0"/>
              <w:tabs>
                <w:tab w:val="left" w:pos="280"/>
              </w:tabs>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米</w:t>
            </w:r>
          </w:p>
        </w:tc>
        <w:tc>
          <w:tcPr>
            <w:tcW w:w="662" w:type="dxa"/>
            <w:vAlign w:val="center"/>
          </w:tcPr>
          <w:p>
            <w:pPr>
              <w:keepNext w:val="0"/>
              <w:keepLines w:val="0"/>
              <w:widowControl/>
              <w:suppressLineNumbers w:val="0"/>
              <w:tabs>
                <w:tab w:val="left" w:pos="280"/>
              </w:tabs>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300</w:t>
            </w:r>
          </w:p>
        </w:tc>
        <w:tc>
          <w:tcPr>
            <w:tcW w:w="1013" w:type="dxa"/>
            <w:vAlign w:val="top"/>
          </w:tcPr>
          <w:p>
            <w:pPr>
              <w:keepNext w:val="0"/>
              <w:keepLines w:val="0"/>
              <w:widowControl/>
              <w:suppressLineNumbers w:val="0"/>
              <w:tabs>
                <w:tab w:val="left" w:pos="280"/>
              </w:tabs>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tabs>
                <w:tab w:val="left" w:pos="280"/>
              </w:tabs>
              <w:jc w:val="center"/>
              <w:rPr>
                <w:rFonts w:hint="eastAsia" w:ascii="宋体" w:hAnsi="宋体" w:eastAsia="宋体" w:cs="宋体"/>
                <w:b w:val="0"/>
                <w:bCs w:val="0"/>
                <w:color w:val="auto"/>
                <w:sz w:val="21"/>
                <w:szCs w:val="21"/>
                <w:highlight w:val="none"/>
                <w:vertAlign w:val="baseline"/>
                <w:lang w:val="en-US" w:eastAsia="zh-CN"/>
              </w:rPr>
            </w:pPr>
          </w:p>
        </w:tc>
        <w:tc>
          <w:tcPr>
            <w:tcW w:w="1138" w:type="dxa"/>
            <w:vAlign w:val="center"/>
          </w:tcPr>
          <w:p>
            <w:pPr>
              <w:tabs>
                <w:tab w:val="left" w:pos="280"/>
              </w:tabs>
              <w:jc w:val="center"/>
              <w:rPr>
                <w:rFonts w:hint="eastAsia" w:ascii="宋体" w:hAnsi="宋体" w:eastAsia="宋体" w:cs="宋体"/>
                <w:b w:val="0"/>
                <w:bCs w:val="0"/>
                <w:color w:val="auto"/>
                <w:sz w:val="21"/>
                <w:szCs w:val="21"/>
                <w:highlight w:val="none"/>
                <w:vertAlign w:val="baseline"/>
                <w:lang w:val="en-US" w:eastAsia="zh-CN"/>
              </w:rPr>
            </w:pPr>
          </w:p>
        </w:tc>
        <w:tc>
          <w:tcPr>
            <w:tcW w:w="5975" w:type="dxa"/>
            <w:vAlign w:val="center"/>
          </w:tcPr>
          <w:p>
            <w:pPr>
              <w:keepNext w:val="0"/>
              <w:keepLines w:val="0"/>
              <w:widowControl/>
              <w:suppressLineNumbers w:val="0"/>
              <w:tabs>
                <w:tab w:val="left" w:pos="280"/>
              </w:tabs>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无线电运动项目</w:t>
            </w:r>
          </w:p>
        </w:tc>
        <w:tc>
          <w:tcPr>
            <w:tcW w:w="775" w:type="dxa"/>
            <w:vAlign w:val="center"/>
          </w:tcPr>
          <w:p>
            <w:pPr>
              <w:tabs>
                <w:tab w:val="left" w:pos="280"/>
              </w:tabs>
              <w:jc w:val="center"/>
              <w:rPr>
                <w:rFonts w:hint="eastAsia" w:ascii="宋体" w:hAnsi="宋体" w:eastAsia="宋体" w:cs="宋体"/>
                <w:b w:val="0"/>
                <w:bCs w:val="0"/>
                <w:color w:val="auto"/>
                <w:sz w:val="21"/>
                <w:szCs w:val="21"/>
                <w:highlight w:val="none"/>
                <w:vertAlign w:val="baseline"/>
                <w:lang w:val="en-US" w:eastAsia="zh-CN"/>
              </w:rPr>
            </w:pPr>
          </w:p>
        </w:tc>
        <w:tc>
          <w:tcPr>
            <w:tcW w:w="662" w:type="dxa"/>
            <w:vAlign w:val="center"/>
          </w:tcPr>
          <w:p>
            <w:pPr>
              <w:tabs>
                <w:tab w:val="left" w:pos="280"/>
              </w:tabs>
              <w:jc w:val="center"/>
              <w:rPr>
                <w:rFonts w:hint="eastAsia" w:ascii="宋体" w:hAnsi="宋体" w:eastAsia="宋体" w:cs="宋体"/>
                <w:b w:val="0"/>
                <w:bCs w:val="0"/>
                <w:color w:val="auto"/>
                <w:sz w:val="21"/>
                <w:szCs w:val="21"/>
                <w:highlight w:val="none"/>
                <w:vertAlign w:val="baseline"/>
                <w:lang w:val="en-US" w:eastAsia="zh-CN"/>
              </w:rPr>
            </w:pPr>
          </w:p>
        </w:tc>
        <w:tc>
          <w:tcPr>
            <w:tcW w:w="1013" w:type="dxa"/>
            <w:vAlign w:val="top"/>
          </w:tcPr>
          <w:p>
            <w:pPr>
              <w:keepNext w:val="0"/>
              <w:keepLines w:val="0"/>
              <w:widowControl/>
              <w:suppressLineNumbers w:val="0"/>
              <w:tabs>
                <w:tab w:val="left" w:pos="280"/>
              </w:tabs>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tabs>
                <w:tab w:val="left" w:pos="280"/>
              </w:tabs>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138" w:type="dxa"/>
            <w:vAlign w:val="center"/>
          </w:tcPr>
          <w:p>
            <w:pPr>
              <w:keepNext w:val="0"/>
              <w:keepLines w:val="0"/>
              <w:widowControl/>
              <w:suppressLineNumbers w:val="0"/>
              <w:tabs>
                <w:tab w:val="left" w:pos="280"/>
              </w:tabs>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短80m波段测向机整机</w:t>
            </w:r>
          </w:p>
        </w:tc>
        <w:tc>
          <w:tcPr>
            <w:tcW w:w="5975" w:type="dxa"/>
            <w:vAlign w:val="center"/>
          </w:tcPr>
          <w:p>
            <w:pPr>
              <w:keepNext w:val="0"/>
              <w:keepLines w:val="0"/>
              <w:widowControl/>
              <w:suppressLineNumbers w:val="0"/>
              <w:tabs>
                <w:tab w:val="left" w:pos="280"/>
              </w:tabs>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短距离80米波段测向机，手柄截面长宽不大于4.5CM</w:t>
            </w:r>
          </w:p>
        </w:tc>
        <w:tc>
          <w:tcPr>
            <w:tcW w:w="775" w:type="dxa"/>
            <w:vAlign w:val="center"/>
          </w:tcPr>
          <w:p>
            <w:pPr>
              <w:keepNext w:val="0"/>
              <w:keepLines w:val="0"/>
              <w:widowControl/>
              <w:suppressLineNumbers w:val="0"/>
              <w:tabs>
                <w:tab w:val="left" w:pos="280"/>
              </w:tabs>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tabs>
                <w:tab w:val="left" w:pos="280"/>
              </w:tabs>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24</w:t>
            </w:r>
          </w:p>
        </w:tc>
        <w:tc>
          <w:tcPr>
            <w:tcW w:w="1013" w:type="dxa"/>
            <w:vAlign w:val="top"/>
          </w:tcPr>
          <w:p>
            <w:pPr>
              <w:keepNext w:val="0"/>
              <w:keepLines w:val="0"/>
              <w:widowControl/>
              <w:suppressLineNumbers w:val="0"/>
              <w:tabs>
                <w:tab w:val="left" w:pos="280"/>
              </w:tabs>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tabs>
                <w:tab w:val="left" w:pos="280"/>
              </w:tabs>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w:t>
            </w:r>
          </w:p>
        </w:tc>
        <w:tc>
          <w:tcPr>
            <w:tcW w:w="1138" w:type="dxa"/>
            <w:vAlign w:val="center"/>
          </w:tcPr>
          <w:p>
            <w:pPr>
              <w:keepNext w:val="0"/>
              <w:keepLines w:val="0"/>
              <w:widowControl/>
              <w:suppressLineNumbers w:val="0"/>
              <w:tabs>
                <w:tab w:val="left" w:pos="280"/>
              </w:tabs>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短距离阳光测向发射机</w:t>
            </w:r>
          </w:p>
        </w:tc>
        <w:tc>
          <w:tcPr>
            <w:tcW w:w="5975" w:type="dxa"/>
            <w:vAlign w:val="center"/>
          </w:tcPr>
          <w:p>
            <w:pPr>
              <w:keepNext w:val="0"/>
              <w:keepLines w:val="0"/>
              <w:widowControl/>
              <w:suppressLineNumbers w:val="0"/>
              <w:tabs>
                <w:tab w:val="left" w:pos="280"/>
              </w:tabs>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3.5MHz短80米波段无线电测向信号源,短距离、猎狐、阳光测向项目，可切换11个台号</w:t>
            </w:r>
          </w:p>
        </w:tc>
        <w:tc>
          <w:tcPr>
            <w:tcW w:w="775" w:type="dxa"/>
            <w:vAlign w:val="center"/>
          </w:tcPr>
          <w:p>
            <w:pPr>
              <w:keepNext w:val="0"/>
              <w:keepLines w:val="0"/>
              <w:widowControl/>
              <w:suppressLineNumbers w:val="0"/>
              <w:tabs>
                <w:tab w:val="left" w:pos="280"/>
              </w:tabs>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tabs>
                <w:tab w:val="left" w:pos="280"/>
              </w:tabs>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top"/>
          </w:tcPr>
          <w:p>
            <w:pPr>
              <w:keepNext w:val="0"/>
              <w:keepLines w:val="0"/>
              <w:widowControl/>
              <w:suppressLineNumbers w:val="0"/>
              <w:tabs>
                <w:tab w:val="left" w:pos="280"/>
              </w:tabs>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tabs>
                <w:tab w:val="left" w:pos="280"/>
              </w:tabs>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3</w:t>
            </w:r>
          </w:p>
        </w:tc>
        <w:tc>
          <w:tcPr>
            <w:tcW w:w="1138" w:type="dxa"/>
            <w:vAlign w:val="center"/>
          </w:tcPr>
          <w:p>
            <w:pPr>
              <w:keepNext w:val="0"/>
              <w:keepLines w:val="0"/>
              <w:widowControl/>
              <w:suppressLineNumbers w:val="0"/>
              <w:tabs>
                <w:tab w:val="left" w:pos="280"/>
              </w:tabs>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短距离阳光测向发射机</w:t>
            </w:r>
          </w:p>
        </w:tc>
        <w:tc>
          <w:tcPr>
            <w:tcW w:w="5975" w:type="dxa"/>
            <w:vAlign w:val="center"/>
          </w:tcPr>
          <w:p>
            <w:pPr>
              <w:keepNext w:val="0"/>
              <w:keepLines w:val="0"/>
              <w:widowControl/>
              <w:suppressLineNumbers w:val="0"/>
              <w:tabs>
                <w:tab w:val="left" w:pos="280"/>
              </w:tabs>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3.5MHz短80米波段无线电测向信号源,MO号</w:t>
            </w:r>
          </w:p>
        </w:tc>
        <w:tc>
          <w:tcPr>
            <w:tcW w:w="775" w:type="dxa"/>
            <w:vAlign w:val="center"/>
          </w:tcPr>
          <w:p>
            <w:pPr>
              <w:keepNext w:val="0"/>
              <w:keepLines w:val="0"/>
              <w:widowControl/>
              <w:suppressLineNumbers w:val="0"/>
              <w:tabs>
                <w:tab w:val="left" w:pos="280"/>
              </w:tabs>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tabs>
                <w:tab w:val="left" w:pos="280"/>
              </w:tabs>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top"/>
          </w:tcPr>
          <w:p>
            <w:pPr>
              <w:keepNext w:val="0"/>
              <w:keepLines w:val="0"/>
              <w:widowControl/>
              <w:suppressLineNumbers w:val="0"/>
              <w:tabs>
                <w:tab w:val="left" w:pos="280"/>
              </w:tabs>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tabs>
                <w:tab w:val="left" w:pos="280"/>
              </w:tabs>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4</w:t>
            </w:r>
          </w:p>
        </w:tc>
        <w:tc>
          <w:tcPr>
            <w:tcW w:w="1138" w:type="dxa"/>
            <w:vAlign w:val="center"/>
          </w:tcPr>
          <w:p>
            <w:pPr>
              <w:keepNext w:val="0"/>
              <w:keepLines w:val="0"/>
              <w:widowControl/>
              <w:suppressLineNumbers w:val="0"/>
              <w:tabs>
                <w:tab w:val="left" w:pos="280"/>
              </w:tabs>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短80m波段装机练习套件</w:t>
            </w:r>
          </w:p>
        </w:tc>
        <w:tc>
          <w:tcPr>
            <w:tcW w:w="5975" w:type="dxa"/>
            <w:vAlign w:val="center"/>
          </w:tcPr>
          <w:p>
            <w:pPr>
              <w:keepNext w:val="0"/>
              <w:keepLines w:val="0"/>
              <w:widowControl/>
              <w:suppressLineNumbers w:val="0"/>
              <w:tabs>
                <w:tab w:val="left" w:pos="280"/>
              </w:tabs>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无机壳、直立天线等(专用于练习焊接、调试，不适合于外场测向使用)</w:t>
            </w:r>
          </w:p>
        </w:tc>
        <w:tc>
          <w:tcPr>
            <w:tcW w:w="775" w:type="dxa"/>
            <w:vAlign w:val="center"/>
          </w:tcPr>
          <w:p>
            <w:pPr>
              <w:keepNext w:val="0"/>
              <w:keepLines w:val="0"/>
              <w:widowControl/>
              <w:suppressLineNumbers w:val="0"/>
              <w:tabs>
                <w:tab w:val="left" w:pos="280"/>
              </w:tabs>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个</w:t>
            </w:r>
          </w:p>
        </w:tc>
        <w:tc>
          <w:tcPr>
            <w:tcW w:w="662" w:type="dxa"/>
            <w:vAlign w:val="center"/>
          </w:tcPr>
          <w:p>
            <w:pPr>
              <w:keepNext w:val="0"/>
              <w:keepLines w:val="0"/>
              <w:widowControl/>
              <w:suppressLineNumbers w:val="0"/>
              <w:tabs>
                <w:tab w:val="left" w:pos="280"/>
              </w:tabs>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50</w:t>
            </w:r>
          </w:p>
        </w:tc>
        <w:tc>
          <w:tcPr>
            <w:tcW w:w="1013" w:type="dxa"/>
            <w:vAlign w:val="top"/>
          </w:tcPr>
          <w:p>
            <w:pPr>
              <w:keepNext w:val="0"/>
              <w:keepLines w:val="0"/>
              <w:widowControl/>
              <w:suppressLineNumbers w:val="0"/>
              <w:tabs>
                <w:tab w:val="left" w:pos="280"/>
              </w:tabs>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tabs>
                <w:tab w:val="left" w:pos="280"/>
              </w:tabs>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5</w:t>
            </w:r>
          </w:p>
        </w:tc>
        <w:tc>
          <w:tcPr>
            <w:tcW w:w="1138" w:type="dxa"/>
            <w:vAlign w:val="center"/>
          </w:tcPr>
          <w:p>
            <w:pPr>
              <w:keepNext w:val="0"/>
              <w:keepLines w:val="0"/>
              <w:widowControl/>
              <w:suppressLineNumbers w:val="0"/>
              <w:tabs>
                <w:tab w:val="left" w:pos="280"/>
              </w:tabs>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短2m波段测向机</w:t>
            </w:r>
          </w:p>
        </w:tc>
        <w:tc>
          <w:tcPr>
            <w:tcW w:w="5975" w:type="dxa"/>
            <w:vAlign w:val="center"/>
          </w:tcPr>
          <w:p>
            <w:pPr>
              <w:keepNext w:val="0"/>
              <w:keepLines w:val="0"/>
              <w:widowControl/>
              <w:suppressLineNumbers w:val="0"/>
              <w:tabs>
                <w:tab w:val="left" w:pos="280"/>
              </w:tabs>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144MHZ 短2米波段测向机,接收天线为尺条振子</w:t>
            </w:r>
          </w:p>
        </w:tc>
        <w:tc>
          <w:tcPr>
            <w:tcW w:w="775" w:type="dxa"/>
            <w:vAlign w:val="center"/>
          </w:tcPr>
          <w:p>
            <w:pPr>
              <w:keepNext w:val="0"/>
              <w:keepLines w:val="0"/>
              <w:widowControl/>
              <w:suppressLineNumbers w:val="0"/>
              <w:tabs>
                <w:tab w:val="left" w:pos="280"/>
              </w:tabs>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tabs>
                <w:tab w:val="left" w:pos="280"/>
              </w:tabs>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12</w:t>
            </w:r>
          </w:p>
        </w:tc>
        <w:tc>
          <w:tcPr>
            <w:tcW w:w="1013" w:type="dxa"/>
            <w:vAlign w:val="top"/>
          </w:tcPr>
          <w:p>
            <w:pPr>
              <w:keepNext w:val="0"/>
              <w:keepLines w:val="0"/>
              <w:widowControl/>
              <w:suppressLineNumbers w:val="0"/>
              <w:tabs>
                <w:tab w:val="left" w:pos="280"/>
              </w:tabs>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tabs>
                <w:tab w:val="left" w:pos="280"/>
              </w:tabs>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6</w:t>
            </w:r>
          </w:p>
        </w:tc>
        <w:tc>
          <w:tcPr>
            <w:tcW w:w="1138" w:type="dxa"/>
            <w:vAlign w:val="center"/>
          </w:tcPr>
          <w:p>
            <w:pPr>
              <w:keepNext w:val="0"/>
              <w:keepLines w:val="0"/>
              <w:widowControl/>
              <w:suppressLineNumbers w:val="0"/>
              <w:tabs>
                <w:tab w:val="left" w:pos="280"/>
              </w:tabs>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短2m波段测向信号源</w:t>
            </w:r>
          </w:p>
        </w:tc>
        <w:tc>
          <w:tcPr>
            <w:tcW w:w="5975" w:type="dxa"/>
            <w:vAlign w:val="center"/>
          </w:tcPr>
          <w:p>
            <w:pPr>
              <w:keepNext w:val="0"/>
              <w:keepLines w:val="0"/>
              <w:widowControl/>
              <w:suppressLineNumbers w:val="0"/>
              <w:tabs>
                <w:tab w:val="left" w:pos="280"/>
              </w:tabs>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144MHZ 短2米波段测向信号源,含内置锂电电池，0-9 号、MO 号</w:t>
            </w:r>
          </w:p>
        </w:tc>
        <w:tc>
          <w:tcPr>
            <w:tcW w:w="775" w:type="dxa"/>
            <w:vAlign w:val="center"/>
          </w:tcPr>
          <w:p>
            <w:pPr>
              <w:keepNext w:val="0"/>
              <w:keepLines w:val="0"/>
              <w:widowControl/>
              <w:suppressLineNumbers w:val="0"/>
              <w:tabs>
                <w:tab w:val="left" w:pos="280"/>
              </w:tabs>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tabs>
                <w:tab w:val="left" w:pos="280"/>
              </w:tabs>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11</w:t>
            </w:r>
          </w:p>
        </w:tc>
        <w:tc>
          <w:tcPr>
            <w:tcW w:w="1013" w:type="dxa"/>
            <w:vAlign w:val="top"/>
          </w:tcPr>
          <w:p>
            <w:pPr>
              <w:keepNext w:val="0"/>
              <w:keepLines w:val="0"/>
              <w:widowControl/>
              <w:suppressLineNumbers w:val="0"/>
              <w:tabs>
                <w:tab w:val="left" w:pos="280"/>
              </w:tabs>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7</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短2m波段测向信号源</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144MHZ 短2米波段测向信号源，含内置锂电电池，可转换11个台号</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8</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电子维修工具套装</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1、60w熔铁，2、斜口钳，3、一字螺丝刀，4、十字螺丝刀，5、松香，6、锡丝，7、刀片，8、刷子，9、直镊，10、弯镊，11、电笔，12、飞线，13、刀柄，14、发热芯，15、吸锡器，16、海绵，17、烙铁架，18、工具包</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套</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12</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9</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室外防水箱</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室外防水箱不锈钢厚度：200*300*400mm，不锈钢厚度0.8mm</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bl>
    <w:p>
      <w:pP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2.1</w:t>
      </w:r>
      <w:r>
        <w:rPr>
          <w:rFonts w:hint="eastAsia" w:ascii="宋体" w:hAnsi="宋体" w:cs="宋体"/>
          <w:b/>
          <w:bCs/>
          <w:color w:val="auto"/>
          <w:sz w:val="21"/>
          <w:szCs w:val="21"/>
          <w:highlight w:val="none"/>
          <w:lang w:val="en-US" w:eastAsia="zh-CN"/>
        </w:rPr>
        <w:t>6</w:t>
      </w:r>
      <w:r>
        <w:rPr>
          <w:rFonts w:hint="eastAsia" w:ascii="宋体" w:hAnsi="宋体" w:eastAsia="宋体" w:cs="宋体"/>
          <w:b/>
          <w:bCs/>
          <w:color w:val="auto"/>
          <w:sz w:val="21"/>
          <w:szCs w:val="21"/>
          <w:highlight w:val="none"/>
          <w:lang w:val="en-US" w:eastAsia="zh-CN"/>
        </w:rPr>
        <w:t xml:space="preserve">  楼层智慧信息发布系统 </w:t>
      </w:r>
    </w:p>
    <w:tbl>
      <w:tblPr>
        <w:tblStyle w:val="99"/>
        <w:tblW w:w="105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1138"/>
        <w:gridCol w:w="5975"/>
        <w:gridCol w:w="775"/>
        <w:gridCol w:w="662"/>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序号</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项目名称</w:t>
            </w:r>
          </w:p>
        </w:tc>
        <w:tc>
          <w:tcPr>
            <w:tcW w:w="59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技术参数</w:t>
            </w:r>
          </w:p>
        </w:tc>
        <w:tc>
          <w:tcPr>
            <w:tcW w:w="7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单位</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数量</w:t>
            </w:r>
          </w:p>
        </w:tc>
        <w:tc>
          <w:tcPr>
            <w:tcW w:w="1013"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智慧楼层显示器</w:t>
            </w:r>
          </w:p>
        </w:tc>
        <w:tc>
          <w:tcPr>
            <w:tcW w:w="5975" w:type="dxa"/>
            <w:vAlign w:val="top"/>
          </w:tcPr>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纯平超薄窄机身，厚度25.4mm，底部仅有4.7mm，完全贴合</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高亮度500nit高亮显示，防眩光玻璃面板</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支持双刷卡，提高2倍考勤速度，可对接考勤、校园一卡通数据</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背部埋线设计，布线美观大方</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全新投射式电容屏，支持10点触摸，支持多点手势</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内置天线设置，科学美观，防止天线损耗 内置≥2W*2扬声器立体声输出</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内置高清500万摄像头</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支持竖屏方式安装</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主处理器：RK3288；</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操作系统：安卓8.1；</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CPU：四核，1.8GHz；</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RAM：2GB；</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ROM：16GB；</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视频解码：支持2路1080P@30fps或1路4K@25fps；</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NFC刷卡：2个；</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船型开关：支持；</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面板尺寸：23.8英寸；</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背光类型：LED；</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响应时间：8ms；</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响应时间：&lt; 5ms；</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亮度：178°（水平）178°（垂直）；</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对比度：1000：1；</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可视角度：水平：178°垂直：178°；</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网络接口：1个RJ-45 10M/100M/1000M以太网口；</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Wi-Fi：支持2.4G&amp;5G双频WiFi；</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TF卡槽：1个；</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USB接口：2个USB2.0接口；</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其他接口：1个OTG接口，1个3.5mm音频口；</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传感器类型：1/2.7英寸 5 Mega Pixels CMOS；</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镜头类型：3.6mm；</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视场角：H:112V: 61 D: 132；</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摄像头像素：500万广角摄像头；</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防眩光：支持；</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内置扬声器：2个2W；</w:t>
            </w:r>
          </w:p>
          <w:p>
            <w:pPr>
              <w:keepNext w:val="0"/>
              <w:keepLines w:val="0"/>
              <w:widowControl/>
              <w:suppressLineNumbers w:val="0"/>
              <w:jc w:val="left"/>
              <w:textAlignment w:val="top"/>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供电方式：DC12V；</w:t>
            </w:r>
          </w:p>
        </w:tc>
        <w:tc>
          <w:tcPr>
            <w:tcW w:w="7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13</w:t>
            </w:r>
          </w:p>
        </w:tc>
        <w:tc>
          <w:tcPr>
            <w:tcW w:w="1013"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2</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画作显示器</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全高清32吋类纸护眼屏，木质艺术外框设计，采用无损技术，防眩光、智能感光、智能匹配画作风格，使海量画作真迹般呈现。AI语音交互，专属艺术及生活助理。家庭画廊，海量名家艺术内容，名家名作智能语音讲解，艺术云展鉴赏，尽享艺术熏陶。画屏APP联动，可AI识图、图片处理、远程操控，随时随地分享感动。屏幕尺寸：32英寸；屏幕分辨率：1920*1080;显示比例:16:9;屏幕技术:LCD;操作系统:安卓7.1;中央处理器(SOC):Amlogic T960x;CPU架构:4*Cortex A53;CPU主频:1.5GHz;图形处理器(GPU):Mali-450MP;运行内存:1G;存储内存:8G;HDMI接口:HDMI2.0*1;USB接口:USB2.0*1;</w:t>
            </w:r>
          </w:p>
        </w:tc>
        <w:tc>
          <w:tcPr>
            <w:tcW w:w="7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4</w:t>
            </w:r>
          </w:p>
        </w:tc>
        <w:tc>
          <w:tcPr>
            <w:tcW w:w="1013"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3</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家校协作中心（东门卫室）</w:t>
            </w:r>
          </w:p>
        </w:tc>
        <w:tc>
          <w:tcPr>
            <w:tcW w:w="5975" w:type="dxa"/>
            <w:vAlign w:val="top"/>
          </w:tcPr>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小空间（班主任与家长、孩子个别交流）：纯平超薄窄机身，厚度25.4mm，底部仅有4.7mm，完全贴合</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高亮度500nit高亮显示，防眩光玻璃面板</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支持双刷卡，提高2倍考勤速度，可对接考勤、校园一卡通数据</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背部埋线设计，布线美观大方</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全新投射式电容屏，支持10点触摸，支持多点手势</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内置天线设置，科学美观，防止天线损耗 内置≥2W*2扬声器立体声输出</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内置高清500万摄像头</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支持竖屏方式安装</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主处理器：RK3288；</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操作系统：安卓8.1；</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CPU：四核，1.8GHz；</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RAM：2GB；</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ROM：16GB；</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视频解码：支持2路1080P@30fps或1路4K@25fps；</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NFC刷卡：2个；</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船型开关：支持；</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面板尺寸：23.8英寸；</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背光类型：LED；</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响应时间：8ms；</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响应时间：&lt; 5ms；</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亮度：178°（水平）178°（垂直）；</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对比度：1000：1；</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可视角度：水平：178°垂直：178°；</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网络接口：1个RJ-45 10M/100M/1000M以太网口；</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Wi-Fi：支持2.4G&amp;5G双频WiFi；</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TF卡槽：1个；</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USB接口：2个USB2.0接口；</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其他接口：1个OTG接口，1个3.5mm音频口；</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传感器类型：1/2.7英寸 5 Mega Pixels CMOS；</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镜头类型：3.6mm；</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视场角：H:112V: 61 D: 132；</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摄像头像素：500万广角摄像头；</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防眩光：支持；</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内置扬声器：2个2W；</w:t>
            </w:r>
          </w:p>
          <w:p>
            <w:pPr>
              <w:keepNext w:val="0"/>
              <w:keepLines w:val="0"/>
              <w:widowControl/>
              <w:suppressLineNumbers w:val="0"/>
              <w:jc w:val="left"/>
              <w:textAlignment w:val="top"/>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供电方式：DC12V；</w:t>
            </w:r>
          </w:p>
        </w:tc>
        <w:tc>
          <w:tcPr>
            <w:tcW w:w="7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w:t>
            </w:r>
          </w:p>
        </w:tc>
        <w:tc>
          <w:tcPr>
            <w:tcW w:w="1013"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p>
        </w:tc>
      </w:tr>
    </w:tbl>
    <w:p>
      <w:pP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2.1</w:t>
      </w:r>
      <w:r>
        <w:rPr>
          <w:rFonts w:hint="eastAsia" w:ascii="宋体" w:hAnsi="宋体" w:cs="宋体"/>
          <w:b/>
          <w:bCs/>
          <w:color w:val="auto"/>
          <w:sz w:val="21"/>
          <w:szCs w:val="21"/>
          <w:highlight w:val="none"/>
          <w:lang w:val="en-US" w:eastAsia="zh-CN"/>
        </w:rPr>
        <w:t>7</w:t>
      </w:r>
      <w:r>
        <w:rPr>
          <w:rFonts w:hint="eastAsia" w:ascii="宋体" w:hAnsi="宋体" w:eastAsia="宋体" w:cs="宋体"/>
          <w:b/>
          <w:bCs/>
          <w:color w:val="auto"/>
          <w:sz w:val="21"/>
          <w:szCs w:val="21"/>
          <w:highlight w:val="none"/>
          <w:lang w:val="en-US" w:eastAsia="zh-CN"/>
        </w:rPr>
        <w:t xml:space="preserve">  梯控系统</w:t>
      </w:r>
    </w:p>
    <w:tbl>
      <w:tblPr>
        <w:tblStyle w:val="99"/>
        <w:tblW w:w="105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1138"/>
        <w:gridCol w:w="5975"/>
        <w:gridCol w:w="775"/>
        <w:gridCol w:w="662"/>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序号</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项目名称</w:t>
            </w:r>
          </w:p>
        </w:tc>
        <w:tc>
          <w:tcPr>
            <w:tcW w:w="59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技术参数</w:t>
            </w:r>
          </w:p>
        </w:tc>
        <w:tc>
          <w:tcPr>
            <w:tcW w:w="7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单位</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数量</w:t>
            </w:r>
          </w:p>
        </w:tc>
        <w:tc>
          <w:tcPr>
            <w:tcW w:w="1013"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电梯人脸识别门禁</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设备应支持在管理中心远程视频预览功能；应支持与管理平台或客户端中心、室内机、管理机、手机APP可视对讲功能；应能通过web进行视频连接；应支持配置一键呼叫管理机或室内机的可视对讲功能</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支持对用户进行非授权名单标注；支持本地非授权名单信息比对；支持本地非授权名单记录上传。</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设备应支持本地加密存储进出事件、人员信息及抓拍人脸照片；设备应支持实时加密传进出事件、人员信息及抓拍人脸照片等至管理中心；设备应支持断网续传离线加密进出记录功能；设备USB导出的数据（进出事件等）采用加密处理；人员信息及进出事件采用加密处理；</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应支持在没有用户使用时，自动切换到屏保或息屏待机状态；支持物体靠近自动唤醒待机设备，唤醒距离可调节；设备待机功耗低手8W</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系统应能对门的开启方式，卡（人脸、密码）的各种使用权限进行组合设置，实现以下权限管理：反潜回（防跟随）功能；多重卡认证开门；多重卡+中心远程认证开门；多重卡+超级密码开门；多重卡+超级卡开门；首卡开门；超级权限开门；管理中心远程升门；APP远程开门；室内机及管理机远程开门；应支持普通卡、来宾卡、胁迫卡、超级卡、巡更卡等多种类型用户权限设置；应支持按时间分时段管控门禁权限，支持255组时段计划管理，支持1024个假日计划管理；应支持常开、常闭时段管理；应支持首卡开门管理。</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设备应支持手动校时和自动校时功能</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发生以下情况时，系统应告警：当连续若干次在目标信息识读设备或管理/控制部分上实施错误操作时；当未使用授权的钥匙而强行通过出入口时；未经正常操作而使出入口开启时；出入口开启时间超过设定值时；设备被拆除时；胁迫卡和胁迫码；非授权名单卡刷卡时，接入系统平台后可支持视频联动报警功能</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对所要求的功能而言，需要的所有软件均应保存到固态存储器中；具有文字界面系统管理软件，文字必须为简体中文；当电源不正常、掉电或更换电池时，系统的密钥（钥匙）信息及各记录信息不得丢失</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设备支持在线升级、本地U盘升级、OTA 升级功能</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根据设定事件的联动关系，当检测到该件发生时，可触发对应的动作。</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有授权人员刷人脸时，设备可抓拍图片并实时上传平台；设备应支持将非授权人员刷脸记录上报平台。</w:t>
            </w:r>
          </w:p>
        </w:tc>
        <w:tc>
          <w:tcPr>
            <w:tcW w:w="7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18</w:t>
            </w:r>
          </w:p>
        </w:tc>
        <w:tc>
          <w:tcPr>
            <w:tcW w:w="1013"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2</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电源线</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RVV2*1无氧铜</w:t>
            </w:r>
          </w:p>
        </w:tc>
        <w:tc>
          <w:tcPr>
            <w:tcW w:w="7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米</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1500</w:t>
            </w:r>
          </w:p>
        </w:tc>
        <w:tc>
          <w:tcPr>
            <w:tcW w:w="1013"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p>
        </w:tc>
      </w:tr>
    </w:tbl>
    <w:p>
      <w:pP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w:t>
      </w:r>
      <w:r>
        <w:rPr>
          <w:rFonts w:hint="eastAsia" w:ascii="宋体" w:hAnsi="宋体" w:cs="宋体"/>
          <w:b/>
          <w:bCs/>
          <w:color w:val="auto"/>
          <w:sz w:val="21"/>
          <w:szCs w:val="21"/>
          <w:highlight w:val="none"/>
          <w:lang w:val="en-US" w:eastAsia="zh-CN"/>
        </w:rPr>
        <w:t>18</w:t>
      </w:r>
      <w:r>
        <w:rPr>
          <w:rFonts w:hint="eastAsia" w:ascii="宋体" w:hAnsi="宋体" w:eastAsia="宋体" w:cs="宋体"/>
          <w:b/>
          <w:bCs/>
          <w:color w:val="auto"/>
          <w:sz w:val="21"/>
          <w:szCs w:val="21"/>
          <w:highlight w:val="none"/>
          <w:lang w:val="en-US" w:eastAsia="zh-CN"/>
        </w:rPr>
        <w:t xml:space="preserve">  存储空间系统 </w:t>
      </w:r>
    </w:p>
    <w:tbl>
      <w:tblPr>
        <w:tblStyle w:val="99"/>
        <w:tblW w:w="105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1138"/>
        <w:gridCol w:w="5975"/>
        <w:gridCol w:w="775"/>
        <w:gridCol w:w="662"/>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序号</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项目名称</w:t>
            </w:r>
          </w:p>
        </w:tc>
        <w:tc>
          <w:tcPr>
            <w:tcW w:w="59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技术参数</w:t>
            </w:r>
          </w:p>
        </w:tc>
        <w:tc>
          <w:tcPr>
            <w:tcW w:w="7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单位</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数量</w:t>
            </w:r>
          </w:p>
        </w:tc>
        <w:tc>
          <w:tcPr>
            <w:tcW w:w="1013"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数据存储（12盘位机型）</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CPU 数量 1</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处理器架构 64-bit</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处理器频率 4-core 2.4 (基本频率) / 2.7 (睿频频率) GHz                                                    系统内存  32GB   DDR4 ECC RDIMM</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磁盘槽数量 12</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安装扩充设备后最大磁盘槽数量 36 (RX1217/RX1217RP x 2)</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RJ-45 1GbE 网络埠 4 (支持 Link Aggregation / 故障移转)</w:t>
            </w:r>
          </w:p>
        </w:tc>
        <w:tc>
          <w:tcPr>
            <w:tcW w:w="7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w:t>
            </w:r>
          </w:p>
        </w:tc>
        <w:tc>
          <w:tcPr>
            <w:tcW w:w="1013"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2</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网络导轨</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2U机架式滑动导轨</w:t>
            </w:r>
          </w:p>
        </w:tc>
        <w:tc>
          <w:tcPr>
            <w:tcW w:w="7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套</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w:t>
            </w:r>
          </w:p>
        </w:tc>
        <w:tc>
          <w:tcPr>
            <w:tcW w:w="1013"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3</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存储硬盘</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转速：7200rpm 企业级NAS硬盘  垂直 PMR CMR SATA  16TB                                 硬件保修5年</w:t>
            </w:r>
          </w:p>
        </w:tc>
        <w:tc>
          <w:tcPr>
            <w:tcW w:w="7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块</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12</w:t>
            </w:r>
          </w:p>
        </w:tc>
        <w:tc>
          <w:tcPr>
            <w:tcW w:w="1013"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4</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智能手机储存柜960个格子）</w:t>
            </w:r>
          </w:p>
        </w:tc>
        <w:tc>
          <w:tcPr>
            <w:tcW w:w="5975" w:type="dxa"/>
            <w:vAlign w:val="top"/>
          </w:tcPr>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材料冷轧钢板1.0mm。表面静电粉末喷塑，颜色可选。主柜带7寸安卓触控一体机，共计60门) </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电控锁：经过50万次寿命测试无故障，性能可靠稳定。部件的表面均作热涂锌防锈处理，装配成形后每把锁均作电气绝缘试验和开启试验，并按加工批量的1％作寿命试验。</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 读卡器：</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产品型号：CW12   </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工作模式：韦根26 （Weigand26）韦根34 可选接 SYRIS、PRIS控制器  </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读卡速度：＜0.2秒  </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打卡间隔：＜0.5秒  </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感应距离：0-15CM。</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传送方式：实时 </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读卡频率：13.56MHZ</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工作温度：-25℃-75℃  </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工作湿度：10-90％   </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内置LED：有  </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 液晶显示屏： 7寸触控一体机</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 控制主板：自主研发生产。</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控制芯片：采用著名公司的工业级产品。</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 键盘：选用电话机水晶键盘，工作可靠，永不退色，使用寿命长。</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四、常规技术指标</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功率－待机：25W  开箱：60W</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电源电压：AC110V—AC240V 50HZ</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柜体冷轧钢板厚度：裸板0.8mm</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读码速度：&lt;0.4s</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显示分辨率：3.5寸彩色液晶屏（可定制显示LOGO）</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刷卡寄存柜主要功能说明</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大屏幕液晶显示屏</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全开放式中文设置菜单（可定制多国语言、语音）</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寄存柜的各个管理参数全部面向客户开放，客户可选择相应的菜单进行设置。设有三级管理密码，方便不同级别的管理要求。</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 快捷管理员管理菜单</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在管理模式下，管理快捷菜单可应急开启箱门、清除箱门ID、查询箱门状态等操作。可设置500位管理员进行管理,每个管理员可根据自己的用户号及管理密码进行管理操作而互不影响。</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管理功能如下</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1：开箱2：全开3：清箱4：全清5：锁定6：全锁7：解锁8：全解9：时间0：参数</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1：修改密码2：收费设置3：语音开关4：长期用户5：恢复出厂6：使用记录7：收费记录</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五、刷卡寄存柜存取使用方法</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存入物品：</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按“存”字键→人脸识别→自动开门（存物，关好箱门）</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取出物品：</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按“取”字键→人脸识别（取物，关好箱门）</w:t>
            </w:r>
          </w:p>
          <w:p>
            <w:pPr>
              <w:keepNext w:val="0"/>
              <w:keepLines w:val="0"/>
              <w:widowControl/>
              <w:suppressLineNumbers w:val="0"/>
              <w:jc w:val="left"/>
              <w:textAlignment w:val="top"/>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可设置直接刷卡存取，省掉按“存” “取”。</w:t>
            </w:r>
          </w:p>
        </w:tc>
        <w:tc>
          <w:tcPr>
            <w:tcW w:w="7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个</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w:t>
            </w:r>
          </w:p>
        </w:tc>
        <w:tc>
          <w:tcPr>
            <w:tcW w:w="1013"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p>
        </w:tc>
      </w:tr>
    </w:tbl>
    <w:p>
      <w:pP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w:t>
      </w:r>
      <w:r>
        <w:rPr>
          <w:rFonts w:hint="eastAsia" w:ascii="宋体" w:hAnsi="宋体" w:cs="宋体"/>
          <w:b/>
          <w:bCs/>
          <w:color w:val="auto"/>
          <w:sz w:val="21"/>
          <w:szCs w:val="21"/>
          <w:highlight w:val="none"/>
          <w:lang w:val="en-US" w:eastAsia="zh-CN"/>
        </w:rPr>
        <w:t>19</w:t>
      </w:r>
      <w:r>
        <w:rPr>
          <w:rFonts w:hint="eastAsia" w:ascii="宋体" w:hAnsi="宋体" w:eastAsia="宋体" w:cs="宋体"/>
          <w:b/>
          <w:bCs/>
          <w:color w:val="auto"/>
          <w:sz w:val="21"/>
          <w:szCs w:val="21"/>
          <w:highlight w:val="none"/>
          <w:lang w:val="en-US" w:eastAsia="zh-CN"/>
        </w:rPr>
        <w:t xml:space="preserve">  校园智慧管理平台</w:t>
      </w:r>
    </w:p>
    <w:tbl>
      <w:tblPr>
        <w:tblStyle w:val="99"/>
        <w:tblW w:w="105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1138"/>
        <w:gridCol w:w="5975"/>
        <w:gridCol w:w="775"/>
        <w:gridCol w:w="662"/>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i w:val="0"/>
                <w:color w:val="auto"/>
                <w:kern w:val="0"/>
                <w:sz w:val="21"/>
                <w:szCs w:val="21"/>
                <w:highlight w:val="none"/>
                <w:u w:val="none"/>
                <w:lang w:val="en-US" w:eastAsia="zh-CN" w:bidi="ar"/>
              </w:rPr>
              <w:t>序号</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项目名称</w:t>
            </w:r>
          </w:p>
        </w:tc>
        <w:tc>
          <w:tcPr>
            <w:tcW w:w="59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技术参数</w:t>
            </w:r>
          </w:p>
        </w:tc>
        <w:tc>
          <w:tcPr>
            <w:tcW w:w="7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单位</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数量</w:t>
            </w:r>
          </w:p>
        </w:tc>
        <w:tc>
          <w:tcPr>
            <w:tcW w:w="1013"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rPr>
                <w:rFonts w:hint="eastAsia" w:ascii="宋体" w:hAnsi="宋体" w:eastAsia="宋体" w:cs="宋体"/>
                <w:b/>
                <w:bCs/>
                <w:color w:val="auto"/>
                <w:sz w:val="21"/>
                <w:szCs w:val="21"/>
                <w:highlight w:val="none"/>
                <w:vertAlign w:val="baseline"/>
                <w:lang w:val="en-US" w:eastAsia="zh-CN"/>
              </w:rPr>
            </w:pPr>
          </w:p>
        </w:tc>
        <w:tc>
          <w:tcPr>
            <w:tcW w:w="1138" w:type="dxa"/>
            <w:vAlign w:val="center"/>
          </w:tcPr>
          <w:p>
            <w:pPr>
              <w:jc w:val="center"/>
              <w:rPr>
                <w:rFonts w:hint="eastAsia" w:ascii="宋体" w:hAnsi="宋体" w:eastAsia="宋体" w:cs="宋体"/>
                <w:b/>
                <w:bCs/>
                <w:color w:val="auto"/>
                <w:sz w:val="21"/>
                <w:szCs w:val="21"/>
                <w:highlight w:val="none"/>
                <w:vertAlign w:val="baseline"/>
                <w:lang w:val="en-US" w:eastAsia="zh-CN"/>
              </w:rPr>
            </w:pPr>
          </w:p>
        </w:tc>
        <w:tc>
          <w:tcPr>
            <w:tcW w:w="59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校园基础软件</w:t>
            </w:r>
          </w:p>
        </w:tc>
        <w:tc>
          <w:tcPr>
            <w:tcW w:w="775" w:type="dxa"/>
            <w:vAlign w:val="center"/>
          </w:tcPr>
          <w:p>
            <w:pPr>
              <w:rPr>
                <w:rFonts w:hint="eastAsia" w:ascii="宋体" w:hAnsi="宋体" w:eastAsia="宋体" w:cs="宋体"/>
                <w:b/>
                <w:bCs/>
                <w:color w:val="auto"/>
                <w:sz w:val="21"/>
                <w:szCs w:val="21"/>
                <w:highlight w:val="none"/>
                <w:vertAlign w:val="baseline"/>
                <w:lang w:val="en-US" w:eastAsia="zh-CN"/>
              </w:rPr>
            </w:pPr>
          </w:p>
        </w:tc>
        <w:tc>
          <w:tcPr>
            <w:tcW w:w="662" w:type="dxa"/>
            <w:vAlign w:val="center"/>
          </w:tcPr>
          <w:p>
            <w:pPr>
              <w:jc w:val="center"/>
              <w:rPr>
                <w:rFonts w:hint="eastAsia" w:ascii="宋体" w:hAnsi="宋体" w:eastAsia="宋体" w:cs="宋体"/>
                <w:b/>
                <w:bCs/>
                <w:color w:val="auto"/>
                <w:sz w:val="21"/>
                <w:szCs w:val="21"/>
                <w:highlight w:val="none"/>
                <w:vertAlign w:val="baseline"/>
                <w:lang w:val="en-US" w:eastAsia="zh-CN"/>
              </w:rPr>
            </w:pPr>
          </w:p>
        </w:tc>
        <w:tc>
          <w:tcPr>
            <w:tcW w:w="1013"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智慧校园信息数据管理指挥中心软件</w:t>
            </w:r>
          </w:p>
        </w:tc>
        <w:tc>
          <w:tcPr>
            <w:tcW w:w="5975" w:type="dxa"/>
            <w:vAlign w:val="top"/>
          </w:tcPr>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智慧校园应用总览：支持按九大中心架构分类显示各级应用，并支持第三方应用接入，对接九大中心各子系统后，可显示师生在校人数、教室使用情况、校园人/车出入情况、资源应用情况等。并提供样板校平台演示视频。</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物联网设备管理中心：支持对接各楼宇部署的远程管控、故障诊断系统、服务器管理、电视墙小屏管控等系统，可显示教室数量、故障率、使用情况、各服务器运行情况等详细信息，动态显示教室故障信息。支持管理控制电视墙小屏幕显示内容。</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校园安全管理中心：支持对接车辆管理及学生接送、智能访客、智能门禁、校园巡视、校园巡查管理、校园安防异常检测、校园活动轨迹等系统，可查看学校的摄像头、闸机、门禁等安全设备数量，及安全预警信息、访客信息、车流量信息等。</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后勤总务管理中心：支持对接教师发展平台、招生管理、智能宿管、智慧食堂、资产管理、校园支付等系统，可查看宿舍管理信息、办公/体育用品管理信息、智慧食堂信息、收费情况、教师发展信息、招生毕业资讯。</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5、办公服务中心：支持对接一网通办系统，可实现师生日常行政办公及管理需求，如请假管理、销假管理等。</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远程）课堂教学中心：支持对接直播管理、导播管理、在线督课、课堂学情分析、课堂考勤等系统，可实现按区域查看教室直播信息，按学科及年级查看精品课程资源，提供直播课程信息及开播预告，统计精品课程建设情况和点播情况等。</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7、教务管理中心：支持对接学情分析、智能考勤、成绩分析、智能排课选课、智慧操场、课堂巡视等系统，可查看出勤信息、课程教学信息、学生学业成绩、学科建设、师资力量、学校荣誉、新闻通知等。</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8、信息广播中心：支持对接通知公告、校园广播、智慧班牌、电子楼牌、校园官方门户等系统，可查看学校广播设备情况、可将校牌广播内容、IP音频终端广播内容予以显示。</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9、资源管理中心：支持对接录播资源库管理、电子资源库管理、共享教案库管理等系统，可查看各类型资源应用情况、常用互联网资源、课程资源、学校素材资源、当天资源变化情况等数据，并图表化显示。</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10、校园大数据中心：支持对接大数据中心系统，支持按师生主要活动大数据、学生成绩大数据、资源建设及应用大数据、信息化建设及使用大数据、校园安全大数据多个维度进行数据分析，并图形化展示。</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11、系统设置：支持管理员进行背景音乐、图标音乐设置，九大中心应用入口配置、数据源设置、主题切换、校徽校名自定义等。</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12、概况总览：图表化展示系统内数据量、数据空间大小、数据库个数、数据表数量，以及各数据仓库数据量详情查看、元数据总览，数据中台系统应用流程图展示。</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13、数据资产管理：</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（1）元数据管理：支持手动录入元数据、导入元数据、从数据源采集元数据，并可对元数据进行分组管理。</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（2）数据库管理：支持数据按通用数据仓库结构（ODS、DWD、DWS、ADS）进行分层分主题存储，可根据元数据为每个主题数仓建立数据表结构，可新建、编辑、删除数据表。</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14、数据采集：</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（1）数据源管理：支持选择接入关系型数据库、NoSQL数据库、Rest Ful Web API接口、本地EXCEL/CSV文件等数据源，支持对数据库、Web API接口进行连接参数配置。系统内置智慧校园数据源，包括基础平台数据源、数字化档案数据源等，可与智慧校园进行数据互通。</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（2）采集事件管理：支持建立数据采集事件，数据源设置，数据存储目标设置，并可进行字段级数据映射关系设置，支持在采集时进行数据预处理。</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（3）采集任务调度管理：支持对采集事件建立新任务，启用或禁用任务。支持查看任务运行情况及运行日志。</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15、数据治理：</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（1）数据标准设置：支持对元数据各数据字段设置数据标准。</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（2）数据质量管理：支持数据质量检测，可建立数据质量检测任务。支持查看数据质量检测任务运行情况，并对各数据质量检测任务结果进行统计分析。</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数据预处理：支持设置数据预处理规则，包括空值处理规则、异常值处理规则、重复值处理规则、数据加密规则、数据脱敏规则、系统预置数据转换规则、自定义处理扩展等方式；设置预处理任务，启用或禁用预处理任务，支持查看任务运行情况及运行日志。</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16、数据加工：可建立数据加工任务，设置数据加工流程，启用或禁用加工任务，支持查看任务运行情况及运行日志。</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17、数据共享：</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（1）接口管理：提供统一对外共享数据接口，建立并管理接口共享目录，以JSON格式返回满足条件的数据。</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（2）权限管理：支持对指定共享目录或条目进行访问权限管理。</w:t>
            </w:r>
          </w:p>
          <w:p>
            <w:pPr>
              <w:keepNext w:val="0"/>
              <w:keepLines w:val="0"/>
              <w:widowControl/>
              <w:suppressLineNumbers w:val="0"/>
              <w:jc w:val="left"/>
              <w:textAlignment w:val="top"/>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（3）数据共享监控：支持对数据共享接口进行访问监控，支持查看全部接口访问详情或按条件筛选查看接口访问详情。</w:t>
            </w:r>
          </w:p>
        </w:tc>
        <w:tc>
          <w:tcPr>
            <w:tcW w:w="7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套</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w:t>
            </w:r>
          </w:p>
        </w:tc>
        <w:tc>
          <w:tcPr>
            <w:tcW w:w="1013"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2</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智慧校园通</w:t>
            </w:r>
          </w:p>
        </w:tc>
        <w:tc>
          <w:tcPr>
            <w:tcW w:w="5975" w:type="dxa"/>
            <w:vAlign w:val="top"/>
          </w:tcPr>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作业：老师可对任课的班级学生布置作业，也可查看对应作业完成情况，支持在线作业评分；学生、家长能够查看老师布置的作业记录、个人作业完成情况，可在有效期内提交作业，同时可通过微信公众号接收作业发布通知及催交通知。</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2）通知：支持管理员、领导及教师用户根据角色权限进行通知发布及查看，家长、学生可查看通知消息列表并作出反馈，如点击确认收到、确认阅读并完成；提供微信公众号推送校园通知及班级通知服务。</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3）投票：管理员、领导及教师用户可根据角色权限进行发起或查看投票，支持家长、学生查看当前可参与的投票活动，并可在有效期内进行投票，查看公开的投票结果；提供微信公众号推送投票通知服务。</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4）课程表：支持教师、学生查看个人本周课程表信息，提供明日课程提醒订阅服务。</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5）请假及管理：支持学生、老师通过移动端进行请假，管理员及老师可根据自身业务及权限范围进行请假审批，支持查看请假申请记录及审批记录。</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6）智能选课：支持对接选课系统，学生可以查看自己的选课任务，进行在线选课，同时支持学生查看整个年级的选课统计情况。</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7）虚拟班牌：支持对接智慧班牌系统，用户可通过虚拟班牌小程序查看今日课程、本周值日、校园活动、班级风采、考试信息、班牌公告、校园公告等信息，管理员及教师可对班级风采、班牌公告进行管理。</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8）报修与领用：支持对接报修与领用系统，提供学生及教师对物品进行报修、领用、借用等申请，支持查看对应申请记录。</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9）成绩查看：支持对接成绩系统，提供学生查询本学期个人各学科成绩，也可查看本班及本年级成绩统计；支持教师查询对应教学班学生成绩情况及对应教学班、本年级成绩统计。</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10）微门户：支持对接校园门户，提供用户查看学校概况、学生风采、名师介绍、学校动态、招生招聘及校园联系方式等信息。</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11）访客预约及管理：支持对接访客系统，提供在线提交预约申请；受访者能够进行预约审核以及访客身份验证；管理员可查看接访时间、审核预约的来访信息。</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12）住宿申办：支持对接宿管系统，提供学生在线提交住宿申报（住宿、走读）；住宿学生可进行床位申请、查看个人住宿信息，也可在线提交调宿、退宿申请。</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13）在线接送信息：支持对接车辆管理及接送系统，家长可通过对应小程序进行接送信息注册及绑定、申请临时接送等；支持管理员及班主任通过移动端在线审核接送申请等信息，管理员可通过移动端远程开关车牌识别通道闸机进行临时紧急放行；可查看现场接送快照；并提供接送提醒、被接送人停车场出入通知等信息推送服务。</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14）校门口出入提醒：支持联动智能门禁系统，提供微信公众号推送学生校园出入提醒服务。</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15）智慧食堂：支持对接智慧食堂系统，提供学生通过智慧食堂小程序查看食堂菜单，可提前（最长可支持提前一周）预约订餐，可微信支付。</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16）校园缴费：支持对接校园统一支付平台，提供学生在线缴费，查看个人的缴费记录、发起退款申请、查看退款进度，查看学期缴费的支出统计。</w:t>
            </w:r>
          </w:p>
          <w:p>
            <w:pPr>
              <w:keepNext w:val="0"/>
              <w:keepLines w:val="0"/>
              <w:widowControl/>
              <w:suppressLineNumbers w:val="0"/>
              <w:jc w:val="left"/>
              <w:textAlignment w:val="top"/>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17）智慧操场：支付对接智慧操场系统，提供学生查看自己今日运动信息，添加运动申诉，查看体育运动成绩，支持教师查看班级学生运动信息、处理申诉情况等。</w:t>
            </w:r>
          </w:p>
        </w:tc>
        <w:tc>
          <w:tcPr>
            <w:tcW w:w="7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套</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w:t>
            </w:r>
          </w:p>
        </w:tc>
        <w:tc>
          <w:tcPr>
            <w:tcW w:w="1013"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3</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校本资源管理软件</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支持对学校各阶段多种类型电子资料进行分类管理，满足学校资源管理需求，同时可供师生进行浏览查看。</w:t>
            </w:r>
          </w:p>
        </w:tc>
        <w:tc>
          <w:tcPr>
            <w:tcW w:w="7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套</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w:t>
            </w:r>
          </w:p>
        </w:tc>
        <w:tc>
          <w:tcPr>
            <w:tcW w:w="1013"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4</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校园教务（管理）软件</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1）首页 </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  ①支持管理员按学期/年级/考试的查看成绩统计、学校基本信息；教师可查看各学期所带班级的成绩统计和今日课程信息；学生可查看各学期的考试成绩统计信息。</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  ②支持对接智慧校园用户应用（雨）平台，管理员、教师和学生查看教务通知概览、文件下载列表和友情链接信息，可设置常用功能；管理员管理友情链接，如链接名称和链接地址等。</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2）通知公告 </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  ①支持对接智慧校园用户应用（雨）平台，管理员、教师发布通知公告和问卷调查，可设定发布对象，查看问卷统计结果，管理公共文件的上传、下载和删除等。</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  ②学生可查看教务通知、文件列表、下载文件、填写并提交问卷调查等。</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3）教师管理 </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  ①支持管理员查看和管理全校教师的档案信息和个人介绍信息，包括个人基本信息、职称、所教学科、政治面貌、学历、教育背景、执教经历、荣誉称号等，并可进行教师注册审核、新增单个教师、导入和导出教师信息；查看教师学期工作量统计信息，如本学期课程总数量、行政班数、教学班数等；查看和管理全校教师的 研修信息，如研修主题、时间以及详情信息；查看和管理全校教师的科研课题、科研成果以及获奖情况。</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  ②支持教师查看和编辑自己的个人介绍信息。</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4）学生管理 </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  ①支持管理员查看和管理全校学生的档案信息，如个人基本信息、学籍信息、学院、班级等，并可进行学生注册审核、新增单个学生、导入和导出相关信息。</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  ②支持管理员查看和管理全校学生的学籍信息，并可通过excel批量导入学生学籍信息。</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  ③支持班主任、学生和家长查看学生个人的学籍信息。</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5）班级管理 </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  ①支持管理员查看和管理行政班、教学班、德育考核规则、班级德育成绩统计、全校的优秀德育班级和较差德育班级信息、班级德育考核成绩。</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  ②支持班主任查看班级的德育信息；学生可查看自己的德育成绩详情信息；家长可查看子女的德育成绩详情。</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6）教学课表 </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  ①支持管理员查看和管理学科信息，包括学科名称、开课年级、教研组长、设置上课节次、上课时间、课表信息、调课等。</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  ②支持对接智能排课系统，管理员可创建本学期排课计划，进行基础信息、开课计划和排课规则设置，进行排课。</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  ③支持对接智能选课系统，管理员可添加选课任务，给选课年级的学生设置选课任务。</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  ④支持学生和教师查询本人的课表信息；支持教师添加临时课程、申请调课等。</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  ⑤支持学生根据选课任务进行选课，查看选课结果。</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7）考务管理 </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  ①支持管理员查看和管理考室的相关信息，如楼宇，层数，考室号，座位数；可通过excel批量导入考室信息。</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  ②支持管理员设置考试场次、时间、科目（课程）、考生信息、监考老师信息，形成考试计划；根据考生学号顺序，考生成绩，考生班级等规则智能生成考试安排信息（包括考生安排和监考安排）。</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  ③支持管理员根据考试安排，调整考生，调整监考老师。根据考场，导出考试安排表（包括考试场次、时间、科目、考室、考生、监考老师）。</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  ④支持教师查看监考信息及班级学生考试安排信息；支持学生查看考试安排信息。</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8）成绩管理 </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  ①支持管理员根据学期、考试名称、年级、班级和学科联动查询学生成绩信息，包括各学科成绩、班级排名和年级排名；根据查询列表导出学生成绩。</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  ②支持管理员查看毕业班的升学率预估。</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  ③支持管理员和教师根据学期、考试名称、年级、学科和成绩标准（如平均分和优秀人数等）从高到低统计每个班级的成绩标准信息；</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  ④支持学生和家长查看学生的考试成绩；</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  ⑤支持管理员和班主任根据年级和班级联动查询学生的综合素质评价信息；班主任可以评估学生的综合素养信息。</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  ⑥支持管理员查看和设置成绩分项和综合素养评价模板信息。</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9）荣誉管理：支持管理员管理荣誉称号相关信息，如新增荣誉类别、设置荣誉名称和级别、授予教师荣誉称号、查看荣誉称号授予详细信息等，可按学期对荣誉称号进行数据统计和展示。</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10）系统管理：支持超级管理员登录系统后台，对用户的账号信息和学期信息进行设置与管理。</w:t>
            </w:r>
          </w:p>
        </w:tc>
        <w:tc>
          <w:tcPr>
            <w:tcW w:w="7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套</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w:t>
            </w:r>
          </w:p>
        </w:tc>
        <w:tc>
          <w:tcPr>
            <w:tcW w:w="1013" w:type="dxa"/>
            <w:vAlign w:val="top"/>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5</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超融合服务器</w:t>
            </w:r>
          </w:p>
        </w:tc>
        <w:tc>
          <w:tcPr>
            <w:tcW w:w="5975" w:type="dxa"/>
            <w:vAlign w:val="top"/>
          </w:tcPr>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1、外形：标准2U机架式；                                                            2、处理器：配置2颗HYGON处理器5380(16C,2.5GHz)；</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3、内存：≥128G(32G*4) 3200MHz   RDIMM，DDR4；可扩展到2TB；单条内存不低于32GB；每颗处理器旁内存条数量相同，且为处理器数量的偶数倍或与其相同，内存插槽扩展不少于32个；</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3、RAID控制器：配置SAS/SATA RAID控制器，支持RAID 0/1/10/5/6，支持直通，数据传输速率≥12Gb/s，缓存≥4GB，带电容保护；</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4、硬盘：配置≥2×480GB；3.5英寸SSD硬盘，SATA接口，配置≥8块4T 7.2K SAS硬盘支持热插拔，机型最大支持前置12*3.5和24*2.5两种配置；</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5、I/O扩展槽：最大支持10个PCI-E （用于除RAID控制器、OCP扩展口以外的配件。）；</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6、I/O接口：≥1个串口，≥1个VGA接口；</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7、网卡：≥1块万兆双口多模光纤以太网卡（含模块），≥4个板载千兆以太网电口； </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8、电源：热插拔冗余铂金电源，确保在外接2路PDU的情况下，不会出现因1路PDU故障而导致设备供电不足的情况；</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9、风扇：热插拔冗余风扇；</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10、导轨：满足42U标准机柜的上架要求，表面采用镀锌或铬酸钝化或粉末涂层；</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11、操作系统支持：支持银河麒麟V10、CentOS 8.5、Windows2019等主流操作系统；</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12、系统管理：支持IPMI 1.5/2.0、SOL、KVM Over IP、SNMP、Redfish、虚拟媒介等高级管理功能，对外提供1 个1Gbps RJ45 管理口，可支持NCSI 功能；                                      13、主要功能，包含计算虚拟化、存储虚拟化，服务器虚拟。                                      </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1）架构：a、虚拟化平台和融合存储平台采用松耦合架构，都可以单独进行跨版本升级，互不影响;系统升级，用户虚拟机无感知；b、支持存储的非对称部署，允许只有计算零存储空间的节点存在；c、支持不同配置节点机的混用（对未来的扩展有意义）；d、具备分布式文件系统功能：如通过软件方式自动将多个本地计算存储一体化服务器所有的本地磁盘空间整合成一个整体存储空间，以提供给虚拟化软件使用，实现传统架构中集中存储的功能，单节点故障时不会影响整个存储空间的使用且数据不会发生错误或丢失。                 </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2）扩展性：a、支持超融合每节点内部容量按需纵向扩展和按节点数横向扩展；b、单一集群及存储资源池内没有节点/节点数、SSD和HDD存储容量的限制，可扩展大于256节点；c、支持以1个节点为单位进行扩容，在不中断业务的情况下将新节点加入现有集群中，实现集群计算和存储资源的无缝扩展。                                                       </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3）高可靠性：a、可针对虚机分别设置2副本or3副本，且数据同时写入；当发生硬件失效时不会影响数据正常访问，2副本和3副本可以进行相互转换（针对三个节点）。b、提供故障切换能力，当组件自身故障时，不影响整个集群正常运行，保证业务连续性；当SSD和HDD盘出现故障情况下，可以通过热插拔方式进行盘的替换；当整个节点处故障的情况下，可以支持整个节点的热插拔硬件替换。c、自动检测故障硬盘及节点，并自动剔除／自动容量平衡。                                                                                                  4）兼容性：支持不同型号、不同厂商的服务器混用，保护客户投资。                </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5）管理功能：a、针对管理员提供一套独立的WEB管理平台,用于管理共享存储。b、增加、更换、删除SSD/HDD/节点很简单，且数据自动均衡，对系统性能无影响。c、可为集群空间、存储池空间、Metadev空间、存储池命名空间、固态硬盘磨损设置不同的阈值，通过进行电子邮件通知。d、在线升级，具备实现平台软件的在线升级功能（不需要关闭业务系统和主机单元的情况下）。              </w:t>
            </w:r>
          </w:p>
          <w:p>
            <w:pPr>
              <w:keepNext w:val="0"/>
              <w:keepLines w:val="0"/>
              <w:widowControl/>
              <w:suppressLineNumbers w:val="0"/>
              <w:jc w:val="left"/>
              <w:textAlignment w:val="top"/>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6）客户投资保护：更新硬件无需更新软件，软件不锁定硬件；按节点授权，软件授权可转移。</w:t>
            </w:r>
          </w:p>
        </w:tc>
        <w:tc>
          <w:tcPr>
            <w:tcW w:w="7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w:t>
            </w:r>
          </w:p>
        </w:tc>
        <w:tc>
          <w:tcPr>
            <w:tcW w:w="1013" w:type="dxa"/>
            <w:vAlign w:val="top"/>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6</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平台系统API接口对接、采集及授权</w:t>
            </w:r>
          </w:p>
        </w:tc>
        <w:tc>
          <w:tcPr>
            <w:tcW w:w="5975" w:type="dxa"/>
            <w:vAlign w:val="top"/>
          </w:tcPr>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智慧校园应用总览API接口对接：支持按九大中心架构分类显示各级应用，第三方应用提供API授权接入承诺书，对接九大中心各子系统后，可显示师生在校人数、教室使用情况、校园人/车出入情况、资源应用情况等。并提供样板校平台演示视频。</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物联网设备管理中心API接口对接：支持对接各楼宇部署的远程管控、故障诊断系统、服务器管理、电视墙小屏管控等系统，可显示教室数量、故障率、使用情况、各服务器运行情况等详细信息，动态显示教室故障信息。支持管理控制电视墙小屏幕显示内容。</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校园安全管理中心API接口对接：支持对接车辆管理及学生接送、智能访客、智能门禁、校园巡视、校园巡查管理、校园安防异常检测、校园活动轨迹等系统，可查看学校的摄像头、闸机、门禁等安全设备数量，及安全预警信息、访客信息、车流量信息等。</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后勤总务管理中心API接口对接：支持对接教师发展平台、招生管理、智能宿管、智慧食堂、资产管理、校园支付等系统，可查看宿舍管理信息、办公/体育用品管理信息、智慧食堂信息、收费情况、教师发展信息、招生毕业资讯。</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5、办公服务中心API接口对接：支持对接一网通办系统，可实现师生日常行政办公及管理需求，如请假管理、销假管理等。</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远程）课堂教学中心API接口对接：支持对接直播管理、导播管理、在线督课、课堂学情分析、课堂考勤等系统，可实现按区域查看教室直播信息，按学科及年级查看精品课程资源，提供直播课程信息及开播预告，统计精品课程建设情况和点播情况等。</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教务管理中心API接口对接：支持对接学情分析、智能考勤、成绩分析、智能排课选课、智慧操场、课堂巡视等系统，可查看出勤信息、课程教学信息、学生学业成绩、学科建设、师资力量、学校荣誉、新闻通知等。</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8、信息广播中心API接口对接：支持对接通知公告、校园广播、智慧班牌、电子楼牌、校园官方门户等系统，可查看学校广播设备情况、可将校牌广播内容、IP音频终端广播内容予以显示。</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资源管理中心API接口对接：支持对接录播资源库管理、电子资源库管理、共享教案库管理等系统，可查看各类型资源应用情况、常用互联网资源、课程资源、学校素材资源、当天资源变化情况等数据，并图表化显示。</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校园大数据中心API接口对接：支持对接大数据中心系统，支持按师生主要活动大数据、学生成绩大数据、资源建设及应用大数据、信息化建设及使用大数据、校园安全大数据多个维度进行数据分析，并图形化展示。</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11、系统设置API接口对接：支持管理员进行背景音乐、图标音乐设置，九大中心应用入口配置、数据源设置、主题切换、校徽校名自定义等。</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12、概况总览API接口对接：图表化展示系统内数据量、数据空间大小、数据库个数、数据表数量，以及各数据仓库数据量详情查看、元数据总览，数据中台系统应用流程图展示。</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13、数据资产管理API接口对接：</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（1）元数据管理：支持手动录入元数据、导入元数据、从数据源采集元数据，并可对元数据进行分组管理。</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（2）数据库管理：支持数据按通用数据仓库结构（ODS、DWD、DWS、ADS）进行分层分主题存储，可根据元数据为每个主题数仓建立数据表结构，可新建、编辑、删除数据表。</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14、数据采集：</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（1）数据源管理：支持选择接入关系型数据库、NoSQL数据库、Rest Ful Web API接口、本地EXCEL/CSV文件等数据源，支持对数据库、Web API接口进行连接参数配置。系统内置智慧校园数据源，包括基础平台数据源、数字化档案数据源等，可与智慧校园进行数据互通。</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（2）采集事件管理：支持建立数据采集事件，数据源设置，数据存储目标设置，并可进行字段级数据映射关系设置，支持在采集时进行数据预处理。</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（3）采集任务调度管理：支持对采集事件建立新任务，启用或禁用任务。支持查看任务运行情况及运行日志。</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15、数据治理：</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（1）数据标准设置：支持对元数据各数据字段设置数据标准。</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（2）数据质量管理：支持数据质量检测，可建立数据质量检测任务。支持查看数据质量检测任务运行情况，并对各数据质量检测任务结果进行统计分析。</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数据预处理：支持设置数据预处理规则，包括空值处理规则、异常值处理规则、重复值处理规则、数据加密规则、数据脱敏规则、系统预置数据转换规则、自定义处理扩展等方式；设置预处理任务，启用或禁用预处理任务，支持查看任务运行情况及运行日志。</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16、数据加工：可建立数据加工任务，设置数据加工流程，启用或禁用加工任务，支持查看任务运行情况及运行日志。</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17、数据共享：</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（1）接口管理：提供统一对外共享数据接口，建立并管理接口共享目录，以JSON格式返回满足条件的数据。</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（2）权限管理：支持对指定共享目录或条目进行访问权限管理。</w:t>
            </w:r>
          </w:p>
          <w:p>
            <w:pPr>
              <w:keepNext w:val="0"/>
              <w:keepLines w:val="0"/>
              <w:widowControl/>
              <w:suppressLineNumbers w:val="0"/>
              <w:jc w:val="left"/>
              <w:textAlignment w:val="top"/>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（3）数据共享监控：支持对数据共享接口进行访问监控，支持查看全部接口访问详情或按条件筛选查看接口访问详情。</w:t>
            </w:r>
          </w:p>
        </w:tc>
        <w:tc>
          <w:tcPr>
            <w:tcW w:w="775" w:type="dxa"/>
            <w:vAlign w:val="center"/>
          </w:tcPr>
          <w:p>
            <w:pPr>
              <w:keepNext w:val="0"/>
              <w:keepLines w:val="0"/>
              <w:widowControl/>
              <w:suppressLineNumbers w:val="0"/>
              <w:jc w:val="center"/>
              <w:textAlignment w:val="top"/>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套</w:t>
            </w:r>
          </w:p>
        </w:tc>
        <w:tc>
          <w:tcPr>
            <w:tcW w:w="662" w:type="dxa"/>
            <w:vAlign w:val="center"/>
          </w:tcPr>
          <w:p>
            <w:pPr>
              <w:keepNext w:val="0"/>
              <w:keepLines w:val="0"/>
              <w:widowControl/>
              <w:suppressLineNumbers w:val="0"/>
              <w:jc w:val="center"/>
              <w:textAlignment w:val="top"/>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w:t>
            </w:r>
          </w:p>
        </w:tc>
        <w:tc>
          <w:tcPr>
            <w:tcW w:w="1013"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rPr>
                <w:rFonts w:hint="eastAsia" w:ascii="宋体" w:hAnsi="宋体" w:eastAsia="宋体" w:cs="宋体"/>
                <w:b/>
                <w:bCs/>
                <w:color w:val="auto"/>
                <w:sz w:val="21"/>
                <w:szCs w:val="21"/>
                <w:highlight w:val="none"/>
                <w:vertAlign w:val="baseline"/>
                <w:lang w:val="en-US" w:eastAsia="zh-CN"/>
              </w:rPr>
            </w:pPr>
          </w:p>
        </w:tc>
        <w:tc>
          <w:tcPr>
            <w:tcW w:w="1138" w:type="dxa"/>
            <w:vAlign w:val="center"/>
          </w:tcPr>
          <w:p>
            <w:pPr>
              <w:jc w:val="center"/>
              <w:rPr>
                <w:rFonts w:hint="eastAsia" w:ascii="宋体" w:hAnsi="宋体" w:eastAsia="宋体" w:cs="宋体"/>
                <w:b/>
                <w:bCs/>
                <w:color w:val="auto"/>
                <w:sz w:val="21"/>
                <w:szCs w:val="21"/>
                <w:highlight w:val="none"/>
                <w:vertAlign w:val="baseline"/>
                <w:lang w:val="en-US" w:eastAsia="zh-CN"/>
              </w:rPr>
            </w:pPr>
          </w:p>
        </w:tc>
        <w:tc>
          <w:tcPr>
            <w:tcW w:w="59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能耗管理</w:t>
            </w:r>
          </w:p>
        </w:tc>
        <w:tc>
          <w:tcPr>
            <w:tcW w:w="775" w:type="dxa"/>
            <w:vAlign w:val="center"/>
          </w:tcPr>
          <w:p>
            <w:pPr>
              <w:rPr>
                <w:rFonts w:hint="eastAsia" w:ascii="宋体" w:hAnsi="宋体" w:eastAsia="宋体" w:cs="宋体"/>
                <w:b/>
                <w:bCs/>
                <w:color w:val="auto"/>
                <w:sz w:val="21"/>
                <w:szCs w:val="21"/>
                <w:highlight w:val="none"/>
                <w:vertAlign w:val="baseline"/>
                <w:lang w:val="en-US" w:eastAsia="zh-CN"/>
              </w:rPr>
            </w:pPr>
          </w:p>
        </w:tc>
        <w:tc>
          <w:tcPr>
            <w:tcW w:w="662" w:type="dxa"/>
            <w:vAlign w:val="center"/>
          </w:tcPr>
          <w:p>
            <w:pPr>
              <w:jc w:val="center"/>
              <w:rPr>
                <w:rFonts w:hint="eastAsia" w:ascii="宋体" w:hAnsi="宋体" w:eastAsia="宋体" w:cs="宋体"/>
                <w:b/>
                <w:bCs/>
                <w:color w:val="auto"/>
                <w:sz w:val="21"/>
                <w:szCs w:val="21"/>
                <w:highlight w:val="none"/>
                <w:vertAlign w:val="baseline"/>
                <w:lang w:val="en-US" w:eastAsia="zh-CN"/>
              </w:rPr>
            </w:pPr>
          </w:p>
        </w:tc>
        <w:tc>
          <w:tcPr>
            <w:tcW w:w="1013" w:type="dxa"/>
            <w:vAlign w:val="top"/>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光电直读远传冷水表（铁材质）</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管径DN65，通信接口与协议： RS485接口，CJ/T188-2004协议</w:t>
            </w:r>
          </w:p>
        </w:tc>
        <w:tc>
          <w:tcPr>
            <w:tcW w:w="7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个</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8</w:t>
            </w:r>
          </w:p>
        </w:tc>
        <w:tc>
          <w:tcPr>
            <w:tcW w:w="1013" w:type="dxa"/>
            <w:vAlign w:val="top"/>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2</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RS485专用线缆</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 xml:space="preserve">无氧铜线芯（1.5mm²不少于48丝），无氧铜加密编网（96编以上）屏蔽、阻燃防水防晒 </w:t>
            </w:r>
          </w:p>
        </w:tc>
        <w:tc>
          <w:tcPr>
            <w:tcW w:w="7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米</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 xml:space="preserve">3,500 </w:t>
            </w:r>
          </w:p>
        </w:tc>
        <w:tc>
          <w:tcPr>
            <w:tcW w:w="1013" w:type="dxa"/>
            <w:vAlign w:val="top"/>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rPr>
                <w:rFonts w:hint="eastAsia" w:ascii="宋体" w:hAnsi="宋体" w:eastAsia="宋体" w:cs="宋体"/>
                <w:b/>
                <w:bCs/>
                <w:color w:val="auto"/>
                <w:sz w:val="21"/>
                <w:szCs w:val="21"/>
                <w:highlight w:val="none"/>
                <w:vertAlign w:val="baseline"/>
                <w:lang w:val="en-US" w:eastAsia="zh-CN"/>
              </w:rPr>
            </w:pPr>
          </w:p>
        </w:tc>
        <w:tc>
          <w:tcPr>
            <w:tcW w:w="1138" w:type="dxa"/>
            <w:vAlign w:val="center"/>
          </w:tcPr>
          <w:p>
            <w:pPr>
              <w:jc w:val="center"/>
              <w:rPr>
                <w:rFonts w:hint="eastAsia" w:ascii="宋体" w:hAnsi="宋体" w:eastAsia="宋体" w:cs="宋体"/>
                <w:b/>
                <w:bCs/>
                <w:color w:val="auto"/>
                <w:sz w:val="21"/>
                <w:szCs w:val="21"/>
                <w:highlight w:val="none"/>
                <w:vertAlign w:val="baseline"/>
                <w:lang w:val="en-US" w:eastAsia="zh-CN"/>
              </w:rPr>
            </w:pPr>
          </w:p>
        </w:tc>
        <w:tc>
          <w:tcPr>
            <w:tcW w:w="59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楼宇自控</w:t>
            </w:r>
          </w:p>
        </w:tc>
        <w:tc>
          <w:tcPr>
            <w:tcW w:w="775" w:type="dxa"/>
            <w:vAlign w:val="center"/>
          </w:tcPr>
          <w:p>
            <w:pPr>
              <w:jc w:val="center"/>
              <w:rPr>
                <w:rFonts w:hint="eastAsia" w:ascii="宋体" w:hAnsi="宋体" w:eastAsia="宋体" w:cs="宋体"/>
                <w:b/>
                <w:bCs/>
                <w:color w:val="auto"/>
                <w:sz w:val="21"/>
                <w:szCs w:val="21"/>
                <w:highlight w:val="none"/>
                <w:vertAlign w:val="baseline"/>
                <w:lang w:val="en-US" w:eastAsia="zh-CN"/>
              </w:rPr>
            </w:pPr>
          </w:p>
        </w:tc>
        <w:tc>
          <w:tcPr>
            <w:tcW w:w="662" w:type="dxa"/>
            <w:vAlign w:val="center"/>
          </w:tcPr>
          <w:p>
            <w:pPr>
              <w:jc w:val="center"/>
              <w:rPr>
                <w:rFonts w:hint="eastAsia" w:ascii="宋体" w:hAnsi="宋体" w:eastAsia="宋体" w:cs="宋体"/>
                <w:b/>
                <w:bCs/>
                <w:color w:val="auto"/>
                <w:sz w:val="21"/>
                <w:szCs w:val="21"/>
                <w:highlight w:val="none"/>
                <w:vertAlign w:val="baseline"/>
                <w:lang w:val="en-US" w:eastAsia="zh-CN"/>
              </w:rPr>
            </w:pPr>
          </w:p>
        </w:tc>
        <w:tc>
          <w:tcPr>
            <w:tcW w:w="1013" w:type="dxa"/>
            <w:vAlign w:val="top"/>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接口网关-1#、图书馆VRV系统</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远传接口RJ-45，TCP/IP；支持2路485采集接口，RS485 MODBUS与TCP/IP通讯协议间转换，采用DC24V供电</w:t>
            </w:r>
          </w:p>
        </w:tc>
        <w:tc>
          <w:tcPr>
            <w:tcW w:w="7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个</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2</w:t>
            </w:r>
          </w:p>
        </w:tc>
        <w:tc>
          <w:tcPr>
            <w:tcW w:w="1013" w:type="dxa"/>
            <w:vAlign w:val="top"/>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2</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接口网关-2#教学楼、3#教学楼系统</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远传接口RJ-45，TCP/IP；支持2路485采集接口，RS485 MODBUS与TCP/IP通讯协议间转换，采用DC24V供电</w:t>
            </w:r>
          </w:p>
        </w:tc>
        <w:tc>
          <w:tcPr>
            <w:tcW w:w="7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个</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2</w:t>
            </w:r>
          </w:p>
        </w:tc>
        <w:tc>
          <w:tcPr>
            <w:tcW w:w="1013" w:type="dxa"/>
            <w:vAlign w:val="top"/>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3</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接口网关-4#教学楼系统</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远传接口RJ-45，TCP/IP；支持2路485采集接口，RS485 MODBUS与TCP/IP通讯协议间转换，采用DC24V供电</w:t>
            </w:r>
          </w:p>
        </w:tc>
        <w:tc>
          <w:tcPr>
            <w:tcW w:w="7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个</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w:t>
            </w:r>
          </w:p>
        </w:tc>
        <w:tc>
          <w:tcPr>
            <w:tcW w:w="1013" w:type="dxa"/>
            <w:vAlign w:val="top"/>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4</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接口网关-食堂、体育馆VRV系统</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远传接口RJ-45，TCP/IP；支持2路485采集接口，RS485 MODBUS与TCP/IP通讯协议间转换，采用DC24V供电</w:t>
            </w:r>
          </w:p>
        </w:tc>
        <w:tc>
          <w:tcPr>
            <w:tcW w:w="7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个</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w:t>
            </w:r>
          </w:p>
        </w:tc>
        <w:tc>
          <w:tcPr>
            <w:tcW w:w="1013" w:type="dxa"/>
            <w:vAlign w:val="top"/>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5</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接口网关-学生男女宿舍VRV系统</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远传接口RJ-45，TCP/IP；支持2路485采集接口，RS485 MODBUS与TCP/IP通讯协议间转换，采用DC24V供电</w:t>
            </w:r>
          </w:p>
        </w:tc>
        <w:tc>
          <w:tcPr>
            <w:tcW w:w="7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个</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2</w:t>
            </w:r>
          </w:p>
        </w:tc>
        <w:tc>
          <w:tcPr>
            <w:tcW w:w="1013" w:type="dxa"/>
            <w:vAlign w:val="top"/>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6</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网关控制箱</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DDC控制箱,内含1个网关140、1个模块电源、变压器、空开、继电器、插座、保险、线缆及辅材；安装方式:墙体挂装；壳体性能：控制箱外壳壁厚≥1mm，电器底版壁厚≥1.2mm，前面板壁厚≥1.2mm，前面板与箱体之间应用橡皮密封； 开门方式：单开门；安全性能：内专设接地铜排，便于系统接地，控制箱对地绝缘电阻≥1M欧姆。</w:t>
            </w:r>
          </w:p>
        </w:tc>
        <w:tc>
          <w:tcPr>
            <w:tcW w:w="7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8</w:t>
            </w:r>
          </w:p>
        </w:tc>
        <w:tc>
          <w:tcPr>
            <w:tcW w:w="1013" w:type="dxa"/>
            <w:vAlign w:val="top"/>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7</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网络集成主板</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每个控制器应有独立CPU，而不是任何CPU的扩展I/O模块。上位机故障时，每个DDC模块必须能够按预定程式独立完成工作，而不受影响；可编程控制器。1*以太网接口，2*RS485接口，自适应波特率，支持BACnet/MSTP和Modbus-RTU通讯，可编程DDC控制器；自适应波特率，支持BACnet/MSTP和Modbus-RTU通讯，可编程DDC控制器，IO点：8DI,16UI,8UIO,11DO；</w:t>
            </w:r>
          </w:p>
        </w:tc>
        <w:tc>
          <w:tcPr>
            <w:tcW w:w="7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个</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8</w:t>
            </w:r>
          </w:p>
        </w:tc>
        <w:tc>
          <w:tcPr>
            <w:tcW w:w="1013" w:type="dxa"/>
            <w:vAlign w:val="top"/>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8</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网络集成主板控制箱</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DDC控制箱,内含1个模块电源、变压器、空开、继电器、插座、保险、线缆及辅材；安装方式:墙体挂装；壳体性能：控制箱外壳壁厚≥1mm，电器底版壁厚≥1.2mm，前面板壁厚≥1.2mm，前面板与箱体之间应用橡皮密封； 开门方式：单开门；安全性能：内专设接地铜排，便于系统接地，控制箱对地绝缘电阻≥1M欧姆。</w:t>
            </w:r>
          </w:p>
        </w:tc>
        <w:tc>
          <w:tcPr>
            <w:tcW w:w="7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8</w:t>
            </w:r>
          </w:p>
        </w:tc>
        <w:tc>
          <w:tcPr>
            <w:tcW w:w="1013" w:type="dxa"/>
            <w:vAlign w:val="top"/>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9</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DDC控制主板</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每个控制器应有独立CPU，而不是任何CPU的扩展I/O模块。上位机故障时，每个DDC模块必须能够按预定程式独立完成工作，而不受影响；可编程控制器。1*以太网接口，1*RS485接口，自适应波特率，支持BACnet/MSTP和Modbus-RTU通讯，可编程DDC控制器,IO点：12UI,4UIO,6DO；</w:t>
            </w:r>
          </w:p>
        </w:tc>
        <w:tc>
          <w:tcPr>
            <w:tcW w:w="7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8</w:t>
            </w:r>
          </w:p>
        </w:tc>
        <w:tc>
          <w:tcPr>
            <w:tcW w:w="1013" w:type="dxa"/>
            <w:vAlign w:val="top"/>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10</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转换模块</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每个控制器应有独立CPU，而不是任何CPU的扩展I/O模块。上位机故障时，每个DDC模块必须能够按预定程式独立完成工作，而不受影响；可编程控制器。1*RS485接口，自适应波特率，支持BACnet/MSTP和Modbus-RTU通讯，可编程DDC控制器，IO点：8DI,4UI,2UIO,8DO；</w:t>
            </w:r>
          </w:p>
        </w:tc>
        <w:tc>
          <w:tcPr>
            <w:tcW w:w="7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8</w:t>
            </w:r>
          </w:p>
        </w:tc>
        <w:tc>
          <w:tcPr>
            <w:tcW w:w="1013" w:type="dxa"/>
            <w:vAlign w:val="top"/>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11</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智能BA控制盘（成套）</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DDC控制箱,内含模块电源、变压器、空开、继电器、插座、保险、线缆及辅材；安装方式:墙体挂装；壳体性能：控制箱外壳壁厚≥1mm，电器底版壁厚≥1.2mm，前面板壁厚≥1.2mm，前面板与箱体之间应用橡皮密封； 开门方式：单开门；安全性能：内专设接地铜排，便于系统接地，控制箱对地绝缘电阻≥1M欧姆。</w:t>
            </w:r>
          </w:p>
        </w:tc>
        <w:tc>
          <w:tcPr>
            <w:tcW w:w="7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8</w:t>
            </w:r>
          </w:p>
        </w:tc>
        <w:tc>
          <w:tcPr>
            <w:tcW w:w="1013" w:type="dxa"/>
            <w:vAlign w:val="top"/>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13</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等保测评</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2级，2年后复评1次</w:t>
            </w:r>
          </w:p>
        </w:tc>
        <w:tc>
          <w:tcPr>
            <w:tcW w:w="7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次</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 xml:space="preserve">1 </w:t>
            </w:r>
          </w:p>
        </w:tc>
        <w:tc>
          <w:tcPr>
            <w:tcW w:w="1013" w:type="dxa"/>
            <w:vAlign w:val="top"/>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17</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运维服务</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驻点运维服务：1. 制定明确的运维计划：制定详细的运维计划，包括系统监控、问题响应、备份和恢复等方面。确保计划包含日常运维任务和紧急情况下的应急措施。</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 建立监控系统：部署监控系统，实时监测系统的性能、可用性和安全性。通过监控系统，及时发现潜在问题并采取措施，以保障系统的稳定性。</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 定期更新和维护：确保系统软件、硬件和安全补丁等定期更新，以防止潜在的安全威胁和提高系统性能。</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 备份和恢复策略：建立有效的数据备份和恢复策略，确保在系统故障或数据丢失的情况下能够快速恢复。</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 培训运维团队：团队组成（固定驻点人数1人，其他人员动态组成），运维团队人员需具备运维服务相关资质证书及足够的技能和知识，能够熟练操作系统、数据库和应用程序，以及快速解决问题。</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 用户支持和培训：提供用户支持渠道，及时响应用户反馈和问题。此外，定期开展培训活动，帮助用户更好地使用系统。</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 安全管理：实施安全策略，包括访问控制、身份验证、加密等，以防范潜在的安全威胁。</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 性能优化： 定期进行系统性能评估，并进行必要的优化，以确保系统能够满足用户需求并保持高效运行。</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 持续改进： 定期进行项目回顾和评估，识别潜在的改进点，不断优化运维流程和系统性能。</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10.风险管理： 定期评估系统运行中可能出现的风险，并制定相应的风险管理计划，以最小化潜在的影响。</w:t>
            </w:r>
          </w:p>
        </w:tc>
        <w:tc>
          <w:tcPr>
            <w:tcW w:w="7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年</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 xml:space="preserve">3 </w:t>
            </w:r>
          </w:p>
        </w:tc>
        <w:tc>
          <w:tcPr>
            <w:tcW w:w="1013" w:type="dxa"/>
            <w:vAlign w:val="top"/>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138"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教学研修评价系统（央馆智能研修平台）</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一、基础教研：1、在线磨课：平台支持用户组建磨课小组，开展磨课活动。平台支持统计活动个数、课程数、听课数的统计。</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2、磨课资源：磨课小组成员可观看课堂实录，课堂实录支持多源观看，自由切换教师学生及ppt画面，支持在线预览教案、课件等文档。</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3、环节对比：教师可对比两次磨课的资源及点评信息，进行总结反思。可以显示量表和教学能力矩阵对比，并支持生成报告和导出报告。</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4、优质课评选：平台可组织在线大规模优质课评选活动，组织从评选公告发布到上报优课、专家评选、奖项公布、获奖视频归档等全部流程。</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二、大规模在线教研：1、评课：课例评课可以对已经结束的课程进行听评课，有AI分析数据的可以查看AI数据，打点评价；在线评课通过网络直播的方式，在线听课并实时评价；现场观摩可以在平台上共享资源、记录笔记和签到；</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2、H5评课：评课活动可以直接扫码参与，无需下载app</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3、手机评课：支持不同的教学环节记录笔记，支持文本、图片、短视频、画板等多种形式记录；</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4、听课：手机和电脑全部支持多路视角听评课，可以查看教师、学生、电影、VGA等多路视频，全方位听评课堂；</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5、打点评价：支持点击课程行为时序和参与度曲线进行精准的主观评价。</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6、AI评课：支持导出包含师生课堂行为数据、课堂参与度曲线、S-T折线图、以及课堂类型、量表评分详情、教师教学能力矩阵、评课总结等数据报告。支持点击查看和导出对比分析报告。</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三、智能精准教研：1、推课功能：支持推课功能，向专家推送自己的课程，得到专家评课进行有效的教学反思；</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2、特例课：支持自定义特例课识别规则，自动对符合规则的课程进行标识；</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3、课程时序：支持每节课的课堂实录，可根据不同的教学行为时序进行智能打点切片，形成行为时序图，点击可自动定位到课堂实录的特定时刻。</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4、课堂行为：可自动识别的课堂行为,包括讲授、板书、巡视、师生互动、生生互动、听讲、应答、举手、读写；自动进行S-T分析，分析每节课的教学模式。</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5、分析曲线：教师可查看班级表现曲线和参与度曲线</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6、对比分析：支持选择两位教师的授课情况进行同课异构对比，可以查看两位教师的授课过程中的教学行为，S-T、授课类型、学生参与度的对比分析，并且可以导出对比报告。</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7、长期数据：校教学管理者可以根据学科、时间等自定义查询导出相应的教师长期数据；</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四、专递课堂教研：互动模式：支持多种互动模式的约课，互动视频可在平台留存，生成互动资源库</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五：支持将名师的优质资源以专辑的形式展示共享。专辑支持按照学科目录和教材结构创建。</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六、名校网络课堂教研：1、资源排行：支持按照资源的人气榜和好评榜，对资源进行排行展示，支持管理员手动推荐资源，在优课中心进行重点展示。</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2、资源推荐：支持课程相关知识点的推荐。支持用户可以对自己感兴趣的课程进行收藏或订阅，在个人空间查看课程学习记录。</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直播门户：支持查看当前正在进行的直播课，以及将要开始的直播课，还有已经结束且已发布的直播课。直播课开始后，支持点击课程图标进入课程详情页，支持关注此老师的动态，支持生成直播二维码，手机进行扫码，即可在手机端观看直播</w:t>
            </w:r>
          </w:p>
        </w:tc>
        <w:tc>
          <w:tcPr>
            <w:tcW w:w="77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套</w:t>
            </w:r>
          </w:p>
        </w:tc>
        <w:tc>
          <w:tcPr>
            <w:tcW w:w="662"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1013" w:type="dxa"/>
            <w:vAlign w:val="top"/>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p>
        </w:tc>
      </w:tr>
    </w:tbl>
    <w:p>
      <w:pP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2.2</w:t>
      </w:r>
      <w:r>
        <w:rPr>
          <w:rFonts w:hint="eastAsia" w:ascii="宋体" w:hAnsi="宋体" w:cs="宋体"/>
          <w:b/>
          <w:bCs/>
          <w:color w:val="auto"/>
          <w:sz w:val="21"/>
          <w:szCs w:val="21"/>
          <w:highlight w:val="none"/>
          <w:lang w:val="en-US" w:eastAsia="zh-CN"/>
        </w:rPr>
        <w:t>0</w:t>
      </w:r>
      <w:r>
        <w:rPr>
          <w:rFonts w:hint="eastAsia" w:ascii="宋体" w:hAnsi="宋体" w:eastAsia="宋体" w:cs="宋体"/>
          <w:b/>
          <w:bCs/>
          <w:color w:val="auto"/>
          <w:sz w:val="21"/>
          <w:szCs w:val="21"/>
          <w:highlight w:val="none"/>
          <w:lang w:val="en-US" w:eastAsia="zh-CN"/>
        </w:rPr>
        <w:t xml:space="preserve">  办公电脑、课桌椅</w:t>
      </w:r>
    </w:p>
    <w:tbl>
      <w:tblPr>
        <w:tblStyle w:val="99"/>
        <w:tblW w:w="105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1138"/>
        <w:gridCol w:w="5975"/>
        <w:gridCol w:w="775"/>
        <w:gridCol w:w="662"/>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i w:val="0"/>
                <w:color w:val="auto"/>
                <w:kern w:val="0"/>
                <w:sz w:val="21"/>
                <w:szCs w:val="21"/>
                <w:highlight w:val="none"/>
                <w:u w:val="none"/>
                <w:lang w:val="en-US" w:eastAsia="zh-CN" w:bidi="ar"/>
              </w:rPr>
              <w:t>序号</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项目名称</w:t>
            </w:r>
          </w:p>
        </w:tc>
        <w:tc>
          <w:tcPr>
            <w:tcW w:w="59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技术参数</w:t>
            </w:r>
          </w:p>
        </w:tc>
        <w:tc>
          <w:tcPr>
            <w:tcW w:w="7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单位</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数量</w:t>
            </w:r>
          </w:p>
        </w:tc>
        <w:tc>
          <w:tcPr>
            <w:tcW w:w="1013"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学生用台式电脑</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机箱：机箱≥18L，支持侧板挂环锁、Kensington锁和主板报警蜂鸣器，防尘抽拉式IO盖板设计</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处理器：处理器采用板载设计，开先KX-U6780A处理器，八核，主频2.7GHz，8MC二级缓存，16纳米制程，70W功耗</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内存：配置16GB DDR4 UDIMM内存，配置≥2个内存插槽</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显卡：标配2G独立显卡，另支持集成显卡，支持两组VGA+HDMI视频输出显示，默认独显输出</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硬盘：SSD全固态硬盘，容量≥512GB</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电源：电源功率≤180W，电源通过80PLUS认证；</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网络：1个RJ45 10/100/1000自适应以太网口</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接口扩展：1个PCIe x16，2个PCIe x1扩展槽；USB接口≥8个，前置USB3.0数量≥4个；音频接口：麦克风1个，耳机1个；后端3个Audio音频输出接口</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易用性：免工具拆卸机箱、带顶置提手，便于维护。</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数据安全：</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1、支持基于BIOS级的一键备份和恢复的功能（非操作系统自带功能）；</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2、BIOS级USB屏蔽：USB支持BIOS下全部接口一键开关、全部接口一键只读、前后置USB口分组开关、前后置USB口分组只读、USB口逐个开关、USB口逐个只读</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质控水平：</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1、静音舒适性：考虑工作环境的静音舒适，要求设备的噪声声功率级≤3.03Bel，噪声声压级≤23.86dB；</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2、低气压适应性：考虑对温度/湿度/低气压的环境适应性；</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3、电磁兼容性：考虑设备工作稳定：需提供辐射抗扰、静电放电抗扰度、浪涌（冲击）抗扰度的适应性；</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4、MTBF≥300000小时，</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显示器：显示器：配置≥23.8寸LED显示器，与主机同品牌，分辨率≥1920*1080，刷新频率≥75Hz，对比度≥3000:1，视频接口VGA+HDMI       </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同品牌键盘鼠标</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50</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教师用台式电脑</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机箱：机箱≥18L，支持侧板挂环锁、Kensington锁和主板报警蜂鸣器，防尘抽拉式IO盖板设计</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处理器：处理器采用板载设计，KX-U6780A处理器，八核，主频2.7GHz，8MC二级缓存，16纳米制程，70W功耗；</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内存：配置16GB DDR4 UDIMM内存，配置≥2个内存插槽</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显卡：标配2G独立显卡，另支持集成显卡，支持两组VGA+HDMI视频输出显示，默认独显输出</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硬盘：SSD全固态硬盘，容量≥1TB</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电源：电源功率≤180W，电源通过80PLUS认证；</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网络：1个RJ45 10/100/1000自适应以太网口</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接口扩展：1个PCIe x16，2个PCIe x1扩展槽；USB接口≥8个，前置USB3.0数量≥4个；音频接口：麦克风1个，耳机1个；后端3个Audio音频输出接口</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易用性：免工具拆卸机箱、带顶置提手，便于维护。</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数据安全：</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1、支持基于BIOS级的一键备份和恢复的功能（非操作系统自带功能）；</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2、BIOS级USB屏蔽：USB支持BIOS下全部接口一键开关、全部接口一键只读、前后置USB口分组开关、前后置USB口分组只读、USB口逐个开关、USB口逐个只读</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质控水平：</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1、静音舒适性：考虑工作环境的静音舒适，要求设备的噪声声功率级≤3.03Bel，噪声声压级≤23.86dB；</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2、低气压适应性：考虑对温度/湿度/低气压的环境适应性；</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3、电磁兼容性：考虑设备工作稳定：需提供辐射抗扰、静电放电抗扰度、浪涌（冲击）抗扰度的适应性；</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4、MTBF≥300000小时；</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显示器：显示器：配置≥23.8寸LED显示器，分辨率≥1920*1080，刷新频率≥75Hz，对比度≥3000:1，视频接口VGA+HDMI                                                                                                          同品牌键盘鼠标；</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3</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课堂互动教学系统</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纯软件产品，安装部署快捷，升级简易方便，全中文人性化界面设计，支持主窗口功能按钮、浮动工具条、右键菜单、快捷键多项操作方式。</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采用核心的截屏及实时压缩技术，在网络条件较差时亦能体现良好的性能；可根据网络条件调节网络补偿强度，根据广播内容调节广播及录制效率，使广播达到最佳效果。</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采用流媒体技术，流畅无延时，文件清晰度几乎无损耗，支持几乎所有常见的媒体音视频格式， Windows Media文件，VCD文件，DVD文件，Real文件，AVI文件，MP3等主流文件格式，支持720p、1080p的高清视频。</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防杀进程、断线保护、卸载密码保护等辅助功能维护教学秩序。</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文件分发和提交支持拖拽添加文件，可添加不同目录下的文件或文件目录。</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全面支持Windows系列操作系统，包括Windows 8、Windows10操作系统。</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软件的加密方式支持：服务器端授权、在线序列号加密、离线文件加密等多种方式的激活方式。</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功能具备屏幕广播、语音广播、电子点名、远程开关机、远程命令、远程设置、请求帮助、举手、发言、自动锁屏、防杀进程、黑屏肃静、U盘限制、断线锁屏、试卷编辑、阅卷评分、在线考试、分组教学、分组讨论、学生端屏幕录制、回放、网络快照等功能。</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套</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51</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4</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课堂运维管理系统</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1、安装部署方便，免拆机插卡、免重新构建分区，仅在Windows系统下双击应用程序即可完成软件的安装，支持自定义一键安装，兼容Windows XP、Windows 7、Windows 8 、Win10操作系统(x86&amp;x64)。支持wifi无线网络环境使用。支持多个操作系统安装，如XP、Win7、Win8、Linux等，以及不同格式的数据分区，并对Windows操作系统分区及数据分区进行保护。</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2、支持独立环境功能，可以基于当前还原点创建无数个互不干扰的系统环境，且不被还原。方便学生在机房保存学习资料、完成作业或进行课程设计、毕业设计等任务</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3、可对大于500台终端机同时进行差异数据部署，并可自动分配IP地址(IPV4/IPV6)、计算机名、WINDOWS用户名 ，支持固态硬盘保护，支持M.2硬盘数据保护。</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4、支持保护分区的某一目录与不保护分区或外插U盘、硬盘进行自动/定时同步；同步文件可以按照后缀名等规则进行过滤；文件重命名、删除也可以进行同步；可以单向同步、亦可双向同步； 支持指定保护分区数据文件不还原，指定重要文件夹加密锁定/解锁设置。</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5、按照教学实际需求，可设定计划任务，在指定的时间点自动切换到指定的还原点，且支持离线任务；针对内网的应用，可无缝对接WSUS实现操作系统补丁包的过滤与更新，保证内网的安全。</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6、主控端网络侦测功能可以便利协助定位网络的通信问题，查找网卡、网线、交换机网口的故障；在硬盘全盘保护的情况下，可以自动侦测软件安装及文件、文件夹数据变动提醒用户保存当前状态。 </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7、支持机房节能，帮助机房省电：</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&lt;1&gt;管理端可设定客户端在多久时间没操作后自动关闭显示器、自动进入待机状态、自动关机；</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&lt;2&gt;管理端可设定允许客户端每天开机的时段、一周中哪几天开机等；</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&lt;3&gt;根据预先设定费率生成能源使用报告，精确掌握节省的电费。 </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8、支持网络同传与增量同传，接收端计算机可通过网卡、u盘、光驱、硬盘启动三种方式执行同传，内建同传智能测速排序机制，可支持同传限速以不影响正常的教学活动，支持正版软件（windows操作系统、office软件）的激活，支持CAD等软件批量注册。 </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9、支持备份型还原，可把操作系统、教学应用还原点数据备份至移动硬盘，遇有硬盘损坏，亦可以快速恢复硬盘数据。</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10、支持主控端批量化管理功能，主控端可远程批量修改被控端的保护模式、密码、切换还原点、删除还原点、锁定设备、资产管理、屏幕监看、远程命令、远程监看、远程开关机、远程重启、远程登录、远程遥控，及远程指定被控端进行网络同传与增量同传。教师端通过加密狗或序列号注册激活 。</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套</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51</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5</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桌面操作系统授权</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 操作系统产品具有教育版本的软件著作权。</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 操作系统产品支持多种桌面应用：QQ、微信、自研邮件客户端、画图工具、截图工具、图片查看器、音频播放器、视频播放器、文件管理器、压缩工具、刻录软件、应用商店等。</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 操作系统产品支持360安全浏览器、奇安信可信浏览器、红莲花安全浏览器、火狐浏览器、QQ浏览器等。</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 操作系统产品提供分区管理、文件系统管理、系统监视器、备份还原、安全中心、系统更新等系统工具。</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 操作系统产品提供智能语音助手功能，并支持语音和文字输入。</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 为保障系统不被误操作损坏，保障系统安全，操作系统产品需支持开发者模式的用户鉴权能力，用以限制root、sudo等高级权限和安装未签名的软件。</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 系统安全中心深度集成杀毒引擎，用户无需单独下载，至少提供两个杀毒库供用户自行选择。</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8 操作系统产品支持保障安全升级的自动主/备双根分区，在系统升级后支持还原到之前的状态。</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套</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51</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6</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流式软件授权</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 操作系统上运行的办公软件产品，包含文字模块、表格模块、演示模块三个组件。</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2.产品需要支持兼容不同类型文档格式预览和编辑，包括：.wps、.doc、.docx、.ppt、.pptx、.xls、.xlsx。</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 文字模块支持章节导航、书签导航功能。“章节导航”支持显示章节内容、更改章节标题、增加节、删除节、合并节。“书签导航”支持显示书签，按照书签的名称和位置排序等。。</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 字模块支持智能识别目录，自动识别正文的段落结构，生成对应目录。。</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 文档模块支持本地磁盘文件搜索。可以根据文档名称，文档内容，按照时间及文件类型搜索出符合条件的文档素材，搜索出来的文档支持直接查看和引用，通过引用将文档内容直接插入到需要的文档中。</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 表格模块支持自动筛选高级模式。支持显示计数、导出计数、按计数排序、反选、筛选唯一/重复值等高级功能。。</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 支持智能填充，可以根据已有的示例结果，智能分析出结果与原始数据之间的关系，据此填充同列的其他单元格，节省大量的复制粘贴操作。</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8. 演示模块支持嵌入音频/视频媒体对象，嵌入后能跟随文档一起，避免文档流转时音视频无法播放。</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套</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51</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7</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耳麦</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佩戴方式：头戴护耳式；阻抗：32Ω；耳机发声原理：动圈；耳机左右腔体间连接方式：有线连接；耳机与播放设备连接方式：有线连接；</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80</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8</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学生电脑桌椅</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桌子长度1.4m宽度0.6m高度0.75m    桌面2.5厘米三聚氰胺环保板   架子20*40方管，管壁厚度≥0.8毫米（不含表面喷涂后的厚度），冷轧板厚度≥0.5毫米，机箱高度54厘米宽度40厘米内径，开放式中机箱，设计有透气孔防止机箱过热，更防盗，下身铁架表面是经过磷化除锈除油处理后静电喷涂，喷后均匀，光洁度好，塑面经久耐用，表面垫固性粉末涂层，环保无毒害无气味，且耐候性强，桌脚为耐磨防滑尼龙脚垫；2.凳子采用25*25方管，壁厚08，凳面采用和桌面同色系厚度2.5厘米环保颗粒板，凳子尺寸约34CM长*24CM宽*44CM高。</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套</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25</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9</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教师电脑桌椅</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桌子长度1.4m宽度0.8m高度0.75m桌面2.5厘米三聚氰胺环保板，桌身为1.6厘米三聚氰胺环保板2.凳子采用25*25方管，壁厚08，凳面采用和桌面同色系厚度2.5厘米环保颗粒板，凳子尺寸约34CM长*24CM宽*44CM高。</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套</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10</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笔记本电脑</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处理器 核心数≥4核，主频≥3.0GHz。</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内存 容量≥16GB，内存插槽≥2个，最高可支持内存≥32G DDR4。</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硬盘 配置≥1TB M.2 NVMe SSD硬盘，支持容量扩展。</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接口 USB3.0接口≥2个，USB-C接口≥2个，标准RJ45网口≥1个，HDMI接口≥1个</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屏幕 ≥14英寸, 1920*1080，≥180°开合。</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电源 电池容量≥60WH，适配器功率≥65W，适配器输出接口形态Type-C。</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无线网络 支持WiFi 6 并向下兼容， 支持BT 5.0。</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摄像头 720P分辨率，具备物理滑盖，可物理遮挡保护隐私。</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外观 机身厚度≤18mm，机器重量≤1.49kg。</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数据安全：</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 1、支持基于BIOS级的一键备份和恢复的功能（非操作系统自带功能）；</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2、BIOS级USB屏蔽，智能USB保护识别存储设备：</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质控水平：</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 1、静音舒适性：考虑工作环境的静音舒适，要求设备的空闲状态声压级≤16.26 dB，其他状态声压级≤22.22dB；</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2、低气压适应性：考虑对温度/湿度/低气压的环境适应性；</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3、电磁兼容性：考虑设备工作稳定：要求设备满足浪涌（冲击）抗扰度的适应性；</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4、MTBF≥300000小时；                                                               </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包鼠标</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72</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11</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台式电脑</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机箱：机箱≥18L，支持侧板挂环锁、Kensington锁和主板报警蜂鸣器，防尘抽拉式IO盖板设计</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处理器：处理器采用板载设计，KX-U6780A处理器，八核，主频2.7GHz，8MC二级缓存，16纳米制程，70W功耗；</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内存：配置16GB DDR4 UDIMM内存，配置≥2个内存插槽</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显卡：标配2G独立显卡，另支持集成显卡，支持两组VGA+HDMI视频输出显示，默认独显输出</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硬盘：SSD全固态硬盘，容量≥1TB</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电源：电源功率≤180W，电源通过80PLUS认证；</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网络：1个RJ45 10/100/1000自适应以太网口</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接口扩展：1个PCIe x16，2个PCIe x1扩展槽；USB接口≥8个，前置USB3.0数量≥4个；音频接口：麦克风1个，耳机1个；后端3个Audio音频输出接口</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易用性：免工具拆卸机箱、带顶置提手，便于维护。</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数据安全：</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1、支持基于BIOS级的一键备份和恢复的功能（非操作系统自带功能）；</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2、BIOS级USB屏蔽：USB支持BIOS下全部接口一键开关、全部接口一键只读、前后置USB口分组开关、前后置USB口分组只读、USB口逐个开关、USB口逐个只读</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质控水平：</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1、静音舒适性：考虑工作环境的静音舒适，要求设备的噪声声功率级≤3.03Bel，噪声声压级≤23.86dB；</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2、低气压适应性：考虑对温度/湿度/低气压的环境适应性；</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3、电磁兼容性：考虑设备工作稳定：需提供辐射抗扰、静电放电抗扰度、浪涌（冲击）抗扰度的适应性；</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4、MTBF≥300000小时；</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显示器：显示器：配置≥23.8寸LED显示器，分辨率≥1920*1080，刷新频率≥75Hz，对比度≥3000:1，视频接口VGA+HDMI                                                                                                          同品牌键盘鼠标；</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19</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12</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桌面操作系统授权</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 操作系统产品具有教育版本的软件著作权。</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 操作系统产品支持多种桌面应用：QQ、微信、自研邮件客户端、画图工具、截图工具、图片查看器、音频播放器、视频播放器、文件管理器、压缩工具、刻录软件、应用商店等。</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 操作系统产品支持360安全浏览器、奇安信可信浏览器、红莲花安全浏览器、火狐浏览器、QQ浏览器等。</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 操作系统产品提供分区管理、文件系统管理、系统监视器、备份还原、安全中心、系统更新等系统工具。</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 操作系统产品提供智能语音助手功能，并支持语音和文字输入。</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 为保障系统不被误操作损坏，保障系统安全，操作系统产品需支持开发者模式的用户鉴权能力，用以限制root、sudo等高级权限和安装未签名的软件，</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 系统安全中心深度集成杀毒引擎，用户无需单独下载，至少提供两个杀毒库供用户自行选择。</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8 操作系统产品支持保障安全升级的自动主/备双根分区，在系统升级后支持还原到之前的状态。</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套</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91</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13</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流式软件授权</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 操作系统上运行的办公软件产品，包含文字模块、表格模块、演示模块三个组件。</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 产品需要支持兼容不同类型文档格式预览和编辑，包括：.wps、.doc、.docx、.ppt、.pptx、.xls、.xlsx；</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 文字模块支持章节导航、书签导航功能。“章节导航”支持显示章节内容、更改章节标题、增加节、删除节、合并节。“书签导航”支持显示书签，按照书签的名称和位置排序等。</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 字模块支持智能识别目录，自动识别正文的段落结构，生成对应目录。</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 文档模块支持本地磁盘文件搜索。可以根据文档名称，文档内容，按照时间及文件类型搜索出符合条件的文档素材，搜索出来的文档支持直接查看和引用，通过引用将文档内容直接插入到需要的文档中。</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 表格模块支持自动筛选高级模式。支持显示计数、导出计数、按计数排序、反选、筛选唯一/重复值等高级功能。</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 支持智能填充，可以根据已有的示例结果，智能分析出结果与原始数据之间的关系，据此填充同列的其他单元格，节省大量的复制粘贴操作。</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8. 演示模块支持嵌入音频/视频媒体对象，嵌入后能跟随文档一起，避免文档流转时音视频无法播放。</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套</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91</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bl>
    <w:p>
      <w:pP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w:t>
      </w:r>
      <w:r>
        <w:rPr>
          <w:rFonts w:hint="eastAsia" w:ascii="宋体" w:hAnsi="宋体" w:cs="宋体"/>
          <w:b/>
          <w:bCs/>
          <w:color w:val="auto"/>
          <w:sz w:val="21"/>
          <w:szCs w:val="21"/>
          <w:highlight w:val="none"/>
          <w:lang w:val="en-US" w:eastAsia="zh-CN"/>
        </w:rPr>
        <w:t>21</w:t>
      </w:r>
      <w:r>
        <w:rPr>
          <w:rFonts w:hint="eastAsia" w:ascii="宋体" w:hAnsi="宋体" w:eastAsia="宋体" w:cs="宋体"/>
          <w:b/>
          <w:bCs/>
          <w:color w:val="auto"/>
          <w:sz w:val="21"/>
          <w:szCs w:val="21"/>
          <w:highlight w:val="none"/>
          <w:lang w:val="en-US" w:eastAsia="zh-CN"/>
        </w:rPr>
        <w:t xml:space="preserve">  RFID图书馆系统</w:t>
      </w:r>
    </w:p>
    <w:tbl>
      <w:tblPr>
        <w:tblStyle w:val="99"/>
        <w:tblW w:w="105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1138"/>
        <w:gridCol w:w="5975"/>
        <w:gridCol w:w="775"/>
        <w:gridCol w:w="662"/>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序号</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项目名称</w:t>
            </w:r>
          </w:p>
        </w:tc>
        <w:tc>
          <w:tcPr>
            <w:tcW w:w="59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技术参数</w:t>
            </w:r>
          </w:p>
        </w:tc>
        <w:tc>
          <w:tcPr>
            <w:tcW w:w="7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单位</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数量</w:t>
            </w:r>
          </w:p>
        </w:tc>
        <w:tc>
          <w:tcPr>
            <w:tcW w:w="1013"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RFID电子标签</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1、RFID 标准ISO18000-6C，860～960MHz</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2、标签天线类型铝质蚀刻天线，PET 基底</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3、芯片类型Impinj/Monza 4QT</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4、TID64bits（含 32bits 唯一序列号）</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5、密码区 32Bits 访问密码32Bits 毁灭密码32Bits Access 32Bits 毁灭密码 32Bits Kill</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6、内存128 bits EPC 码，512 bits用户数据区</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7、工作温度-20℃-80℃ </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8、胶水所用胶水为中性环保胶水，不损伤图书纸张</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9、安装方式标签粘贴于图书内页夹缝中，隐蔽性高，不易撕毁、脱落</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使用寿命10年，10万次读写</w:t>
            </w:r>
            <w:r>
              <w:rPr>
                <w:rFonts w:hint="eastAsia" w:ascii="宋体" w:hAnsi="宋体" w:eastAsia="宋体" w:cs="宋体"/>
                <w:i w:val="0"/>
                <w:color w:val="auto"/>
                <w:kern w:val="0"/>
                <w:sz w:val="21"/>
                <w:szCs w:val="21"/>
                <w:highlight w:val="none"/>
                <w:u w:val="none"/>
                <w:lang w:val="en-US" w:eastAsia="zh-CN" w:bidi="ar"/>
              </w:rPr>
              <w:fldChar w:fldCharType="begin"/>
            </w:r>
            <w:r>
              <w:rPr>
                <w:rFonts w:hint="eastAsia" w:ascii="宋体" w:hAnsi="宋体" w:eastAsia="宋体" w:cs="宋体"/>
                <w:i w:val="0"/>
                <w:color w:val="auto"/>
                <w:kern w:val="0"/>
                <w:sz w:val="21"/>
                <w:szCs w:val="21"/>
                <w:highlight w:val="none"/>
                <w:u w:val="none"/>
                <w:lang w:val="en-US" w:eastAsia="zh-CN" w:bidi="ar"/>
              </w:rPr>
              <w:instrText xml:space="preserve">INCLUDEPICTURE \d "C:\\Users\\s\\AppData\\Local\\Temp\\ksohtml\\clip_image2.png" \* MERGEFORMATINET </w:instrText>
            </w:r>
            <w:r>
              <w:rPr>
                <w:rFonts w:hint="eastAsia" w:ascii="宋体" w:hAnsi="宋体" w:eastAsia="宋体" w:cs="宋体"/>
                <w:i w:val="0"/>
                <w:color w:val="auto"/>
                <w:kern w:val="0"/>
                <w:sz w:val="21"/>
                <w:szCs w:val="21"/>
                <w:highlight w:val="none"/>
                <w:u w:val="none"/>
                <w:lang w:val="en-US" w:eastAsia="zh-CN" w:bidi="ar"/>
              </w:rPr>
              <w:fldChar w:fldCharType="separate"/>
            </w:r>
            <w:r>
              <w:rPr>
                <w:rFonts w:hint="eastAsia" w:ascii="宋体" w:hAnsi="宋体" w:eastAsia="宋体" w:cs="宋体"/>
                <w:i w:val="0"/>
                <w:color w:val="auto"/>
                <w:kern w:val="0"/>
                <w:sz w:val="21"/>
                <w:szCs w:val="21"/>
                <w:highlight w:val="none"/>
                <w:u w:val="none"/>
                <w:lang w:val="en-US" w:eastAsia="zh-CN" w:bidi="ar"/>
              </w:rPr>
              <w:drawing>
                <wp:inline distT="0" distB="0" distL="114300" distR="114300">
                  <wp:extent cx="9525" cy="9525"/>
                  <wp:effectExtent l="0" t="0" r="0" b="0"/>
                  <wp:docPr id="553" name="图片 9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 name="图片 98" descr="IMG_256"/>
                          <pic:cNvPicPr>
                            <a:picLocks noChangeAspect="1"/>
                          </pic:cNvPicPr>
                        </pic:nvPicPr>
                        <pic:blipFill>
                          <a:blip r:embed="rId13"/>
                          <a:stretch>
                            <a:fillRect/>
                          </a:stretch>
                        </pic:blipFill>
                        <pic:spPr>
                          <a:xfrm>
                            <a:off x="0" y="0"/>
                            <a:ext cx="9525" cy="9525"/>
                          </a:xfrm>
                          <a:prstGeom prst="rect">
                            <a:avLst/>
                          </a:prstGeom>
                          <a:noFill/>
                          <a:ln w="9525">
                            <a:noFill/>
                          </a:ln>
                        </pic:spPr>
                      </pic:pic>
                    </a:graphicData>
                  </a:graphic>
                </wp:inline>
              </w:drawing>
            </w:r>
            <w:r>
              <w:rPr>
                <w:rFonts w:hint="eastAsia" w:ascii="宋体" w:hAnsi="宋体" w:eastAsia="宋体" w:cs="宋体"/>
                <w:i w:val="0"/>
                <w:color w:val="auto"/>
                <w:kern w:val="0"/>
                <w:sz w:val="21"/>
                <w:szCs w:val="21"/>
                <w:highlight w:val="none"/>
                <w:u w:val="none"/>
                <w:lang w:val="en-US" w:eastAsia="zh-CN" w:bidi="ar"/>
              </w:rPr>
              <w:fldChar w:fldCharType="end"/>
            </w:r>
            <w:r>
              <w:rPr>
                <w:rFonts w:hint="eastAsia" w:ascii="宋体" w:hAnsi="宋体" w:eastAsia="宋体" w:cs="宋体"/>
                <w:i w:val="0"/>
                <w:color w:val="auto"/>
                <w:kern w:val="0"/>
                <w:sz w:val="21"/>
                <w:szCs w:val="21"/>
                <w:highlight w:val="none"/>
                <w:u w:val="none"/>
                <w:lang w:val="en-US" w:eastAsia="zh-CN" w:bidi="ar"/>
              </w:rPr>
              <w:t xml:space="preserve"> </w:t>
            </w:r>
            <w:r>
              <w:rPr>
                <w:rFonts w:hint="eastAsia" w:ascii="宋体" w:hAnsi="宋体" w:eastAsia="宋体" w:cs="宋体"/>
                <w:i w:val="0"/>
                <w:color w:val="auto"/>
                <w:kern w:val="0"/>
                <w:sz w:val="21"/>
                <w:szCs w:val="21"/>
                <w:highlight w:val="none"/>
                <w:u w:val="none"/>
                <w:lang w:val="en-US" w:eastAsia="zh-CN" w:bidi="ar"/>
              </w:rPr>
              <w:fldChar w:fldCharType="begin"/>
            </w:r>
            <w:r>
              <w:rPr>
                <w:rFonts w:hint="eastAsia" w:ascii="宋体" w:hAnsi="宋体" w:eastAsia="宋体" w:cs="宋体"/>
                <w:i w:val="0"/>
                <w:color w:val="auto"/>
                <w:kern w:val="0"/>
                <w:sz w:val="21"/>
                <w:szCs w:val="21"/>
                <w:highlight w:val="none"/>
                <w:u w:val="none"/>
                <w:lang w:val="en-US" w:eastAsia="zh-CN" w:bidi="ar"/>
              </w:rPr>
              <w:instrText xml:space="preserve">INCLUDEPICTURE \d "C:\\Users\\s\\AppData\\Local\\Temp\\ksohtml\\clip_image1153.png" \* MERGEFORMATINET </w:instrText>
            </w:r>
            <w:r>
              <w:rPr>
                <w:rFonts w:hint="eastAsia" w:ascii="宋体" w:hAnsi="宋体" w:eastAsia="宋体" w:cs="宋体"/>
                <w:i w:val="0"/>
                <w:color w:val="auto"/>
                <w:kern w:val="0"/>
                <w:sz w:val="21"/>
                <w:szCs w:val="21"/>
                <w:highlight w:val="none"/>
                <w:u w:val="none"/>
                <w:lang w:val="en-US" w:eastAsia="zh-CN" w:bidi="ar"/>
              </w:rPr>
              <w:fldChar w:fldCharType="separate"/>
            </w:r>
            <w:r>
              <w:rPr>
                <w:rFonts w:hint="eastAsia" w:ascii="宋体" w:hAnsi="宋体" w:eastAsia="宋体" w:cs="宋体"/>
                <w:i w:val="0"/>
                <w:color w:val="auto"/>
                <w:kern w:val="0"/>
                <w:sz w:val="21"/>
                <w:szCs w:val="21"/>
                <w:highlight w:val="none"/>
                <w:u w:val="none"/>
                <w:lang w:val="en-US" w:eastAsia="zh-CN" w:bidi="ar"/>
              </w:rPr>
              <w:drawing>
                <wp:inline distT="0" distB="0" distL="114300" distR="114300">
                  <wp:extent cx="9525" cy="9525"/>
                  <wp:effectExtent l="0" t="0" r="0" b="0"/>
                  <wp:docPr id="1254" name="图片 1249" descr="IMG_1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 name="图片 1249" descr="IMG_1407"/>
                          <pic:cNvPicPr>
                            <a:picLocks noChangeAspect="1"/>
                          </pic:cNvPicPr>
                        </pic:nvPicPr>
                        <pic:blipFill>
                          <a:blip r:embed="rId14"/>
                          <a:stretch>
                            <a:fillRect/>
                          </a:stretch>
                        </pic:blipFill>
                        <pic:spPr>
                          <a:xfrm>
                            <a:off x="0" y="0"/>
                            <a:ext cx="9525" cy="9525"/>
                          </a:xfrm>
                          <a:prstGeom prst="rect">
                            <a:avLst/>
                          </a:prstGeom>
                          <a:noFill/>
                          <a:ln w="9525">
                            <a:noFill/>
                          </a:ln>
                        </pic:spPr>
                      </pic:pic>
                    </a:graphicData>
                  </a:graphic>
                </wp:inline>
              </w:drawing>
            </w:r>
            <w:r>
              <w:rPr>
                <w:rFonts w:hint="eastAsia" w:ascii="宋体" w:hAnsi="宋体" w:eastAsia="宋体" w:cs="宋体"/>
                <w:i w:val="0"/>
                <w:color w:val="auto"/>
                <w:kern w:val="0"/>
                <w:sz w:val="21"/>
                <w:szCs w:val="21"/>
                <w:highlight w:val="none"/>
                <w:u w:val="none"/>
                <w:lang w:val="en-US" w:eastAsia="zh-CN" w:bidi="ar"/>
              </w:rPr>
              <w:fldChar w:fldCharType="end"/>
            </w:r>
          </w:p>
        </w:tc>
        <w:tc>
          <w:tcPr>
            <w:tcW w:w="775" w:type="dxa"/>
            <w:vAlign w:val="center"/>
          </w:tcPr>
          <w:p>
            <w:pPr>
              <w:keepNext w:val="0"/>
              <w:keepLines w:val="0"/>
              <w:widowControl/>
              <w:suppressLineNumbers w:val="0"/>
              <w:jc w:val="center"/>
              <w:textAlignment w:val="center"/>
              <w:rPr>
                <w:rFonts w:hint="default" w:ascii="宋体" w:hAnsi="宋体" w:eastAsia="宋体" w:cs="宋体"/>
                <w:b/>
                <w:bCs/>
                <w:color w:val="auto"/>
                <w:sz w:val="21"/>
                <w:szCs w:val="21"/>
                <w:highlight w:val="none"/>
                <w:vertAlign w:val="baseline"/>
                <w:lang w:val="en-US" w:eastAsia="zh-CN"/>
              </w:rPr>
            </w:pPr>
            <w:r>
              <w:rPr>
                <w:rFonts w:hint="eastAsia" w:ascii="宋体" w:hAnsi="宋体" w:cs="宋体"/>
                <w:i w:val="0"/>
                <w:color w:val="auto"/>
                <w:kern w:val="0"/>
                <w:sz w:val="21"/>
                <w:szCs w:val="21"/>
                <w:highlight w:val="none"/>
                <w:u w:val="none"/>
                <w:lang w:val="en-US" w:eastAsia="zh-CN" w:bidi="ar"/>
              </w:rPr>
              <w:t xml:space="preserve">个 </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5000</w:t>
            </w:r>
          </w:p>
        </w:tc>
        <w:tc>
          <w:tcPr>
            <w:tcW w:w="1013"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2</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RFID高频层架标签</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1、协议ISO18000-6C，860～960MHz (超高频)</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2、内部标签天线铝质蚀刻天线，PET 基底</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3、芯片类型: NXP ICODE SLIX</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4、TIDe96 位 EPC 码 USER:512 bits</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5、标签重量40g</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6、工作温度-30℃-75℃</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7、外壳材质塑胶</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8、安装方式标签粘贴于书架</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9、胶水中性环保胶水，符合教育局系统建设要求</w:t>
            </w:r>
          </w:p>
        </w:tc>
        <w:tc>
          <w:tcPr>
            <w:tcW w:w="7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cs="宋体"/>
                <w:i w:val="0"/>
                <w:color w:val="auto"/>
                <w:kern w:val="0"/>
                <w:sz w:val="21"/>
                <w:szCs w:val="21"/>
                <w:highlight w:val="none"/>
                <w:u w:val="none"/>
                <w:lang w:val="en-US" w:eastAsia="zh-CN" w:bidi="ar"/>
              </w:rPr>
              <w:t>个</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200</w:t>
            </w:r>
          </w:p>
        </w:tc>
        <w:tc>
          <w:tcPr>
            <w:tcW w:w="1013"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3</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自助借还书机</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1、RFID 标准ISO18000-6C，860～960MHz(超高频)</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2、要求系统通过SIP2接口与图书管理系统无缝连接，协调工作。</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3、系统有读者可选择的归还功能，系统可以被馆员设定为仅有借书功能，或仅有还书功能。</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4、自助借还系统设备支持同时多本借还书，支持读者查询，续借。</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5、借书时，可以配置读者必须选择一次借书数量。</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6、如后台系统支持，借还书、续借、用户查询时可以配置为要求用户输入密码。</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7、支持RFID借书证。</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8、具备安全设计，防止借阅过程中偷换、抽换书籍或一书登录多书借出的功能。</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9、操作完成即自动打印收据，提供多种收据格式供图书馆选择。  </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10、保护读者隐私，可选择设置显示读者姓名（借阅资料名称），或读者（借阅资料）条码号，读者已借资料（书名，条码号，等详细信息）、在借资料数量，欠费金额等非隐私信息。</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11、系统必须支持提供准确的工作统计，如交易数量、交易类型、成功与否的交易统计等</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12、工作频率：860～960MHz </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13、响应速度：≥8个标签/秒。</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14、阅读范围半径：确保0—300mm范围以内为有效阅读区域。</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15、通信接口：USB或RS232、RJ45。</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16、防冲突：一次至少可有效识读10个标签。</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主机：采用触摸式屏工业电脑，触控屏不得低与21寸，主机要求不得低与四核、4G内存、500G硬盘。</w:t>
            </w:r>
          </w:p>
        </w:tc>
        <w:tc>
          <w:tcPr>
            <w:tcW w:w="7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cs="宋体"/>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w:t>
            </w:r>
          </w:p>
        </w:tc>
        <w:tc>
          <w:tcPr>
            <w:tcW w:w="1013"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4</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升降式移动还书箱</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1、容量: 不小于100 本.</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2、层板自带承重进深设计，层板表演采用固制木板或高密度板。</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3、周转箱为自动升降式，自带滑轮，便于移动和更换</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4、承重框架材料: 钢制圆/方管、合成板、木板</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5、车轮：外缘材料为塑胶实现超级静音</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6、每个承重≥100kg</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7、滑轮可锁死，防止无意推动。</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整体设计不易攀爬，防止倾倒。</w:t>
            </w:r>
          </w:p>
        </w:tc>
        <w:tc>
          <w:tcPr>
            <w:tcW w:w="7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w:t>
            </w:r>
          </w:p>
        </w:tc>
        <w:tc>
          <w:tcPr>
            <w:tcW w:w="1013"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5</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标签转换费</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图书标签粘贴，数据转换工作</w:t>
            </w:r>
          </w:p>
        </w:tc>
        <w:tc>
          <w:tcPr>
            <w:tcW w:w="7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cs="宋体"/>
                <w:i w:val="0"/>
                <w:color w:val="auto"/>
                <w:kern w:val="0"/>
                <w:sz w:val="21"/>
                <w:szCs w:val="21"/>
                <w:highlight w:val="none"/>
                <w:u w:val="none"/>
                <w:lang w:val="en-US" w:eastAsia="zh-CN" w:bidi="ar"/>
              </w:rPr>
              <w:t>条</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5000</w:t>
            </w:r>
          </w:p>
        </w:tc>
        <w:tc>
          <w:tcPr>
            <w:tcW w:w="1013"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6</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RFID人脸图书借阅服务</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1、与数字校园人脸数据库实现无缝对接；</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 xml:space="preserve">2、实现基于人脸的图书借还管理服务 </w:t>
            </w:r>
          </w:p>
        </w:tc>
        <w:tc>
          <w:tcPr>
            <w:tcW w:w="7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套</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w:t>
            </w:r>
          </w:p>
        </w:tc>
        <w:tc>
          <w:tcPr>
            <w:tcW w:w="1013"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7</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图书馆安全门（2通道）</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1、RFID 标准ISO18000-6C，860～960MHz(超高频)</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2、可以非接触式的快速识别粘贴在流通文献上的RFID标签。</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3、可以对图书馆内粘贴有标签的印刷品、视听出版物、CD及DVD等流通文献进行安全扫描操作，不能损坏粘贴在流通文献中的磁性介质的文献。</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4、设备系统具有高侦测性能，要求无误报。</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5、具有音频和视觉报警信号，且信号源可设置，报警音量可调控。</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6、多通道安全门应具备单通道独立报警和提示功能。</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7、工作频率：860-960 MHz</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8、检测宽度：≥92cm</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9、响应时间：≥20个标签/秒</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10、通信接口：USB或RS232或网络接口</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11、门间距： 满足消防通道要求，并大于磁条门的间距 </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12、样式：采用亚克力外观，整体大气时尚</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13、报警功能：在对贴有标签的文献资料没有被借阅的情况下，出门时会有声音和灯光报警，符合教育局系统建设要求</w:t>
            </w:r>
          </w:p>
        </w:tc>
        <w:tc>
          <w:tcPr>
            <w:tcW w:w="7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cs="宋体"/>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w:t>
            </w:r>
          </w:p>
        </w:tc>
        <w:tc>
          <w:tcPr>
            <w:tcW w:w="1013"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8</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朗读亭</w:t>
            </w:r>
          </w:p>
        </w:tc>
        <w:tc>
          <w:tcPr>
            <w:tcW w:w="5975" w:type="dxa"/>
            <w:vAlign w:val="top"/>
          </w:tcPr>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1.额定电源：AC220V  50HZ</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2.额定功率：整机为1200W，包含空调和通风系统</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3.显示部分：主显示器32寸，分辨率1920*1080；触摸屏21.5寸，分辨率1920*1080</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4.为保证整个朗读亭的稳定性和使用安全，整机重量480KG</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软件功能：</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1、登陆方式：支持微信扫码登陆和账号登陆。</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2、作品格式：支持两种格式的录制：</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①文本朗读录音mp3格式；②影视配音mp4格式。</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3、搜索功能：</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①根据素材类型搜索（文本朗读、绘本配音、配音朗读）；</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②有热门搜索和最近搜索记录。</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4、音响调节：配备录音棚音响效果器；搭配电容式麦克风，采购人朗读时可以调节音响；</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5、快速朗读：</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①随机朗读：随机选取朗读素材，一键开启朗读；②自由朗读：采购人可选即兴发挥，脱稿朗读；亦可选择扫码上传想读的素材进行朗读。</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6、素材类型：支持三种或以上素材形式：</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①绘本配音：根据绘本的内容进行配音，采购人可自由搭配背景音乐；</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②朗读文本：以文本格式为主，朗读过程中，采购人可自由搭配背景音乐、背景场景；</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③视频配音；配音前可试看原视频以及他人的配音作品，配音过程中可自由切换原声模式、伴声模式；</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7、作品评分：采用智能语音测评系统，完成朗读后，系统会对采购人录制的音频进行详细的评估，并生成评分；</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专家范本：朗读名家示范音频，包含张家声（国家一级演员、配音演员）、方明（中央人民广播电台播音部主任，播音指导，中国播音学研究会会长）、陈醇（中国播音学研究会副会长，上海市广播电视学会理事及播音学研究委员会主任）、雅坤（中国广播电视学会主持人节目研究委员会副会长）、瞿弦和(中国煤矿文工团团长、中国戏剧家协会副主席)、张文星（中央人民广播电台主任播音员、节目制作人）等十位以上名家示范音频；</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9、素材资源数量</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包含红色经典：红色家书、宣言誓言、家国情怀诗歌、习近平新时代中国特色社会主义思想、感恩伟人等等；</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伟人诗词：毛泽东诗词、朱德诗词、陈毅诗词、周恩来诗词等等；</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习近平语录；</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散文类：名家散文、经典散文、优美散文、亲情散文、抒情散文、伤感散文、友情散文等；</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诗歌类：现代诗歌、哲理散文、世界诗、爱情诗、亲情诗等；</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古诗词类：诗经、唐诗、宋词等；中国方言等多体裁朗读等共计10万余种资源；并提供10万+资源电子目录。</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10、作者版权</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包括但不仅限于陶林、崔志昊、唐寅飞、邓文梁、姜颖、方达、郦波、朱文等</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11、其他资源</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唱歌资源30000+，包含歌手、歌曲等模块，营造了浓厚的朗读情景氛围</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12、朗读活动：</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①快速筛选：采购人可根据活动状态、活动热门等维度快速筛选朗读活动；</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②朗读活动搜索：输入关键字，从活动标题、活动内容搜索出相关的活动；</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③朗读活动数据统计：采购人可查看朗读活动的报名人数、活动发布的作品以及投票总数量；</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④报名参赛后，即可选择朗读素材，进行朗读，将作品提交参加朗读活动。</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13、测评功能：</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①包含普通话测评和英语测评，采用智能语音测评系统；</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②测评完成可以提供测评报告（包含准确度，完整度，流畅度，发音，声调等）；</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③英语测评提供试听音频，供读者练习，支持单句测评和篇章测评；</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④普通话测评包含字词模式，篇章模式，考试模式；考试模式严格按照考试流程和标准设定，支持单音节，多音节和篇章模式；测试完成后生成报告。</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14、本地文化：有视频和图文资讯形式，支持个性化定制专属的文化宣传（包含地方非遗文化建设、党史理论宣传、校园文化宣传）。</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15、个人中心：</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①我的作品包含草稿箱，已发布，参赛作品，采购人可以看到自己作品的提交情况；</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②我的素材处，展示采购人自行上传的素材；</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③采购人的播放记录可以通过最近播放看到；</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④已报名的活动会展示在我的活动处；</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16、故障申报：采购人使用朗读亭过程中，出现故障时，可上传故障申报，选择不同的故障类型以及填写具体问题。</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移动端小程序平台：</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1、采购人可在小程序平台进行朗读，对其作品进行管理与分享；</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2、制作作品留声卡，可将作品分享到朋友圈和好友；</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3、制作留声卡时，系统自动生成留声卡；采购人可自主编辑留声卡文本内容；采购人可自由选择系统图片，也可自定义上传图片；</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4、采购人可互相关注，查看对方个人主页，聆听其作品；</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5、采购人可查看热门作品、最新作品，搜索作品名称、朗读者昵称；</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6、在朗读小程序上，采购人可以参加朗读亭上的活动，有同城活动展示，以及朗读亭的位置显示；</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7.支持自由朗读形式，采购人可以上传素材进行朗读和即兴文本的自由朗读。</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朗读亭管理后台：</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1、分级管理：后台管理员可管理多台朗读亭，管理设备的参数和资源数据。</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2、设备管理：后台可查看设备对应的名称、设备过期时间、使用状态以及设备管理员等参数；支持管理员自定义修改朗读亭操作界面左上角logo名称。</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3、登录管理：</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支持管理员自定义设置朗读者的单次登陆时长及朗读者的使用频率，可根据采购人需求设置；</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4、朗读活动管理：</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①新增发布活动、查找活动、编辑活动、启用停用活动、查看作品；</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②朗读活动列表管理，后台管理员可对活动内容进行编辑，且可单个或批量删除朗读活动；</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③朗读活动数据统计：后台管理员可在后台查看朗读活动的报名人数、总投票数量；</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④后台管理员可直接查看报名采购人列表以及采购人个人信息，且可以导出参与活动采购人表格。</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5、朗读作品管理：</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①后台管理员可对不同类型的朗读作品进行批量下载、批量删除等操作；</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②后台管理员通过试听朗读作品音频对作品进行审核；</w:t>
            </w:r>
          </w:p>
          <w:p>
            <w:pPr>
              <w:keepNext w:val="0"/>
              <w:keepLines w:val="0"/>
              <w:widowControl/>
              <w:suppressLineNumbers w:val="0"/>
              <w:jc w:val="left"/>
              <w:textAlignment w:val="top"/>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③查询朗读作品：后台管理员可根据时间、素材类型、审核状态等信息对朗读作品进行排序、筛选等操作。</w:t>
            </w:r>
          </w:p>
        </w:tc>
        <w:tc>
          <w:tcPr>
            <w:tcW w:w="7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w:t>
            </w:r>
          </w:p>
        </w:tc>
        <w:tc>
          <w:tcPr>
            <w:tcW w:w="1013"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p>
        </w:tc>
      </w:tr>
    </w:tbl>
    <w:p>
      <w:pP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w:t>
      </w:r>
      <w:r>
        <w:rPr>
          <w:rFonts w:hint="eastAsia" w:ascii="宋体" w:hAnsi="宋体" w:cs="宋体"/>
          <w:b/>
          <w:bCs/>
          <w:color w:val="auto"/>
          <w:sz w:val="21"/>
          <w:szCs w:val="21"/>
          <w:highlight w:val="none"/>
          <w:lang w:val="en-US" w:eastAsia="zh-CN"/>
        </w:rPr>
        <w:t>22</w:t>
      </w:r>
      <w:r>
        <w:rPr>
          <w:rFonts w:hint="eastAsia" w:ascii="宋体" w:hAnsi="宋体" w:eastAsia="宋体" w:cs="宋体"/>
          <w:b/>
          <w:bCs/>
          <w:color w:val="auto"/>
          <w:sz w:val="21"/>
          <w:szCs w:val="21"/>
          <w:highlight w:val="none"/>
          <w:lang w:val="en-US" w:eastAsia="zh-CN"/>
        </w:rPr>
        <w:t xml:space="preserve">  心理辅导教室</w:t>
      </w:r>
    </w:p>
    <w:tbl>
      <w:tblPr>
        <w:tblStyle w:val="99"/>
        <w:tblW w:w="105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1138"/>
        <w:gridCol w:w="5975"/>
        <w:gridCol w:w="775"/>
        <w:gridCol w:w="662"/>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序号</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项目名称</w:t>
            </w:r>
          </w:p>
        </w:tc>
        <w:tc>
          <w:tcPr>
            <w:tcW w:w="59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技术参数</w:t>
            </w:r>
          </w:p>
        </w:tc>
        <w:tc>
          <w:tcPr>
            <w:tcW w:w="7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单位</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数量</w:t>
            </w:r>
          </w:p>
        </w:tc>
        <w:tc>
          <w:tcPr>
            <w:tcW w:w="1013"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身心反馈放松训练系统</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1、规格及材质：1) 放松沙发：1430*780*1040mm，外层皮包裹，电动控制系统，手持线控，内置蓝牙音箱。</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 生理指标采集装置：包括耳夹式生物反馈传感器、专用数字信息采集器一套。</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 产品概述：</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以生物反馈技术、动态量评估、音乐放松训练、冥想及肌肉辅助疗法五项技术，按照“发现、评估、调节、训练”四大关键流程，帮助用户放松心情，消除紧张、焦虑、抑郁等负面情绪，进而自主学习情绪调节的方法，并通过生物反馈训练，使用户掌握情绪调节的方法，达到积极应对的高效状态，成为情绪的自助者。可作为心理咨询与治疗的效果评估手段。</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3、主要功能及参数</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 实时采集用户的脉搏、心率、HRV等生理指标，呈现心率波形图、HRV的时域参数、频谱图、协调分数、当前协调状态和协调状态比例等，为放松效果、情绪调节水平等提供客观的评估依据。</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 包含专注水平及焦虑水平两项专业评估工具，以及状态测评小问卷；</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 内含丰富的放松音乐库，包括沉思冥想、放松催眠、肌肉放松、积极心态、心理减压、益智健脑等六大功能类别；在相应类别下，用户可根据个人爱好选择专业音乐、东方音乐或西方音乐，并可添加环境背景音乐；</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 运用四项功能性音乐场景，如四季如歌、桃花源记、世界名画等，将大自然、国学文化及艺术元素与音乐相结合，同时，加载真人语音指导的冥想与肌肉放松训练模式。</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 含五款生物反馈游戏训练方案（菩提树、射箭、冒险岛、心灵手巧、魔力速配），并分别设置高中低三种模式。</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 采用真人视频教学的方式，分别以意念锁定、呼吸谐振、情感转移分步讲解，指导用户学习放松身心的方法。</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 自动生成生理监测报告、放松评估报告、生物反馈训练报告等三大报告，结合脉搏、呼吸、心率、HRV等参数，对HRV的实时曲线进行时域和频域的数据处理，给出心率变异参数的变化曲线；除生理指标说明外，放松报告还将给出本次放松训练的评估和建议报告；生物反馈训练报告则以三位计数器分别统计\记录训练课程中心所含五项训练课程的历史完成情况。</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 档案管理规范，对于个体的基本信息、放松记录、生物反馈训练记录等分类管理，可搜索、查询。</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9) 具有二次开发功能：心理老师可以自配或录制并导入特色的音乐放松环境、背景、指导语等。</w:t>
            </w:r>
          </w:p>
        </w:tc>
        <w:tc>
          <w:tcPr>
            <w:tcW w:w="7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套</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w:t>
            </w:r>
          </w:p>
        </w:tc>
        <w:tc>
          <w:tcPr>
            <w:tcW w:w="1013"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p>
        </w:tc>
      </w:tr>
    </w:tbl>
    <w:p>
      <w:pP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2.2</w:t>
      </w: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val="en-US" w:eastAsia="zh-CN"/>
        </w:rPr>
        <w:t xml:space="preserve">  精准教学、智慧课堂</w:t>
      </w:r>
    </w:p>
    <w:tbl>
      <w:tblPr>
        <w:tblStyle w:val="99"/>
        <w:tblW w:w="105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1138"/>
        <w:gridCol w:w="5975"/>
        <w:gridCol w:w="775"/>
        <w:gridCol w:w="662"/>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序号</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项目名称</w:t>
            </w:r>
          </w:p>
        </w:tc>
        <w:tc>
          <w:tcPr>
            <w:tcW w:w="59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技术参数</w:t>
            </w:r>
          </w:p>
        </w:tc>
        <w:tc>
          <w:tcPr>
            <w:tcW w:w="7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单位</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数量</w:t>
            </w:r>
          </w:p>
        </w:tc>
        <w:tc>
          <w:tcPr>
            <w:tcW w:w="1013"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大数据采集</w:t>
            </w:r>
          </w:p>
        </w:tc>
        <w:tc>
          <w:tcPr>
            <w:tcW w:w="5975"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练习数据采集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1.支持教师线上布置同步教辅作业，学生进行同步训练；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2.支持客观题线上作答自动批改，主观题学生拍照上传后老师按人批改或按题目逐题批改。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网阅数据采集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1.需支持学校周考、期中、期末考试采集；支持考试试卷上传；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2.需支持智能排考场，对应学生相应的准考证号，可导出excel表格；</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3.使用自定义考号考试，需支持在创建考试时进行自定义考号的校验，批量导出未设置自定义考号的学生；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4.需支持按照角色、科目、部分老师选择屏蔽或发布成绩；</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5.需支持考试成绩补录，支持小题分补录；支持正常扫描考试补录部分学生；6.需支持自定义多选题得分规则；</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7.需支持多种阅卷任务分配方式，包括（1）按照任务总量平均分配；（2）自定义教师阅卷任务量；（3）固定教师阅卷任务量；支持阅卷过程中灵活调整老师任务量；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8.需支持批量设置阅卷老师、仲裁老师和题组长；需支持快速将选中的阅卷老师分配给所有题；</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9.系统需支持新建空白答题卡、题库制卡、三方制卡、导入word试卷制卡；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10.需支持扫错学科自动检测与提示；支持折角自动检测与提示；</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11.需支持直接选定班级或导入指定名单进行扫描识别；支持同一场考试每一个学科设置有不同的参加考试的学生名单；</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12.需支持正反颠倒、上下颠倒及多张答题卡序号混乱情形的扫描识别及结果与图像的自动纠正；</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需支持答题卡扫描时针对学生填涂的考号、客观题、选做题、AB卷信息存在错填、误填、漏填的信息具有自动的检测与提示功能；</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13.需支持云端阅卷，支持标记优秀卷、典型错误卷、批注；支持键盘给分、鼠标点击打分板给分，并保留阅卷痕迹；需支持阅卷老师在阅卷过程中，设置评分步长；支持提交问题卷；</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14.需支持按班级进行阅卷；</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15.需支持提前统计客观题得分数据，包括最高分、最低分、平均分和得分分布；</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16.需支持增加巡考员角色，支持为巡考员设置巡考学科；支持巡考员对阅卷进度、阅卷质量进行监管；</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17需支持科组长通过移动端查看阅卷进度、客观题得分分布和老师阅卷质量；支持在移动端处理问题卷；</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智能评分</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1.需支持英语作文答题卡扫描形式的自动批改；</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2.需支持英语作文自动评分及英语作文人机双评，可导出英语作文人机对比报告；</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3.需支持英语填空题自动评分；</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4.需支持数学填空题自动评分。</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需提供班级的英语作文智能批改报告，包括英语作文成绩分布情况，诊断作文中书写不规范、短语错误、动词错误常见错误类型，统计分析学生犯错频次并显示学生具体的错误信息，导出班级作文批改分析报告；提供每个学生的英语作文智能批改报告，包含作文分数、作文批改结果；</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手阅数据采集</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1.需支持数学学科导入word自动预测知识点；支持针对试题的答案、解析、知识点进行编辑；</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2.需支持和试卷题干全部合一的答题卡、纯答题卡形式和部分带题干的答题卡三种形式；</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答题卡需支持准考证号、短学号、自定义考号（学校自定义4~12位考号）填涂，以及条形码、手写考号多种识别方式；</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3.需支持卡卷合一的答题卡客观题题干和选项填涂区域左右结构布局；</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4.需支持纯作答的答题卡、卡卷合一的答题卡填空题作答区即批改区，不限定在指定框内进行批改；</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5.教师无需提前创建考试，系统支持学生答题卡即扫即创建扫描记录，作业扫描结束后即可查看分析报告；</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6.需支持无需提前创建统一考试的前提下，不同班级布置同一份练习，由不同教师账号进行扫描，系统自动生成一份校级报告；</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7.需支持在同一场考试场景下，部分学科使用先扫描后阅卷方式和其他学科使用先阅卷后扫描方式的自由组合，并能够生成考试的总体评价分析报告；</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年级/3年</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3</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2</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基础数据分析</w:t>
            </w:r>
          </w:p>
        </w:tc>
        <w:tc>
          <w:tcPr>
            <w:tcW w:w="5975"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练习报告</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1.支持教师查看学生作业提交情况；</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2.支持教师查看学生答题情况，包含得分及用时等；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3.支持教师查看学生知识点掌握情况。</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联考报告</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1.报告除分数分析、学业等级分布、分数分布、卷面答题情况等指标；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2.支持通过网页浏览报告；</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3.支持一键导出EXCEL版和PDF版报告。</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4.联考分析报告需支持word、excel形式导出。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校级报告</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1.提供新高考区域选科报告或物理、历史方向报告；</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2.提供多学科报告、单学科报告；</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3.支持通过网页浏览报告；支持一键导出EXCEL版报告。班级报告</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1.提供多学科报告、单学科报告、试卷分析、多维分析报告等；</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2.支持通过网阅浏览报告；</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3.支持一键导出EXCEL版报告；</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4.提供精准讲评功能，支持按得分率和答题情况对试题进行重新排序；</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5.提供举一反三拓展资源</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6.初中的数学学科需支持基于试题原题的相似题资源自动推送；</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7.需支持移动端的试卷讲评工具：按照题号顺序或学生作答情况对试题进行讲解排序，支持单题学生作答情况分段统计、错题名单及学生原卷调取、典型试卷调取。</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学生报告</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1.支持学生查看全科的学情报告，包含成绩等级、历次成绩变化、各学科发挥水平及学科诊断的情况；</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2.支持查看单科的学情报告，包含成绩等级、历次成绩变化情况、作答原卷。</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3.支持查看单次考试所涉及的知识点、各知识点权重及学生掌握程度；</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支持查看单科考试的错题情况及错题解析，提供学生错题题号、题干、学生答案、正确答案、知识点以及班级平均正确率信息。</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年级/3年</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3</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精准教学</w:t>
            </w:r>
          </w:p>
        </w:tc>
        <w:tc>
          <w:tcPr>
            <w:tcW w:w="5975"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学科学情</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1.需支持查看年级薄弱知识点，按时间和章节两个维度查看薄弱知识点及对应的年级掌握率、区域掌握率、年级未掌握班级数、年级和区域考频；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2.需支持查看班级薄弱知识点，按时间和章节两个维度查看薄弱知识点及薄弱知识点对应的班级掌握率、年级掌握率、区域掌握率、班级未掌握人数，本班、年级和区域考频；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3.需支持查看班级共性错题，查看班级错题数、平均得分率，支持筛选考试、得分率、题型维度筛选班级共性错题；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4.需支持班级和年级薄弱知识点excel格式导出；支持班级共性错题word格式导出；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需支持根据班级薄弱知识点进行薄弱项训练，支持手动选题和智能组题两种形式；智能组题形式支持教师选择薄弱知识点系统自动推荐试题进行训练，手动选题形式支持选择薄弱知识点对应的试题进行薄弱项训练；</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需支持根据班级错题进行错题强化训练，其中初中数学学科根据班级错题提供错题拓展资源，支持智能组题和自选错题两种形式；其中智能选题需支持按照错题得分率范围筛选错题，提供错题重做和错题拓展两种练习方式，支持教师自定义试题题量；自选错题需支持教师自主添加班级共性错题，提供错题重做、错题拓展以及错题重做+拓展的三种练习方式；</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学生学情</w:t>
            </w:r>
          </w:p>
          <w:p>
            <w:pPr>
              <w:keepNext w:val="0"/>
              <w:keepLines w:val="0"/>
              <w:widowControl/>
              <w:numPr>
                <w:ilvl w:val="0"/>
                <w:numId w:val="6"/>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需支持查看每个学生的学业档案；支持系统自动甄别临界生、波动生、下降生、进步生、稳定生并进行标记；</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2.需提供每个学生的知识点掌握情况，支持多学生多知识点间对比，支持以excel格式导出；</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3.需支持自动收录每个学生的单科学业成绩，覆盖成绩趋势图、知识点掌握情况；需支持自动收录学生错题，支持以word格式导出；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4.需提供全科学生学情分析，包括学业整体水平、成绩趋势图、学科均衡度分析；</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5.需支持单个学生历次测验成绩、班级历次测验成绩、班级知识点历年掌握率以excel形式导出；</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上届学情</w:t>
            </w:r>
          </w:p>
          <w:p>
            <w:pPr>
              <w:keepNext w:val="0"/>
              <w:keepLines w:val="0"/>
              <w:widowControl/>
              <w:numPr>
                <w:ilvl w:val="0"/>
                <w:numId w:val="7"/>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需支持授课教师对应教材章节查看上届学生学情，包括上届学生薄弱知识点情况，及对应知识点关联错题，支持上届学情以PPT、word两种格式导出；</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需支持根据上届薄弱知识点关联错题进行错题强化训练，其中初中数学学科根据班级错题提供错题拓展资源，支持智能组题和自选错题两种形式；其中智能选题需支持按照错题收录时间、得分率范围筛选错题，提供错题重做和错题拓展两种练习方式，支持教师自定义试题题量；自选错题需支持教师自主添加班级共性错题，提供错题重做、错题拓展以及错题重做+错题拓展的三种练习方式；</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学业分析</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1.需提供学业成绩发展趋势，支持从考试类型、考试列表、标准分、得分率、优秀率、及格率、科目指标维度筛选查看，支持筛选本学年、历年的学业成绩发展趋势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2.需提供本学年学科均衡性分析，支持以雷达图形式展示本学年学科均衡发展情况，提供对应班级的优势学科、劣势学科情况；</w:t>
            </w:r>
          </w:p>
          <w:p>
            <w:pPr>
              <w:keepNext w:val="0"/>
              <w:keepLines w:val="0"/>
              <w:widowControl/>
              <w:suppressLineNumbers w:val="0"/>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3.需提供各学科学业分层对比分析，从优秀、良好、合格、待合格维度对各班级学生分析；</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年级/3年</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4</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教学管理</w:t>
            </w:r>
          </w:p>
        </w:tc>
        <w:tc>
          <w:tcPr>
            <w:tcW w:w="5975"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教学监管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1.提供年级测验、作业及校本资源建设情况分析；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2.提供班级活跃指数及教师活跃指数分析。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增量评价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1.提供学业进步、两极均衡、层级变化、优等生培养、后进生脱困五个维度增量评价报告</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2提供自定义增量评价报告五个维度权重分配，计算增量报告总评分。</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年级/3年</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5</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精准题库</w:t>
            </w:r>
          </w:p>
        </w:tc>
        <w:tc>
          <w:tcPr>
            <w:tcW w:w="5975"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需提供不少于600万道中学试题资源，包括初中语文、数学、英语、物理、化学、生物、政治、历史、地理、道德与法治、历史与社会、科学、信息技术学科；试题提供组卷次数、作答人数、平均得分率、解析、考情信息，支持教师对试题进行纠错与收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2.题库需包含通用资源库、校本资源库、教师个人资源库。支持校本卷库自动收录使用数据采集的本校考试试卷；支持教师上传word试卷或在线新建试题；支持教师共享试卷及试题；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3.需支持学校建立本校个性化试题试卷分类，进行本校资源建设；支持教师个人自建试卷或试题自定义分类；</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年级/3年</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6</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精选题库</w:t>
            </w:r>
          </w:p>
        </w:tc>
        <w:tc>
          <w:tcPr>
            <w:tcW w:w="5975"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1.需支持按时间、得分率范围筛选班级共性错题和班级薄弱点，系统自动推荐相关训练题精准组卷，进行错题再练和薄弱点专项训练拓展性训练。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2.需支持按试卷适用年级、年份、题型题量、试卷名称筛选试卷；，支持按知识点、章节维度筛选试题进行组卷；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3.需支持初中数学学科从题库中任意选择一张试卷作为模板，沿用原卷的知识点、题型、分数、难度结构维度重新匹配试题，模拟生成一份新试卷；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4.需支持初中数学学科提供细目表组卷方式，支持设置试卷名称、试卷要求、试卷题型题量，支持设置知识点、难度、分值维度的细目表明细，系统自动生成细目表组卷试卷；</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校/3年</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7</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智能练习</w:t>
            </w:r>
          </w:p>
        </w:tc>
        <w:tc>
          <w:tcPr>
            <w:tcW w:w="5975"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同步课时练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需支持教师使用Web端或移动端通过题库选题完成布置练习、批改练习的功能，web端支持教师以word格式下载已布置的练习原题；需支持学生通过移动端完成并提交练习、查阅批改详情；支持作答数据、批改数据云端同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2.需支持学生接收教师发布的基于教材章节发布的课前预习和课后练习。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自定义出题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1.需支持教师通过上传图片、Word、PPT、PDF、Excel文件的形式自由发布练习任务，支持添加微课学习资料，设置是否进行错题统计。学生通过客户端上传练习作答记录后，可以查看答案附件进行自批自改；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2.需支持教师在线编辑答题卡，答题卡支持题型包括选择题、填空题、判断题、简答题。</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英语听说专练</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1.需支持教师根据教材章节布置英语单词和英语课文听说练习，其中单词练习涵盖单词跟读、听音选词、拼写、中译英、英译中五种练习形式；课文涵盖课文朗读、情景对话两种形式；</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2.需支持系统自动对学生的语音进行打分评价，并输出关于准确度、流畅度、完整度的评价分析。</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英语智作文</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需支持教师通过话题、书面表达形式、来源筛选作文题目，一键布置英语作文练习；需支持学生线下纸笔作答拍照上传，系统自动批改并智能打分，自动分析作文中的优点和不足，及时反馈结果并进行标注，辅助教学活动开展。需支持系统自动生成智能批改报告，包括学生个人报告和班级典型错误报告。个人报告需包含得分、智能点评结果、作文内容、批改详情。</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中文朗读作业</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需支持教师布置中文朗读作业，支持自定义输入字词、文章内容进行评测。需支持系统自动对学生提交的语音进行评测，字词将从合格、不合格、优秀、良好方面进行评价分析，文章将从完整度、流畅度、准确度进行评价分析。</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年级/3年</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8</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基础信息管理</w:t>
            </w:r>
          </w:p>
        </w:tc>
        <w:tc>
          <w:tcPr>
            <w:tcW w:w="5975"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用户信息管理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1.支持学生账号、学籍号、家长手机号、学生班级信息一键导入。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班级信息管理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1.支持批量导入班级和自定义班级名称，支持学生的转班、升年级、留级。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角色权限管理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1.支持学校管理员、子管理员、校长、年级主任、学科组长、班主任、学科教师等多角色的权限管理。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成绩管理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1.支持按学段、学科进行成绩设置，支持对学生进行标签设置。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分层走班</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1.支持新高考模式下的班级分层走班设置，以便于学科分层教学。</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年级/3年</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9</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资源服务</w:t>
            </w:r>
          </w:p>
        </w:tc>
        <w:tc>
          <w:tcPr>
            <w:tcW w:w="5975"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资源加工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1.支持每年为学校提供4次大型考试（期中期末考试）全学科试卷加工服务，包括知识点、题型、难度、答案的标注。</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年级/3年</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10</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智慧课堂云服务平台</w:t>
            </w:r>
          </w:p>
        </w:tc>
        <w:tc>
          <w:tcPr>
            <w:tcW w:w="5975"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体系化课程资源系统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1、教材电子化：需支持初中学段学科纸质教材电子化，其中语文、英语、音乐学科支持点读功能，为每个教师账号提供至少10本电子课本下载权限。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需按照教材章节目录提供配套同步教学资源，需涵盖初中学段主流教材，提供不少于6个学科同步教学资源，包括：语文、数学、英语、科学、道德与法治等；教学资源需支持按照教学使用场景筛选，包括但不限于教学设计、知识讲解、拓展素材、测试训练；资源类型包括但不限于PPT素材、文本、图片、音频、视频、交互动画。</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3、资源储存：校本资源库可用于存储本校上传的各类教学资源，包括同步教材的教学资源、学校自定义校本课程资源、教师个人的教学资源；资源格式支持文本、表格、演示胶片、图片、视频及音频。</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4、资源使用：需支持教师按目录检索条件查找资源，支持对资源筛选排序，支持对校本资源进行预览、保存至个人网盘及导出功能。</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5、资源分享：需支持本校教师将个人教育教学资源分享至校本资源库，需支持教师将校本资源分享给其他教师。</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6、个人资源使用：支持单个资源或文件夹整体导出至本地电脑，并支持用户进行资源及文件夹的重命名、移动、删除操作。需支持教师对个人资源进行分享，可分享给教师或分享至校本资源库。</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智能教学系统（只含线上作业）</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1、备授课同步：需支持通过云端将备课的资源同步至电子课本对应章节目录，无需拷贝。需支持新建自定义备课本，满足非同步教学场景下的备授课资源存储、同步需求。</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2、备课资源：需支持从云端、校本资源库、个人资源库多途径获取资源。</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3、添加本地资源：需支持教师备课过程中从本地添加教学资源，资源格式支持文本、表格、演示胶片、图片、视频及音频。</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4、课件工具：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1）需支持教师在备课中新建课件。</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制作课件时，需支持使用文本、形状、思维导图等功能；需支持上传本地的音视频、图片文件；需支持插入与课程相关的云端资源；需支持插入教学互动活动，如分类、连线、选词填空；需支持使用学科工具，如字词听写、朗读测评、立体几何等；需支持在课件中插入作答练习。</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3）制作课件时，需支持基于当前课程内容自动推荐相关的教学课件和素材资源。</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5、教师个人备课本：需支持教师在备课页面存储与管理个人新建课件、课堂活动内容；需支持按照章节目录存储备课资源。</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6、备课资源管理：需支持对备课资源进行导出、保存至个人资料库、分享至校本、删除及找回已删除备课资源。</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7、智能推送资源：需支持根据班级学生作业学情，智能推荐数学学科备授课资源，资源需支持加入到个人备课本。</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需支持多种授课形式：需支持电子课本、课件、电子白板、作业讲评多种授课形式，满足教学新授课、复习课、讲评课的多样化需求。2、电子课本教学：需支持教师下载电子课本，需支持在电子课本中插入备课资源。需支持对电子课本进行画笔标注、文本批注、聚焦、翻页操作。</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8、课件教学：</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（1）需支持课件播放预览，包括使用备课准备的资源、练习题、教学互动活动、学科工具，同时，需支持选择切换页面播放；</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（2）需支持教师教学过程中对课件进行写画；</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（3）需支持授课时调用学科工具辅助授课，包括划词搜索、中文识别、立体几何、英文识别等；</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9、电子白板教学：</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电子白板功能需提供书写工具，以实现教学过程中选择内容、书写、擦除等操作；支持多人书写功能，不低于20条同步书写轨迹；（2）背景模板：需支持≥10个白板主题模板，便于学科教学，包括：五线谱、篮球场、点阵格、足球场等。</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（3）白板操作：白板页面操作需支持放大、缩小、移动、添加页、切换位置、保存和分享等操作。</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（4）语文学科工具：提供语文学科工具，包括田字格、米字格、拼音格。</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（5）数学学科工具</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几何工具：需支持多种平面几何和立体几何工具，平面几何需支持线、角、圆等平面工具，需支持教师对平面几何提供多种操作，支持调节大小、调节角度调整和调节颜色等。绘制平面图形需支持教师设置任意中心点进行旋转，辅助学生理解。需支持教师在原图形绘≥6种辅助线类型，需支持绘制垂线、角平分线、中位线；立体几何需提供立方体、圆柱体、多棱柱、多棱锥等多种立体几何工具。需支持立体几何图形的三视图、展开、收起、构图、堆积等常见教学操作。</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立体图形识别：需支持教师手动绘制≥6种立体几何图形，包括：立方体、圆柱体、多棱柱、多棱锥等，绘制后可识别为印刷体。支持多种立体图形工具操作，包括：立方体图形的三视图、展开、收起、构图、堆积等常见教学操作；</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函数工具：需支持≥6种函数工具类型，如幂函数、指数函数、对数函数、三角函数基本等；需支持直接将手写函数表达式转写为标准印刷体，点击生成函数图像；需支持手动输入函数表达式，可生成相对应的函数图像，图形可随输入的函数表达式调整。</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4）尺规工具：需支持≥4种常见尺规工具，包括：量角器、圆规等，需支持调整测量工具大小尺寸；需支持将测量工具旋转任意角度，并可直接输入指定旋转角度快速实现旋转。</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（6）英语学科工具：需提供英语学科工具，包括：四线格、字母卡片；</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需提供物理电路图，涵盖初中教材电路实验，≥10种电路实验案例如伏安法测电阻、欧姆定律应用、动态电路分析等；≥10种元件如二极管、滑动变阻器、热敏电阻、灵敏电流计等，教师可结合实际教学场景自行组装；以上实验操作支持≥5种功能操作，满足虚拟实验应用。</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（8）化学学科工具：1）需提供≥20种化学仪器工具，支持反应类、固定和加持类、加热类、分离类、计量类、存取类等仪器调用；</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2）化学识别及推荐：需支持将教师手写的化学方程式自动识别为标准印刷体，需支持初中学段化学式智能推荐功能，可根据原生笔迹或印刷体快速调取对应的化学元素、化学实验、微课讲解等资源。</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10、微课录课：</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1）需支持对教师授课设备屏幕进行录制，形成微课，并支持分享到班级学生、校本微课库，需支持通过二维码分享微课。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2）个人微课中心：需支持对微课内容（PPT、电子课本、网页、文档）进行关键帧提取，需支持通过关键帧定位微课内容；需支持增减关键帧；需支持微课分类管理和按微课名搜索。</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智慧作业系统</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1、需支持教师通过题库布置作业；需支持学生线上提交练习、查阅批改详情；学生作答数据、教师批改数据需支持云端同步，实时更新。</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2、系统需支持选择题自动批改，主观题学生拍照上传后，需支持教师按学生批改或按题批改，需支持教师手动批改，键盘给分。</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3、需支持教师设置学生自己批改作业或学生间互批作业。</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需支持同步作业数据统计，包括：提交情况、平均得分率、题目概览、知识点掌握程度分析；需支持教师按题目作答情况进行讲评，并按题目发送微课；需支持教师查看每个学生的作答情况，包括学生个人得分率、个人客观题得分率、个人主观题得分率。</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5、需支持教师通过上传图片、Word、PPT、PDF、Excel文件的形式自由发布练习任务，支持添加微课等学习资料。需支持学生线上提交作答记录、查看教师上传的答案附件。</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6、需支持教师在线编辑答题卡，答题卡支持题型包括选择题、填空题、判断题、简答题。</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7、作业报告需包括作业完成概览、题目讲评和学生个人完成详情。</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教师数据分析系统</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1、需支持统计教师使用应用系统产生的数据排行榜，包括：在线备课时长、授课次数、表扬次数、布置练习次数，需支持按照学科筛选各学科教师数据分析。</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2、需支持学校管理者查看日常作业的教师布置与学生完成情况，包括布置作业次数、作业平均提交率、作业平均得分率、具体作业明细及单次作业报告。</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3、需支持按时间、年级和学科查询教师使用智慧课堂的授课记录。</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4、支持按照课程时间查询教师使用智课的备课记录和备课时长。</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5、支持教师查看布置作业的汇总和明细数据，包括布置作业次数、平均提交率、平均批改率、平均完成率和平均得分率。</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年级/3年</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11</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试卷阅卷器</w:t>
            </w:r>
          </w:p>
        </w:tc>
        <w:tc>
          <w:tcPr>
            <w:tcW w:w="5975"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1.扫描技术：CIS(CMOS) ;灰度输出位深为 256 级（8 位）；彩色采集位深为 24 位 (8 x 3)；彩色输出位深为 24 位 (8 x 3)。</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2.光源：LED</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3.扫描类型：U型通道；支持自动进纸扫描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4.接口：USB2.0或以上</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5.扫描速度：150 dpi 和 200dpi 黑白、灰度和彩色模式下都可达到每分钟80页/160个影像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6.分辨率输出：支持100 / 150 / 200 / 300 / 400 / 600dpi的图像输出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7.纸张尺寸检测：支持自动纸张尺寸检测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8.ADF容量：≥200张 70g/m2纸张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9.输出文件格式：支持彩色/黑白/灰度情况的单面和双面出图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10.输出文件格式为PDF、BMP、JPEG、TIFF、PNG等常用图像格式</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6</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12</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AI智能鼠标</w:t>
            </w:r>
          </w:p>
        </w:tc>
        <w:tc>
          <w:tcPr>
            <w:tcW w:w="5975"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AI智能鼠标:语音打字、语音翻译、智能截图、智能搜索、智能记录</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只</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50</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bl>
    <w:p>
      <w:pPr>
        <w:pStyle w:val="10"/>
        <w:numPr>
          <w:ilvl w:val="0"/>
          <w:numId w:val="0"/>
        </w:numPr>
        <w:spacing w:line="360" w:lineRule="auto"/>
        <w:ind w:leftChars="0"/>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三、核心产品：</w:t>
      </w:r>
    </w:p>
    <w:p>
      <w:pPr>
        <w:pStyle w:val="10"/>
        <w:numPr>
          <w:ilvl w:val="0"/>
          <w:numId w:val="0"/>
        </w:numPr>
        <w:spacing w:line="360" w:lineRule="auto"/>
        <w:ind w:leftChars="0"/>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kern w:val="0"/>
          <w:sz w:val="28"/>
          <w:szCs w:val="28"/>
          <w:highlight w:val="none"/>
          <w:lang w:val="en-US" w:eastAsia="zh-CN"/>
        </w:rPr>
        <w:t>1.</w:t>
      </w:r>
      <w:r>
        <w:rPr>
          <w:rFonts w:hint="eastAsia" w:ascii="宋体" w:hAnsi="宋体" w:eastAsia="宋体" w:cs="宋体"/>
          <w:b/>
          <w:bCs/>
          <w:color w:val="auto"/>
          <w:kern w:val="0"/>
          <w:sz w:val="28"/>
          <w:szCs w:val="28"/>
          <w:highlight w:val="none"/>
          <w:lang w:eastAsia="zh-CN"/>
        </w:rPr>
        <w:t>本项目</w:t>
      </w:r>
      <w:r>
        <w:rPr>
          <w:rFonts w:hint="eastAsia" w:ascii="宋体" w:hAnsi="宋体" w:eastAsia="宋体" w:cs="宋体"/>
          <w:b/>
          <w:bCs/>
          <w:color w:val="auto"/>
          <w:sz w:val="28"/>
          <w:szCs w:val="28"/>
          <w:highlight w:val="none"/>
          <w:lang w:val="en-US" w:eastAsia="zh-CN"/>
        </w:rPr>
        <w:t>校园网络建设</w:t>
      </w:r>
      <w:r>
        <w:rPr>
          <w:rFonts w:hint="eastAsia" w:ascii="宋体" w:hAnsi="宋体" w:eastAsia="宋体" w:cs="宋体"/>
          <w:b/>
          <w:bCs/>
          <w:color w:val="auto"/>
          <w:kern w:val="0"/>
          <w:sz w:val="28"/>
          <w:szCs w:val="28"/>
          <w:highlight w:val="none"/>
          <w:lang w:eastAsia="zh-CN"/>
        </w:rPr>
        <w:t>核心产品为：</w:t>
      </w:r>
      <w:r>
        <w:rPr>
          <w:rFonts w:hint="eastAsia" w:ascii="宋体" w:hAnsi="宋体" w:eastAsia="宋体" w:cs="宋体"/>
          <w:b/>
          <w:bCs/>
          <w:color w:val="auto"/>
          <w:sz w:val="28"/>
          <w:szCs w:val="28"/>
          <w:highlight w:val="none"/>
          <w:lang w:val="en-US" w:eastAsia="zh-CN"/>
        </w:rPr>
        <w:t>核心交换机，清单明细中标注需与网络核心产品同一品牌的设备，作为对本招标文件实质性响应的内容；</w:t>
      </w:r>
    </w:p>
    <w:p>
      <w:pPr>
        <w:pStyle w:val="10"/>
        <w:numPr>
          <w:ilvl w:val="0"/>
          <w:numId w:val="0"/>
        </w:numPr>
        <w:spacing w:line="360" w:lineRule="auto"/>
        <w:ind w:leftChars="0"/>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2.综合安防系统核心产品为：综合安防管理平台，清单明细中标注需与安防核心产品同一品牌的设备，作为对本招标文件实质性响应的内容；</w:t>
      </w:r>
    </w:p>
    <w:p>
      <w:pPr>
        <w:pStyle w:val="3"/>
        <w:ind w:left="0" w:leftChars="0" w:firstLine="0" w:firstLineChars="0"/>
        <w:rPr>
          <w:rFonts w:hint="eastAsia" w:eastAsia="宋体"/>
          <w:color w:val="auto"/>
          <w:highlight w:val="none"/>
          <w:lang w:val="en-US" w:eastAsia="zh-CN"/>
        </w:rPr>
      </w:pPr>
      <w:r>
        <w:rPr>
          <w:rFonts w:hint="eastAsia"/>
          <w:color w:val="auto"/>
          <w:highlight w:val="none"/>
          <w:lang w:val="en-US" w:eastAsia="zh-CN"/>
        </w:rPr>
        <w:t>四、</w:t>
      </w:r>
      <w:r>
        <w:rPr>
          <w:rFonts w:hint="eastAsia"/>
          <w:b/>
          <w:bCs/>
          <w:color w:val="auto"/>
          <w:highlight w:val="none"/>
          <w:lang w:val="en-US" w:eastAsia="zh-CN"/>
        </w:rPr>
        <w:t>项目维护人员必须为保密局涉密备案人员</w:t>
      </w:r>
      <w:r>
        <w:rPr>
          <w:rFonts w:hint="eastAsia"/>
          <w:color w:val="auto"/>
          <w:highlight w:val="none"/>
          <w:lang w:val="en-US" w:eastAsia="zh-CN"/>
        </w:rPr>
        <w:t>，中标后根据业主要求提供相关证书复印件。</w:t>
      </w:r>
    </w:p>
    <w:p>
      <w:pPr>
        <w:pStyle w:val="10"/>
        <w:spacing w:line="360" w:lineRule="auto"/>
        <w:ind w:left="0" w:leftChars="0" w:firstLine="0" w:firstLineChars="0"/>
        <w:rPr>
          <w:rFonts w:hint="eastAsia" w:ascii="宋体" w:hAnsi="宋体" w:eastAsia="宋体" w:cs="宋体"/>
          <w:color w:val="auto"/>
          <w:kern w:val="0"/>
          <w:sz w:val="28"/>
          <w:szCs w:val="28"/>
          <w:highlight w:val="none"/>
        </w:rPr>
      </w:pPr>
      <w:r>
        <w:rPr>
          <w:rFonts w:hint="eastAsia" w:ascii="宋体" w:hAnsi="宋体" w:cs="宋体"/>
          <w:b/>
          <w:bCs/>
          <w:color w:val="auto"/>
          <w:kern w:val="0"/>
          <w:sz w:val="28"/>
          <w:szCs w:val="28"/>
          <w:highlight w:val="none"/>
          <w:lang w:eastAsia="zh-CN"/>
        </w:rPr>
        <w:t>五</w:t>
      </w:r>
      <w:r>
        <w:rPr>
          <w:rFonts w:hint="eastAsia" w:ascii="宋体" w:hAnsi="宋体" w:eastAsia="宋体" w:cs="宋体"/>
          <w:b/>
          <w:bCs/>
          <w:color w:val="auto"/>
          <w:kern w:val="0"/>
          <w:sz w:val="28"/>
          <w:szCs w:val="28"/>
          <w:highlight w:val="none"/>
          <w:lang w:eastAsia="zh-CN"/>
        </w:rPr>
        <w:t>、</w:t>
      </w:r>
      <w:r>
        <w:rPr>
          <w:rFonts w:hint="eastAsia" w:ascii="宋体" w:hAnsi="宋体" w:eastAsia="宋体" w:cs="宋体"/>
          <w:b/>
          <w:bCs/>
          <w:color w:val="auto"/>
          <w:kern w:val="0"/>
          <w:sz w:val="28"/>
          <w:szCs w:val="28"/>
          <w:highlight w:val="none"/>
        </w:rPr>
        <w:t>本项目整体质保期</w:t>
      </w:r>
      <w:r>
        <w:rPr>
          <w:rFonts w:hint="eastAsia" w:ascii="宋体" w:hAnsi="宋体" w:eastAsia="宋体" w:cs="宋体"/>
          <w:b/>
          <w:bCs/>
          <w:color w:val="auto"/>
          <w:kern w:val="0"/>
          <w:sz w:val="28"/>
          <w:szCs w:val="28"/>
          <w:highlight w:val="none"/>
          <w:lang w:val="en-US" w:eastAsia="zh-CN"/>
        </w:rPr>
        <w:t>3</w:t>
      </w:r>
      <w:r>
        <w:rPr>
          <w:rFonts w:hint="eastAsia" w:ascii="宋体" w:hAnsi="宋体" w:eastAsia="宋体" w:cs="宋体"/>
          <w:b/>
          <w:bCs/>
          <w:color w:val="auto"/>
          <w:kern w:val="0"/>
          <w:sz w:val="28"/>
          <w:szCs w:val="28"/>
          <w:highlight w:val="none"/>
        </w:rPr>
        <w:t>年</w:t>
      </w:r>
      <w:r>
        <w:rPr>
          <w:rFonts w:hint="eastAsia" w:ascii="宋体" w:hAnsi="宋体" w:eastAsia="宋体" w:cs="宋体"/>
          <w:color w:val="auto"/>
          <w:kern w:val="0"/>
          <w:sz w:val="28"/>
          <w:szCs w:val="28"/>
          <w:highlight w:val="none"/>
        </w:rPr>
        <w:t>，在收到采购单位通知后2天内应维修或更换有缺陷的货物或部件，质保期从验收合格之日起</w:t>
      </w:r>
      <w:r>
        <w:rPr>
          <w:rFonts w:hint="eastAsia" w:ascii="宋体" w:hAnsi="宋体" w:eastAsia="宋体" w:cs="宋体"/>
          <w:color w:val="auto"/>
          <w:kern w:val="0"/>
          <w:sz w:val="28"/>
          <w:szCs w:val="28"/>
          <w:highlight w:val="none"/>
          <w:lang w:eastAsia="zh-CN"/>
        </w:rPr>
        <w:t>重新</w:t>
      </w:r>
      <w:r>
        <w:rPr>
          <w:rFonts w:hint="eastAsia" w:ascii="宋体" w:hAnsi="宋体" w:eastAsia="宋体" w:cs="宋体"/>
          <w:color w:val="auto"/>
          <w:kern w:val="0"/>
          <w:sz w:val="28"/>
          <w:szCs w:val="28"/>
          <w:highlight w:val="none"/>
        </w:rPr>
        <w:t>计算。</w:t>
      </w:r>
    </w:p>
    <w:p>
      <w:pPr>
        <w:pStyle w:val="49"/>
        <w:snapToGrid w:val="0"/>
        <w:spacing w:line="380" w:lineRule="exact"/>
        <w:ind w:firstLine="723" w:firstLineChars="200"/>
        <w:jc w:val="center"/>
        <w:rPr>
          <w:rFonts w:hint="eastAsia" w:ascii="宋体" w:hAnsi="宋体" w:eastAsia="宋体" w:cs="宋体"/>
          <w:b/>
          <w:color w:val="auto"/>
          <w:sz w:val="36"/>
          <w:highlight w:val="none"/>
        </w:rPr>
      </w:pPr>
    </w:p>
    <w:p>
      <w:pPr>
        <w:pStyle w:val="49"/>
        <w:snapToGrid w:val="0"/>
        <w:spacing w:line="380" w:lineRule="exact"/>
        <w:ind w:firstLine="723" w:firstLineChars="200"/>
        <w:jc w:val="center"/>
        <w:rPr>
          <w:rFonts w:hint="eastAsia" w:ascii="宋体" w:hAnsi="宋体" w:eastAsia="宋体" w:cs="宋体"/>
          <w:b/>
          <w:color w:val="auto"/>
          <w:sz w:val="36"/>
          <w:highlight w:val="none"/>
        </w:rPr>
      </w:pPr>
    </w:p>
    <w:p>
      <w:pPr>
        <w:pStyle w:val="49"/>
        <w:snapToGrid w:val="0"/>
        <w:spacing w:line="380" w:lineRule="exact"/>
        <w:ind w:firstLine="723" w:firstLineChars="200"/>
        <w:jc w:val="center"/>
        <w:rPr>
          <w:rFonts w:hint="eastAsia" w:ascii="宋体" w:hAnsi="宋体" w:eastAsia="宋体" w:cs="宋体"/>
          <w:b/>
          <w:color w:val="auto"/>
          <w:sz w:val="36"/>
          <w:highlight w:val="none"/>
        </w:rPr>
      </w:pPr>
    </w:p>
    <w:p>
      <w:pPr>
        <w:pStyle w:val="50"/>
        <w:rPr>
          <w:rFonts w:hint="eastAsia"/>
        </w:rPr>
      </w:pPr>
    </w:p>
    <w:p>
      <w:pPr>
        <w:pStyle w:val="49"/>
        <w:snapToGrid w:val="0"/>
        <w:spacing w:line="380" w:lineRule="exact"/>
        <w:ind w:firstLine="723" w:firstLineChars="200"/>
        <w:jc w:val="center"/>
        <w:rPr>
          <w:rFonts w:hint="eastAsia" w:ascii="宋体" w:hAnsi="宋体" w:eastAsia="宋体" w:cs="宋体"/>
          <w:b/>
          <w:color w:val="auto"/>
          <w:sz w:val="36"/>
          <w:highlight w:val="none"/>
        </w:rPr>
      </w:pPr>
    </w:p>
    <w:p>
      <w:pPr>
        <w:pStyle w:val="49"/>
        <w:snapToGrid w:val="0"/>
        <w:spacing w:line="380" w:lineRule="exact"/>
        <w:ind w:firstLine="723" w:firstLineChars="200"/>
        <w:jc w:val="center"/>
        <w:rPr>
          <w:rFonts w:hint="eastAsia" w:ascii="宋体" w:hAnsi="宋体" w:eastAsia="宋体" w:cs="宋体"/>
          <w:b/>
          <w:color w:val="auto"/>
          <w:sz w:val="36"/>
          <w:highlight w:val="none"/>
        </w:rPr>
      </w:pPr>
    </w:p>
    <w:p>
      <w:pPr>
        <w:pStyle w:val="49"/>
        <w:snapToGrid w:val="0"/>
        <w:spacing w:line="380" w:lineRule="exact"/>
        <w:ind w:firstLine="723" w:firstLineChars="200"/>
        <w:jc w:val="center"/>
        <w:rPr>
          <w:rFonts w:hint="eastAsia" w:ascii="宋体" w:hAnsi="宋体" w:eastAsia="宋体" w:cs="宋体"/>
          <w:b/>
          <w:color w:val="auto"/>
          <w:sz w:val="36"/>
          <w:highlight w:val="none"/>
        </w:rPr>
      </w:pPr>
      <w:r>
        <w:rPr>
          <w:rFonts w:hint="eastAsia" w:ascii="宋体" w:hAnsi="宋体" w:eastAsia="宋体" w:cs="宋体"/>
          <w:b/>
          <w:color w:val="auto"/>
          <w:sz w:val="36"/>
          <w:highlight w:val="none"/>
        </w:rPr>
        <w:t>第四部分  合同文本</w:t>
      </w:r>
      <w:bookmarkEnd w:id="68"/>
      <w:bookmarkEnd w:id="69"/>
    </w:p>
    <w:p>
      <w:pPr>
        <w:pStyle w:val="49"/>
        <w:kinsoku/>
        <w:overflowPunct/>
        <w:bidi w:val="0"/>
        <w:snapToGrid w:val="0"/>
        <w:spacing w:line="40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（最终以双方实际签订合同条款为准）</w:t>
      </w:r>
    </w:p>
    <w:p>
      <w:pPr>
        <w:spacing w:line="360" w:lineRule="auto"/>
        <w:ind w:firstLine="480" w:firstLineChars="200"/>
        <w:jc w:val="left"/>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合同编号：</w:t>
      </w:r>
    </w:p>
    <w:p>
      <w:pPr>
        <w:spacing w:line="360" w:lineRule="auto"/>
        <w:ind w:firstLine="480" w:firstLineChars="200"/>
        <w:jc w:val="left"/>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甲</w:t>
      </w:r>
      <w:r>
        <w:rPr>
          <w:rFonts w:hint="eastAsia" w:ascii="宋体" w:hAnsi="宋体" w:cs="宋体"/>
          <w:color w:val="auto"/>
          <w:kern w:val="2"/>
          <w:sz w:val="24"/>
          <w:szCs w:val="24"/>
          <w:highlight w:val="none"/>
          <w:shd w:val="clear" w:color="auto" w:fill="auto"/>
          <w:lang w:val="en-US" w:eastAsia="zh-CN" w:bidi="ar-SA"/>
        </w:rPr>
        <w:t xml:space="preserve">  </w:t>
      </w:r>
      <w:r>
        <w:rPr>
          <w:rFonts w:hint="eastAsia" w:ascii="宋体" w:hAnsi="宋体" w:eastAsia="宋体" w:cs="宋体"/>
          <w:color w:val="auto"/>
          <w:kern w:val="2"/>
          <w:sz w:val="24"/>
          <w:szCs w:val="24"/>
          <w:highlight w:val="none"/>
          <w:shd w:val="clear" w:color="auto" w:fill="auto"/>
          <w:lang w:val="en-US" w:eastAsia="zh-CN" w:bidi="ar-SA"/>
        </w:rPr>
        <w:t xml:space="preserve">方： </w:t>
      </w:r>
    </w:p>
    <w:p>
      <w:pPr>
        <w:spacing w:line="360" w:lineRule="auto"/>
        <w:ind w:firstLine="480" w:firstLineChars="200"/>
        <w:jc w:val="left"/>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乙</w:t>
      </w:r>
      <w:r>
        <w:rPr>
          <w:rFonts w:hint="eastAsia" w:ascii="宋体" w:hAnsi="宋体" w:cs="宋体"/>
          <w:color w:val="auto"/>
          <w:kern w:val="2"/>
          <w:sz w:val="24"/>
          <w:szCs w:val="24"/>
          <w:highlight w:val="none"/>
          <w:shd w:val="clear" w:color="auto" w:fill="auto"/>
          <w:lang w:val="en-US" w:eastAsia="zh-CN" w:bidi="ar-SA"/>
        </w:rPr>
        <w:t xml:space="preserve">  </w:t>
      </w:r>
      <w:r>
        <w:rPr>
          <w:rFonts w:hint="eastAsia" w:ascii="宋体" w:hAnsi="宋体" w:eastAsia="宋体" w:cs="宋体"/>
          <w:color w:val="auto"/>
          <w:kern w:val="2"/>
          <w:sz w:val="24"/>
          <w:szCs w:val="24"/>
          <w:highlight w:val="none"/>
          <w:shd w:val="clear" w:color="auto" w:fill="auto"/>
          <w:lang w:val="en-US" w:eastAsia="zh-CN" w:bidi="ar-SA"/>
        </w:rPr>
        <w:t xml:space="preserve">方： </w:t>
      </w:r>
    </w:p>
    <w:p>
      <w:pPr>
        <w:spacing w:line="360" w:lineRule="auto"/>
        <w:ind w:firstLine="480" w:firstLineChars="200"/>
        <w:jc w:val="left"/>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 xml:space="preserve">合同签订地： </w:t>
      </w:r>
    </w:p>
    <w:p>
      <w:pPr>
        <w:spacing w:line="360" w:lineRule="auto"/>
        <w:ind w:firstLine="480" w:firstLineChars="200"/>
        <w:jc w:val="left"/>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 xml:space="preserve">签约时间：   年    月   日                                          </w:t>
      </w:r>
    </w:p>
    <w:p>
      <w:pPr>
        <w:spacing w:line="360" w:lineRule="auto"/>
        <w:ind w:firstLine="480" w:firstLineChars="200"/>
        <w:jc w:val="left"/>
        <w:rPr>
          <w:rFonts w:hint="eastAsia" w:ascii="宋体" w:hAnsi="宋体" w:eastAsia="宋体" w:cs="宋体"/>
          <w:color w:val="auto"/>
          <w:kern w:val="2"/>
          <w:sz w:val="24"/>
          <w:szCs w:val="24"/>
          <w:highlight w:val="none"/>
          <w:shd w:val="clear" w:color="auto" w:fill="auto"/>
          <w:lang w:val="en-US" w:eastAsia="zh-CN" w:bidi="ar-SA"/>
        </w:rPr>
      </w:pPr>
      <w:bookmarkStart w:id="72" w:name="_Toc212953362"/>
      <w:bookmarkStart w:id="73" w:name="_Toc213148696"/>
      <w:bookmarkStart w:id="74" w:name="_Toc212909821"/>
      <w:bookmarkStart w:id="75" w:name="_Toc215121745"/>
      <w:r>
        <w:rPr>
          <w:rFonts w:hint="eastAsia" w:ascii="宋体" w:hAnsi="宋体" w:eastAsia="宋体" w:cs="宋体"/>
          <w:color w:val="auto"/>
          <w:kern w:val="2"/>
          <w:sz w:val="24"/>
          <w:szCs w:val="24"/>
          <w:highlight w:val="none"/>
          <w:shd w:val="clear" w:color="auto" w:fill="auto"/>
          <w:lang w:val="en-US" w:eastAsia="zh-CN" w:bidi="ar-SA"/>
        </w:rPr>
        <w:t>甲、乙双方根据</w:t>
      </w:r>
      <w:r>
        <w:rPr>
          <w:rFonts w:hint="eastAsia" w:ascii="宋体" w:hAnsi="宋体" w:eastAsia="宋体" w:cs="宋体"/>
          <w:color w:val="auto"/>
          <w:kern w:val="2"/>
          <w:sz w:val="24"/>
          <w:szCs w:val="24"/>
          <w:highlight w:val="none"/>
          <w:u w:val="single"/>
          <w:shd w:val="clear" w:color="auto" w:fill="auto"/>
          <w:lang w:val="en-US" w:eastAsia="zh-CN" w:bidi="ar-SA"/>
        </w:rPr>
        <w:t xml:space="preserve">      （项目名称）     </w:t>
      </w:r>
      <w:r>
        <w:rPr>
          <w:rFonts w:hint="eastAsia" w:ascii="宋体" w:hAnsi="宋体" w:eastAsia="宋体" w:cs="宋体"/>
          <w:color w:val="auto"/>
          <w:kern w:val="2"/>
          <w:sz w:val="24"/>
          <w:szCs w:val="24"/>
          <w:highlight w:val="none"/>
          <w:shd w:val="clear" w:color="auto" w:fill="auto"/>
          <w:lang w:val="en-US" w:eastAsia="zh-CN" w:bidi="ar-SA"/>
        </w:rPr>
        <w:t>采购结果及其他有关法律、行政法规，遵循平等、自愿、公平和诚实信用的原则，双方就本项目实施事项协商一致，订立本合同，共同遵守。</w:t>
      </w:r>
      <w:bookmarkEnd w:id="72"/>
      <w:bookmarkEnd w:id="73"/>
      <w:bookmarkEnd w:id="74"/>
      <w:bookmarkEnd w:id="75"/>
    </w:p>
    <w:p>
      <w:pPr>
        <w:pStyle w:val="49"/>
        <w:numPr>
          <w:ilvl w:val="0"/>
          <w:numId w:val="8"/>
        </w:numPr>
        <w:spacing w:line="360" w:lineRule="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合同金额及清单:</w:t>
      </w:r>
    </w:p>
    <w:p>
      <w:pPr>
        <w:spacing w:line="360" w:lineRule="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1.合同总价为：</w:t>
      </w:r>
      <w:r>
        <w:rPr>
          <w:rFonts w:hint="eastAsia" w:ascii="宋体" w:hAnsi="宋体" w:eastAsia="宋体" w:cs="宋体"/>
          <w:color w:val="auto"/>
          <w:kern w:val="2"/>
          <w:sz w:val="24"/>
          <w:szCs w:val="24"/>
          <w:highlight w:val="none"/>
          <w:u w:val="single"/>
          <w:shd w:val="clear" w:color="auto" w:fill="auto"/>
          <w:lang w:val="en-US" w:eastAsia="zh-CN" w:bidi="ar-SA"/>
        </w:rPr>
        <w:t xml:space="preserve">        </w:t>
      </w:r>
      <w:r>
        <w:rPr>
          <w:rFonts w:hint="eastAsia" w:ascii="宋体" w:hAnsi="宋体" w:eastAsia="宋体" w:cs="宋体"/>
          <w:color w:val="auto"/>
          <w:kern w:val="2"/>
          <w:sz w:val="24"/>
          <w:szCs w:val="24"/>
          <w:highlight w:val="none"/>
          <w:shd w:val="clear" w:color="auto" w:fill="auto"/>
          <w:lang w:val="en-US" w:eastAsia="zh-CN" w:bidi="ar-SA"/>
        </w:rPr>
        <w:t>元（大写：人民币</w:t>
      </w:r>
      <w:r>
        <w:rPr>
          <w:rFonts w:hint="eastAsia" w:ascii="宋体" w:hAnsi="宋体" w:eastAsia="宋体" w:cs="宋体"/>
          <w:color w:val="auto"/>
          <w:kern w:val="2"/>
          <w:sz w:val="24"/>
          <w:szCs w:val="24"/>
          <w:highlight w:val="none"/>
          <w:u w:val="single"/>
          <w:shd w:val="clear" w:color="auto" w:fill="auto"/>
          <w:lang w:val="en-US" w:eastAsia="zh-CN" w:bidi="ar-SA"/>
        </w:rPr>
        <w:t xml:space="preserve">               </w:t>
      </w:r>
      <w:r>
        <w:rPr>
          <w:rFonts w:hint="eastAsia" w:ascii="宋体" w:hAnsi="宋体" w:eastAsia="宋体" w:cs="宋体"/>
          <w:color w:val="auto"/>
          <w:kern w:val="2"/>
          <w:sz w:val="24"/>
          <w:szCs w:val="24"/>
          <w:highlight w:val="none"/>
          <w:shd w:val="clear" w:color="auto" w:fill="auto"/>
          <w:lang w:val="en-US" w:eastAsia="zh-CN" w:bidi="ar-SA"/>
        </w:rPr>
        <w:t>）。</w:t>
      </w:r>
    </w:p>
    <w:tbl>
      <w:tblPr>
        <w:tblStyle w:val="98"/>
        <w:tblpPr w:leftFromText="180" w:rightFromText="180" w:vertAnchor="text" w:horzAnchor="margin" w:tblpXSpec="center" w:tblpY="449"/>
        <w:tblW w:w="9844" w:type="dxa"/>
        <w:jc w:val="center"/>
        <w:tblInd w:w="0" w:type="dxa"/>
        <w:tblLayout w:type="fixed"/>
        <w:tblCellMar>
          <w:top w:w="0" w:type="dxa"/>
          <w:left w:w="108" w:type="dxa"/>
          <w:bottom w:w="0" w:type="dxa"/>
          <w:right w:w="108" w:type="dxa"/>
        </w:tblCellMar>
      </w:tblPr>
      <w:tblGrid>
        <w:gridCol w:w="803"/>
        <w:gridCol w:w="1382"/>
        <w:gridCol w:w="3342"/>
        <w:gridCol w:w="889"/>
        <w:gridCol w:w="836"/>
        <w:gridCol w:w="1275"/>
        <w:gridCol w:w="1317"/>
      </w:tblGrid>
      <w:tr>
        <w:tblPrEx>
          <w:tblLayout w:type="fixed"/>
          <w:tblCellMar>
            <w:top w:w="0" w:type="dxa"/>
            <w:left w:w="108" w:type="dxa"/>
            <w:bottom w:w="0" w:type="dxa"/>
            <w:right w:w="108" w:type="dxa"/>
          </w:tblCellMar>
        </w:tblPrEx>
        <w:trPr>
          <w:cantSplit/>
          <w:trHeight w:val="57" w:hRule="atLeast"/>
          <w:jc w:val="center"/>
        </w:trPr>
        <w:tc>
          <w:tcPr>
            <w:tcW w:w="80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序号</w:t>
            </w:r>
          </w:p>
        </w:tc>
        <w:tc>
          <w:tcPr>
            <w:tcW w:w="138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名称</w:t>
            </w:r>
          </w:p>
        </w:tc>
        <w:tc>
          <w:tcPr>
            <w:tcW w:w="33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配置参数</w:t>
            </w:r>
          </w:p>
        </w:tc>
        <w:tc>
          <w:tcPr>
            <w:tcW w:w="88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单位</w:t>
            </w:r>
          </w:p>
        </w:tc>
        <w:tc>
          <w:tcPr>
            <w:tcW w:w="83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数量</w:t>
            </w:r>
          </w:p>
        </w:tc>
        <w:tc>
          <w:tcPr>
            <w:tcW w:w="127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jc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单价（元）</w:t>
            </w:r>
          </w:p>
        </w:tc>
        <w:tc>
          <w:tcPr>
            <w:tcW w:w="131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jc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合计（元）</w:t>
            </w:r>
          </w:p>
        </w:tc>
      </w:tr>
      <w:tr>
        <w:tblPrEx>
          <w:tblLayout w:type="fixed"/>
          <w:tblCellMar>
            <w:top w:w="0" w:type="dxa"/>
            <w:left w:w="108" w:type="dxa"/>
            <w:bottom w:w="0" w:type="dxa"/>
            <w:right w:w="108" w:type="dxa"/>
          </w:tblCellMar>
        </w:tblPrEx>
        <w:trPr>
          <w:cantSplit/>
          <w:trHeight w:val="57" w:hRule="atLeast"/>
          <w:jc w:val="center"/>
        </w:trPr>
        <w:tc>
          <w:tcPr>
            <w:tcW w:w="803" w:type="dxa"/>
            <w:tcBorders>
              <w:top w:val="single" w:color="000000" w:sz="4" w:space="0"/>
              <w:left w:val="single" w:color="000000" w:sz="4" w:space="0"/>
              <w:bottom w:val="single" w:color="000000" w:sz="4" w:space="0"/>
              <w:right w:val="single" w:color="000000" w:sz="4" w:space="0"/>
            </w:tcBorders>
            <w:vAlign w:val="center"/>
          </w:tcPr>
          <w:p>
            <w:pPr>
              <w:pStyle w:val="49"/>
              <w:tabs>
                <w:tab w:val="left" w:pos="180"/>
              </w:tabs>
              <w:spacing w:line="360" w:lineRule="auto"/>
              <w:jc w:val="center"/>
              <w:rPr>
                <w:rFonts w:hint="eastAsia" w:ascii="宋体" w:hAnsi="宋体" w:eastAsia="宋体" w:cs="宋体"/>
                <w:color w:val="auto"/>
                <w:kern w:val="2"/>
                <w:sz w:val="24"/>
                <w:szCs w:val="24"/>
                <w:highlight w:val="none"/>
                <w:shd w:val="clear" w:color="auto" w:fill="auto"/>
                <w:lang w:val="en-US" w:eastAsia="zh-CN" w:bidi="ar-SA"/>
              </w:rPr>
            </w:pPr>
          </w:p>
        </w:tc>
        <w:tc>
          <w:tcPr>
            <w:tcW w:w="1382" w:type="dxa"/>
            <w:tcBorders>
              <w:top w:val="single" w:color="000000" w:sz="4" w:space="0"/>
              <w:left w:val="single" w:color="000000" w:sz="4" w:space="0"/>
              <w:bottom w:val="single" w:color="000000" w:sz="4" w:space="0"/>
              <w:right w:val="single" w:color="000000" w:sz="4" w:space="0"/>
            </w:tcBorders>
            <w:vAlign w:val="center"/>
          </w:tcPr>
          <w:p>
            <w:pPr>
              <w:pStyle w:val="49"/>
              <w:tabs>
                <w:tab w:val="left" w:pos="180"/>
              </w:tabs>
              <w:spacing w:line="360" w:lineRule="auto"/>
              <w:jc w:val="center"/>
              <w:rPr>
                <w:rFonts w:hint="eastAsia" w:ascii="宋体" w:hAnsi="宋体" w:eastAsia="宋体" w:cs="宋体"/>
                <w:color w:val="auto"/>
                <w:kern w:val="2"/>
                <w:sz w:val="24"/>
                <w:szCs w:val="24"/>
                <w:highlight w:val="none"/>
                <w:shd w:val="clear" w:color="auto" w:fill="auto"/>
                <w:lang w:val="en-US" w:eastAsia="zh-CN" w:bidi="ar-SA"/>
              </w:rPr>
            </w:pPr>
          </w:p>
        </w:tc>
        <w:tc>
          <w:tcPr>
            <w:tcW w:w="3342" w:type="dxa"/>
            <w:tcBorders>
              <w:top w:val="single" w:color="000000" w:sz="4" w:space="0"/>
              <w:left w:val="single" w:color="000000" w:sz="4" w:space="0"/>
              <w:bottom w:val="single" w:color="000000" w:sz="4" w:space="0"/>
              <w:right w:val="single" w:color="000000" w:sz="4" w:space="0"/>
            </w:tcBorders>
            <w:vAlign w:val="center"/>
          </w:tcPr>
          <w:p>
            <w:pPr>
              <w:pStyle w:val="49"/>
              <w:tabs>
                <w:tab w:val="left" w:pos="180"/>
              </w:tabs>
              <w:spacing w:line="360" w:lineRule="auto"/>
              <w:jc w:val="center"/>
              <w:rPr>
                <w:rFonts w:hint="eastAsia" w:ascii="宋体" w:hAnsi="宋体" w:eastAsia="宋体" w:cs="宋体"/>
                <w:color w:val="auto"/>
                <w:kern w:val="2"/>
                <w:sz w:val="24"/>
                <w:szCs w:val="24"/>
                <w:highlight w:val="none"/>
                <w:shd w:val="clear" w:color="auto" w:fill="auto"/>
                <w:lang w:val="en-US" w:eastAsia="zh-CN" w:bidi="ar-SA"/>
              </w:rPr>
            </w:pPr>
          </w:p>
        </w:tc>
        <w:tc>
          <w:tcPr>
            <w:tcW w:w="889" w:type="dxa"/>
            <w:tcBorders>
              <w:top w:val="single" w:color="000000" w:sz="4" w:space="0"/>
              <w:left w:val="single" w:color="000000" w:sz="4" w:space="0"/>
              <w:bottom w:val="single" w:color="000000" w:sz="4" w:space="0"/>
              <w:right w:val="single" w:color="000000" w:sz="4" w:space="0"/>
            </w:tcBorders>
            <w:vAlign w:val="center"/>
          </w:tcPr>
          <w:p>
            <w:pPr>
              <w:pStyle w:val="49"/>
              <w:tabs>
                <w:tab w:val="left" w:pos="180"/>
              </w:tabs>
              <w:spacing w:line="360" w:lineRule="auto"/>
              <w:jc w:val="center"/>
              <w:rPr>
                <w:rFonts w:hint="eastAsia" w:ascii="宋体" w:hAnsi="宋体" w:eastAsia="宋体" w:cs="宋体"/>
                <w:color w:val="auto"/>
                <w:kern w:val="2"/>
                <w:sz w:val="24"/>
                <w:szCs w:val="24"/>
                <w:highlight w:val="none"/>
                <w:shd w:val="clear" w:color="auto" w:fill="auto"/>
                <w:lang w:val="en-US" w:eastAsia="zh-CN" w:bidi="ar-SA"/>
              </w:rPr>
            </w:pPr>
          </w:p>
        </w:tc>
        <w:tc>
          <w:tcPr>
            <w:tcW w:w="836" w:type="dxa"/>
            <w:tcBorders>
              <w:top w:val="single" w:color="000000" w:sz="4" w:space="0"/>
              <w:left w:val="single" w:color="000000" w:sz="4" w:space="0"/>
              <w:bottom w:val="single" w:color="000000" w:sz="4" w:space="0"/>
              <w:right w:val="single" w:color="000000" w:sz="4" w:space="0"/>
            </w:tcBorders>
            <w:vAlign w:val="center"/>
          </w:tcPr>
          <w:p>
            <w:pPr>
              <w:pStyle w:val="49"/>
              <w:tabs>
                <w:tab w:val="left" w:pos="180"/>
              </w:tabs>
              <w:spacing w:line="360" w:lineRule="auto"/>
              <w:jc w:val="center"/>
              <w:rPr>
                <w:rFonts w:hint="eastAsia" w:ascii="宋体" w:hAnsi="宋体" w:eastAsia="宋体" w:cs="宋体"/>
                <w:color w:val="auto"/>
                <w:kern w:val="2"/>
                <w:sz w:val="24"/>
                <w:szCs w:val="24"/>
                <w:highlight w:val="none"/>
                <w:shd w:val="clear" w:color="auto" w:fill="auto"/>
                <w:lang w:val="en-US" w:eastAsia="zh-CN" w:bidi="ar-SA"/>
              </w:rPr>
            </w:pPr>
          </w:p>
        </w:tc>
        <w:tc>
          <w:tcPr>
            <w:tcW w:w="1275" w:type="dxa"/>
            <w:tcBorders>
              <w:top w:val="single" w:color="000000" w:sz="4" w:space="0"/>
              <w:left w:val="single" w:color="000000" w:sz="4" w:space="0"/>
              <w:bottom w:val="single" w:color="000000" w:sz="4" w:space="0"/>
              <w:right w:val="single" w:color="000000" w:sz="4" w:space="0"/>
            </w:tcBorders>
            <w:vAlign w:val="center"/>
          </w:tcPr>
          <w:p>
            <w:pPr>
              <w:pStyle w:val="49"/>
              <w:tabs>
                <w:tab w:val="left" w:pos="180"/>
              </w:tabs>
              <w:spacing w:line="360" w:lineRule="auto"/>
              <w:jc w:val="center"/>
              <w:rPr>
                <w:rFonts w:hint="eastAsia" w:ascii="宋体" w:hAnsi="宋体" w:eastAsia="宋体" w:cs="宋体"/>
                <w:color w:val="auto"/>
                <w:kern w:val="2"/>
                <w:sz w:val="24"/>
                <w:szCs w:val="24"/>
                <w:highlight w:val="none"/>
                <w:shd w:val="clear" w:color="auto" w:fill="auto"/>
                <w:lang w:val="en-US" w:eastAsia="zh-CN" w:bidi="ar-SA"/>
              </w:rPr>
            </w:pPr>
          </w:p>
        </w:tc>
        <w:tc>
          <w:tcPr>
            <w:tcW w:w="1317" w:type="dxa"/>
            <w:tcBorders>
              <w:top w:val="single" w:color="000000" w:sz="4" w:space="0"/>
              <w:left w:val="single" w:color="000000" w:sz="4" w:space="0"/>
              <w:bottom w:val="single" w:color="000000" w:sz="4" w:space="0"/>
              <w:right w:val="single" w:color="000000" w:sz="4" w:space="0"/>
            </w:tcBorders>
            <w:vAlign w:val="center"/>
          </w:tcPr>
          <w:p>
            <w:pPr>
              <w:pStyle w:val="49"/>
              <w:tabs>
                <w:tab w:val="left" w:pos="180"/>
              </w:tabs>
              <w:spacing w:line="360" w:lineRule="auto"/>
              <w:jc w:val="center"/>
              <w:rPr>
                <w:rFonts w:hint="eastAsia" w:ascii="宋体" w:hAnsi="宋体" w:eastAsia="宋体" w:cs="宋体"/>
                <w:color w:val="auto"/>
                <w:kern w:val="2"/>
                <w:sz w:val="24"/>
                <w:szCs w:val="24"/>
                <w:highlight w:val="none"/>
                <w:shd w:val="clear" w:color="auto" w:fill="auto"/>
                <w:lang w:val="en-US" w:eastAsia="zh-CN" w:bidi="ar-SA"/>
              </w:rPr>
            </w:pPr>
          </w:p>
        </w:tc>
      </w:tr>
      <w:tr>
        <w:tblPrEx>
          <w:tblLayout w:type="fixed"/>
          <w:tblCellMar>
            <w:top w:w="0" w:type="dxa"/>
            <w:left w:w="108" w:type="dxa"/>
            <w:bottom w:w="0" w:type="dxa"/>
            <w:right w:w="108" w:type="dxa"/>
          </w:tblCellMar>
        </w:tblPrEx>
        <w:trPr>
          <w:cantSplit/>
          <w:trHeight w:val="57" w:hRule="atLeast"/>
          <w:jc w:val="center"/>
        </w:trPr>
        <w:tc>
          <w:tcPr>
            <w:tcW w:w="803" w:type="dxa"/>
            <w:tcBorders>
              <w:top w:val="single" w:color="000000" w:sz="4" w:space="0"/>
              <w:left w:val="single" w:color="000000" w:sz="4" w:space="0"/>
              <w:bottom w:val="single" w:color="000000" w:sz="4" w:space="0"/>
              <w:right w:val="single" w:color="000000" w:sz="4" w:space="0"/>
            </w:tcBorders>
            <w:vAlign w:val="center"/>
          </w:tcPr>
          <w:p>
            <w:pPr>
              <w:pStyle w:val="49"/>
              <w:tabs>
                <w:tab w:val="left" w:pos="180"/>
              </w:tabs>
              <w:spacing w:line="360" w:lineRule="auto"/>
              <w:jc w:val="center"/>
              <w:rPr>
                <w:rFonts w:hint="eastAsia" w:ascii="宋体" w:hAnsi="宋体" w:eastAsia="宋体" w:cs="宋体"/>
                <w:color w:val="auto"/>
                <w:kern w:val="2"/>
                <w:sz w:val="24"/>
                <w:szCs w:val="24"/>
                <w:highlight w:val="none"/>
                <w:shd w:val="clear" w:color="auto" w:fill="auto"/>
                <w:lang w:val="en-US" w:eastAsia="zh-CN" w:bidi="ar-SA"/>
              </w:rPr>
            </w:pPr>
          </w:p>
        </w:tc>
        <w:tc>
          <w:tcPr>
            <w:tcW w:w="1382" w:type="dxa"/>
            <w:tcBorders>
              <w:top w:val="single" w:color="000000" w:sz="4" w:space="0"/>
              <w:left w:val="single" w:color="000000" w:sz="4" w:space="0"/>
              <w:bottom w:val="single" w:color="000000" w:sz="4" w:space="0"/>
              <w:right w:val="single" w:color="000000" w:sz="4" w:space="0"/>
            </w:tcBorders>
            <w:vAlign w:val="center"/>
          </w:tcPr>
          <w:p>
            <w:pPr>
              <w:pStyle w:val="49"/>
              <w:tabs>
                <w:tab w:val="left" w:pos="180"/>
              </w:tabs>
              <w:spacing w:line="360" w:lineRule="auto"/>
              <w:jc w:val="center"/>
              <w:rPr>
                <w:rFonts w:hint="eastAsia" w:ascii="宋体" w:hAnsi="宋体" w:eastAsia="宋体" w:cs="宋体"/>
                <w:color w:val="auto"/>
                <w:kern w:val="2"/>
                <w:sz w:val="24"/>
                <w:szCs w:val="24"/>
                <w:highlight w:val="none"/>
                <w:shd w:val="clear" w:color="auto" w:fill="auto"/>
                <w:lang w:val="en-US" w:eastAsia="zh-CN" w:bidi="ar-SA"/>
              </w:rPr>
            </w:pPr>
          </w:p>
        </w:tc>
        <w:tc>
          <w:tcPr>
            <w:tcW w:w="3342" w:type="dxa"/>
            <w:tcBorders>
              <w:top w:val="single" w:color="000000" w:sz="4" w:space="0"/>
              <w:left w:val="single" w:color="000000" w:sz="4" w:space="0"/>
              <w:bottom w:val="single" w:color="000000" w:sz="4" w:space="0"/>
              <w:right w:val="single" w:color="000000" w:sz="4" w:space="0"/>
            </w:tcBorders>
            <w:vAlign w:val="center"/>
          </w:tcPr>
          <w:p>
            <w:pPr>
              <w:pStyle w:val="49"/>
              <w:tabs>
                <w:tab w:val="left" w:pos="180"/>
              </w:tabs>
              <w:spacing w:line="360" w:lineRule="auto"/>
              <w:jc w:val="center"/>
              <w:rPr>
                <w:rFonts w:hint="eastAsia" w:ascii="宋体" w:hAnsi="宋体" w:eastAsia="宋体" w:cs="宋体"/>
                <w:color w:val="auto"/>
                <w:kern w:val="2"/>
                <w:sz w:val="24"/>
                <w:szCs w:val="24"/>
                <w:highlight w:val="none"/>
                <w:shd w:val="clear" w:color="auto" w:fill="auto"/>
                <w:lang w:val="en-US" w:eastAsia="zh-CN" w:bidi="ar-SA"/>
              </w:rPr>
            </w:pPr>
          </w:p>
        </w:tc>
        <w:tc>
          <w:tcPr>
            <w:tcW w:w="889" w:type="dxa"/>
            <w:tcBorders>
              <w:top w:val="single" w:color="000000" w:sz="4" w:space="0"/>
              <w:left w:val="single" w:color="000000" w:sz="4" w:space="0"/>
              <w:bottom w:val="single" w:color="000000" w:sz="4" w:space="0"/>
              <w:right w:val="single" w:color="000000" w:sz="4" w:space="0"/>
            </w:tcBorders>
            <w:vAlign w:val="center"/>
          </w:tcPr>
          <w:p>
            <w:pPr>
              <w:pStyle w:val="49"/>
              <w:tabs>
                <w:tab w:val="left" w:pos="180"/>
              </w:tabs>
              <w:spacing w:line="360" w:lineRule="auto"/>
              <w:jc w:val="center"/>
              <w:rPr>
                <w:rFonts w:hint="eastAsia" w:ascii="宋体" w:hAnsi="宋体" w:eastAsia="宋体" w:cs="宋体"/>
                <w:color w:val="auto"/>
                <w:kern w:val="2"/>
                <w:sz w:val="24"/>
                <w:szCs w:val="24"/>
                <w:highlight w:val="none"/>
                <w:shd w:val="clear" w:color="auto" w:fill="auto"/>
                <w:lang w:val="en-US" w:eastAsia="zh-CN" w:bidi="ar-SA"/>
              </w:rPr>
            </w:pPr>
          </w:p>
        </w:tc>
        <w:tc>
          <w:tcPr>
            <w:tcW w:w="836" w:type="dxa"/>
            <w:tcBorders>
              <w:top w:val="single" w:color="000000" w:sz="4" w:space="0"/>
              <w:left w:val="single" w:color="000000" w:sz="4" w:space="0"/>
              <w:bottom w:val="single" w:color="000000" w:sz="4" w:space="0"/>
              <w:right w:val="single" w:color="000000" w:sz="4" w:space="0"/>
            </w:tcBorders>
            <w:vAlign w:val="center"/>
          </w:tcPr>
          <w:p>
            <w:pPr>
              <w:pStyle w:val="49"/>
              <w:tabs>
                <w:tab w:val="left" w:pos="180"/>
              </w:tabs>
              <w:spacing w:line="360" w:lineRule="auto"/>
              <w:jc w:val="center"/>
              <w:rPr>
                <w:rFonts w:hint="eastAsia" w:ascii="宋体" w:hAnsi="宋体" w:eastAsia="宋体" w:cs="宋体"/>
                <w:color w:val="auto"/>
                <w:kern w:val="2"/>
                <w:sz w:val="24"/>
                <w:szCs w:val="24"/>
                <w:highlight w:val="none"/>
                <w:shd w:val="clear" w:color="auto" w:fill="auto"/>
                <w:lang w:val="en-US" w:eastAsia="zh-CN" w:bidi="ar-SA"/>
              </w:rPr>
            </w:pPr>
          </w:p>
        </w:tc>
        <w:tc>
          <w:tcPr>
            <w:tcW w:w="1275" w:type="dxa"/>
            <w:tcBorders>
              <w:top w:val="single" w:color="000000" w:sz="4" w:space="0"/>
              <w:left w:val="single" w:color="000000" w:sz="4" w:space="0"/>
              <w:bottom w:val="single" w:color="000000" w:sz="4" w:space="0"/>
              <w:right w:val="single" w:color="000000" w:sz="4" w:space="0"/>
            </w:tcBorders>
            <w:vAlign w:val="center"/>
          </w:tcPr>
          <w:p>
            <w:pPr>
              <w:pStyle w:val="49"/>
              <w:tabs>
                <w:tab w:val="left" w:pos="180"/>
              </w:tabs>
              <w:spacing w:line="360" w:lineRule="auto"/>
              <w:jc w:val="center"/>
              <w:rPr>
                <w:rFonts w:hint="eastAsia" w:ascii="宋体" w:hAnsi="宋体" w:eastAsia="宋体" w:cs="宋体"/>
                <w:color w:val="auto"/>
                <w:kern w:val="2"/>
                <w:sz w:val="24"/>
                <w:szCs w:val="24"/>
                <w:highlight w:val="none"/>
                <w:shd w:val="clear" w:color="auto" w:fill="auto"/>
                <w:lang w:val="en-US" w:eastAsia="zh-CN" w:bidi="ar-SA"/>
              </w:rPr>
            </w:pPr>
          </w:p>
        </w:tc>
        <w:tc>
          <w:tcPr>
            <w:tcW w:w="1317" w:type="dxa"/>
            <w:tcBorders>
              <w:top w:val="single" w:color="000000" w:sz="4" w:space="0"/>
              <w:left w:val="single" w:color="000000" w:sz="4" w:space="0"/>
              <w:bottom w:val="single" w:color="000000" w:sz="4" w:space="0"/>
              <w:right w:val="single" w:color="000000" w:sz="4" w:space="0"/>
            </w:tcBorders>
            <w:vAlign w:val="center"/>
          </w:tcPr>
          <w:p>
            <w:pPr>
              <w:pStyle w:val="49"/>
              <w:tabs>
                <w:tab w:val="left" w:pos="180"/>
              </w:tabs>
              <w:spacing w:line="360" w:lineRule="auto"/>
              <w:jc w:val="center"/>
              <w:rPr>
                <w:rFonts w:hint="eastAsia" w:ascii="宋体" w:hAnsi="宋体" w:eastAsia="宋体" w:cs="宋体"/>
                <w:color w:val="auto"/>
                <w:kern w:val="2"/>
                <w:sz w:val="24"/>
                <w:szCs w:val="24"/>
                <w:highlight w:val="none"/>
                <w:shd w:val="clear" w:color="auto" w:fill="auto"/>
                <w:lang w:val="en-US" w:eastAsia="zh-CN" w:bidi="ar-SA"/>
              </w:rPr>
            </w:pPr>
          </w:p>
        </w:tc>
      </w:tr>
      <w:tr>
        <w:tblPrEx>
          <w:tblLayout w:type="fixed"/>
          <w:tblCellMar>
            <w:top w:w="0" w:type="dxa"/>
            <w:left w:w="108" w:type="dxa"/>
            <w:bottom w:w="0" w:type="dxa"/>
            <w:right w:w="108" w:type="dxa"/>
          </w:tblCellMar>
        </w:tblPrEx>
        <w:trPr>
          <w:cantSplit/>
          <w:trHeight w:val="57" w:hRule="atLeast"/>
          <w:jc w:val="center"/>
        </w:trPr>
        <w:tc>
          <w:tcPr>
            <w:tcW w:w="803" w:type="dxa"/>
            <w:tcBorders>
              <w:top w:val="single" w:color="000000" w:sz="4" w:space="0"/>
              <w:left w:val="single" w:color="000000" w:sz="4" w:space="0"/>
              <w:bottom w:val="single" w:color="000000" w:sz="4" w:space="0"/>
              <w:right w:val="single" w:color="000000" w:sz="4" w:space="0"/>
            </w:tcBorders>
            <w:vAlign w:val="center"/>
          </w:tcPr>
          <w:p>
            <w:pPr>
              <w:pStyle w:val="49"/>
              <w:tabs>
                <w:tab w:val="left" w:pos="180"/>
              </w:tabs>
              <w:spacing w:line="360" w:lineRule="auto"/>
              <w:jc w:val="center"/>
              <w:rPr>
                <w:rFonts w:hint="eastAsia" w:ascii="宋体" w:hAnsi="宋体" w:eastAsia="宋体" w:cs="宋体"/>
                <w:color w:val="auto"/>
                <w:kern w:val="2"/>
                <w:sz w:val="24"/>
                <w:szCs w:val="24"/>
                <w:highlight w:val="none"/>
                <w:shd w:val="clear" w:color="auto" w:fill="auto"/>
                <w:lang w:val="en-US" w:eastAsia="zh-CN" w:bidi="ar-SA"/>
              </w:rPr>
            </w:pPr>
          </w:p>
        </w:tc>
        <w:tc>
          <w:tcPr>
            <w:tcW w:w="1382" w:type="dxa"/>
            <w:tcBorders>
              <w:top w:val="single" w:color="000000" w:sz="4" w:space="0"/>
              <w:left w:val="single" w:color="000000" w:sz="4" w:space="0"/>
              <w:bottom w:val="single" w:color="000000" w:sz="4" w:space="0"/>
              <w:right w:val="single" w:color="000000" w:sz="4" w:space="0"/>
            </w:tcBorders>
            <w:vAlign w:val="center"/>
          </w:tcPr>
          <w:p>
            <w:pPr>
              <w:pStyle w:val="49"/>
              <w:tabs>
                <w:tab w:val="left" w:pos="180"/>
              </w:tabs>
              <w:spacing w:line="360" w:lineRule="auto"/>
              <w:jc w:val="center"/>
              <w:rPr>
                <w:rFonts w:hint="eastAsia" w:ascii="宋体" w:hAnsi="宋体" w:eastAsia="宋体" w:cs="宋体"/>
                <w:color w:val="auto"/>
                <w:kern w:val="2"/>
                <w:sz w:val="24"/>
                <w:szCs w:val="24"/>
                <w:highlight w:val="none"/>
                <w:shd w:val="clear" w:color="auto" w:fill="auto"/>
                <w:lang w:val="en-US" w:eastAsia="zh-CN" w:bidi="ar-SA"/>
              </w:rPr>
            </w:pPr>
          </w:p>
        </w:tc>
        <w:tc>
          <w:tcPr>
            <w:tcW w:w="3342" w:type="dxa"/>
            <w:tcBorders>
              <w:top w:val="single" w:color="000000" w:sz="4" w:space="0"/>
              <w:left w:val="single" w:color="000000" w:sz="4" w:space="0"/>
              <w:bottom w:val="single" w:color="000000" w:sz="4" w:space="0"/>
              <w:right w:val="single" w:color="000000" w:sz="4" w:space="0"/>
            </w:tcBorders>
            <w:vAlign w:val="center"/>
          </w:tcPr>
          <w:p>
            <w:pPr>
              <w:pStyle w:val="49"/>
              <w:tabs>
                <w:tab w:val="left" w:pos="180"/>
              </w:tabs>
              <w:spacing w:line="360" w:lineRule="auto"/>
              <w:jc w:val="center"/>
              <w:rPr>
                <w:rFonts w:hint="eastAsia" w:ascii="宋体" w:hAnsi="宋体" w:eastAsia="宋体" w:cs="宋体"/>
                <w:color w:val="auto"/>
                <w:kern w:val="2"/>
                <w:sz w:val="24"/>
                <w:szCs w:val="24"/>
                <w:highlight w:val="none"/>
                <w:shd w:val="clear" w:color="auto" w:fill="auto"/>
                <w:lang w:val="en-US" w:eastAsia="zh-CN" w:bidi="ar-SA"/>
              </w:rPr>
            </w:pPr>
          </w:p>
        </w:tc>
        <w:tc>
          <w:tcPr>
            <w:tcW w:w="889" w:type="dxa"/>
            <w:tcBorders>
              <w:top w:val="single" w:color="000000" w:sz="4" w:space="0"/>
              <w:left w:val="single" w:color="000000" w:sz="4" w:space="0"/>
              <w:bottom w:val="single" w:color="000000" w:sz="4" w:space="0"/>
              <w:right w:val="single" w:color="000000" w:sz="4" w:space="0"/>
            </w:tcBorders>
            <w:vAlign w:val="center"/>
          </w:tcPr>
          <w:p>
            <w:pPr>
              <w:pStyle w:val="49"/>
              <w:tabs>
                <w:tab w:val="left" w:pos="180"/>
              </w:tabs>
              <w:spacing w:line="360" w:lineRule="auto"/>
              <w:jc w:val="center"/>
              <w:rPr>
                <w:rFonts w:hint="eastAsia" w:ascii="宋体" w:hAnsi="宋体" w:eastAsia="宋体" w:cs="宋体"/>
                <w:color w:val="auto"/>
                <w:kern w:val="2"/>
                <w:sz w:val="24"/>
                <w:szCs w:val="24"/>
                <w:highlight w:val="none"/>
                <w:shd w:val="clear" w:color="auto" w:fill="auto"/>
                <w:lang w:val="en-US" w:eastAsia="zh-CN" w:bidi="ar-SA"/>
              </w:rPr>
            </w:pPr>
          </w:p>
        </w:tc>
        <w:tc>
          <w:tcPr>
            <w:tcW w:w="836" w:type="dxa"/>
            <w:tcBorders>
              <w:top w:val="single" w:color="000000" w:sz="4" w:space="0"/>
              <w:left w:val="single" w:color="000000" w:sz="4" w:space="0"/>
              <w:bottom w:val="single" w:color="000000" w:sz="4" w:space="0"/>
              <w:right w:val="single" w:color="000000" w:sz="4" w:space="0"/>
            </w:tcBorders>
            <w:vAlign w:val="center"/>
          </w:tcPr>
          <w:p>
            <w:pPr>
              <w:pStyle w:val="49"/>
              <w:tabs>
                <w:tab w:val="left" w:pos="180"/>
              </w:tabs>
              <w:spacing w:line="360" w:lineRule="auto"/>
              <w:jc w:val="center"/>
              <w:rPr>
                <w:rFonts w:hint="eastAsia" w:ascii="宋体" w:hAnsi="宋体" w:eastAsia="宋体" w:cs="宋体"/>
                <w:color w:val="auto"/>
                <w:kern w:val="2"/>
                <w:sz w:val="24"/>
                <w:szCs w:val="24"/>
                <w:highlight w:val="none"/>
                <w:shd w:val="clear" w:color="auto" w:fill="auto"/>
                <w:lang w:val="en-US" w:eastAsia="zh-CN" w:bidi="ar-SA"/>
              </w:rPr>
            </w:pPr>
          </w:p>
        </w:tc>
        <w:tc>
          <w:tcPr>
            <w:tcW w:w="1275" w:type="dxa"/>
            <w:tcBorders>
              <w:top w:val="single" w:color="000000" w:sz="4" w:space="0"/>
              <w:left w:val="single" w:color="000000" w:sz="4" w:space="0"/>
              <w:bottom w:val="single" w:color="000000" w:sz="4" w:space="0"/>
              <w:right w:val="single" w:color="000000" w:sz="4" w:space="0"/>
            </w:tcBorders>
            <w:vAlign w:val="center"/>
          </w:tcPr>
          <w:p>
            <w:pPr>
              <w:pStyle w:val="49"/>
              <w:tabs>
                <w:tab w:val="left" w:pos="180"/>
              </w:tabs>
              <w:spacing w:line="360" w:lineRule="auto"/>
              <w:jc w:val="center"/>
              <w:rPr>
                <w:rFonts w:hint="eastAsia" w:ascii="宋体" w:hAnsi="宋体" w:eastAsia="宋体" w:cs="宋体"/>
                <w:color w:val="auto"/>
                <w:kern w:val="2"/>
                <w:sz w:val="24"/>
                <w:szCs w:val="24"/>
                <w:highlight w:val="none"/>
                <w:shd w:val="clear" w:color="auto" w:fill="auto"/>
                <w:lang w:val="en-US" w:eastAsia="zh-CN" w:bidi="ar-SA"/>
              </w:rPr>
            </w:pPr>
          </w:p>
        </w:tc>
        <w:tc>
          <w:tcPr>
            <w:tcW w:w="1317" w:type="dxa"/>
            <w:tcBorders>
              <w:top w:val="single" w:color="000000" w:sz="4" w:space="0"/>
              <w:left w:val="single" w:color="000000" w:sz="4" w:space="0"/>
              <w:bottom w:val="single" w:color="000000" w:sz="4" w:space="0"/>
              <w:right w:val="single" w:color="000000" w:sz="4" w:space="0"/>
            </w:tcBorders>
            <w:vAlign w:val="center"/>
          </w:tcPr>
          <w:p>
            <w:pPr>
              <w:pStyle w:val="49"/>
              <w:tabs>
                <w:tab w:val="left" w:pos="180"/>
              </w:tabs>
              <w:spacing w:line="360" w:lineRule="auto"/>
              <w:jc w:val="center"/>
              <w:rPr>
                <w:rFonts w:hint="eastAsia" w:ascii="宋体" w:hAnsi="宋体" w:eastAsia="宋体" w:cs="宋体"/>
                <w:color w:val="auto"/>
                <w:kern w:val="2"/>
                <w:sz w:val="24"/>
                <w:szCs w:val="24"/>
                <w:highlight w:val="none"/>
                <w:shd w:val="clear" w:color="auto" w:fill="auto"/>
                <w:lang w:val="en-US" w:eastAsia="zh-CN" w:bidi="ar-SA"/>
              </w:rPr>
            </w:pPr>
          </w:p>
        </w:tc>
      </w:tr>
    </w:tbl>
    <w:p>
      <w:pPr>
        <w:pStyle w:val="49"/>
        <w:spacing w:line="360" w:lineRule="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 xml:space="preserve">（按实结算，最终结算价=投标报价*实际完成量) </w:t>
      </w:r>
    </w:p>
    <w:p>
      <w:pPr>
        <w:spacing w:line="360" w:lineRule="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注：1、实际供货数量根据项目实际需求，以采购人的书面通知或传真为准</w:t>
      </w:r>
    </w:p>
    <w:p>
      <w:pPr>
        <w:spacing w:line="360" w:lineRule="auto"/>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2本项目采用固定综合单价合同，按实结算。合同期间综合单价不予调整。</w:t>
      </w:r>
    </w:p>
    <w:p>
      <w:pPr>
        <w:numPr>
          <w:ilvl w:val="0"/>
          <w:numId w:val="9"/>
        </w:numPr>
        <w:spacing w:line="360" w:lineRule="auto"/>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以上综合单价包括项目实施所有费用如调研、软件设计、系统开发、系统集成、测试、实施部署、硬件（货物）、硬件（货物）运输、安装、调试、人工费（包括工人工资、奖金、社保、工伤费、教育培训费、暂住费及处理一切伤亡事故等费用）、工具材料费、培训、维护、税费等所有费用。</w:t>
      </w:r>
    </w:p>
    <w:p>
      <w:pPr>
        <w:spacing w:line="360" w:lineRule="auto"/>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二、组成合同的文件</w:t>
      </w:r>
    </w:p>
    <w:p>
      <w:pPr>
        <w:spacing w:line="360" w:lineRule="auto"/>
        <w:ind w:firstLine="480" w:firstLineChars="200"/>
        <w:jc w:val="left"/>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1. 组成本合同的文件包括：</w:t>
      </w:r>
    </w:p>
    <w:p>
      <w:pPr>
        <w:spacing w:line="360" w:lineRule="auto"/>
        <w:ind w:firstLine="480" w:firstLineChars="200"/>
        <w:jc w:val="left"/>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1.1本合同条款</w:t>
      </w:r>
    </w:p>
    <w:p>
      <w:pPr>
        <w:spacing w:line="360" w:lineRule="auto"/>
        <w:ind w:firstLine="480" w:firstLineChars="200"/>
        <w:jc w:val="left"/>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1.2中标（成交）通知书</w:t>
      </w:r>
    </w:p>
    <w:p>
      <w:pPr>
        <w:spacing w:line="360" w:lineRule="auto"/>
        <w:ind w:firstLine="480" w:firstLineChars="200"/>
        <w:jc w:val="left"/>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1.3采购文件</w:t>
      </w:r>
    </w:p>
    <w:p>
      <w:pPr>
        <w:spacing w:line="360" w:lineRule="auto"/>
        <w:ind w:firstLine="480" w:firstLineChars="200"/>
        <w:jc w:val="left"/>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1.4标准、规范及有关技术文件</w:t>
      </w:r>
    </w:p>
    <w:p>
      <w:pPr>
        <w:spacing w:line="360" w:lineRule="auto"/>
        <w:ind w:firstLine="480" w:firstLineChars="200"/>
        <w:jc w:val="left"/>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1.5投标响应文件</w:t>
      </w:r>
    </w:p>
    <w:p>
      <w:pPr>
        <w:spacing w:line="360" w:lineRule="auto"/>
        <w:ind w:firstLine="480" w:firstLineChars="200"/>
        <w:jc w:val="left"/>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双方有关本项目的洽商、变更、调整等书面协议或文件视为本合同的组成部分。</w:t>
      </w:r>
    </w:p>
    <w:p>
      <w:pPr>
        <w:spacing w:line="360" w:lineRule="auto"/>
        <w:ind w:firstLine="480" w:firstLineChars="200"/>
        <w:jc w:val="left"/>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2.本合同文件解释</w:t>
      </w:r>
    </w:p>
    <w:p>
      <w:pPr>
        <w:spacing w:line="360" w:lineRule="auto"/>
        <w:ind w:firstLine="480" w:firstLineChars="200"/>
        <w:jc w:val="left"/>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解释合同文件的优先顺序按第1款顺序，当合同文件出现含糊不清或不一致时，由双方协商解决。</w:t>
      </w:r>
    </w:p>
    <w:p>
      <w:pPr>
        <w:spacing w:line="360" w:lineRule="auto"/>
        <w:ind w:firstLine="480" w:firstLineChars="200"/>
        <w:jc w:val="left"/>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3.适用的法律、法规和规章</w:t>
      </w:r>
    </w:p>
    <w:p>
      <w:pPr>
        <w:spacing w:line="360" w:lineRule="auto"/>
        <w:ind w:firstLine="480" w:firstLineChars="200"/>
        <w:jc w:val="left"/>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适用于本合同的法律、法规和规章是中华人民共和国法律、行政法规以及国务院有关部门的规章和地方法规和规章。</w:t>
      </w:r>
    </w:p>
    <w:p>
      <w:pPr>
        <w:spacing w:line="360" w:lineRule="auto"/>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三、质量保证</w:t>
      </w:r>
    </w:p>
    <w:p>
      <w:pPr>
        <w:spacing w:line="360" w:lineRule="auto"/>
        <w:ind w:firstLine="480" w:firstLineChars="200"/>
        <w:jc w:val="left"/>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乙方保证本合同中所供应的货物符合国家技术规格和质量标准的出厂合格产品；如发生所供商品与合同不符，甲方有权拒收或退货，由此产生的一切责任和后果由乙方承担。</w:t>
      </w:r>
    </w:p>
    <w:p>
      <w:pPr>
        <w:spacing w:line="360" w:lineRule="auto"/>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四、交货地点、时间及要求</w:t>
      </w:r>
    </w:p>
    <w:p>
      <w:pPr>
        <w:spacing w:line="360" w:lineRule="auto"/>
        <w:ind w:firstLine="480" w:firstLineChars="200"/>
        <w:jc w:val="left"/>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交货地点：甲方指定地点</w:t>
      </w:r>
    </w:p>
    <w:p>
      <w:pPr>
        <w:numPr>
          <w:ilvl w:val="0"/>
          <w:numId w:val="10"/>
        </w:numPr>
        <w:spacing w:line="360" w:lineRule="auto"/>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履约保证金</w:t>
      </w:r>
    </w:p>
    <w:p>
      <w:pPr>
        <w:spacing w:line="360" w:lineRule="auto"/>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签订合同前，乙方向甲方缴纳</w:t>
      </w:r>
      <w:r>
        <w:rPr>
          <w:rFonts w:hint="eastAsia" w:ascii="宋体" w:hAnsi="宋体" w:eastAsia="宋体" w:cs="宋体"/>
          <w:color w:val="auto"/>
          <w:kern w:val="2"/>
          <w:sz w:val="24"/>
          <w:szCs w:val="24"/>
          <w:highlight w:val="none"/>
          <w:u w:val="single"/>
          <w:shd w:val="clear" w:color="auto" w:fill="auto"/>
          <w:lang w:val="en-US" w:eastAsia="zh-CN" w:bidi="ar-SA"/>
        </w:rPr>
        <w:t xml:space="preserve">       </w:t>
      </w:r>
      <w:r>
        <w:rPr>
          <w:rFonts w:hint="eastAsia" w:ascii="宋体" w:hAnsi="宋体" w:eastAsia="宋体" w:cs="宋体"/>
          <w:color w:val="auto"/>
          <w:kern w:val="2"/>
          <w:sz w:val="24"/>
          <w:szCs w:val="24"/>
          <w:highlight w:val="none"/>
          <w:shd w:val="clear" w:color="auto" w:fill="auto"/>
          <w:lang w:val="en-US" w:eastAsia="zh-CN" w:bidi="ar-SA"/>
        </w:rPr>
        <w:t>元作为履约保证金，质保期满后如无质量问题则无息退还。</w:t>
      </w:r>
    </w:p>
    <w:p>
      <w:pPr>
        <w:numPr>
          <w:ilvl w:val="0"/>
          <w:numId w:val="10"/>
        </w:numPr>
        <w:spacing w:line="360" w:lineRule="auto"/>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付款方式：</w:t>
      </w:r>
    </w:p>
    <w:p>
      <w:pPr>
        <w:spacing w:line="360" w:lineRule="auto"/>
        <w:ind w:firstLine="480" w:firstLineChars="200"/>
        <w:jc w:val="left"/>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甲方在合同生效</w:t>
      </w:r>
      <w:r>
        <w:rPr>
          <w:rFonts w:hint="eastAsia" w:ascii="宋体" w:hAnsi="宋体" w:eastAsia="宋体" w:cs="宋体"/>
          <w:color w:val="auto"/>
          <w:sz w:val="24"/>
          <w:szCs w:val="24"/>
          <w:highlight w:val="none"/>
          <w:lang w:val="en-US" w:eastAsia="zh-CN"/>
        </w:rPr>
        <w:t>以及具备实施条件</w:t>
      </w:r>
      <w:r>
        <w:rPr>
          <w:rFonts w:hint="eastAsia" w:ascii="宋体" w:hAnsi="宋体" w:eastAsia="宋体" w:cs="宋体"/>
          <w:color w:val="auto"/>
          <w:sz w:val="24"/>
          <w:szCs w:val="24"/>
          <w:highlight w:val="none"/>
        </w:rPr>
        <w:t>后</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个工作日内</w:t>
      </w:r>
      <w:r>
        <w:rPr>
          <w:rFonts w:hint="eastAsia" w:ascii="宋体" w:hAnsi="宋体" w:eastAsia="宋体" w:cs="宋体"/>
          <w:color w:val="auto"/>
          <w:kern w:val="2"/>
          <w:sz w:val="24"/>
          <w:szCs w:val="24"/>
          <w:highlight w:val="none"/>
          <w:shd w:val="clear" w:color="auto" w:fill="auto"/>
          <w:lang w:val="en-US" w:eastAsia="zh-CN" w:bidi="ar-SA"/>
        </w:rPr>
        <w:t>支付至合同总价的40%作为预付款</w:t>
      </w:r>
      <w:r>
        <w:rPr>
          <w:rFonts w:hint="eastAsia" w:ascii="宋体" w:hAnsi="宋体" w:cs="宋体"/>
          <w:color w:val="auto"/>
          <w:kern w:val="2"/>
          <w:sz w:val="24"/>
          <w:szCs w:val="24"/>
          <w:highlight w:val="none"/>
          <w:shd w:val="clear" w:color="auto" w:fill="auto"/>
          <w:lang w:val="en-US" w:eastAsia="zh-CN" w:bidi="ar-SA"/>
        </w:rPr>
        <w:t>；</w:t>
      </w:r>
    </w:p>
    <w:p>
      <w:pPr>
        <w:spacing w:line="360" w:lineRule="auto"/>
        <w:ind w:firstLine="480" w:firstLineChars="200"/>
        <w:jc w:val="left"/>
        <w:rPr>
          <w:rFonts w:hint="eastAsia" w:ascii="宋体" w:hAnsi="宋体" w:cs="宋体"/>
          <w:color w:val="auto"/>
          <w:kern w:val="2"/>
          <w:sz w:val="24"/>
          <w:szCs w:val="24"/>
          <w:highlight w:val="none"/>
          <w:shd w:val="clear" w:color="auto" w:fill="auto"/>
          <w:lang w:val="en-US" w:eastAsia="zh-CN" w:bidi="ar-SA"/>
        </w:rPr>
      </w:pPr>
      <w:r>
        <w:rPr>
          <w:rFonts w:hint="eastAsia" w:ascii="宋体" w:hAnsi="宋体" w:cs="宋体"/>
          <w:color w:val="auto"/>
          <w:kern w:val="2"/>
          <w:sz w:val="24"/>
          <w:szCs w:val="24"/>
          <w:highlight w:val="none"/>
          <w:shd w:val="clear" w:color="auto" w:fill="auto"/>
          <w:lang w:val="en-US" w:eastAsia="zh-CN" w:bidi="ar-SA"/>
        </w:rPr>
        <w:t>2.</w:t>
      </w:r>
      <w:r>
        <w:rPr>
          <w:rFonts w:hint="eastAsia" w:ascii="宋体" w:hAnsi="宋体" w:eastAsia="宋体" w:cs="宋体"/>
          <w:color w:val="auto"/>
          <w:kern w:val="2"/>
          <w:sz w:val="24"/>
          <w:szCs w:val="24"/>
          <w:highlight w:val="none"/>
          <w:shd w:val="clear" w:color="auto" w:fill="auto"/>
          <w:lang w:val="en-US" w:eastAsia="zh-CN" w:bidi="ar-SA"/>
        </w:rPr>
        <w:t>货到安装</w:t>
      </w:r>
      <w:r>
        <w:rPr>
          <w:rFonts w:hint="eastAsia" w:ascii="宋体" w:hAnsi="宋体" w:cs="宋体"/>
          <w:color w:val="auto"/>
          <w:kern w:val="2"/>
          <w:sz w:val="24"/>
          <w:szCs w:val="24"/>
          <w:highlight w:val="none"/>
          <w:shd w:val="clear" w:color="auto" w:fill="auto"/>
          <w:lang w:val="en-US" w:eastAsia="zh-CN" w:bidi="ar-SA"/>
        </w:rPr>
        <w:t>、调试</w:t>
      </w:r>
      <w:r>
        <w:rPr>
          <w:rFonts w:hint="eastAsia" w:ascii="宋体" w:hAnsi="宋体" w:eastAsia="宋体" w:cs="宋体"/>
          <w:color w:val="auto"/>
          <w:kern w:val="2"/>
          <w:sz w:val="24"/>
          <w:szCs w:val="24"/>
          <w:highlight w:val="none"/>
          <w:shd w:val="clear" w:color="auto" w:fill="auto"/>
          <w:lang w:val="en-US" w:eastAsia="zh-CN" w:bidi="ar-SA"/>
        </w:rPr>
        <w:t>完成</w:t>
      </w:r>
      <w:r>
        <w:rPr>
          <w:rFonts w:hint="eastAsia" w:ascii="宋体" w:hAnsi="宋体" w:cs="宋体"/>
          <w:color w:val="auto"/>
          <w:kern w:val="2"/>
          <w:sz w:val="24"/>
          <w:szCs w:val="24"/>
          <w:highlight w:val="none"/>
          <w:shd w:val="clear" w:color="auto" w:fill="auto"/>
          <w:lang w:val="en-US" w:eastAsia="zh-CN" w:bidi="ar-SA"/>
        </w:rPr>
        <w:t>后</w:t>
      </w:r>
      <w:r>
        <w:rPr>
          <w:rFonts w:hint="eastAsia" w:ascii="宋体" w:hAnsi="宋体" w:eastAsia="宋体" w:cs="宋体"/>
          <w:color w:val="auto"/>
          <w:kern w:val="2"/>
          <w:sz w:val="24"/>
          <w:szCs w:val="24"/>
          <w:highlight w:val="none"/>
          <w:shd w:val="clear" w:color="auto" w:fill="auto"/>
          <w:lang w:val="en-US" w:eastAsia="zh-CN" w:bidi="ar-SA"/>
        </w:rPr>
        <w:t>支付至合同总价的</w:t>
      </w:r>
      <w:r>
        <w:rPr>
          <w:rFonts w:hint="eastAsia" w:ascii="宋体" w:hAnsi="宋体" w:cs="宋体"/>
          <w:color w:val="auto"/>
          <w:kern w:val="2"/>
          <w:sz w:val="24"/>
          <w:szCs w:val="24"/>
          <w:highlight w:val="none"/>
          <w:shd w:val="clear" w:color="auto" w:fill="auto"/>
          <w:lang w:val="en-US" w:eastAsia="zh-CN" w:bidi="ar-SA"/>
        </w:rPr>
        <w:t>75</w:t>
      </w:r>
      <w:r>
        <w:rPr>
          <w:rFonts w:hint="eastAsia" w:ascii="宋体" w:hAnsi="宋体" w:eastAsia="宋体" w:cs="宋体"/>
          <w:color w:val="auto"/>
          <w:kern w:val="2"/>
          <w:sz w:val="24"/>
          <w:szCs w:val="24"/>
          <w:highlight w:val="none"/>
          <w:shd w:val="clear" w:color="auto" w:fill="auto"/>
          <w:lang w:val="en-US" w:eastAsia="zh-CN" w:bidi="ar-SA"/>
        </w:rPr>
        <w:t>%</w:t>
      </w:r>
      <w:r>
        <w:rPr>
          <w:rFonts w:hint="eastAsia" w:ascii="宋体" w:hAnsi="宋体" w:cs="宋体"/>
          <w:color w:val="auto"/>
          <w:kern w:val="2"/>
          <w:sz w:val="24"/>
          <w:szCs w:val="24"/>
          <w:highlight w:val="none"/>
          <w:shd w:val="clear" w:color="auto" w:fill="auto"/>
          <w:lang w:val="en-US" w:eastAsia="zh-CN" w:bidi="ar-SA"/>
        </w:rPr>
        <w:t>；</w:t>
      </w:r>
    </w:p>
    <w:p>
      <w:pPr>
        <w:pStyle w:val="20"/>
        <w:spacing w:line="360" w:lineRule="auto"/>
        <w:ind w:firstLine="480" w:firstLineChars="200"/>
        <w:rPr>
          <w:rFonts w:hint="eastAsia"/>
          <w:color w:val="auto"/>
          <w:sz w:val="24"/>
          <w:szCs w:val="24"/>
          <w:highlight w:val="none"/>
          <w:lang w:val="en-US" w:eastAsia="zh-CN"/>
        </w:rPr>
      </w:pPr>
      <w:r>
        <w:rPr>
          <w:rFonts w:hint="eastAsia" w:ascii="宋体" w:hAnsi="宋体" w:cs="宋体"/>
          <w:color w:val="auto"/>
          <w:kern w:val="2"/>
          <w:sz w:val="24"/>
          <w:szCs w:val="24"/>
          <w:highlight w:val="none"/>
          <w:shd w:val="clear" w:color="auto" w:fill="auto"/>
          <w:lang w:val="en-US" w:eastAsia="zh-CN" w:bidi="ar-SA"/>
        </w:rPr>
        <w:t>3.试运行两个月</w:t>
      </w:r>
      <w:r>
        <w:rPr>
          <w:rFonts w:hint="eastAsia" w:ascii="宋体" w:hAnsi="宋体" w:eastAsia="宋体" w:cs="宋体"/>
          <w:color w:val="auto"/>
          <w:kern w:val="2"/>
          <w:sz w:val="24"/>
          <w:szCs w:val="24"/>
          <w:highlight w:val="none"/>
          <w:shd w:val="clear" w:color="auto" w:fill="auto"/>
          <w:lang w:val="en-US" w:eastAsia="zh-CN" w:bidi="ar-SA"/>
        </w:rPr>
        <w:t>并</w:t>
      </w:r>
      <w:r>
        <w:rPr>
          <w:rFonts w:hint="eastAsia" w:ascii="宋体" w:hAnsi="宋体" w:cs="宋体"/>
          <w:color w:val="auto"/>
          <w:kern w:val="2"/>
          <w:sz w:val="24"/>
          <w:szCs w:val="24"/>
          <w:highlight w:val="none"/>
          <w:shd w:val="clear" w:color="auto" w:fill="auto"/>
          <w:lang w:val="en-US" w:eastAsia="zh-CN" w:bidi="ar-SA"/>
        </w:rPr>
        <w:t>初验完成</w:t>
      </w:r>
      <w:r>
        <w:rPr>
          <w:rFonts w:hint="eastAsia" w:ascii="宋体" w:hAnsi="宋体" w:eastAsia="宋体" w:cs="宋体"/>
          <w:color w:val="auto"/>
          <w:kern w:val="2"/>
          <w:sz w:val="24"/>
          <w:szCs w:val="24"/>
          <w:highlight w:val="none"/>
          <w:shd w:val="clear" w:color="auto" w:fill="auto"/>
          <w:lang w:val="en-US" w:eastAsia="zh-CN" w:bidi="ar-SA"/>
        </w:rPr>
        <w:t>后</w:t>
      </w:r>
      <w:r>
        <w:rPr>
          <w:rFonts w:hint="eastAsia" w:ascii="宋体" w:hAnsi="宋体" w:cs="宋体"/>
          <w:color w:val="auto"/>
          <w:kern w:val="2"/>
          <w:sz w:val="24"/>
          <w:szCs w:val="24"/>
          <w:highlight w:val="none"/>
          <w:shd w:val="clear" w:color="auto" w:fill="auto"/>
          <w:lang w:val="en-US" w:eastAsia="zh-CN" w:bidi="ar-SA"/>
        </w:rPr>
        <w:t>支付至</w:t>
      </w:r>
      <w:r>
        <w:rPr>
          <w:rFonts w:hint="eastAsia" w:ascii="宋体" w:hAnsi="宋体" w:eastAsia="宋体" w:cs="宋体"/>
          <w:color w:val="auto"/>
          <w:kern w:val="2"/>
          <w:sz w:val="24"/>
          <w:szCs w:val="24"/>
          <w:highlight w:val="none"/>
          <w:shd w:val="clear" w:color="auto" w:fill="auto"/>
          <w:lang w:val="en-US" w:eastAsia="zh-CN" w:bidi="ar-SA"/>
        </w:rPr>
        <w:t>合同总价的</w:t>
      </w:r>
      <w:r>
        <w:rPr>
          <w:rFonts w:hint="eastAsia" w:ascii="宋体" w:hAnsi="宋体" w:cs="宋体"/>
          <w:color w:val="auto"/>
          <w:kern w:val="2"/>
          <w:sz w:val="24"/>
          <w:szCs w:val="24"/>
          <w:highlight w:val="none"/>
          <w:shd w:val="clear" w:color="auto" w:fill="auto"/>
          <w:lang w:val="en-US" w:eastAsia="zh-CN" w:bidi="ar-SA"/>
        </w:rPr>
        <w:t>90</w:t>
      </w:r>
      <w:r>
        <w:rPr>
          <w:rFonts w:hint="eastAsia" w:ascii="宋体" w:hAnsi="宋体" w:eastAsia="宋体" w:cs="宋体"/>
          <w:color w:val="auto"/>
          <w:kern w:val="2"/>
          <w:sz w:val="24"/>
          <w:szCs w:val="24"/>
          <w:highlight w:val="none"/>
          <w:shd w:val="clear" w:color="auto" w:fill="auto"/>
          <w:lang w:val="en-US" w:eastAsia="zh-CN" w:bidi="ar-SA"/>
        </w:rPr>
        <w:t>%</w:t>
      </w:r>
      <w:r>
        <w:rPr>
          <w:rFonts w:hint="eastAsia" w:ascii="宋体" w:hAnsi="宋体" w:cs="宋体"/>
          <w:color w:val="auto"/>
          <w:kern w:val="2"/>
          <w:sz w:val="24"/>
          <w:szCs w:val="24"/>
          <w:highlight w:val="none"/>
          <w:shd w:val="clear" w:color="auto" w:fill="auto"/>
          <w:lang w:val="en-US" w:eastAsia="zh-CN" w:bidi="ar-SA"/>
        </w:rPr>
        <w:t>；</w:t>
      </w:r>
    </w:p>
    <w:p>
      <w:pPr>
        <w:pStyle w:val="20"/>
        <w:spacing w:line="360" w:lineRule="auto"/>
        <w:ind w:firstLine="480" w:firstLineChars="200"/>
        <w:rPr>
          <w:rFonts w:hint="eastAsia" w:ascii="宋体" w:hAnsi="宋体" w:cs="宋体"/>
          <w:color w:val="auto"/>
          <w:kern w:val="2"/>
          <w:sz w:val="24"/>
          <w:szCs w:val="24"/>
          <w:highlight w:val="none"/>
          <w:shd w:val="clear" w:color="auto" w:fill="auto"/>
          <w:lang w:val="en-US" w:eastAsia="zh-CN" w:bidi="ar-SA"/>
        </w:rPr>
      </w:pPr>
      <w:r>
        <w:rPr>
          <w:rFonts w:hint="eastAsia" w:ascii="宋体" w:hAnsi="宋体" w:cs="宋体"/>
          <w:color w:val="auto"/>
          <w:kern w:val="2"/>
          <w:sz w:val="24"/>
          <w:szCs w:val="24"/>
          <w:highlight w:val="none"/>
          <w:shd w:val="clear" w:color="auto" w:fill="auto"/>
          <w:lang w:val="en-US" w:eastAsia="zh-CN" w:bidi="ar-SA"/>
        </w:rPr>
        <w:t>4.验收合格后（除驻点人员服务费外）支付至结算</w:t>
      </w:r>
      <w:r>
        <w:rPr>
          <w:rFonts w:hint="eastAsia" w:ascii="宋体" w:hAnsi="宋体" w:eastAsia="宋体" w:cs="宋体"/>
          <w:color w:val="auto"/>
          <w:kern w:val="2"/>
          <w:sz w:val="24"/>
          <w:szCs w:val="24"/>
          <w:highlight w:val="none"/>
          <w:shd w:val="clear" w:color="auto" w:fill="auto"/>
          <w:lang w:val="en-US" w:eastAsia="zh-CN" w:bidi="ar-SA"/>
        </w:rPr>
        <w:t>价的</w:t>
      </w:r>
      <w:r>
        <w:rPr>
          <w:rFonts w:hint="eastAsia" w:ascii="宋体" w:hAnsi="宋体" w:cs="宋体"/>
          <w:color w:val="auto"/>
          <w:kern w:val="2"/>
          <w:sz w:val="24"/>
          <w:szCs w:val="24"/>
          <w:highlight w:val="none"/>
          <w:shd w:val="clear" w:color="auto" w:fill="auto"/>
          <w:lang w:val="en-US" w:eastAsia="zh-CN" w:bidi="ar-SA"/>
        </w:rPr>
        <w:t>100</w:t>
      </w:r>
      <w:r>
        <w:rPr>
          <w:rFonts w:hint="eastAsia" w:ascii="宋体" w:hAnsi="宋体" w:eastAsia="宋体" w:cs="宋体"/>
          <w:color w:val="auto"/>
          <w:kern w:val="2"/>
          <w:sz w:val="24"/>
          <w:szCs w:val="24"/>
          <w:highlight w:val="none"/>
          <w:shd w:val="clear" w:color="auto" w:fill="auto"/>
          <w:lang w:val="en-US" w:eastAsia="zh-CN" w:bidi="ar-SA"/>
        </w:rPr>
        <w:t>%</w:t>
      </w:r>
      <w:r>
        <w:rPr>
          <w:rFonts w:hint="eastAsia" w:ascii="宋体" w:hAnsi="宋体" w:cs="宋体"/>
          <w:color w:val="auto"/>
          <w:kern w:val="2"/>
          <w:sz w:val="24"/>
          <w:szCs w:val="24"/>
          <w:highlight w:val="none"/>
          <w:shd w:val="clear" w:color="auto" w:fill="auto"/>
          <w:lang w:val="en-US" w:eastAsia="zh-CN" w:bidi="ar-SA"/>
        </w:rPr>
        <w:t>；</w:t>
      </w:r>
    </w:p>
    <w:p>
      <w:pPr>
        <w:pStyle w:val="19"/>
        <w:spacing w:line="360" w:lineRule="auto"/>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5.驻点人员服务费按中标人投标报价，经采购人考核合格后逐年支付。</w:t>
      </w:r>
    </w:p>
    <w:p>
      <w:pPr>
        <w:pStyle w:val="20"/>
        <w:spacing w:line="360" w:lineRule="auto"/>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七、质保期</w:t>
      </w:r>
    </w:p>
    <w:p>
      <w:pPr>
        <w:pStyle w:val="20"/>
        <w:spacing w:line="360" w:lineRule="auto"/>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 xml:space="preserve">    验收合格之日起提供</w:t>
      </w:r>
      <w:r>
        <w:rPr>
          <w:rFonts w:hint="eastAsia" w:ascii="宋体" w:hAnsi="宋体" w:eastAsia="宋体" w:cs="宋体"/>
          <w:color w:val="auto"/>
          <w:kern w:val="2"/>
          <w:sz w:val="24"/>
          <w:szCs w:val="24"/>
          <w:highlight w:val="none"/>
          <w:u w:val="single"/>
          <w:shd w:val="clear" w:color="auto" w:fill="auto"/>
          <w:lang w:val="en-US" w:eastAsia="zh-CN" w:bidi="ar-SA"/>
        </w:rPr>
        <w:t xml:space="preserve">      </w:t>
      </w:r>
      <w:r>
        <w:rPr>
          <w:rFonts w:hint="eastAsia" w:ascii="宋体" w:hAnsi="宋体" w:eastAsia="宋体" w:cs="宋体"/>
          <w:color w:val="auto"/>
          <w:kern w:val="2"/>
          <w:sz w:val="24"/>
          <w:szCs w:val="24"/>
          <w:highlight w:val="none"/>
          <w:shd w:val="clear" w:color="auto" w:fill="auto"/>
          <w:lang w:val="en-US" w:eastAsia="zh-CN" w:bidi="ar-SA"/>
        </w:rPr>
        <w:t>年免费质保。</w:t>
      </w:r>
    </w:p>
    <w:p>
      <w:pPr>
        <w:pStyle w:val="20"/>
        <w:spacing w:line="360" w:lineRule="auto"/>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八、验收</w:t>
      </w:r>
    </w:p>
    <w:p>
      <w:pPr>
        <w:pStyle w:val="20"/>
        <w:spacing w:line="360" w:lineRule="auto"/>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 xml:space="preserve">  </w:t>
      </w:r>
      <w:r>
        <w:rPr>
          <w:rFonts w:hint="eastAsia" w:ascii="宋体" w:hAnsi="宋体" w:cs="宋体"/>
          <w:color w:val="auto"/>
          <w:kern w:val="2"/>
          <w:sz w:val="24"/>
          <w:szCs w:val="24"/>
          <w:highlight w:val="none"/>
          <w:shd w:val="clear" w:color="auto" w:fill="auto"/>
          <w:lang w:val="en-US" w:eastAsia="zh-CN" w:bidi="ar-SA"/>
        </w:rPr>
        <w:t xml:space="preserve"> </w:t>
      </w:r>
      <w:r>
        <w:rPr>
          <w:rFonts w:hint="eastAsia" w:ascii="宋体" w:hAnsi="宋体" w:eastAsia="宋体" w:cs="宋体"/>
          <w:color w:val="auto"/>
          <w:kern w:val="2"/>
          <w:sz w:val="24"/>
          <w:szCs w:val="24"/>
          <w:highlight w:val="none"/>
          <w:shd w:val="clear" w:color="auto" w:fill="auto"/>
          <w:lang w:val="en-US" w:eastAsia="zh-CN" w:bidi="ar-SA"/>
        </w:rPr>
        <w:t xml:space="preserve"> </w:t>
      </w:r>
      <w:r>
        <w:rPr>
          <w:rFonts w:hint="eastAsia" w:ascii="宋体" w:hAnsi="宋体" w:cs="宋体"/>
          <w:color w:val="auto"/>
          <w:kern w:val="2"/>
          <w:sz w:val="24"/>
          <w:szCs w:val="24"/>
          <w:highlight w:val="none"/>
          <w:shd w:val="clear" w:color="auto" w:fill="auto"/>
          <w:lang w:val="en-US" w:eastAsia="zh-CN" w:bidi="ar-SA"/>
        </w:rPr>
        <w:t>1.</w:t>
      </w:r>
      <w:r>
        <w:rPr>
          <w:rFonts w:hint="eastAsia" w:ascii="宋体" w:hAnsi="宋体" w:eastAsia="宋体" w:cs="宋体"/>
          <w:color w:val="auto"/>
          <w:kern w:val="2"/>
          <w:sz w:val="24"/>
          <w:szCs w:val="24"/>
          <w:highlight w:val="none"/>
          <w:shd w:val="clear" w:color="auto" w:fill="auto"/>
          <w:lang w:val="en-US" w:eastAsia="zh-CN" w:bidi="ar-SA"/>
        </w:rPr>
        <w:t>验收由甲方按规定组织相关人员进行验收。</w:t>
      </w:r>
    </w:p>
    <w:p>
      <w:pPr>
        <w:pStyle w:val="20"/>
        <w:spacing w:line="360" w:lineRule="auto"/>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cs="宋体"/>
          <w:color w:val="auto"/>
          <w:kern w:val="2"/>
          <w:sz w:val="24"/>
          <w:szCs w:val="24"/>
          <w:highlight w:val="none"/>
          <w:shd w:val="clear" w:color="auto" w:fill="auto"/>
          <w:lang w:val="en-US" w:eastAsia="zh-CN" w:bidi="ar-SA"/>
        </w:rPr>
        <w:t>2.</w:t>
      </w:r>
      <w:r>
        <w:rPr>
          <w:rFonts w:hint="eastAsia" w:ascii="宋体" w:hAnsi="宋体" w:eastAsia="宋体" w:cs="宋体"/>
          <w:color w:val="auto"/>
          <w:kern w:val="2"/>
          <w:sz w:val="24"/>
          <w:szCs w:val="24"/>
          <w:highlight w:val="none"/>
          <w:shd w:val="clear" w:color="auto" w:fill="auto"/>
          <w:lang w:val="en-US" w:eastAsia="zh-CN" w:bidi="ar-SA"/>
        </w:rPr>
        <w:t>甲方依据采购文件上的技术规格要求和国家有关质量标准进行现场验收。验收合格后由甲方在验收单上签字并加盖单位公章。</w:t>
      </w:r>
    </w:p>
    <w:p>
      <w:pPr>
        <w:pStyle w:val="20"/>
        <w:spacing w:line="360" w:lineRule="auto"/>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 xml:space="preserve">    </w:t>
      </w:r>
      <w:r>
        <w:rPr>
          <w:rFonts w:hint="eastAsia" w:ascii="宋体" w:hAnsi="宋体" w:cs="宋体"/>
          <w:color w:val="auto"/>
          <w:kern w:val="2"/>
          <w:sz w:val="24"/>
          <w:szCs w:val="24"/>
          <w:highlight w:val="none"/>
          <w:shd w:val="clear" w:color="auto" w:fill="auto"/>
          <w:lang w:val="en-US" w:eastAsia="zh-CN" w:bidi="ar-SA"/>
        </w:rPr>
        <w:t>3.</w:t>
      </w:r>
      <w:r>
        <w:rPr>
          <w:rFonts w:hint="eastAsia" w:ascii="宋体" w:hAnsi="宋体" w:eastAsia="宋体" w:cs="宋体"/>
          <w:color w:val="auto"/>
          <w:kern w:val="2"/>
          <w:sz w:val="24"/>
          <w:szCs w:val="24"/>
          <w:highlight w:val="none"/>
          <w:shd w:val="clear" w:color="auto" w:fill="auto"/>
          <w:lang w:val="en-US" w:eastAsia="zh-CN" w:bidi="ar-SA"/>
        </w:rPr>
        <w:t>验收时乙方必须在现场，验收费用由乙方负责。</w:t>
      </w:r>
    </w:p>
    <w:p>
      <w:pPr>
        <w:pStyle w:val="20"/>
        <w:spacing w:line="360" w:lineRule="auto"/>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九、质量保证及后续服务</w:t>
      </w:r>
    </w:p>
    <w:p>
      <w:pPr>
        <w:pStyle w:val="20"/>
        <w:spacing w:line="360" w:lineRule="auto"/>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 xml:space="preserve">   </w:t>
      </w:r>
      <w:r>
        <w:rPr>
          <w:rFonts w:hint="eastAsia" w:ascii="宋体" w:hAnsi="宋体" w:cs="宋体"/>
          <w:color w:val="auto"/>
          <w:kern w:val="2"/>
          <w:sz w:val="24"/>
          <w:szCs w:val="24"/>
          <w:highlight w:val="none"/>
          <w:shd w:val="clear" w:color="auto" w:fill="auto"/>
          <w:lang w:val="en-US" w:eastAsia="zh-CN" w:bidi="ar-SA"/>
        </w:rPr>
        <w:t>1.</w:t>
      </w:r>
      <w:r>
        <w:rPr>
          <w:rFonts w:hint="eastAsia" w:ascii="宋体" w:hAnsi="宋体" w:eastAsia="宋体" w:cs="宋体"/>
          <w:color w:val="auto"/>
          <w:kern w:val="2"/>
          <w:sz w:val="24"/>
          <w:szCs w:val="24"/>
          <w:highlight w:val="none"/>
          <w:shd w:val="clear" w:color="auto" w:fill="auto"/>
          <w:lang w:val="en-US" w:eastAsia="zh-CN" w:bidi="ar-SA"/>
        </w:rPr>
        <w:t>乙方应按采购文件规定的货物性能、技术要求、质量标准向甲方提供未经使用的全新产品。</w:t>
      </w:r>
    </w:p>
    <w:p>
      <w:pPr>
        <w:pStyle w:val="20"/>
        <w:spacing w:line="360" w:lineRule="auto"/>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 xml:space="preserve">    </w:t>
      </w:r>
      <w:r>
        <w:rPr>
          <w:rFonts w:hint="eastAsia" w:ascii="宋体" w:hAnsi="宋体" w:cs="宋体"/>
          <w:color w:val="auto"/>
          <w:kern w:val="2"/>
          <w:sz w:val="24"/>
          <w:szCs w:val="24"/>
          <w:highlight w:val="none"/>
          <w:shd w:val="clear" w:color="auto" w:fill="auto"/>
          <w:lang w:val="en-US" w:eastAsia="zh-CN" w:bidi="ar-SA"/>
        </w:rPr>
        <w:t>2.</w:t>
      </w:r>
      <w:r>
        <w:rPr>
          <w:rFonts w:hint="eastAsia" w:ascii="宋体" w:hAnsi="宋体" w:eastAsia="宋体" w:cs="宋体"/>
          <w:color w:val="auto"/>
          <w:kern w:val="2"/>
          <w:sz w:val="24"/>
          <w:szCs w:val="24"/>
          <w:highlight w:val="none"/>
          <w:shd w:val="clear" w:color="auto" w:fill="auto"/>
          <w:lang w:val="en-US" w:eastAsia="zh-CN" w:bidi="ar-SA"/>
        </w:rPr>
        <w:t>乙方提供的货物在质保期内因货物本身的质量问题发生故障，乙方应负责免费更换。对达不到技术要求者，根据实际情况，经双方协商，可按按以下办法处理：</w:t>
      </w:r>
    </w:p>
    <w:p>
      <w:pPr>
        <w:pStyle w:val="20"/>
        <w:spacing w:line="360" w:lineRule="auto"/>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 xml:space="preserve">  （1）更换：由乙方承担所发生的全部费用。</w:t>
      </w:r>
    </w:p>
    <w:p>
      <w:pPr>
        <w:pStyle w:val="20"/>
        <w:spacing w:line="360" w:lineRule="auto"/>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 xml:space="preserve">  （2）贬值处理：由甲乙双方合议定价。</w:t>
      </w:r>
    </w:p>
    <w:p>
      <w:pPr>
        <w:pStyle w:val="20"/>
        <w:spacing w:line="360" w:lineRule="auto"/>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 xml:space="preserve">  （3）退货处理：乙方应退还甲方支付的合同款，同日时应承担该货物的直接费用（运输、保险、检验、货款利息及银行手续费等）。</w:t>
      </w:r>
    </w:p>
    <w:p>
      <w:pPr>
        <w:pStyle w:val="20"/>
        <w:spacing w:line="360" w:lineRule="auto"/>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十、违约责任</w:t>
      </w:r>
    </w:p>
    <w:p>
      <w:pPr>
        <w:pStyle w:val="20"/>
        <w:spacing w:line="360" w:lineRule="auto"/>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 xml:space="preserve"> </w:t>
      </w:r>
      <w:r>
        <w:rPr>
          <w:rFonts w:hint="eastAsia" w:ascii="宋体" w:hAnsi="宋体" w:cs="宋体"/>
          <w:color w:val="auto"/>
          <w:kern w:val="2"/>
          <w:sz w:val="24"/>
          <w:szCs w:val="24"/>
          <w:highlight w:val="none"/>
          <w:shd w:val="clear" w:color="auto" w:fill="auto"/>
          <w:lang w:val="en-US" w:eastAsia="zh-CN" w:bidi="ar-SA"/>
        </w:rPr>
        <w:t xml:space="preserve">  1.</w:t>
      </w:r>
      <w:r>
        <w:rPr>
          <w:rFonts w:hint="eastAsia" w:ascii="宋体" w:hAnsi="宋体" w:eastAsia="宋体" w:cs="宋体"/>
          <w:color w:val="auto"/>
          <w:kern w:val="2"/>
          <w:sz w:val="24"/>
          <w:szCs w:val="24"/>
          <w:highlight w:val="none"/>
          <w:shd w:val="clear" w:color="auto" w:fill="auto"/>
          <w:lang w:val="en-US" w:eastAsia="zh-CN" w:bidi="ar-SA"/>
        </w:rPr>
        <w:t>甲方逾期验收和办理货款支付手续的，甲方应按逾期付款该批次货款总额每日百分之一向乙方支付违约金。</w:t>
      </w:r>
    </w:p>
    <w:p>
      <w:pPr>
        <w:pStyle w:val="20"/>
        <w:spacing w:line="360" w:lineRule="auto"/>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 xml:space="preserve">   </w:t>
      </w:r>
      <w:r>
        <w:rPr>
          <w:rFonts w:hint="eastAsia" w:ascii="宋体" w:hAnsi="宋体" w:cs="宋体"/>
          <w:color w:val="auto"/>
          <w:kern w:val="2"/>
          <w:sz w:val="24"/>
          <w:szCs w:val="24"/>
          <w:highlight w:val="none"/>
          <w:shd w:val="clear" w:color="auto" w:fill="auto"/>
          <w:lang w:val="en-US" w:eastAsia="zh-CN" w:bidi="ar-SA"/>
        </w:rPr>
        <w:t>2.</w:t>
      </w:r>
      <w:r>
        <w:rPr>
          <w:rFonts w:hint="eastAsia" w:ascii="宋体" w:hAnsi="宋体" w:eastAsia="宋体" w:cs="宋体"/>
          <w:color w:val="auto"/>
          <w:kern w:val="2"/>
          <w:sz w:val="24"/>
          <w:szCs w:val="24"/>
          <w:highlight w:val="none"/>
          <w:shd w:val="clear" w:color="auto" w:fill="auto"/>
          <w:lang w:val="en-US" w:eastAsia="zh-CN" w:bidi="ar-SA"/>
        </w:rPr>
        <w:t>乙方逾期交付货物的，全额没收履约保证金，甲方可解除本合同。</w:t>
      </w:r>
    </w:p>
    <w:p>
      <w:pPr>
        <w:pStyle w:val="20"/>
        <w:spacing w:line="360" w:lineRule="auto"/>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 xml:space="preserve">   </w:t>
      </w:r>
      <w:r>
        <w:rPr>
          <w:rFonts w:hint="eastAsia" w:ascii="宋体" w:hAnsi="宋体" w:cs="宋体"/>
          <w:color w:val="auto"/>
          <w:kern w:val="2"/>
          <w:sz w:val="24"/>
          <w:szCs w:val="24"/>
          <w:highlight w:val="none"/>
          <w:shd w:val="clear" w:color="auto" w:fill="auto"/>
          <w:lang w:val="en-US" w:eastAsia="zh-CN" w:bidi="ar-SA"/>
        </w:rPr>
        <w:t>3.</w:t>
      </w:r>
      <w:r>
        <w:rPr>
          <w:rFonts w:hint="eastAsia" w:ascii="宋体" w:hAnsi="宋体" w:eastAsia="宋体" w:cs="宋体"/>
          <w:color w:val="auto"/>
          <w:kern w:val="2"/>
          <w:sz w:val="24"/>
          <w:szCs w:val="24"/>
          <w:highlight w:val="none"/>
          <w:shd w:val="clear" w:color="auto" w:fill="auto"/>
          <w:lang w:val="en-US" w:eastAsia="zh-CN" w:bidi="ar-SA"/>
        </w:rPr>
        <w:t>乙方所交的货物品种、型号、规格、技术参数、质量不符合合同规定及采购文件规定标准的，甲方有权拒收该货物，乙方愿意更换货物但逾期交货的，按乙方逾期交货处理。乙方拒绝更换货物的，甲方可单方面解除合同。</w:t>
      </w:r>
    </w:p>
    <w:p>
      <w:pPr>
        <w:pStyle w:val="20"/>
        <w:spacing w:line="360" w:lineRule="auto"/>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 xml:space="preserve">   </w:t>
      </w:r>
      <w:r>
        <w:rPr>
          <w:rFonts w:hint="eastAsia" w:ascii="宋体" w:hAnsi="宋体" w:cs="宋体"/>
          <w:color w:val="auto"/>
          <w:kern w:val="2"/>
          <w:sz w:val="24"/>
          <w:szCs w:val="24"/>
          <w:highlight w:val="none"/>
          <w:shd w:val="clear" w:color="auto" w:fill="auto"/>
          <w:lang w:val="en-US" w:eastAsia="zh-CN" w:bidi="ar-SA"/>
        </w:rPr>
        <w:t>4.</w:t>
      </w:r>
      <w:r>
        <w:rPr>
          <w:rFonts w:hint="eastAsia" w:ascii="宋体" w:hAnsi="宋体" w:eastAsia="宋体" w:cs="宋体"/>
          <w:color w:val="auto"/>
          <w:kern w:val="2"/>
          <w:sz w:val="24"/>
          <w:szCs w:val="24"/>
          <w:highlight w:val="none"/>
          <w:shd w:val="clear" w:color="auto" w:fill="auto"/>
          <w:lang w:val="en-US" w:eastAsia="zh-CN" w:bidi="ar-SA"/>
        </w:rPr>
        <w:t>乙方对甲方下达的任何一项任务必须无条件接受，不得推托，如果无故推托一次，则在</w:t>
      </w:r>
      <w:r>
        <w:rPr>
          <w:rFonts w:hint="eastAsia" w:ascii="宋体" w:hAnsi="宋体" w:cs="宋体"/>
          <w:color w:val="auto"/>
          <w:kern w:val="2"/>
          <w:sz w:val="24"/>
          <w:szCs w:val="24"/>
          <w:highlight w:val="none"/>
          <w:shd w:val="clear" w:color="auto" w:fill="auto"/>
          <w:lang w:val="en-US" w:eastAsia="zh-CN" w:bidi="ar-SA"/>
        </w:rPr>
        <w:t>合同价</w:t>
      </w:r>
      <w:r>
        <w:rPr>
          <w:rFonts w:hint="eastAsia" w:ascii="宋体" w:hAnsi="宋体" w:eastAsia="宋体" w:cs="宋体"/>
          <w:color w:val="auto"/>
          <w:kern w:val="2"/>
          <w:sz w:val="24"/>
          <w:szCs w:val="24"/>
          <w:highlight w:val="none"/>
          <w:shd w:val="clear" w:color="auto" w:fill="auto"/>
          <w:lang w:val="en-US" w:eastAsia="zh-CN" w:bidi="ar-SA"/>
        </w:rPr>
        <w:t>中扣除5000元，无故推托三次以上，甲方可单方面解除合同。</w:t>
      </w:r>
    </w:p>
    <w:p>
      <w:pPr>
        <w:widowControl/>
        <w:spacing w:line="360" w:lineRule="auto"/>
        <w:jc w:val="left"/>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十一、安全责任</w:t>
      </w:r>
    </w:p>
    <w:p>
      <w:pPr>
        <w:widowControl/>
        <w:spacing w:line="360" w:lineRule="auto"/>
        <w:jc w:val="left"/>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 xml:space="preserve">    项目实施过程中的各种意外，其责任由乙方承担，甲方不承担任何责任。</w:t>
      </w:r>
    </w:p>
    <w:p>
      <w:pPr>
        <w:widowControl/>
        <w:spacing w:line="360" w:lineRule="auto"/>
        <w:jc w:val="left"/>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十二、不可抗力事件处理</w:t>
      </w:r>
    </w:p>
    <w:p>
      <w:pPr>
        <w:widowControl/>
        <w:spacing w:line="360" w:lineRule="auto"/>
        <w:jc w:val="left"/>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 xml:space="preserve">   </w:t>
      </w:r>
      <w:r>
        <w:rPr>
          <w:rFonts w:hint="eastAsia" w:ascii="宋体" w:hAnsi="宋体" w:cs="宋体"/>
          <w:color w:val="auto"/>
          <w:kern w:val="2"/>
          <w:sz w:val="24"/>
          <w:szCs w:val="24"/>
          <w:highlight w:val="none"/>
          <w:shd w:val="clear" w:color="auto" w:fill="auto"/>
          <w:lang w:val="en-US" w:eastAsia="zh-CN" w:bidi="ar-SA"/>
        </w:rPr>
        <w:t>1.</w:t>
      </w:r>
      <w:r>
        <w:rPr>
          <w:rFonts w:hint="eastAsia" w:ascii="宋体" w:hAnsi="宋体" w:eastAsia="宋体" w:cs="宋体"/>
          <w:color w:val="auto"/>
          <w:kern w:val="2"/>
          <w:sz w:val="24"/>
          <w:szCs w:val="24"/>
          <w:highlight w:val="none"/>
          <w:shd w:val="clear" w:color="auto" w:fill="auto"/>
          <w:lang w:val="en-US" w:eastAsia="zh-CN" w:bidi="ar-SA"/>
        </w:rPr>
        <w:t>在合同有效期内，任何一方因不可抗力事件导致不能履行合同，则合同履行期可延长其延长期与不可抗力影响期相同</w:t>
      </w:r>
    </w:p>
    <w:p>
      <w:pPr>
        <w:widowControl/>
        <w:spacing w:line="360" w:lineRule="auto"/>
        <w:jc w:val="left"/>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 xml:space="preserve">   </w:t>
      </w:r>
      <w:r>
        <w:rPr>
          <w:rFonts w:hint="eastAsia" w:ascii="宋体" w:hAnsi="宋体" w:cs="宋体"/>
          <w:color w:val="auto"/>
          <w:kern w:val="2"/>
          <w:sz w:val="24"/>
          <w:szCs w:val="24"/>
          <w:highlight w:val="none"/>
          <w:shd w:val="clear" w:color="auto" w:fill="auto"/>
          <w:lang w:val="en-US" w:eastAsia="zh-CN" w:bidi="ar-SA"/>
        </w:rPr>
        <w:t>2.</w:t>
      </w:r>
      <w:r>
        <w:rPr>
          <w:rFonts w:hint="eastAsia" w:ascii="宋体" w:hAnsi="宋体" w:eastAsia="宋体" w:cs="宋体"/>
          <w:color w:val="auto"/>
          <w:kern w:val="2"/>
          <w:sz w:val="24"/>
          <w:szCs w:val="24"/>
          <w:highlight w:val="none"/>
          <w:shd w:val="clear" w:color="auto" w:fill="auto"/>
          <w:lang w:val="en-US" w:eastAsia="zh-CN" w:bidi="ar-SA"/>
        </w:rPr>
        <w:t>不可抗力事件发生后，应立即通知对方，并寄送有关权威机构出具的证明。</w:t>
      </w:r>
    </w:p>
    <w:p>
      <w:pPr>
        <w:widowControl/>
        <w:spacing w:line="360" w:lineRule="auto"/>
        <w:jc w:val="left"/>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 xml:space="preserve">   </w:t>
      </w:r>
      <w:r>
        <w:rPr>
          <w:rFonts w:hint="eastAsia" w:ascii="宋体" w:hAnsi="宋体" w:cs="宋体"/>
          <w:color w:val="auto"/>
          <w:kern w:val="2"/>
          <w:sz w:val="24"/>
          <w:szCs w:val="24"/>
          <w:highlight w:val="none"/>
          <w:shd w:val="clear" w:color="auto" w:fill="auto"/>
          <w:lang w:val="en-US" w:eastAsia="zh-CN" w:bidi="ar-SA"/>
        </w:rPr>
        <w:t>3.</w:t>
      </w:r>
      <w:r>
        <w:rPr>
          <w:rFonts w:hint="eastAsia" w:ascii="宋体" w:hAnsi="宋体" w:eastAsia="宋体" w:cs="宋体"/>
          <w:color w:val="auto"/>
          <w:kern w:val="2"/>
          <w:sz w:val="24"/>
          <w:szCs w:val="24"/>
          <w:highlight w:val="none"/>
          <w:shd w:val="clear" w:color="auto" w:fill="auto"/>
          <w:lang w:val="en-US" w:eastAsia="zh-CN" w:bidi="ar-SA"/>
        </w:rPr>
        <w:t xml:space="preserve">不可抗力事件延续120天以上，双方应通过友好协商，确定是否继续履行合同。 </w:t>
      </w:r>
    </w:p>
    <w:p>
      <w:pPr>
        <w:spacing w:line="360" w:lineRule="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十三、诉讼</w:t>
      </w:r>
    </w:p>
    <w:p>
      <w:pPr>
        <w:spacing w:line="360" w:lineRule="auto"/>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双方在执行合同中所发生的一切争议，应通过协商解决。如协商不成，可向甲方所在地法院起诉。</w:t>
      </w:r>
    </w:p>
    <w:p>
      <w:pPr>
        <w:spacing w:line="360" w:lineRule="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十四、合同生效及其它</w:t>
      </w:r>
    </w:p>
    <w:p>
      <w:pPr>
        <w:pStyle w:val="49"/>
        <w:spacing w:line="360" w:lineRule="auto"/>
        <w:ind w:firstLine="480"/>
        <w:rPr>
          <w:rFonts w:hint="eastAsia" w:ascii="宋体" w:hAnsi="宋体" w:eastAsia="宋体" w:cs="宋体"/>
          <w:color w:val="auto"/>
          <w:kern w:val="2"/>
          <w:sz w:val="24"/>
          <w:szCs w:val="24"/>
          <w:highlight w:val="none"/>
          <w:shd w:val="clear" w:color="auto" w:fill="auto"/>
          <w:lang w:val="en-US" w:eastAsia="zh-CN" w:bidi="ar-SA"/>
        </w:rPr>
      </w:pPr>
      <w:r>
        <w:rPr>
          <w:rFonts w:hint="eastAsia" w:hAnsi="宋体" w:cs="宋体"/>
          <w:color w:val="auto"/>
          <w:kern w:val="2"/>
          <w:sz w:val="24"/>
          <w:szCs w:val="24"/>
          <w:highlight w:val="none"/>
          <w:shd w:val="clear" w:color="auto" w:fill="auto"/>
          <w:lang w:val="en-US" w:eastAsia="zh-CN" w:bidi="ar-SA"/>
        </w:rPr>
        <w:t>1.</w:t>
      </w:r>
      <w:r>
        <w:rPr>
          <w:rFonts w:hint="eastAsia" w:ascii="宋体" w:hAnsi="宋体" w:eastAsia="宋体" w:cs="宋体"/>
          <w:color w:val="auto"/>
          <w:kern w:val="2"/>
          <w:sz w:val="24"/>
          <w:szCs w:val="24"/>
          <w:highlight w:val="none"/>
          <w:shd w:val="clear" w:color="auto" w:fill="auto"/>
          <w:lang w:val="en-US" w:eastAsia="zh-CN" w:bidi="ar-SA"/>
        </w:rPr>
        <w:t xml:space="preserve"> 合同经双方法定代表人或授权代表签字并加盖单位公章后生效。</w:t>
      </w:r>
    </w:p>
    <w:p>
      <w:pPr>
        <w:pStyle w:val="49"/>
        <w:spacing w:line="360" w:lineRule="auto"/>
        <w:ind w:firstLine="480"/>
        <w:rPr>
          <w:rFonts w:hint="eastAsia" w:ascii="宋体" w:hAnsi="宋体" w:eastAsia="宋体" w:cs="宋体"/>
          <w:color w:val="auto"/>
          <w:kern w:val="2"/>
          <w:sz w:val="24"/>
          <w:szCs w:val="24"/>
          <w:highlight w:val="none"/>
          <w:shd w:val="clear" w:color="auto" w:fill="auto"/>
          <w:lang w:val="en-US" w:eastAsia="zh-CN" w:bidi="ar-SA"/>
        </w:rPr>
      </w:pPr>
      <w:r>
        <w:rPr>
          <w:rFonts w:hint="eastAsia" w:hAnsi="宋体" w:cs="宋体"/>
          <w:color w:val="auto"/>
          <w:kern w:val="2"/>
          <w:sz w:val="24"/>
          <w:szCs w:val="24"/>
          <w:highlight w:val="none"/>
          <w:shd w:val="clear" w:color="auto" w:fill="auto"/>
          <w:lang w:val="en-US" w:eastAsia="zh-CN" w:bidi="ar-SA"/>
        </w:rPr>
        <w:t>2.</w:t>
      </w:r>
      <w:r>
        <w:rPr>
          <w:rFonts w:hint="eastAsia" w:ascii="宋体" w:hAnsi="宋体" w:eastAsia="宋体" w:cs="宋体"/>
          <w:color w:val="auto"/>
          <w:kern w:val="2"/>
          <w:sz w:val="24"/>
          <w:szCs w:val="24"/>
          <w:highlight w:val="none"/>
          <w:shd w:val="clear" w:color="auto" w:fill="auto"/>
          <w:lang w:val="en-US" w:eastAsia="zh-CN" w:bidi="ar-SA"/>
        </w:rPr>
        <w:t>乙方必须在开工前办理所有保险并提供复印件一份由甲方保管。</w:t>
      </w:r>
    </w:p>
    <w:p>
      <w:pPr>
        <w:pStyle w:val="49"/>
        <w:spacing w:line="360" w:lineRule="auto"/>
        <w:ind w:firstLine="480"/>
        <w:rPr>
          <w:rFonts w:hint="eastAsia" w:ascii="宋体" w:hAnsi="宋体" w:eastAsia="宋体" w:cs="宋体"/>
          <w:color w:val="auto"/>
          <w:kern w:val="2"/>
          <w:sz w:val="24"/>
          <w:szCs w:val="24"/>
          <w:highlight w:val="none"/>
          <w:shd w:val="clear" w:color="auto" w:fill="auto"/>
          <w:lang w:val="en-US" w:eastAsia="zh-CN" w:bidi="ar-SA"/>
        </w:rPr>
      </w:pPr>
      <w:r>
        <w:rPr>
          <w:rFonts w:hint="eastAsia" w:hAnsi="宋体" w:cs="宋体"/>
          <w:color w:val="auto"/>
          <w:kern w:val="2"/>
          <w:sz w:val="24"/>
          <w:szCs w:val="24"/>
          <w:highlight w:val="none"/>
          <w:shd w:val="clear" w:color="auto" w:fill="auto"/>
          <w:lang w:val="en-US" w:eastAsia="zh-CN" w:bidi="ar-SA"/>
        </w:rPr>
        <w:t>3.</w:t>
      </w:r>
      <w:r>
        <w:rPr>
          <w:rFonts w:hint="eastAsia" w:ascii="宋体" w:hAnsi="宋体" w:eastAsia="宋体" w:cs="宋体"/>
          <w:color w:val="auto"/>
          <w:kern w:val="2"/>
          <w:sz w:val="24"/>
          <w:szCs w:val="24"/>
          <w:highlight w:val="none"/>
          <w:shd w:val="clear" w:color="auto" w:fill="auto"/>
          <w:lang w:val="en-US" w:eastAsia="zh-CN" w:bidi="ar-SA"/>
        </w:rPr>
        <w:t>本合同未尽事宜，遵照《中华人民共和国民法典》有关条文执行。</w:t>
      </w:r>
    </w:p>
    <w:p>
      <w:pPr>
        <w:pStyle w:val="49"/>
        <w:spacing w:line="360" w:lineRule="auto"/>
        <w:ind w:firstLine="480"/>
        <w:rPr>
          <w:rFonts w:hint="eastAsia" w:ascii="宋体" w:hAnsi="宋体" w:eastAsia="宋体" w:cs="宋体"/>
          <w:color w:val="auto"/>
          <w:kern w:val="2"/>
          <w:sz w:val="24"/>
          <w:szCs w:val="24"/>
          <w:highlight w:val="none"/>
          <w:shd w:val="clear" w:color="auto" w:fill="auto"/>
          <w:lang w:val="en-US" w:eastAsia="zh-CN" w:bidi="ar-SA"/>
        </w:rPr>
      </w:pPr>
      <w:r>
        <w:rPr>
          <w:rFonts w:hint="eastAsia" w:hAnsi="宋体" w:cs="宋体"/>
          <w:color w:val="auto"/>
          <w:kern w:val="2"/>
          <w:sz w:val="24"/>
          <w:szCs w:val="24"/>
          <w:highlight w:val="none"/>
          <w:shd w:val="clear" w:color="auto" w:fill="auto"/>
          <w:lang w:val="en-US" w:eastAsia="zh-CN" w:bidi="ar-SA"/>
        </w:rPr>
        <w:t>4.</w:t>
      </w:r>
      <w:r>
        <w:rPr>
          <w:rFonts w:hint="eastAsia" w:ascii="宋体" w:hAnsi="宋体" w:eastAsia="宋体" w:cs="宋体"/>
          <w:color w:val="auto"/>
          <w:kern w:val="2"/>
          <w:sz w:val="24"/>
          <w:szCs w:val="24"/>
          <w:highlight w:val="none"/>
          <w:shd w:val="clear" w:color="auto" w:fill="auto"/>
          <w:lang w:val="en-US" w:eastAsia="zh-CN" w:bidi="ar-SA"/>
        </w:rPr>
        <w:t>本本合同一式</w:t>
      </w:r>
      <w:r>
        <w:rPr>
          <w:rFonts w:hint="eastAsia" w:hAnsi="宋体" w:cs="宋体"/>
          <w:color w:val="auto"/>
          <w:kern w:val="2"/>
          <w:sz w:val="24"/>
          <w:szCs w:val="24"/>
          <w:highlight w:val="none"/>
          <w:shd w:val="clear" w:color="auto" w:fill="auto"/>
          <w:lang w:val="en-US" w:eastAsia="zh-CN" w:bidi="ar-SA"/>
        </w:rPr>
        <w:t>捌</w:t>
      </w:r>
      <w:r>
        <w:rPr>
          <w:rFonts w:hint="eastAsia" w:ascii="宋体" w:hAnsi="宋体" w:eastAsia="宋体" w:cs="宋体"/>
          <w:color w:val="auto"/>
          <w:kern w:val="2"/>
          <w:sz w:val="24"/>
          <w:szCs w:val="24"/>
          <w:highlight w:val="none"/>
          <w:shd w:val="clear" w:color="auto" w:fill="auto"/>
          <w:lang w:val="en-US" w:eastAsia="zh-CN" w:bidi="ar-SA"/>
        </w:rPr>
        <w:t>份，甲、乙双方各执</w:t>
      </w:r>
      <w:r>
        <w:rPr>
          <w:rFonts w:hint="eastAsia" w:hAnsi="宋体" w:cs="宋体"/>
          <w:color w:val="auto"/>
          <w:kern w:val="2"/>
          <w:sz w:val="24"/>
          <w:szCs w:val="24"/>
          <w:highlight w:val="none"/>
          <w:shd w:val="clear" w:color="auto" w:fill="auto"/>
          <w:lang w:val="en-US" w:eastAsia="zh-CN" w:bidi="ar-SA"/>
        </w:rPr>
        <w:t>肆</w:t>
      </w:r>
      <w:r>
        <w:rPr>
          <w:rFonts w:hint="eastAsia" w:ascii="宋体" w:hAnsi="宋体" w:eastAsia="宋体" w:cs="宋体"/>
          <w:color w:val="auto"/>
          <w:kern w:val="2"/>
          <w:sz w:val="24"/>
          <w:szCs w:val="24"/>
          <w:highlight w:val="none"/>
          <w:shd w:val="clear" w:color="auto" w:fill="auto"/>
          <w:lang w:val="en-US" w:eastAsia="zh-CN" w:bidi="ar-SA"/>
        </w:rPr>
        <w:t>份。</w:t>
      </w:r>
    </w:p>
    <w:p>
      <w:pPr>
        <w:spacing w:line="360" w:lineRule="auto"/>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 xml:space="preserve">甲方（盖章）：                             乙方（盖章）：       </w:t>
      </w:r>
    </w:p>
    <w:p>
      <w:pPr>
        <w:spacing w:line="360" w:lineRule="auto"/>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法定代表人                                法定代表人</w:t>
      </w:r>
    </w:p>
    <w:p>
      <w:pPr>
        <w:spacing w:line="360" w:lineRule="auto"/>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 xml:space="preserve">或受委托人（签字）：                       或受委托人（签字）：  </w:t>
      </w:r>
    </w:p>
    <w:p>
      <w:pPr>
        <w:spacing w:line="360" w:lineRule="auto"/>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 xml:space="preserve">联系人：                                  联系人： </w:t>
      </w:r>
    </w:p>
    <w:p>
      <w:pPr>
        <w:spacing w:line="360" w:lineRule="auto"/>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 xml:space="preserve">地址：                                    地址：  </w:t>
      </w:r>
    </w:p>
    <w:p>
      <w:pPr>
        <w:spacing w:line="360" w:lineRule="auto"/>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 xml:space="preserve">电话：                                    电话： </w:t>
      </w:r>
    </w:p>
    <w:p>
      <w:pPr>
        <w:spacing w:line="360" w:lineRule="auto"/>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 xml:space="preserve">传真：                                    传真： </w:t>
      </w:r>
    </w:p>
    <w:p>
      <w:pPr>
        <w:spacing w:line="360" w:lineRule="auto"/>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 xml:space="preserve">开户银行：                                开户银行：  </w:t>
      </w:r>
    </w:p>
    <w:p>
      <w:pPr>
        <w:spacing w:line="360" w:lineRule="auto"/>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帐号：                                    帐号：</w:t>
      </w:r>
    </w:p>
    <w:p>
      <w:pPr>
        <w:pStyle w:val="49"/>
        <w:kinsoku/>
        <w:overflowPunct/>
        <w:bidi w:val="0"/>
        <w:snapToGrid w:val="0"/>
        <w:spacing w:line="400" w:lineRule="exact"/>
        <w:ind w:firstLine="480" w:firstLineChars="200"/>
        <w:jc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br w:type="page"/>
      </w:r>
    </w:p>
    <w:p>
      <w:pPr>
        <w:pStyle w:val="49"/>
        <w:snapToGrid w:val="0"/>
        <w:spacing w:line="380" w:lineRule="exact"/>
        <w:ind w:firstLine="723" w:firstLineChars="200"/>
        <w:jc w:val="center"/>
        <w:rPr>
          <w:rFonts w:hint="eastAsia" w:ascii="宋体" w:hAnsi="宋体" w:eastAsia="宋体" w:cs="宋体"/>
          <w:b/>
          <w:color w:val="auto"/>
          <w:sz w:val="24"/>
          <w:highlight w:val="none"/>
        </w:rPr>
      </w:pPr>
      <w:r>
        <w:rPr>
          <w:rFonts w:hint="eastAsia" w:ascii="宋体" w:hAnsi="宋体" w:eastAsia="宋体" w:cs="宋体"/>
          <w:b/>
          <w:color w:val="auto"/>
          <w:sz w:val="36"/>
          <w:highlight w:val="none"/>
        </w:rPr>
        <w:t xml:space="preserve">第五部分 </w:t>
      </w:r>
      <w:bookmarkEnd w:id="70"/>
      <w:bookmarkEnd w:id="71"/>
      <w:r>
        <w:rPr>
          <w:rFonts w:hint="eastAsia" w:ascii="宋体" w:hAnsi="宋体" w:eastAsia="宋体" w:cs="宋体"/>
          <w:b/>
          <w:color w:val="auto"/>
          <w:sz w:val="36"/>
          <w:highlight w:val="none"/>
        </w:rPr>
        <w:t>投标文件部分格式文件</w:t>
      </w:r>
    </w:p>
    <w:p>
      <w:pPr>
        <w:pStyle w:val="49"/>
        <w:adjustRightInd w:val="0"/>
        <w:snapToGrid w:val="0"/>
        <w:spacing w:line="360" w:lineRule="auto"/>
        <w:jc w:val="center"/>
        <w:outlineLvl w:val="1"/>
        <w:rPr>
          <w:rFonts w:hint="eastAsia" w:ascii="宋体" w:hAnsi="宋体" w:eastAsia="宋体" w:cs="宋体"/>
          <w:b/>
          <w:color w:val="auto"/>
          <w:sz w:val="28"/>
          <w:highlight w:val="none"/>
          <w:lang w:val="zh-CN"/>
        </w:rPr>
      </w:pPr>
      <w:bookmarkStart w:id="76" w:name="_Toc2553"/>
      <w:bookmarkStart w:id="77" w:name="_Toc519670202"/>
      <w:bookmarkStart w:id="78" w:name="_Toc233618990"/>
      <w:bookmarkStart w:id="79" w:name="_Toc522530052"/>
      <w:bookmarkStart w:id="80" w:name="_Toc233618989"/>
    </w:p>
    <w:p>
      <w:pPr>
        <w:pStyle w:val="49"/>
        <w:adjustRightInd w:val="0"/>
        <w:snapToGrid w:val="0"/>
        <w:spacing w:line="360" w:lineRule="auto"/>
        <w:jc w:val="center"/>
        <w:outlineLvl w:val="1"/>
        <w:rPr>
          <w:rFonts w:hint="eastAsia" w:ascii="宋体" w:hAnsi="宋体" w:eastAsia="宋体" w:cs="宋体"/>
          <w:b/>
          <w:color w:val="auto"/>
          <w:sz w:val="28"/>
          <w:highlight w:val="none"/>
        </w:rPr>
      </w:pPr>
      <w:r>
        <w:rPr>
          <w:rFonts w:hint="eastAsia" w:ascii="宋体" w:hAnsi="宋体" w:eastAsia="宋体" w:cs="宋体"/>
          <w:b/>
          <w:color w:val="auto"/>
          <w:sz w:val="28"/>
          <w:highlight w:val="none"/>
          <w:lang w:val="zh-CN"/>
        </w:rPr>
        <w:t>格式</w:t>
      </w:r>
      <w:r>
        <w:rPr>
          <w:rFonts w:hint="eastAsia" w:ascii="宋体" w:hAnsi="宋体" w:eastAsia="宋体" w:cs="宋体"/>
          <w:b/>
          <w:color w:val="auto"/>
          <w:sz w:val="28"/>
          <w:highlight w:val="none"/>
        </w:rPr>
        <w:t>一：资格审查资料</w:t>
      </w:r>
      <w:bookmarkEnd w:id="76"/>
    </w:p>
    <w:p>
      <w:pPr>
        <w:spacing w:line="500" w:lineRule="exact"/>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资格审查资料</w:t>
      </w:r>
    </w:p>
    <w:p>
      <w:pPr>
        <w:autoSpaceDE w:val="0"/>
        <w:autoSpaceDN w:val="0"/>
        <w:adjustRightInd w:val="0"/>
        <w:snapToGrid w:val="0"/>
        <w:spacing w:line="300" w:lineRule="auto"/>
        <w:ind w:firstLine="560" w:firstLineChars="200"/>
        <w:jc w:val="left"/>
        <w:rPr>
          <w:rFonts w:hint="eastAsia" w:ascii="宋体" w:hAnsi="宋体" w:eastAsia="宋体" w:cs="宋体"/>
          <w:color w:val="auto"/>
          <w:kern w:val="0"/>
          <w:szCs w:val="21"/>
          <w:highlight w:val="none"/>
        </w:rPr>
      </w:pPr>
    </w:p>
    <w:p>
      <w:pPr>
        <w:pStyle w:val="49"/>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（一）资格审查须知</w:t>
      </w:r>
    </w:p>
    <w:p>
      <w:pPr>
        <w:pStyle w:val="49"/>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1、投标人必须认真填写招标文件规定的所有表格，并对其真实性负责，采购人有权对其进行调查核实和要求澄清。</w:t>
      </w:r>
    </w:p>
    <w:p>
      <w:pPr>
        <w:pStyle w:val="49"/>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资格审查按通过和不通过两种方式进行评定，投标人的资格等方面的要求作为资格审查通过的强制性资格条件，经核实有一项不符合要求，则投标人的资格为不通过，不通过的投标人对其投标文件不进行后续评审。</w:t>
      </w:r>
    </w:p>
    <w:p>
      <w:pPr>
        <w:pStyle w:val="49"/>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（二）资格审查资料格式</w:t>
      </w:r>
    </w:p>
    <w:bookmarkEnd w:id="77"/>
    <w:p>
      <w:pPr>
        <w:pStyle w:val="49"/>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表1 强制性资格条件 </w:t>
      </w:r>
    </w:p>
    <w:p>
      <w:pPr>
        <w:pStyle w:val="49"/>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highlight w:val="none"/>
          <w:shd w:val="clear" w:color="auto" w:fill="auto"/>
        </w:rPr>
        <w:t>表2：</w:t>
      </w:r>
      <w:r>
        <w:rPr>
          <w:rFonts w:hint="eastAsia" w:ascii="宋体" w:hAnsi="宋体" w:eastAsia="宋体" w:cs="宋体"/>
          <w:color w:val="auto"/>
          <w:sz w:val="24"/>
          <w:szCs w:val="24"/>
          <w:highlight w:val="none"/>
          <w:shd w:val="clear" w:color="auto" w:fill="auto"/>
        </w:rPr>
        <w:t>具有良好的商业信誉和健全的财务会计制度声明函</w:t>
      </w:r>
    </w:p>
    <w:p>
      <w:pPr>
        <w:pStyle w:val="49"/>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outlineLvl w:val="9"/>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lang w:eastAsia="zh-CN"/>
        </w:rPr>
        <w:t>表</w:t>
      </w:r>
      <w:r>
        <w:rPr>
          <w:rFonts w:hint="eastAsia" w:ascii="宋体" w:hAnsi="宋体" w:eastAsia="宋体" w:cs="宋体"/>
          <w:color w:val="auto"/>
          <w:sz w:val="24"/>
          <w:highlight w:val="none"/>
          <w:shd w:val="clear" w:color="auto" w:fill="auto"/>
          <w:lang w:val="en-US" w:eastAsia="zh-CN"/>
        </w:rPr>
        <w:t>3：</w:t>
      </w:r>
      <w:r>
        <w:rPr>
          <w:rFonts w:hint="eastAsia" w:ascii="宋体" w:hAnsi="宋体" w:eastAsia="宋体" w:cs="宋体"/>
          <w:color w:val="auto"/>
          <w:sz w:val="24"/>
          <w:highlight w:val="none"/>
          <w:shd w:val="clear" w:color="auto" w:fill="auto"/>
        </w:rPr>
        <w:t>具有履行合同所必需的专业服务（技术）能力的承诺函</w:t>
      </w:r>
    </w:p>
    <w:p>
      <w:pPr>
        <w:pStyle w:val="49"/>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highlight w:val="none"/>
          <w:shd w:val="clear" w:color="auto" w:fill="auto"/>
        </w:rPr>
        <w:t>表</w:t>
      </w:r>
      <w:r>
        <w:rPr>
          <w:rFonts w:hint="eastAsia" w:ascii="宋体" w:hAnsi="宋体" w:eastAsia="宋体" w:cs="宋体"/>
          <w:color w:val="auto"/>
          <w:sz w:val="24"/>
          <w:highlight w:val="none"/>
          <w:shd w:val="clear" w:color="auto" w:fill="auto"/>
          <w:lang w:val="en-US" w:eastAsia="zh-CN"/>
        </w:rPr>
        <w:t>4</w:t>
      </w:r>
      <w:r>
        <w:rPr>
          <w:rFonts w:hint="eastAsia" w:ascii="宋体" w:hAnsi="宋体" w:eastAsia="宋体" w:cs="宋体"/>
          <w:color w:val="auto"/>
          <w:sz w:val="24"/>
          <w:highlight w:val="none"/>
          <w:shd w:val="clear" w:color="auto" w:fill="auto"/>
        </w:rPr>
        <w:t>：</w:t>
      </w:r>
      <w:r>
        <w:rPr>
          <w:rFonts w:hint="eastAsia" w:ascii="宋体" w:hAnsi="宋体" w:eastAsia="宋体" w:cs="宋体"/>
          <w:color w:val="auto"/>
          <w:sz w:val="24"/>
          <w:szCs w:val="24"/>
          <w:highlight w:val="none"/>
          <w:shd w:val="clear" w:color="auto" w:fill="auto"/>
        </w:rPr>
        <w:t>依法缴纳税收和社会保障资金的声明函</w:t>
      </w:r>
    </w:p>
    <w:p>
      <w:pPr>
        <w:pStyle w:val="49"/>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outlineLvl w:val="9"/>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szCs w:val="24"/>
          <w:highlight w:val="none"/>
          <w:shd w:val="clear" w:color="auto" w:fill="auto"/>
        </w:rPr>
        <w:t>表</w:t>
      </w:r>
      <w:r>
        <w:rPr>
          <w:rFonts w:hint="eastAsia" w:ascii="宋体" w:hAnsi="宋体" w:eastAsia="宋体" w:cs="宋体"/>
          <w:color w:val="auto"/>
          <w:sz w:val="24"/>
          <w:highlight w:val="none"/>
          <w:shd w:val="clear" w:color="auto" w:fill="auto"/>
          <w:lang w:val="en-US" w:eastAsia="zh-CN"/>
        </w:rPr>
        <w:t>5</w:t>
      </w:r>
      <w:r>
        <w:rPr>
          <w:rFonts w:hint="eastAsia" w:ascii="宋体" w:hAnsi="宋体" w:eastAsia="宋体" w:cs="宋体"/>
          <w:color w:val="auto"/>
          <w:sz w:val="24"/>
          <w:highlight w:val="none"/>
          <w:shd w:val="clear" w:color="auto" w:fill="auto"/>
        </w:rPr>
        <w:t xml:space="preserve">：没有重大违法记录承诺函 </w:t>
      </w:r>
    </w:p>
    <w:p>
      <w:pPr>
        <w:pStyle w:val="49"/>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表</w:t>
      </w:r>
      <w:r>
        <w:rPr>
          <w:rFonts w:hint="eastAsia" w:ascii="宋体" w:hAnsi="宋体" w:eastAsia="宋体" w:cs="宋体"/>
          <w:color w:val="auto"/>
          <w:sz w:val="24"/>
          <w:szCs w:val="24"/>
          <w:highlight w:val="none"/>
          <w:shd w:val="clear" w:color="auto" w:fill="auto"/>
          <w:lang w:val="en-US" w:eastAsia="zh-CN"/>
        </w:rPr>
        <w:t>6</w:t>
      </w:r>
      <w:r>
        <w:rPr>
          <w:rFonts w:hint="eastAsia" w:ascii="宋体" w:hAnsi="宋体" w:eastAsia="宋体" w:cs="宋体"/>
          <w:color w:val="auto"/>
          <w:sz w:val="24"/>
          <w:szCs w:val="24"/>
          <w:highlight w:val="none"/>
          <w:shd w:val="clear" w:color="auto" w:fill="auto"/>
        </w:rPr>
        <w:t>：无违法失信的声明函</w:t>
      </w:r>
    </w:p>
    <w:p>
      <w:pPr>
        <w:pStyle w:val="49"/>
        <w:keepNext w:val="0"/>
        <w:keepLines w:val="0"/>
        <w:pageBreakBefore w:val="0"/>
        <w:widowControl w:val="0"/>
        <w:kinsoku/>
        <w:wordWrap/>
        <w:overflowPunct/>
        <w:topLinePunct w:val="0"/>
        <w:autoSpaceDE/>
        <w:autoSpaceDN/>
        <w:bidi w:val="0"/>
        <w:adjustRightInd/>
        <w:snapToGrid w:val="0"/>
        <w:spacing w:line="360" w:lineRule="auto"/>
        <w:ind w:left="476" w:leftChars="170" w:right="0" w:rightChars="0" w:firstLine="0" w:firstLineChars="0"/>
        <w:jc w:val="both"/>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表</w:t>
      </w:r>
      <w:r>
        <w:rPr>
          <w:rFonts w:hint="eastAsia" w:ascii="宋体" w:hAnsi="宋体" w:eastAsia="宋体" w:cs="宋体"/>
          <w:color w:val="auto"/>
          <w:sz w:val="24"/>
          <w:szCs w:val="24"/>
          <w:highlight w:val="none"/>
          <w:shd w:val="clear" w:color="auto" w:fill="auto"/>
          <w:lang w:val="en-US" w:eastAsia="zh-CN"/>
        </w:rPr>
        <w:t>7</w:t>
      </w:r>
      <w:r>
        <w:rPr>
          <w:rFonts w:hint="eastAsia" w:ascii="宋体" w:hAnsi="宋体" w:eastAsia="宋体" w:cs="宋体"/>
          <w:color w:val="auto"/>
          <w:sz w:val="24"/>
          <w:szCs w:val="24"/>
          <w:highlight w:val="none"/>
          <w:shd w:val="clear" w:color="auto" w:fill="auto"/>
        </w:rPr>
        <w:t>：《中小企业声明函》或《残疾人福利性单位声明函》或《监狱企业声明函》</w:t>
      </w:r>
      <w:r>
        <w:rPr>
          <w:rFonts w:hint="eastAsia" w:ascii="宋体" w:hAnsi="宋体" w:eastAsia="宋体" w:cs="宋体"/>
          <w:color w:val="auto"/>
          <w:sz w:val="24"/>
          <w:szCs w:val="24"/>
          <w:highlight w:val="none"/>
          <w:shd w:val="clear" w:color="auto" w:fill="auto"/>
          <w:lang w:eastAsia="zh-CN"/>
        </w:rPr>
        <w:t>或分包承诺书</w:t>
      </w:r>
    </w:p>
    <w:p>
      <w:pPr>
        <w:pStyle w:val="49"/>
        <w:keepNext w:val="0"/>
        <w:keepLines w:val="0"/>
        <w:pageBreakBefore w:val="0"/>
        <w:widowControl w:val="0"/>
        <w:kinsoku/>
        <w:wordWrap/>
        <w:overflowPunct/>
        <w:topLinePunct w:val="0"/>
        <w:autoSpaceDE/>
        <w:autoSpaceDN/>
        <w:bidi w:val="0"/>
        <w:adjustRightInd/>
        <w:snapToGrid w:val="0"/>
        <w:spacing w:line="360" w:lineRule="auto"/>
        <w:ind w:left="476" w:leftChars="170" w:right="0" w:rightChars="0" w:firstLine="0" w:firstLineChars="0"/>
        <w:jc w:val="both"/>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表</w:t>
      </w:r>
      <w:r>
        <w:rPr>
          <w:rFonts w:hint="eastAsia" w:hAnsi="宋体" w:cs="宋体"/>
          <w:color w:val="auto"/>
          <w:sz w:val="24"/>
          <w:szCs w:val="24"/>
          <w:highlight w:val="none"/>
          <w:shd w:val="clear" w:color="auto" w:fill="auto"/>
          <w:lang w:val="en-US" w:eastAsia="zh-CN"/>
        </w:rPr>
        <w:t>8</w:t>
      </w:r>
      <w:r>
        <w:rPr>
          <w:rFonts w:hint="eastAsia" w:ascii="宋体" w:hAnsi="宋体" w:eastAsia="宋体" w:cs="宋体"/>
          <w:color w:val="auto"/>
          <w:sz w:val="24"/>
          <w:szCs w:val="24"/>
          <w:highlight w:val="none"/>
          <w:shd w:val="clear" w:color="auto" w:fill="auto"/>
        </w:rPr>
        <w:t>：与其他供应商无利害关系的声明函</w:t>
      </w:r>
    </w:p>
    <w:p>
      <w:pPr>
        <w:pStyle w:val="49"/>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表</w:t>
      </w:r>
      <w:r>
        <w:rPr>
          <w:rFonts w:hint="eastAsia" w:hAnsi="宋体" w:cs="宋体"/>
          <w:color w:val="auto"/>
          <w:sz w:val="24"/>
          <w:szCs w:val="24"/>
          <w:highlight w:val="none"/>
          <w:shd w:val="clear" w:color="auto" w:fill="auto"/>
          <w:lang w:val="en-US" w:eastAsia="zh-CN"/>
        </w:rPr>
        <w:t>9</w:t>
      </w:r>
      <w:r>
        <w:rPr>
          <w:rFonts w:hint="eastAsia" w:ascii="宋体" w:hAnsi="宋体" w:eastAsia="宋体" w:cs="宋体"/>
          <w:color w:val="auto"/>
          <w:sz w:val="24"/>
          <w:szCs w:val="24"/>
          <w:highlight w:val="none"/>
          <w:shd w:val="clear" w:color="auto" w:fill="auto"/>
        </w:rPr>
        <w:t>：非联合体的声明函</w:t>
      </w:r>
    </w:p>
    <w:p>
      <w:pPr>
        <w:spacing w:line="360" w:lineRule="auto"/>
        <w:rPr>
          <w:rFonts w:hint="eastAsia" w:ascii="宋体" w:hAnsi="宋体" w:eastAsia="宋体" w:cs="宋体"/>
          <w:b/>
          <w:color w:val="auto"/>
          <w:sz w:val="30"/>
          <w:szCs w:val="30"/>
          <w:highlight w:val="none"/>
        </w:rPr>
      </w:pPr>
    </w:p>
    <w:p>
      <w:pPr>
        <w:pStyle w:val="20"/>
        <w:spacing w:line="360" w:lineRule="auto"/>
        <w:rPr>
          <w:rFonts w:hint="eastAsia" w:ascii="宋体" w:hAnsi="宋体" w:eastAsia="宋体" w:cs="宋体"/>
          <w:b/>
          <w:color w:val="auto"/>
          <w:sz w:val="30"/>
          <w:szCs w:val="30"/>
          <w:highlight w:val="none"/>
        </w:rPr>
      </w:pPr>
    </w:p>
    <w:p>
      <w:pPr>
        <w:pStyle w:val="19"/>
        <w:rPr>
          <w:rFonts w:hint="eastAsia"/>
          <w:color w:val="auto"/>
          <w:highlight w:val="none"/>
        </w:rPr>
      </w:pPr>
    </w:p>
    <w:p>
      <w:pPr>
        <w:pStyle w:val="20"/>
        <w:spacing w:line="360" w:lineRule="auto"/>
        <w:rPr>
          <w:rFonts w:hint="eastAsia" w:ascii="宋体" w:hAnsi="宋体" w:eastAsia="宋体" w:cs="宋体"/>
          <w:b/>
          <w:color w:val="auto"/>
          <w:sz w:val="30"/>
          <w:szCs w:val="30"/>
          <w:highlight w:val="none"/>
        </w:rPr>
      </w:pPr>
    </w:p>
    <w:p>
      <w:pPr>
        <w:spacing w:line="360" w:lineRule="auto"/>
        <w:rPr>
          <w:rFonts w:hint="eastAsia" w:ascii="宋体" w:hAnsi="宋体" w:eastAsia="宋体" w:cs="宋体"/>
          <w:b/>
          <w:color w:val="auto"/>
          <w:sz w:val="30"/>
          <w:szCs w:val="30"/>
          <w:highlight w:val="none"/>
        </w:rPr>
      </w:pPr>
    </w:p>
    <w:p>
      <w:pPr>
        <w:spacing w:line="360" w:lineRule="auto"/>
        <w:rPr>
          <w:rFonts w:hint="eastAsia" w:ascii="宋体" w:hAnsi="宋体" w:eastAsia="宋体" w:cs="宋体"/>
          <w:b/>
          <w:color w:val="auto"/>
          <w:sz w:val="30"/>
          <w:szCs w:val="30"/>
          <w:highlight w:val="none"/>
        </w:rPr>
      </w:pPr>
    </w:p>
    <w:p>
      <w:pPr>
        <w:kinsoku/>
        <w:overflowPunct/>
        <w:bidi w:val="0"/>
        <w:spacing w:line="360" w:lineRule="auto"/>
        <w:rPr>
          <w:rFonts w:hint="eastAsia" w:ascii="宋体" w:hAnsi="宋体" w:eastAsia="宋体" w:cs="宋体"/>
          <w:color w:val="auto"/>
          <w:highlight w:val="none"/>
        </w:rPr>
      </w:pPr>
      <w:r>
        <w:rPr>
          <w:rFonts w:hint="eastAsia" w:ascii="宋体" w:hAnsi="宋体" w:eastAsia="宋体" w:cs="宋体"/>
          <w:b/>
          <w:color w:val="auto"/>
          <w:sz w:val="30"/>
          <w:szCs w:val="30"/>
          <w:highlight w:val="none"/>
        </w:rPr>
        <w:t>表1：强制性资格条件</w:t>
      </w:r>
    </w:p>
    <w:p>
      <w:pPr>
        <w:kinsoku/>
        <w:overflowPunct/>
        <w:bidi w:val="0"/>
        <w:spacing w:line="360" w:lineRule="auto"/>
        <w:jc w:val="center"/>
        <w:rPr>
          <w:rFonts w:hint="eastAsia" w:ascii="宋体" w:hAnsi="宋体" w:eastAsia="宋体" w:cs="宋体"/>
          <w:color w:val="auto"/>
          <w:kern w:val="0"/>
          <w:highlight w:val="none"/>
        </w:rPr>
      </w:pPr>
      <w:r>
        <w:rPr>
          <w:rFonts w:hint="eastAsia" w:ascii="宋体" w:hAnsi="宋体" w:eastAsia="宋体" w:cs="宋体"/>
          <w:b/>
          <w:color w:val="auto"/>
          <w:sz w:val="30"/>
          <w:szCs w:val="30"/>
          <w:highlight w:val="none"/>
        </w:rPr>
        <w:t>强制性资格条件表</w:t>
      </w:r>
    </w:p>
    <w:tbl>
      <w:tblPr>
        <w:tblStyle w:val="98"/>
        <w:tblW w:w="10027" w:type="dxa"/>
        <w:tblInd w:w="0" w:type="dxa"/>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
      <w:tblGrid>
        <w:gridCol w:w="738"/>
        <w:gridCol w:w="2614"/>
        <w:gridCol w:w="2565"/>
        <w:gridCol w:w="4110"/>
      </w:tblGrid>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trPr>
        <w:tc>
          <w:tcPr>
            <w:tcW w:w="738" w:type="dxa"/>
            <w:vAlign w:val="center"/>
          </w:tcPr>
          <w:p>
            <w:pPr>
              <w:keepNext w:val="0"/>
              <w:keepLines w:val="0"/>
              <w:pageBreakBefore w:val="0"/>
              <w:kinsoku/>
              <w:wordWrap/>
              <w:overflowPunct/>
              <w:topLinePunct w:val="0"/>
              <w:bidi w:val="0"/>
              <w:snapToGrid/>
              <w:spacing w:line="360" w:lineRule="auto"/>
              <w:ind w:left="0" w:leftChars="0" w:firstLine="0" w:firstLineChars="0"/>
              <w:jc w:val="center"/>
              <w:textAlignment w:val="auto"/>
              <w:rPr>
                <w:rFonts w:hint="eastAsia" w:ascii="宋体" w:hAnsi="宋体" w:eastAsia="宋体" w:cs="宋体"/>
                <w:b/>
                <w:color w:val="auto"/>
                <w:sz w:val="20"/>
                <w:szCs w:val="20"/>
                <w:highlight w:val="none"/>
                <w:shd w:val="clear" w:color="auto" w:fill="auto"/>
              </w:rPr>
            </w:pPr>
            <w:r>
              <w:rPr>
                <w:rFonts w:hint="eastAsia" w:ascii="宋体" w:hAnsi="宋体" w:eastAsia="宋体" w:cs="宋体"/>
                <w:b/>
                <w:color w:val="auto"/>
                <w:sz w:val="20"/>
                <w:szCs w:val="20"/>
                <w:highlight w:val="none"/>
                <w:shd w:val="clear" w:color="auto" w:fill="auto"/>
              </w:rPr>
              <w:t>序号</w:t>
            </w:r>
          </w:p>
        </w:tc>
        <w:tc>
          <w:tcPr>
            <w:tcW w:w="2614" w:type="dxa"/>
            <w:vAlign w:val="center"/>
          </w:tcPr>
          <w:p>
            <w:pPr>
              <w:keepNext w:val="0"/>
              <w:keepLines w:val="0"/>
              <w:pageBreakBefore w:val="0"/>
              <w:kinsoku/>
              <w:wordWrap/>
              <w:overflowPunct/>
              <w:topLinePunct w:val="0"/>
              <w:bidi w:val="0"/>
              <w:snapToGrid/>
              <w:spacing w:line="360" w:lineRule="auto"/>
              <w:ind w:left="0" w:leftChars="0" w:firstLine="0" w:firstLineChars="0"/>
              <w:jc w:val="center"/>
              <w:textAlignment w:val="auto"/>
              <w:rPr>
                <w:rFonts w:hint="eastAsia" w:ascii="宋体" w:hAnsi="宋体" w:eastAsia="宋体" w:cs="宋体"/>
                <w:b/>
                <w:color w:val="auto"/>
                <w:sz w:val="20"/>
                <w:szCs w:val="20"/>
                <w:highlight w:val="none"/>
                <w:shd w:val="clear" w:color="auto" w:fill="auto"/>
              </w:rPr>
            </w:pPr>
            <w:r>
              <w:rPr>
                <w:rFonts w:hint="eastAsia" w:ascii="宋体" w:hAnsi="宋体" w:eastAsia="宋体" w:cs="宋体"/>
                <w:b/>
                <w:color w:val="auto"/>
                <w:sz w:val="20"/>
                <w:szCs w:val="20"/>
                <w:highlight w:val="none"/>
                <w:shd w:val="clear" w:color="auto" w:fill="auto"/>
              </w:rPr>
              <w:t>资格条件要求</w:t>
            </w:r>
          </w:p>
        </w:tc>
        <w:tc>
          <w:tcPr>
            <w:tcW w:w="6675" w:type="dxa"/>
            <w:gridSpan w:val="2"/>
            <w:vAlign w:val="center"/>
          </w:tcPr>
          <w:p>
            <w:pPr>
              <w:keepNext w:val="0"/>
              <w:keepLines w:val="0"/>
              <w:pageBreakBefore w:val="0"/>
              <w:kinsoku/>
              <w:wordWrap/>
              <w:overflowPunct/>
              <w:topLinePunct w:val="0"/>
              <w:bidi w:val="0"/>
              <w:snapToGrid/>
              <w:spacing w:line="360" w:lineRule="auto"/>
              <w:ind w:left="0" w:leftChars="0" w:firstLine="0" w:firstLineChars="0"/>
              <w:jc w:val="center"/>
              <w:textAlignment w:val="auto"/>
              <w:rPr>
                <w:rFonts w:hint="eastAsia" w:ascii="宋体" w:hAnsi="宋体" w:eastAsia="宋体" w:cs="宋体"/>
                <w:b/>
                <w:color w:val="auto"/>
                <w:sz w:val="20"/>
                <w:szCs w:val="20"/>
                <w:highlight w:val="none"/>
                <w:shd w:val="clear" w:color="auto" w:fill="auto"/>
              </w:rPr>
            </w:pPr>
            <w:r>
              <w:rPr>
                <w:rFonts w:hint="eastAsia" w:ascii="宋体" w:hAnsi="宋体" w:eastAsia="宋体" w:cs="宋体"/>
                <w:b/>
                <w:color w:val="auto"/>
                <w:sz w:val="20"/>
                <w:szCs w:val="20"/>
                <w:highlight w:val="none"/>
                <w:shd w:val="clear" w:color="auto" w:fill="auto"/>
              </w:rPr>
              <w:t>要求提供的证明材料</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244" w:hRule="atLeast"/>
        </w:trPr>
        <w:tc>
          <w:tcPr>
            <w:tcW w:w="738" w:type="dxa"/>
            <w:vAlign w:val="center"/>
          </w:tcPr>
          <w:p>
            <w:pPr>
              <w:keepNext w:val="0"/>
              <w:keepLines w:val="0"/>
              <w:pageBreakBefore w:val="0"/>
              <w:kinsoku/>
              <w:wordWrap/>
              <w:overflowPunct/>
              <w:topLinePunct w:val="0"/>
              <w:bidi w:val="0"/>
              <w:snapToGrid/>
              <w:spacing w:line="360" w:lineRule="auto"/>
              <w:ind w:left="0" w:leftChars="0" w:firstLine="0" w:firstLineChars="0"/>
              <w:jc w:val="center"/>
              <w:textAlignment w:val="auto"/>
              <w:rPr>
                <w:rFonts w:hint="eastAsia" w:ascii="宋体" w:hAnsi="宋体" w:eastAsia="宋体" w:cs="宋体"/>
                <w:b/>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rPr>
              <w:t>1</w:t>
            </w:r>
          </w:p>
        </w:tc>
        <w:tc>
          <w:tcPr>
            <w:tcW w:w="2614" w:type="dxa"/>
            <w:vAlign w:val="center"/>
          </w:tcPr>
          <w:p>
            <w:pPr>
              <w:keepNext w:val="0"/>
              <w:keepLines w:val="0"/>
              <w:pageBreakBefore w:val="0"/>
              <w:kinsoku/>
              <w:wordWrap/>
              <w:overflowPunct/>
              <w:topLinePunct w:val="0"/>
              <w:bidi w:val="0"/>
              <w:snapToGrid/>
              <w:spacing w:line="360" w:lineRule="auto"/>
              <w:ind w:left="0" w:leftChars="0" w:firstLine="0" w:firstLineChars="0"/>
              <w:jc w:val="center"/>
              <w:textAlignment w:val="auto"/>
              <w:rPr>
                <w:rFonts w:hint="eastAsia" w:ascii="宋体" w:hAnsi="宋体" w:eastAsia="宋体" w:cs="宋体"/>
                <w:b/>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rPr>
              <w:t>基本资格要求：</w:t>
            </w:r>
          </w:p>
        </w:tc>
        <w:tc>
          <w:tcPr>
            <w:tcW w:w="6675" w:type="dxa"/>
            <w:gridSpan w:val="2"/>
            <w:vAlign w:val="center"/>
          </w:tcPr>
          <w:p>
            <w:pPr>
              <w:keepNext w:val="0"/>
              <w:keepLines w:val="0"/>
              <w:pageBreakBefore w:val="0"/>
              <w:kinsoku/>
              <w:wordWrap/>
              <w:overflowPunct/>
              <w:topLinePunct w:val="0"/>
              <w:bidi w:val="0"/>
              <w:snapToGrid/>
              <w:spacing w:line="360" w:lineRule="auto"/>
              <w:ind w:left="0" w:leftChars="0" w:firstLine="0" w:firstLineChars="0"/>
              <w:jc w:val="center"/>
              <w:textAlignment w:val="auto"/>
              <w:rPr>
                <w:rFonts w:hint="eastAsia" w:ascii="宋体" w:hAnsi="宋体" w:eastAsia="宋体" w:cs="宋体"/>
                <w:b/>
                <w:color w:val="auto"/>
                <w:sz w:val="20"/>
                <w:szCs w:val="20"/>
                <w:highlight w:val="none"/>
                <w:shd w:val="clear" w:color="auto" w:fill="auto"/>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1585" w:hRule="atLeast"/>
        </w:trPr>
        <w:tc>
          <w:tcPr>
            <w:tcW w:w="738" w:type="dxa"/>
            <w:vAlign w:val="center"/>
          </w:tcPr>
          <w:p>
            <w:pPr>
              <w:keepNext w:val="0"/>
              <w:keepLines w:val="0"/>
              <w:pageBreakBefore w:val="0"/>
              <w:kinsoku/>
              <w:wordWrap/>
              <w:overflowPunct/>
              <w:topLinePunct w:val="0"/>
              <w:bidi w:val="0"/>
              <w:snapToGrid/>
              <w:spacing w:line="360" w:lineRule="auto"/>
              <w:ind w:left="0" w:leftChars="0" w:firstLine="0" w:firstLineChars="0"/>
              <w:jc w:val="center"/>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rPr>
              <w:t>1.1</w:t>
            </w:r>
          </w:p>
        </w:tc>
        <w:tc>
          <w:tcPr>
            <w:tcW w:w="2614" w:type="dxa"/>
            <w:vAlign w:val="center"/>
          </w:tcPr>
          <w:p>
            <w:pPr>
              <w:keepNext w:val="0"/>
              <w:keepLines w:val="0"/>
              <w:pageBreakBefore w:val="0"/>
              <w:kinsoku/>
              <w:wordWrap/>
              <w:overflowPunct/>
              <w:topLinePunct w:val="0"/>
              <w:bidi w:val="0"/>
              <w:snapToGrid/>
              <w:spacing w:line="360" w:lineRule="auto"/>
              <w:ind w:left="0" w:leftChars="0" w:firstLine="0" w:firstLineChars="0"/>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lang w:val="zh-CN"/>
              </w:rPr>
              <w:t>具有独立承担民事责任的能力</w:t>
            </w:r>
          </w:p>
        </w:tc>
        <w:tc>
          <w:tcPr>
            <w:tcW w:w="6675" w:type="dxa"/>
            <w:gridSpan w:val="2"/>
            <w:vAlign w:val="center"/>
          </w:tcPr>
          <w:p>
            <w:pPr>
              <w:kinsoku/>
              <w:overflowPunct/>
              <w:bidi w:val="0"/>
              <w:spacing w:line="360" w:lineRule="auto"/>
              <w:rPr>
                <w:rFonts w:hint="eastAsia" w:ascii="宋体" w:hAnsi="宋体" w:eastAsia="宋体" w:cs="宋体"/>
                <w:color w:val="auto"/>
                <w:sz w:val="20"/>
                <w:highlight w:val="none"/>
                <w:shd w:val="clear" w:color="auto" w:fill="auto"/>
                <w:lang w:val="zh-CN"/>
              </w:rPr>
            </w:pPr>
            <w:r>
              <w:rPr>
                <w:rFonts w:hint="eastAsia" w:ascii="宋体" w:hAnsi="宋体" w:eastAsia="宋体" w:cs="宋体"/>
                <w:color w:val="auto"/>
                <w:sz w:val="20"/>
                <w:highlight w:val="none"/>
                <w:shd w:val="clear" w:color="auto" w:fill="auto"/>
                <w:lang w:val="zh-CN"/>
              </w:rPr>
              <w:t>营业执照(或事业法人登记证书或其它工商等登记证明材料；自然人参与政府采购，提供身份证)复印件、实施“五证合一、一照一码”登记制度改革的，只需提供改革后取得的营业执照复印件</w:t>
            </w:r>
          </w:p>
          <w:p>
            <w:pPr>
              <w:kinsoku/>
              <w:overflowPunct/>
              <w:bidi w:val="0"/>
              <w:spacing w:line="360" w:lineRule="auto"/>
              <w:rPr>
                <w:rFonts w:hint="eastAsia" w:ascii="宋体" w:hAnsi="宋体" w:eastAsia="宋体" w:cs="宋体"/>
                <w:color w:val="auto"/>
                <w:sz w:val="20"/>
                <w:szCs w:val="20"/>
                <w:highlight w:val="none"/>
                <w:shd w:val="clear" w:color="auto" w:fill="auto"/>
                <w:lang w:val="zh-CN"/>
              </w:rPr>
            </w:pPr>
            <w:r>
              <w:rPr>
                <w:rFonts w:hint="eastAsia" w:ascii="宋体" w:hAnsi="宋体" w:eastAsia="宋体" w:cs="宋体"/>
                <w:color w:val="auto"/>
                <w:sz w:val="20"/>
                <w:highlight w:val="none"/>
                <w:shd w:val="clear" w:color="auto" w:fill="auto"/>
                <w:lang w:val="zh-CN"/>
              </w:rPr>
              <w:t xml:space="preserve">注：具体资格要求详见“第一部分 </w:t>
            </w:r>
            <w:r>
              <w:rPr>
                <w:rFonts w:hint="eastAsia" w:ascii="宋体" w:hAnsi="宋体" w:eastAsia="宋体" w:cs="宋体"/>
                <w:color w:val="auto"/>
                <w:sz w:val="20"/>
                <w:highlight w:val="none"/>
                <w:shd w:val="clear" w:color="auto" w:fill="auto"/>
                <w:lang w:val="en-US" w:eastAsia="zh-CN"/>
              </w:rPr>
              <w:t>招标</w:t>
            </w:r>
            <w:r>
              <w:rPr>
                <w:rFonts w:hint="eastAsia" w:ascii="宋体" w:hAnsi="宋体" w:eastAsia="宋体" w:cs="宋体"/>
                <w:color w:val="auto"/>
                <w:sz w:val="20"/>
                <w:highlight w:val="none"/>
                <w:shd w:val="clear" w:color="auto" w:fill="auto"/>
                <w:lang w:val="zh-CN"/>
              </w:rPr>
              <w:t>公告”中“二、申请人的资格要求”。</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744" w:hRule="atLeast"/>
        </w:trPr>
        <w:tc>
          <w:tcPr>
            <w:tcW w:w="738" w:type="dxa"/>
            <w:vAlign w:val="center"/>
          </w:tcPr>
          <w:p>
            <w:pPr>
              <w:keepNext w:val="0"/>
              <w:keepLines w:val="0"/>
              <w:pageBreakBefore w:val="0"/>
              <w:kinsoku/>
              <w:wordWrap/>
              <w:overflowPunct/>
              <w:topLinePunct w:val="0"/>
              <w:bidi w:val="0"/>
              <w:snapToGrid/>
              <w:spacing w:line="360" w:lineRule="auto"/>
              <w:ind w:left="0" w:leftChars="0" w:firstLine="0" w:firstLineChars="0"/>
              <w:jc w:val="center"/>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rPr>
              <w:t>1.2</w:t>
            </w:r>
          </w:p>
        </w:tc>
        <w:tc>
          <w:tcPr>
            <w:tcW w:w="2614" w:type="dxa"/>
            <w:vAlign w:val="center"/>
          </w:tcPr>
          <w:p>
            <w:pPr>
              <w:keepNext w:val="0"/>
              <w:keepLines w:val="0"/>
              <w:pageBreakBefore w:val="0"/>
              <w:kinsoku/>
              <w:wordWrap/>
              <w:overflowPunct/>
              <w:topLinePunct w:val="0"/>
              <w:bidi w:val="0"/>
              <w:snapToGrid/>
              <w:spacing w:line="360" w:lineRule="auto"/>
              <w:ind w:left="0" w:leftChars="0" w:firstLine="0" w:firstLineChars="0"/>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lang w:val="zh-CN"/>
              </w:rPr>
              <w:t>具有良好的商业信誉和健全的财务会计制度</w:t>
            </w:r>
          </w:p>
        </w:tc>
        <w:tc>
          <w:tcPr>
            <w:tcW w:w="6675" w:type="dxa"/>
            <w:gridSpan w:val="2"/>
            <w:vAlign w:val="center"/>
          </w:tcPr>
          <w:p>
            <w:pPr>
              <w:spacing w:line="360" w:lineRule="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highlight w:val="none"/>
                <w:shd w:val="clear" w:color="auto" w:fill="auto"/>
                <w:lang w:val="zh-CN"/>
              </w:rPr>
              <w:t>具有良好的商业信誉和健全的财务会计制度声明函，</w:t>
            </w:r>
            <w:r>
              <w:rPr>
                <w:rFonts w:hint="eastAsia" w:ascii="宋体" w:hAnsi="宋体" w:eastAsia="宋体" w:cs="宋体"/>
                <w:color w:val="auto"/>
                <w:sz w:val="20"/>
                <w:highlight w:val="none"/>
                <w:shd w:val="clear" w:color="auto" w:fill="auto"/>
              </w:rPr>
              <w:t>详见表2。</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527" w:hRule="atLeast"/>
        </w:trPr>
        <w:tc>
          <w:tcPr>
            <w:tcW w:w="738" w:type="dxa"/>
            <w:vAlign w:val="center"/>
          </w:tcPr>
          <w:p>
            <w:pPr>
              <w:keepNext w:val="0"/>
              <w:keepLines w:val="0"/>
              <w:pageBreakBefore w:val="0"/>
              <w:kinsoku/>
              <w:wordWrap/>
              <w:overflowPunct/>
              <w:topLinePunct w:val="0"/>
              <w:bidi w:val="0"/>
              <w:snapToGrid/>
              <w:spacing w:line="360" w:lineRule="auto"/>
              <w:ind w:left="0" w:leftChars="0" w:firstLine="0" w:firstLineChars="0"/>
              <w:jc w:val="center"/>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rPr>
              <w:t>1.3</w:t>
            </w:r>
          </w:p>
        </w:tc>
        <w:tc>
          <w:tcPr>
            <w:tcW w:w="2614" w:type="dxa"/>
            <w:vAlign w:val="center"/>
          </w:tcPr>
          <w:p>
            <w:pPr>
              <w:keepNext w:val="0"/>
              <w:keepLines w:val="0"/>
              <w:pageBreakBefore w:val="0"/>
              <w:kinsoku/>
              <w:wordWrap/>
              <w:overflowPunct/>
              <w:topLinePunct w:val="0"/>
              <w:bidi w:val="0"/>
              <w:snapToGrid/>
              <w:spacing w:line="360" w:lineRule="auto"/>
              <w:ind w:left="0" w:leftChars="0" w:firstLine="0" w:firstLineChars="0"/>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lang w:val="zh-CN"/>
              </w:rPr>
              <w:t>具有履行合同所必需的设备和专业技术能力</w:t>
            </w:r>
          </w:p>
        </w:tc>
        <w:tc>
          <w:tcPr>
            <w:tcW w:w="6675" w:type="dxa"/>
            <w:gridSpan w:val="2"/>
            <w:vAlign w:val="center"/>
          </w:tcPr>
          <w:p>
            <w:pPr>
              <w:spacing w:line="360" w:lineRule="auto"/>
              <w:rPr>
                <w:rFonts w:hint="eastAsia" w:ascii="宋体" w:hAnsi="宋体" w:eastAsia="宋体" w:cs="宋体"/>
                <w:color w:val="auto"/>
                <w:sz w:val="20"/>
                <w:szCs w:val="20"/>
                <w:highlight w:val="none"/>
                <w:shd w:val="clear" w:color="auto" w:fill="auto"/>
                <w:lang w:val="zh-CN"/>
              </w:rPr>
            </w:pPr>
            <w:r>
              <w:rPr>
                <w:rFonts w:hint="eastAsia" w:ascii="宋体" w:hAnsi="宋体" w:eastAsia="宋体" w:cs="宋体"/>
                <w:color w:val="auto"/>
                <w:sz w:val="20"/>
                <w:highlight w:val="none"/>
                <w:shd w:val="clear" w:color="auto" w:fill="auto"/>
                <w:lang w:val="zh-CN"/>
              </w:rPr>
              <w:t>具有履行合同所必需的设备和专业技术能力的声明函，</w:t>
            </w:r>
            <w:r>
              <w:rPr>
                <w:rFonts w:hint="eastAsia" w:ascii="宋体" w:hAnsi="宋体" w:eastAsia="宋体" w:cs="宋体"/>
                <w:color w:val="auto"/>
                <w:sz w:val="20"/>
                <w:highlight w:val="none"/>
                <w:shd w:val="clear" w:color="auto" w:fill="auto"/>
              </w:rPr>
              <w:t>详见表</w:t>
            </w:r>
            <w:r>
              <w:rPr>
                <w:rFonts w:hint="eastAsia" w:ascii="宋体" w:hAnsi="宋体" w:eastAsia="宋体" w:cs="宋体"/>
                <w:color w:val="auto"/>
                <w:sz w:val="20"/>
                <w:highlight w:val="none"/>
                <w:shd w:val="clear" w:color="auto" w:fill="auto"/>
                <w:lang w:val="en-US" w:eastAsia="zh-CN"/>
              </w:rPr>
              <w:t>3</w:t>
            </w:r>
            <w:r>
              <w:rPr>
                <w:rFonts w:hint="eastAsia" w:ascii="宋体" w:hAnsi="宋体" w:eastAsia="宋体" w:cs="宋体"/>
                <w:color w:val="auto"/>
                <w:sz w:val="20"/>
                <w:highlight w:val="none"/>
                <w:shd w:val="clear" w:color="auto" w:fill="auto"/>
              </w:rPr>
              <w:t>。</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90" w:hRule="atLeast"/>
        </w:trPr>
        <w:tc>
          <w:tcPr>
            <w:tcW w:w="738" w:type="dxa"/>
            <w:vAlign w:val="center"/>
          </w:tcPr>
          <w:p>
            <w:pPr>
              <w:keepNext w:val="0"/>
              <w:keepLines w:val="0"/>
              <w:pageBreakBefore w:val="0"/>
              <w:kinsoku/>
              <w:wordWrap/>
              <w:overflowPunct/>
              <w:topLinePunct w:val="0"/>
              <w:bidi w:val="0"/>
              <w:snapToGrid/>
              <w:spacing w:line="360" w:lineRule="auto"/>
              <w:ind w:left="0" w:leftChars="0" w:firstLine="0" w:firstLineChars="0"/>
              <w:jc w:val="center"/>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rPr>
              <w:t>1.4</w:t>
            </w:r>
          </w:p>
        </w:tc>
        <w:tc>
          <w:tcPr>
            <w:tcW w:w="2614" w:type="dxa"/>
            <w:vAlign w:val="center"/>
          </w:tcPr>
          <w:p>
            <w:pPr>
              <w:keepNext w:val="0"/>
              <w:keepLines w:val="0"/>
              <w:pageBreakBefore w:val="0"/>
              <w:kinsoku/>
              <w:wordWrap/>
              <w:overflowPunct/>
              <w:topLinePunct w:val="0"/>
              <w:bidi w:val="0"/>
              <w:snapToGrid/>
              <w:spacing w:line="360" w:lineRule="auto"/>
              <w:ind w:left="0" w:leftChars="0" w:firstLine="0" w:firstLineChars="0"/>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rPr>
              <w:t>有依法缴纳税收和社会保障资金的良好记录</w:t>
            </w:r>
          </w:p>
        </w:tc>
        <w:tc>
          <w:tcPr>
            <w:tcW w:w="6675" w:type="dxa"/>
            <w:gridSpan w:val="2"/>
            <w:vAlign w:val="center"/>
          </w:tcPr>
          <w:p>
            <w:pPr>
              <w:spacing w:line="360" w:lineRule="auto"/>
              <w:rPr>
                <w:rFonts w:hint="eastAsia" w:ascii="宋体" w:hAnsi="宋体" w:eastAsia="宋体" w:cs="宋体"/>
                <w:color w:val="auto"/>
                <w:sz w:val="20"/>
                <w:szCs w:val="20"/>
                <w:highlight w:val="none"/>
                <w:shd w:val="clear" w:color="auto" w:fill="auto"/>
                <w:lang w:val="zh-CN"/>
              </w:rPr>
            </w:pPr>
            <w:r>
              <w:rPr>
                <w:rFonts w:hint="eastAsia" w:ascii="宋体" w:hAnsi="宋体" w:eastAsia="宋体" w:cs="宋体"/>
                <w:color w:val="auto"/>
                <w:sz w:val="20"/>
                <w:highlight w:val="none"/>
                <w:shd w:val="clear" w:color="auto" w:fill="auto"/>
                <w:lang w:val="zh-CN"/>
              </w:rPr>
              <w:t>依法缴纳税收和社会保障资金的声明</w:t>
            </w:r>
            <w:r>
              <w:rPr>
                <w:rFonts w:hint="eastAsia" w:ascii="宋体" w:hAnsi="宋体" w:eastAsia="宋体" w:cs="宋体"/>
                <w:color w:val="auto"/>
                <w:sz w:val="20"/>
                <w:highlight w:val="none"/>
                <w:shd w:val="clear" w:color="auto" w:fill="auto"/>
                <w:lang w:val="en-US" w:eastAsia="zh-CN"/>
              </w:rPr>
              <w:t>函</w:t>
            </w:r>
            <w:r>
              <w:rPr>
                <w:rFonts w:hint="eastAsia" w:ascii="宋体" w:hAnsi="宋体" w:eastAsia="宋体" w:cs="宋体"/>
                <w:color w:val="auto"/>
                <w:sz w:val="20"/>
                <w:highlight w:val="none"/>
                <w:shd w:val="clear" w:color="auto" w:fill="auto"/>
                <w:lang w:val="zh-CN"/>
              </w:rPr>
              <w:t>，</w:t>
            </w:r>
            <w:r>
              <w:rPr>
                <w:rFonts w:hint="eastAsia" w:ascii="宋体" w:hAnsi="宋体" w:eastAsia="宋体" w:cs="宋体"/>
                <w:color w:val="auto"/>
                <w:sz w:val="20"/>
                <w:highlight w:val="none"/>
                <w:shd w:val="clear" w:color="auto" w:fill="auto"/>
              </w:rPr>
              <w:t>详见表</w:t>
            </w:r>
            <w:r>
              <w:rPr>
                <w:rFonts w:hint="eastAsia" w:ascii="宋体" w:hAnsi="宋体" w:eastAsia="宋体" w:cs="宋体"/>
                <w:color w:val="auto"/>
                <w:sz w:val="20"/>
                <w:highlight w:val="none"/>
                <w:shd w:val="clear" w:color="auto" w:fill="auto"/>
                <w:lang w:val="en-US" w:eastAsia="zh-CN"/>
              </w:rPr>
              <w:t>4</w:t>
            </w:r>
            <w:r>
              <w:rPr>
                <w:rFonts w:hint="eastAsia" w:ascii="宋体" w:hAnsi="宋体" w:eastAsia="宋体" w:cs="宋体"/>
                <w:color w:val="auto"/>
                <w:sz w:val="20"/>
                <w:highlight w:val="none"/>
                <w:shd w:val="clear" w:color="auto" w:fill="auto"/>
              </w:rPr>
              <w:t>。</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679" w:hRule="atLeast"/>
        </w:trPr>
        <w:tc>
          <w:tcPr>
            <w:tcW w:w="738" w:type="dxa"/>
            <w:vAlign w:val="center"/>
          </w:tcPr>
          <w:p>
            <w:pPr>
              <w:keepNext w:val="0"/>
              <w:keepLines w:val="0"/>
              <w:pageBreakBefore w:val="0"/>
              <w:kinsoku/>
              <w:wordWrap/>
              <w:overflowPunct/>
              <w:topLinePunct w:val="0"/>
              <w:bidi w:val="0"/>
              <w:snapToGrid/>
              <w:spacing w:line="360" w:lineRule="auto"/>
              <w:ind w:left="0" w:leftChars="0" w:firstLine="0" w:firstLineChars="0"/>
              <w:jc w:val="center"/>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rPr>
              <w:t>1.5</w:t>
            </w:r>
          </w:p>
        </w:tc>
        <w:tc>
          <w:tcPr>
            <w:tcW w:w="5179" w:type="dxa"/>
            <w:gridSpan w:val="2"/>
            <w:vAlign w:val="center"/>
          </w:tcPr>
          <w:p>
            <w:pPr>
              <w:keepNext w:val="0"/>
              <w:keepLines w:val="0"/>
              <w:pageBreakBefore w:val="0"/>
              <w:kinsoku/>
              <w:wordWrap/>
              <w:overflowPunct/>
              <w:topLinePunct w:val="0"/>
              <w:bidi w:val="0"/>
              <w:snapToGrid/>
              <w:spacing w:line="360" w:lineRule="auto"/>
              <w:ind w:left="0" w:leftChars="0" w:firstLine="0" w:firstLineChars="0"/>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lang w:val="zh-CN"/>
              </w:rPr>
              <w:t>参加政府采购活动前三年内（新成立不满三年的公司自成立之日起算）在经营活动中没有重大违法记录</w:t>
            </w:r>
          </w:p>
        </w:tc>
        <w:tc>
          <w:tcPr>
            <w:tcW w:w="4110" w:type="dxa"/>
            <w:vAlign w:val="center"/>
          </w:tcPr>
          <w:p>
            <w:pPr>
              <w:keepNext w:val="0"/>
              <w:keepLines w:val="0"/>
              <w:pageBreakBefore w:val="0"/>
              <w:kinsoku/>
              <w:wordWrap/>
              <w:overflowPunct/>
              <w:topLinePunct w:val="0"/>
              <w:bidi w:val="0"/>
              <w:snapToGrid/>
              <w:spacing w:line="360" w:lineRule="auto"/>
              <w:ind w:left="0" w:leftChars="0" w:firstLine="0" w:firstLineChars="0"/>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rPr>
              <w:t>没有重大违法记录承诺函，详见表</w:t>
            </w:r>
            <w:r>
              <w:rPr>
                <w:rFonts w:hint="eastAsia" w:ascii="宋体" w:hAnsi="宋体" w:eastAsia="宋体" w:cs="宋体"/>
                <w:color w:val="auto"/>
                <w:sz w:val="20"/>
                <w:szCs w:val="20"/>
                <w:highlight w:val="none"/>
                <w:shd w:val="clear" w:color="auto" w:fill="auto"/>
                <w:lang w:val="en-US" w:eastAsia="zh-CN"/>
              </w:rPr>
              <w:t>5</w:t>
            </w:r>
            <w:r>
              <w:rPr>
                <w:rFonts w:hint="eastAsia" w:ascii="宋体" w:hAnsi="宋体" w:eastAsia="宋体" w:cs="宋体"/>
                <w:color w:val="auto"/>
                <w:sz w:val="20"/>
                <w:szCs w:val="20"/>
                <w:highlight w:val="none"/>
                <w:shd w:val="clear" w:color="auto" w:fill="auto"/>
              </w:rPr>
              <w:t>。</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1130" w:hRule="atLeast"/>
        </w:trPr>
        <w:tc>
          <w:tcPr>
            <w:tcW w:w="738" w:type="dxa"/>
            <w:vAlign w:val="center"/>
          </w:tcPr>
          <w:p>
            <w:pPr>
              <w:keepNext w:val="0"/>
              <w:keepLines w:val="0"/>
              <w:pageBreakBefore w:val="0"/>
              <w:kinsoku/>
              <w:wordWrap/>
              <w:overflowPunct/>
              <w:topLinePunct w:val="0"/>
              <w:bidi w:val="0"/>
              <w:snapToGrid/>
              <w:spacing w:line="360" w:lineRule="auto"/>
              <w:ind w:left="0" w:leftChars="0" w:firstLine="0" w:firstLineChars="0"/>
              <w:jc w:val="center"/>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rPr>
              <w:t>1.6</w:t>
            </w:r>
          </w:p>
        </w:tc>
        <w:tc>
          <w:tcPr>
            <w:tcW w:w="5179" w:type="dxa"/>
            <w:gridSpan w:val="2"/>
            <w:vAlign w:val="center"/>
          </w:tcPr>
          <w:p>
            <w:pPr>
              <w:keepNext w:val="0"/>
              <w:keepLines w:val="0"/>
              <w:pageBreakBefore w:val="0"/>
              <w:kinsoku/>
              <w:wordWrap/>
              <w:overflowPunct/>
              <w:topLinePunct w:val="0"/>
              <w:bidi w:val="0"/>
              <w:snapToGrid/>
              <w:spacing w:line="360" w:lineRule="auto"/>
              <w:ind w:left="0" w:leftChars="0" w:firstLine="0" w:firstLineChars="0"/>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lang w:val="en-US" w:eastAsia="zh-CN"/>
              </w:rPr>
              <w:t>投标</w:t>
            </w:r>
            <w:r>
              <w:rPr>
                <w:rFonts w:hint="eastAsia" w:ascii="宋体" w:hAnsi="宋体" w:eastAsia="宋体" w:cs="宋体"/>
                <w:color w:val="auto"/>
                <w:sz w:val="20"/>
                <w:szCs w:val="20"/>
                <w:highlight w:val="none"/>
                <w:shd w:val="clear" w:color="auto" w:fill="auto"/>
              </w:rPr>
              <w:t>截止前未被“信用中国”网站(www.creditchina.gov.cn)列入失信被执行人、重大税收违法案件当事人名单、政府采购不良行为记录名单；未被“中国政府采购网”(www.ccgp.gov.cn)列入政府采购严重违法失信行为记录名单。</w:t>
            </w:r>
          </w:p>
        </w:tc>
        <w:tc>
          <w:tcPr>
            <w:tcW w:w="4110" w:type="dxa"/>
            <w:vAlign w:val="center"/>
          </w:tcPr>
          <w:p>
            <w:pPr>
              <w:keepNext w:val="0"/>
              <w:keepLines w:val="0"/>
              <w:pageBreakBefore w:val="0"/>
              <w:widowControl/>
              <w:kinsoku/>
              <w:wordWrap/>
              <w:overflowPunct/>
              <w:topLinePunct w:val="0"/>
              <w:bidi w:val="0"/>
              <w:snapToGrid/>
              <w:spacing w:line="360" w:lineRule="auto"/>
              <w:ind w:left="0" w:leftChars="0" w:firstLine="0" w:firstLineChars="0"/>
              <w:jc w:val="left"/>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lang w:bidi="ar"/>
              </w:rPr>
              <w:t>无违法失信的声明函，</w:t>
            </w:r>
            <w:r>
              <w:rPr>
                <w:rFonts w:hint="eastAsia" w:ascii="宋体" w:hAnsi="宋体" w:eastAsia="宋体" w:cs="宋体"/>
                <w:color w:val="auto"/>
                <w:sz w:val="20"/>
                <w:szCs w:val="20"/>
                <w:highlight w:val="none"/>
                <w:shd w:val="clear" w:color="auto" w:fill="auto"/>
              </w:rPr>
              <w:t>详见表</w:t>
            </w:r>
            <w:r>
              <w:rPr>
                <w:rFonts w:hint="eastAsia" w:ascii="宋体" w:hAnsi="宋体" w:eastAsia="宋体" w:cs="宋体"/>
                <w:color w:val="auto"/>
                <w:sz w:val="20"/>
                <w:szCs w:val="20"/>
                <w:highlight w:val="none"/>
                <w:shd w:val="clear" w:color="auto" w:fill="auto"/>
                <w:lang w:val="en-US" w:eastAsia="zh-CN"/>
              </w:rPr>
              <w:t>6。</w:t>
            </w:r>
          </w:p>
          <w:p>
            <w:pPr>
              <w:keepNext w:val="0"/>
              <w:keepLines w:val="0"/>
              <w:pageBreakBefore w:val="0"/>
              <w:kinsoku/>
              <w:wordWrap/>
              <w:overflowPunct/>
              <w:topLinePunct w:val="0"/>
              <w:bidi w:val="0"/>
              <w:snapToGrid/>
              <w:spacing w:line="360" w:lineRule="auto"/>
              <w:ind w:left="0" w:leftChars="0" w:firstLine="0" w:firstLineChars="0"/>
              <w:textAlignment w:val="auto"/>
              <w:rPr>
                <w:rFonts w:hint="eastAsia" w:ascii="宋体" w:hAnsi="宋体" w:eastAsia="宋体" w:cs="宋体"/>
                <w:color w:val="auto"/>
                <w:sz w:val="20"/>
                <w:szCs w:val="20"/>
                <w:highlight w:val="none"/>
                <w:shd w:val="clear" w:color="auto" w:fill="auto"/>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524" w:hRule="atLeast"/>
        </w:trPr>
        <w:tc>
          <w:tcPr>
            <w:tcW w:w="738" w:type="dxa"/>
            <w:vAlign w:val="center"/>
          </w:tcPr>
          <w:p>
            <w:pPr>
              <w:spacing w:line="360" w:lineRule="auto"/>
              <w:jc w:val="center"/>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highlight w:val="none"/>
                <w:lang w:val="en-US" w:eastAsia="zh-CN"/>
              </w:rPr>
              <w:t>2.</w:t>
            </w:r>
          </w:p>
        </w:tc>
        <w:tc>
          <w:tcPr>
            <w:tcW w:w="5179" w:type="dxa"/>
            <w:gridSpan w:val="2"/>
            <w:vAlign w:val="center"/>
          </w:tcPr>
          <w:p>
            <w:pPr>
              <w:spacing w:line="360" w:lineRule="auto"/>
              <w:jc w:val="left"/>
              <w:rPr>
                <w:rFonts w:hint="eastAsia" w:ascii="宋体" w:hAnsi="宋体" w:eastAsia="宋体" w:cs="宋体"/>
                <w:color w:val="auto"/>
                <w:sz w:val="20"/>
                <w:szCs w:val="20"/>
                <w:highlight w:val="none"/>
                <w:shd w:val="clear" w:color="auto" w:fill="auto"/>
                <w:lang w:val="zh-CN"/>
              </w:rPr>
            </w:pPr>
            <w:r>
              <w:rPr>
                <w:rFonts w:hint="eastAsia" w:ascii="宋体" w:hAnsi="宋体" w:eastAsia="宋体" w:cs="宋体"/>
                <w:color w:val="auto"/>
                <w:sz w:val="20"/>
                <w:szCs w:val="22"/>
                <w:highlight w:val="none"/>
                <w:lang w:val="zh-CN"/>
              </w:rPr>
              <w:t>落实政府采购政策需满足的资格要求：</w:t>
            </w:r>
          </w:p>
        </w:tc>
        <w:tc>
          <w:tcPr>
            <w:tcW w:w="4110" w:type="dxa"/>
            <w:vAlign w:val="center"/>
          </w:tcPr>
          <w:p>
            <w:pPr>
              <w:spacing w:line="360" w:lineRule="auto"/>
              <w:jc w:val="left"/>
              <w:rPr>
                <w:rFonts w:hint="eastAsia" w:ascii="宋体" w:hAnsi="宋体" w:eastAsia="宋体" w:cs="宋体"/>
                <w:color w:val="auto"/>
                <w:sz w:val="20"/>
                <w:szCs w:val="20"/>
                <w:highlight w:val="none"/>
                <w:shd w:val="clear" w:color="auto" w:fill="auto"/>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524" w:hRule="atLeast"/>
        </w:trPr>
        <w:tc>
          <w:tcPr>
            <w:tcW w:w="738" w:type="dxa"/>
            <w:vAlign w:val="center"/>
          </w:tcPr>
          <w:p>
            <w:pPr>
              <w:spacing w:line="360" w:lineRule="auto"/>
              <w:jc w:val="center"/>
              <w:rPr>
                <w:rFonts w:hint="eastAsia" w:ascii="宋体" w:hAnsi="宋体" w:eastAsia="宋体" w:cs="宋体"/>
                <w:color w:val="auto"/>
                <w:sz w:val="20"/>
                <w:szCs w:val="20"/>
                <w:highlight w:val="none"/>
                <w:shd w:val="clear" w:color="auto" w:fill="auto"/>
                <w:lang w:val="en-US" w:eastAsia="zh-CN"/>
              </w:rPr>
            </w:pPr>
            <w:r>
              <w:rPr>
                <w:rFonts w:hint="eastAsia" w:ascii="宋体" w:hAnsi="宋体" w:eastAsia="宋体" w:cs="宋体"/>
                <w:color w:val="auto"/>
                <w:sz w:val="20"/>
                <w:szCs w:val="20"/>
                <w:highlight w:val="none"/>
                <w:shd w:val="clear" w:color="auto" w:fill="auto"/>
                <w:lang w:val="en-US" w:eastAsia="zh-CN"/>
              </w:rPr>
              <w:t>2.1</w:t>
            </w:r>
          </w:p>
        </w:tc>
        <w:tc>
          <w:tcPr>
            <w:tcW w:w="5179" w:type="dxa"/>
            <w:gridSpan w:val="2"/>
            <w:vAlign w:val="center"/>
          </w:tcPr>
          <w:p>
            <w:pPr>
              <w:spacing w:line="360" w:lineRule="auto"/>
              <w:jc w:val="left"/>
              <w:rPr>
                <w:rFonts w:hint="eastAsia" w:ascii="宋体" w:hAnsi="宋体" w:eastAsia="宋体" w:cs="宋体"/>
                <w:color w:val="auto"/>
                <w:sz w:val="20"/>
                <w:szCs w:val="20"/>
                <w:highlight w:val="none"/>
                <w:shd w:val="clear" w:color="auto" w:fill="auto"/>
                <w:lang w:val="zh-CN"/>
              </w:rPr>
            </w:pPr>
            <w:r>
              <w:rPr>
                <w:rFonts w:hint="eastAsia" w:ascii="宋体" w:hAnsi="宋体" w:eastAsia="宋体" w:cs="宋体"/>
                <w:color w:val="auto"/>
                <w:sz w:val="20"/>
                <w:szCs w:val="20"/>
                <w:highlight w:val="none"/>
                <w:shd w:val="clear" w:color="auto" w:fill="auto"/>
                <w:lang w:val="zh-CN"/>
              </w:rPr>
              <w:t>本项目属于预留份额专门面向中小企业采购的项目，预留给中小企业的份额比例不得少于40%；如大型企业参与的，须承诺分包给中小企业预留份额不得低于预算总额的40%，其中预留给小微企业的比例不得低于70%。</w:t>
            </w:r>
          </w:p>
        </w:tc>
        <w:tc>
          <w:tcPr>
            <w:tcW w:w="4110" w:type="dxa"/>
            <w:vAlign w:val="center"/>
          </w:tcPr>
          <w:p>
            <w:pPr>
              <w:spacing w:line="360" w:lineRule="auto"/>
              <w:jc w:val="left"/>
              <w:rPr>
                <w:rFonts w:hint="eastAsia" w:ascii="宋体" w:hAnsi="宋体" w:eastAsia="宋体" w:cs="宋体"/>
                <w:color w:val="auto"/>
                <w:sz w:val="20"/>
                <w:highlight w:val="none"/>
              </w:rPr>
            </w:pPr>
            <w:r>
              <w:rPr>
                <w:rFonts w:hint="eastAsia" w:ascii="宋体" w:hAnsi="宋体" w:cs="宋体"/>
                <w:b/>
                <w:bCs/>
                <w:color w:val="auto"/>
                <w:sz w:val="20"/>
                <w:highlight w:val="none"/>
                <w:lang w:val="en-US" w:eastAsia="zh-CN"/>
              </w:rPr>
              <w:t>1.</w:t>
            </w:r>
            <w:r>
              <w:rPr>
                <w:rFonts w:hint="eastAsia" w:ascii="宋体" w:hAnsi="宋体" w:eastAsia="宋体" w:cs="宋体"/>
                <w:b/>
                <w:bCs/>
                <w:color w:val="auto"/>
                <w:sz w:val="20"/>
                <w:highlight w:val="none"/>
              </w:rPr>
              <w:t>供应商是大中型企业的</w:t>
            </w:r>
            <w:r>
              <w:rPr>
                <w:rFonts w:hint="eastAsia" w:ascii="宋体" w:hAnsi="宋体" w:eastAsia="宋体" w:cs="宋体"/>
                <w:color w:val="auto"/>
                <w:sz w:val="20"/>
                <w:highlight w:val="none"/>
              </w:rPr>
              <w:t>，</w:t>
            </w:r>
            <w:r>
              <w:rPr>
                <w:rFonts w:hint="eastAsia" w:ascii="宋体" w:hAnsi="宋体" w:cs="宋体"/>
                <w:color w:val="auto"/>
                <w:sz w:val="20"/>
                <w:highlight w:val="none"/>
                <w:lang w:eastAsia="zh-CN"/>
              </w:rPr>
              <w:t>须</w:t>
            </w:r>
            <w:r>
              <w:rPr>
                <w:rFonts w:hint="eastAsia" w:ascii="宋体" w:hAnsi="宋体" w:eastAsia="宋体" w:cs="宋体"/>
                <w:color w:val="auto"/>
                <w:sz w:val="20"/>
                <w:highlight w:val="none"/>
              </w:rPr>
              <w:t>同时提供《分包承诺书》和《中小企业声明函》；</w:t>
            </w:r>
          </w:p>
          <w:p>
            <w:pPr>
              <w:spacing w:line="360" w:lineRule="auto"/>
              <w:jc w:val="left"/>
              <w:rPr>
                <w:rFonts w:hint="eastAsia" w:ascii="宋体" w:hAnsi="宋体" w:eastAsia="宋体" w:cs="宋体"/>
                <w:color w:val="auto"/>
                <w:sz w:val="20"/>
                <w:szCs w:val="20"/>
                <w:highlight w:val="none"/>
                <w:shd w:val="clear" w:color="auto" w:fill="auto"/>
              </w:rPr>
            </w:pPr>
            <w:r>
              <w:rPr>
                <w:rFonts w:hint="eastAsia" w:ascii="宋体" w:hAnsi="宋体" w:cs="宋体"/>
                <w:b/>
                <w:bCs/>
                <w:color w:val="auto"/>
                <w:sz w:val="20"/>
                <w:highlight w:val="none"/>
                <w:lang w:val="en-US" w:eastAsia="zh-CN"/>
              </w:rPr>
              <w:t>2.</w:t>
            </w:r>
            <w:r>
              <w:rPr>
                <w:rFonts w:hint="eastAsia" w:ascii="宋体" w:hAnsi="宋体" w:eastAsia="宋体" w:cs="宋体"/>
                <w:b/>
                <w:bCs/>
                <w:color w:val="auto"/>
                <w:sz w:val="20"/>
                <w:highlight w:val="none"/>
              </w:rPr>
              <w:t>供应商是中小企业的</w:t>
            </w:r>
            <w:r>
              <w:rPr>
                <w:rFonts w:hint="eastAsia" w:ascii="宋体" w:hAnsi="宋体" w:eastAsia="宋体" w:cs="宋体"/>
                <w:color w:val="auto"/>
                <w:sz w:val="20"/>
                <w:highlight w:val="none"/>
              </w:rPr>
              <w:t>，</w:t>
            </w:r>
            <w:r>
              <w:rPr>
                <w:rFonts w:hint="eastAsia" w:ascii="宋体" w:hAnsi="宋体" w:cs="宋体"/>
                <w:color w:val="auto"/>
                <w:sz w:val="20"/>
                <w:highlight w:val="none"/>
                <w:lang w:eastAsia="zh-CN"/>
              </w:rPr>
              <w:t>须</w:t>
            </w:r>
            <w:r>
              <w:rPr>
                <w:rFonts w:hint="eastAsia" w:ascii="宋体" w:hAnsi="宋体" w:eastAsia="宋体" w:cs="宋体"/>
                <w:color w:val="auto"/>
                <w:sz w:val="20"/>
                <w:highlight w:val="none"/>
              </w:rPr>
              <w:t>提供《中小企业声明函》或《残疾人福利性单位声明函》或《监狱企业声明函》，无</w:t>
            </w:r>
            <w:r>
              <w:rPr>
                <w:rFonts w:hint="eastAsia" w:ascii="宋体" w:hAnsi="宋体" w:cs="宋体"/>
                <w:color w:val="auto"/>
                <w:sz w:val="20"/>
                <w:highlight w:val="none"/>
                <w:lang w:eastAsia="zh-CN"/>
              </w:rPr>
              <w:t>须</w:t>
            </w:r>
            <w:r>
              <w:rPr>
                <w:rFonts w:hint="eastAsia" w:ascii="宋体" w:hAnsi="宋体" w:eastAsia="宋体" w:cs="宋体"/>
                <w:color w:val="auto"/>
                <w:sz w:val="20"/>
                <w:highlight w:val="none"/>
              </w:rPr>
              <w:t>提供《分包承诺书》</w:t>
            </w:r>
            <w:r>
              <w:rPr>
                <w:rFonts w:hint="eastAsia" w:ascii="宋体" w:hAnsi="宋体" w:cs="宋体"/>
                <w:color w:val="auto"/>
                <w:sz w:val="20"/>
                <w:highlight w:val="none"/>
                <w:lang w:eastAsia="zh-CN"/>
              </w:rPr>
              <w:t>；</w:t>
            </w:r>
            <w:r>
              <w:rPr>
                <w:rFonts w:hint="eastAsia" w:ascii="宋体" w:hAnsi="宋体" w:eastAsia="宋体" w:cs="宋体"/>
                <w:color w:val="auto"/>
                <w:sz w:val="20"/>
                <w:highlight w:val="none"/>
                <w:lang w:val="en-US" w:eastAsia="zh-CN"/>
              </w:rPr>
              <w:t>格式以采购文件中的</w:t>
            </w:r>
            <w:r>
              <w:rPr>
                <w:rFonts w:hint="eastAsia" w:ascii="宋体" w:hAnsi="宋体" w:eastAsia="宋体" w:cs="宋体"/>
                <w:color w:val="auto"/>
                <w:sz w:val="20"/>
                <w:szCs w:val="20"/>
                <w:highlight w:val="none"/>
                <w:shd w:val="clear" w:color="auto" w:fill="auto"/>
                <w:lang w:val="en-US" w:eastAsia="zh-CN"/>
              </w:rPr>
              <w:t>为</w:t>
            </w:r>
            <w:r>
              <w:rPr>
                <w:rFonts w:hint="eastAsia" w:ascii="宋体" w:hAnsi="宋体" w:eastAsia="宋体" w:cs="宋体"/>
                <w:color w:val="auto"/>
                <w:sz w:val="20"/>
                <w:highlight w:val="none"/>
                <w:lang w:val="en-US" w:eastAsia="zh-CN"/>
              </w:rPr>
              <w:t>准，</w:t>
            </w:r>
            <w:r>
              <w:rPr>
                <w:rFonts w:hint="eastAsia" w:ascii="宋体" w:hAnsi="宋体" w:eastAsia="宋体" w:cs="宋体"/>
                <w:color w:val="auto"/>
                <w:sz w:val="20"/>
                <w:szCs w:val="20"/>
                <w:highlight w:val="none"/>
                <w:shd w:val="clear" w:color="auto" w:fill="auto"/>
              </w:rPr>
              <w:t>详见表</w:t>
            </w:r>
            <w:r>
              <w:rPr>
                <w:rFonts w:hint="eastAsia" w:ascii="宋体" w:hAnsi="宋体" w:eastAsia="宋体" w:cs="宋体"/>
                <w:color w:val="auto"/>
                <w:sz w:val="20"/>
                <w:szCs w:val="20"/>
                <w:highlight w:val="none"/>
                <w:shd w:val="clear" w:color="auto" w:fill="auto"/>
                <w:lang w:val="en-US" w:eastAsia="zh-CN"/>
              </w:rPr>
              <w:t>7</w:t>
            </w:r>
            <w:r>
              <w:rPr>
                <w:rFonts w:hint="eastAsia" w:ascii="宋体" w:hAnsi="宋体" w:eastAsia="宋体" w:cs="宋体"/>
                <w:color w:val="auto"/>
                <w:sz w:val="20"/>
                <w:highlight w:val="none"/>
              </w:rPr>
              <w:t>。</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524" w:hRule="atLeast"/>
        </w:trPr>
        <w:tc>
          <w:tcPr>
            <w:tcW w:w="738" w:type="dxa"/>
            <w:vAlign w:val="center"/>
          </w:tcPr>
          <w:p>
            <w:pPr>
              <w:keepNext w:val="0"/>
              <w:keepLines w:val="0"/>
              <w:pageBreakBefore w:val="0"/>
              <w:kinsoku/>
              <w:wordWrap/>
              <w:overflowPunct/>
              <w:topLinePunct w:val="0"/>
              <w:bidi w:val="0"/>
              <w:snapToGrid/>
              <w:spacing w:line="360" w:lineRule="auto"/>
              <w:ind w:left="0" w:leftChars="0" w:firstLine="0" w:firstLineChars="0"/>
              <w:jc w:val="center"/>
              <w:textAlignment w:val="auto"/>
              <w:rPr>
                <w:rFonts w:hint="eastAsia" w:ascii="宋体" w:hAnsi="宋体" w:eastAsia="宋体" w:cs="宋体"/>
                <w:color w:val="auto"/>
                <w:sz w:val="20"/>
                <w:szCs w:val="20"/>
                <w:highlight w:val="none"/>
                <w:shd w:val="clear" w:color="auto" w:fill="auto"/>
                <w:lang w:eastAsia="zh-CN"/>
              </w:rPr>
            </w:pPr>
            <w:r>
              <w:rPr>
                <w:rFonts w:hint="eastAsia" w:ascii="宋体" w:hAnsi="宋体" w:eastAsia="宋体" w:cs="宋体"/>
                <w:color w:val="auto"/>
                <w:sz w:val="20"/>
                <w:szCs w:val="20"/>
                <w:highlight w:val="none"/>
                <w:shd w:val="clear" w:color="auto" w:fill="auto"/>
                <w:lang w:val="en-US" w:eastAsia="zh-CN"/>
              </w:rPr>
              <w:t>3</w:t>
            </w:r>
          </w:p>
        </w:tc>
        <w:tc>
          <w:tcPr>
            <w:tcW w:w="5179" w:type="dxa"/>
            <w:gridSpan w:val="2"/>
            <w:vAlign w:val="center"/>
          </w:tcPr>
          <w:p>
            <w:pPr>
              <w:keepNext w:val="0"/>
              <w:keepLines w:val="0"/>
              <w:pageBreakBefore w:val="0"/>
              <w:kinsoku/>
              <w:wordWrap/>
              <w:overflowPunct/>
              <w:topLinePunct w:val="0"/>
              <w:bidi w:val="0"/>
              <w:snapToGrid/>
              <w:spacing w:line="360" w:lineRule="auto"/>
              <w:ind w:left="0" w:leftChars="0" w:firstLine="0" w:firstLineChars="0"/>
              <w:jc w:val="left"/>
              <w:textAlignment w:val="auto"/>
              <w:rPr>
                <w:rFonts w:hint="eastAsia" w:ascii="宋体" w:hAnsi="宋体" w:eastAsia="宋体" w:cs="宋体"/>
                <w:color w:val="auto"/>
                <w:sz w:val="20"/>
                <w:szCs w:val="22"/>
                <w:highlight w:val="none"/>
                <w:lang w:val="zh-CN"/>
              </w:rPr>
            </w:pPr>
            <w:r>
              <w:rPr>
                <w:rFonts w:hint="eastAsia" w:ascii="宋体" w:hAnsi="宋体" w:eastAsia="宋体" w:cs="宋体"/>
                <w:color w:val="auto"/>
                <w:sz w:val="20"/>
                <w:szCs w:val="20"/>
                <w:highlight w:val="none"/>
                <w:shd w:val="clear" w:color="auto" w:fill="auto"/>
                <w:lang w:val="zh-CN"/>
              </w:rPr>
              <w:t>特定资格要求：</w:t>
            </w:r>
          </w:p>
        </w:tc>
        <w:tc>
          <w:tcPr>
            <w:tcW w:w="4110" w:type="dxa"/>
            <w:vAlign w:val="center"/>
          </w:tcPr>
          <w:p>
            <w:pPr>
              <w:spacing w:line="360" w:lineRule="auto"/>
              <w:jc w:val="left"/>
              <w:rPr>
                <w:rFonts w:hint="eastAsia" w:ascii="宋体" w:hAnsi="宋体" w:eastAsia="宋体" w:cs="宋体"/>
                <w:color w:val="auto"/>
                <w:sz w:val="20"/>
                <w:szCs w:val="22"/>
                <w:highlight w:val="none"/>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323" w:hRule="atLeast"/>
        </w:trPr>
        <w:tc>
          <w:tcPr>
            <w:tcW w:w="738" w:type="dxa"/>
            <w:vAlign w:val="center"/>
          </w:tcPr>
          <w:p>
            <w:pPr>
              <w:keepNext w:val="0"/>
              <w:keepLines w:val="0"/>
              <w:pageBreakBefore w:val="0"/>
              <w:kinsoku/>
              <w:wordWrap/>
              <w:overflowPunct/>
              <w:topLinePunct w:val="0"/>
              <w:bidi w:val="0"/>
              <w:snapToGrid/>
              <w:spacing w:line="360" w:lineRule="auto"/>
              <w:ind w:left="0" w:leftChars="0" w:firstLine="0" w:firstLineChars="0"/>
              <w:jc w:val="center"/>
              <w:textAlignment w:val="auto"/>
              <w:rPr>
                <w:rFonts w:hint="eastAsia" w:ascii="宋体" w:hAnsi="宋体" w:eastAsia="宋体" w:cs="宋体"/>
                <w:color w:val="auto"/>
                <w:sz w:val="20"/>
                <w:szCs w:val="20"/>
                <w:highlight w:val="none"/>
                <w:shd w:val="clear" w:color="auto" w:fill="auto"/>
                <w:lang w:val="en-US" w:eastAsia="zh-CN"/>
              </w:rPr>
            </w:pPr>
            <w:r>
              <w:rPr>
                <w:rFonts w:hint="eastAsia" w:ascii="宋体" w:hAnsi="宋体" w:eastAsia="宋体" w:cs="宋体"/>
                <w:color w:val="auto"/>
                <w:sz w:val="20"/>
                <w:szCs w:val="20"/>
                <w:highlight w:val="none"/>
                <w:shd w:val="clear" w:color="auto" w:fill="auto"/>
                <w:lang w:val="en-US" w:eastAsia="zh-CN"/>
              </w:rPr>
              <w:t>3.1</w:t>
            </w:r>
          </w:p>
        </w:tc>
        <w:tc>
          <w:tcPr>
            <w:tcW w:w="5179" w:type="dxa"/>
            <w:gridSpan w:val="2"/>
            <w:vAlign w:val="center"/>
          </w:tcPr>
          <w:p>
            <w:pPr>
              <w:keepNext w:val="0"/>
              <w:keepLines w:val="0"/>
              <w:pageBreakBefore w:val="0"/>
              <w:kinsoku/>
              <w:wordWrap/>
              <w:overflowPunct/>
              <w:topLinePunct w:val="0"/>
              <w:bidi w:val="0"/>
              <w:snapToGrid/>
              <w:spacing w:line="360" w:lineRule="auto"/>
              <w:ind w:left="0" w:leftChars="0" w:firstLine="0" w:firstLineChars="0"/>
              <w:jc w:val="left"/>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sz w:val="20"/>
                <w:szCs w:val="20"/>
                <w:highlight w:val="none"/>
                <w:shd w:val="clear" w:color="auto" w:fill="auto"/>
                <w:lang w:val="zh-CN"/>
              </w:rPr>
              <w:t>单位负责人为同一人或者存在直接控股、管理关系的不同投标人，不得参加同一合同项下的政府采购活动</w:t>
            </w:r>
          </w:p>
        </w:tc>
        <w:tc>
          <w:tcPr>
            <w:tcW w:w="4110" w:type="dxa"/>
            <w:vAlign w:val="center"/>
          </w:tcPr>
          <w:p>
            <w:pPr>
              <w:keepNext w:val="0"/>
              <w:keepLines w:val="0"/>
              <w:pageBreakBefore w:val="0"/>
              <w:kinsoku/>
              <w:wordWrap/>
              <w:overflowPunct/>
              <w:topLinePunct w:val="0"/>
              <w:bidi w:val="0"/>
              <w:snapToGrid/>
              <w:spacing w:line="360" w:lineRule="auto"/>
              <w:ind w:left="0" w:leftChars="0"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sz w:val="20"/>
                <w:szCs w:val="20"/>
                <w:highlight w:val="none"/>
                <w:shd w:val="clear" w:color="auto" w:fill="auto"/>
              </w:rPr>
              <w:t>与其他供应商无利害关系的声明函，详见表</w:t>
            </w:r>
            <w:r>
              <w:rPr>
                <w:rFonts w:hint="eastAsia" w:ascii="宋体" w:hAnsi="宋体" w:eastAsia="宋体" w:cs="宋体"/>
                <w:color w:val="auto"/>
                <w:sz w:val="20"/>
                <w:szCs w:val="20"/>
                <w:highlight w:val="none"/>
                <w:shd w:val="clear" w:color="auto" w:fill="auto"/>
                <w:lang w:val="en-US" w:eastAsia="zh-CN"/>
              </w:rPr>
              <w:t>8</w:t>
            </w:r>
            <w:r>
              <w:rPr>
                <w:rFonts w:hint="eastAsia" w:ascii="宋体" w:hAnsi="宋体" w:eastAsia="宋体" w:cs="宋体"/>
                <w:color w:val="auto"/>
                <w:sz w:val="20"/>
                <w:szCs w:val="20"/>
                <w:highlight w:val="none"/>
                <w:shd w:val="clear" w:color="auto" w:fill="auto"/>
              </w:rPr>
              <w:t>。</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323" w:hRule="atLeast"/>
        </w:trPr>
        <w:tc>
          <w:tcPr>
            <w:tcW w:w="738" w:type="dxa"/>
            <w:vAlign w:val="center"/>
          </w:tcPr>
          <w:p>
            <w:pPr>
              <w:keepNext w:val="0"/>
              <w:keepLines w:val="0"/>
              <w:pageBreakBefore w:val="0"/>
              <w:kinsoku/>
              <w:wordWrap/>
              <w:overflowPunct/>
              <w:topLinePunct w:val="0"/>
              <w:bidi w:val="0"/>
              <w:snapToGrid/>
              <w:spacing w:line="360" w:lineRule="auto"/>
              <w:ind w:left="0" w:leftChars="0" w:firstLine="0" w:firstLineChars="0"/>
              <w:jc w:val="center"/>
              <w:textAlignment w:val="auto"/>
              <w:rPr>
                <w:rFonts w:hint="eastAsia" w:ascii="宋体" w:hAnsi="宋体" w:eastAsia="宋体" w:cs="宋体"/>
                <w:color w:val="auto"/>
                <w:sz w:val="20"/>
                <w:szCs w:val="20"/>
                <w:highlight w:val="none"/>
                <w:shd w:val="clear" w:color="auto" w:fill="auto"/>
                <w:lang w:val="en-US" w:eastAsia="zh-CN"/>
              </w:rPr>
            </w:pPr>
            <w:r>
              <w:rPr>
                <w:rFonts w:hint="eastAsia" w:ascii="宋体" w:hAnsi="宋体" w:eastAsia="宋体" w:cs="宋体"/>
                <w:color w:val="auto"/>
                <w:sz w:val="20"/>
                <w:szCs w:val="20"/>
                <w:highlight w:val="none"/>
                <w:shd w:val="clear" w:color="auto" w:fill="auto"/>
                <w:lang w:val="en-US" w:eastAsia="zh-CN"/>
              </w:rPr>
              <w:t>3.2</w:t>
            </w:r>
          </w:p>
        </w:tc>
        <w:tc>
          <w:tcPr>
            <w:tcW w:w="5179" w:type="dxa"/>
            <w:gridSpan w:val="2"/>
            <w:vAlign w:val="center"/>
          </w:tcPr>
          <w:p>
            <w:pPr>
              <w:spacing w:line="360" w:lineRule="auto"/>
              <w:rPr>
                <w:rFonts w:hint="eastAsia" w:ascii="宋体" w:hAnsi="宋体" w:eastAsia="宋体" w:cs="宋体"/>
                <w:color w:val="auto"/>
                <w:sz w:val="20"/>
                <w:szCs w:val="20"/>
                <w:highlight w:val="none"/>
                <w:shd w:val="clear" w:color="auto" w:fill="auto"/>
                <w:lang w:val="zh-CN"/>
              </w:rPr>
            </w:pPr>
            <w:r>
              <w:rPr>
                <w:rFonts w:hint="eastAsia" w:ascii="宋体" w:hAnsi="宋体" w:eastAsia="宋体" w:cs="宋体"/>
                <w:color w:val="auto"/>
                <w:sz w:val="20"/>
                <w:szCs w:val="22"/>
                <w:highlight w:val="none"/>
              </w:rPr>
              <w:t>根据《关于规范政府采购投标人资格设定及资格审查的通知》 （浙财采监[2013]24 号）第 6 条规定接受金融、保险、通讯等特定行业的全国性企业所设立的区域性分支机构以及个体工商户、个人独资企业、合伙企业（应依法办理了工商、税务和社保登记手续，并且获得总公司（总机构）授权或能够提供房产权证或其他有效财产证明材料（在投标文件中提供相关材料），能证明其具备实际承担责任的能力和法定的缔结合同能力，可以独立参加政府采购活动，由单位负责人签署相关文件材料）。</w:t>
            </w:r>
          </w:p>
        </w:tc>
        <w:tc>
          <w:tcPr>
            <w:tcW w:w="4110" w:type="dxa"/>
            <w:vAlign w:val="center"/>
          </w:tcPr>
          <w:p>
            <w:pPr>
              <w:spacing w:line="360" w:lineRule="auto"/>
              <w:jc w:val="left"/>
              <w:rPr>
                <w:rFonts w:hint="eastAsia" w:ascii="宋体" w:hAnsi="宋体" w:eastAsia="宋体" w:cs="宋体"/>
                <w:color w:val="auto"/>
                <w:sz w:val="20"/>
                <w:szCs w:val="22"/>
                <w:highlight w:val="none"/>
              </w:rPr>
            </w:pPr>
            <w:r>
              <w:rPr>
                <w:rFonts w:hint="eastAsia" w:ascii="宋体" w:hAnsi="宋体" w:eastAsia="宋体" w:cs="宋体"/>
                <w:color w:val="auto"/>
                <w:sz w:val="20"/>
                <w:szCs w:val="22"/>
                <w:highlight w:val="none"/>
              </w:rPr>
              <w:t>除基本资格要求应提供资料外。还应提供以下资料：</w:t>
            </w:r>
          </w:p>
          <w:p>
            <w:pPr>
              <w:spacing w:line="360" w:lineRule="auto"/>
              <w:jc w:val="left"/>
              <w:rPr>
                <w:rFonts w:hint="eastAsia" w:ascii="宋体" w:hAnsi="宋体" w:eastAsia="宋体" w:cs="宋体"/>
                <w:color w:val="auto"/>
                <w:sz w:val="20"/>
                <w:szCs w:val="22"/>
                <w:highlight w:val="none"/>
              </w:rPr>
            </w:pPr>
            <w:r>
              <w:rPr>
                <w:rFonts w:hint="eastAsia" w:ascii="宋体" w:hAnsi="宋体" w:eastAsia="宋体" w:cs="宋体"/>
                <w:color w:val="auto"/>
                <w:sz w:val="20"/>
                <w:szCs w:val="22"/>
                <w:highlight w:val="none"/>
              </w:rPr>
              <w:t>1）金融、保险、通讯等特定行业的全</w:t>
            </w:r>
          </w:p>
          <w:p>
            <w:pPr>
              <w:spacing w:line="360" w:lineRule="auto"/>
              <w:jc w:val="left"/>
              <w:rPr>
                <w:rFonts w:hint="eastAsia" w:ascii="宋体" w:hAnsi="宋体" w:eastAsia="宋体" w:cs="宋体"/>
                <w:color w:val="auto"/>
                <w:sz w:val="20"/>
                <w:szCs w:val="22"/>
                <w:highlight w:val="none"/>
              </w:rPr>
            </w:pPr>
            <w:r>
              <w:rPr>
                <w:rFonts w:hint="eastAsia" w:ascii="宋体" w:hAnsi="宋体" w:eastAsia="宋体" w:cs="宋体"/>
                <w:color w:val="auto"/>
                <w:sz w:val="20"/>
                <w:szCs w:val="22"/>
                <w:highlight w:val="none"/>
              </w:rPr>
              <w:t>国性企业所设立的区域性分支机构提供总公司（总机构）授权；</w:t>
            </w:r>
          </w:p>
          <w:p>
            <w:pPr>
              <w:spacing w:line="360" w:lineRule="auto"/>
              <w:jc w:val="left"/>
              <w:rPr>
                <w:rFonts w:hint="eastAsia" w:ascii="宋体" w:hAnsi="宋体" w:eastAsia="宋体" w:cs="宋体"/>
                <w:color w:val="auto"/>
                <w:sz w:val="20"/>
                <w:szCs w:val="22"/>
                <w:highlight w:val="none"/>
              </w:rPr>
            </w:pPr>
            <w:r>
              <w:rPr>
                <w:rFonts w:hint="eastAsia" w:ascii="宋体" w:hAnsi="宋体" w:eastAsia="宋体" w:cs="宋体"/>
                <w:color w:val="auto"/>
                <w:sz w:val="20"/>
                <w:szCs w:val="22"/>
                <w:highlight w:val="none"/>
              </w:rPr>
              <w:t>2）个体工商户、个人独资企业、合伙</w:t>
            </w:r>
          </w:p>
          <w:p>
            <w:pPr>
              <w:spacing w:line="360" w:lineRule="auto"/>
              <w:jc w:val="left"/>
              <w:rPr>
                <w:rFonts w:hint="eastAsia" w:ascii="宋体" w:hAnsi="宋体" w:eastAsia="宋体" w:cs="宋体"/>
                <w:color w:val="auto"/>
                <w:sz w:val="20"/>
                <w:szCs w:val="22"/>
                <w:highlight w:val="none"/>
              </w:rPr>
            </w:pPr>
            <w:r>
              <w:rPr>
                <w:rFonts w:hint="eastAsia" w:ascii="宋体" w:hAnsi="宋体" w:eastAsia="宋体" w:cs="宋体"/>
                <w:color w:val="auto"/>
                <w:sz w:val="20"/>
                <w:szCs w:val="22"/>
                <w:highlight w:val="none"/>
              </w:rPr>
              <w:t>企业应提供房产权证或其他有效财产</w:t>
            </w:r>
          </w:p>
          <w:p>
            <w:pPr>
              <w:spacing w:line="360" w:lineRule="auto"/>
              <w:jc w:val="left"/>
              <w:rPr>
                <w:rFonts w:hint="eastAsia" w:ascii="宋体" w:hAnsi="宋体" w:eastAsia="宋体" w:cs="宋体"/>
                <w:color w:val="auto"/>
                <w:sz w:val="20"/>
                <w:szCs w:val="22"/>
                <w:highlight w:val="none"/>
              </w:rPr>
            </w:pPr>
            <w:r>
              <w:rPr>
                <w:rFonts w:hint="eastAsia" w:ascii="宋体" w:hAnsi="宋体" w:eastAsia="宋体" w:cs="宋体"/>
                <w:color w:val="auto"/>
                <w:sz w:val="20"/>
                <w:szCs w:val="22"/>
                <w:highlight w:val="none"/>
              </w:rPr>
              <w:t>证明材料。</w:t>
            </w:r>
          </w:p>
          <w:p>
            <w:pPr>
              <w:spacing w:line="360" w:lineRule="auto"/>
              <w:jc w:val="left"/>
              <w:rPr>
                <w:rFonts w:hint="eastAsia" w:ascii="宋体" w:hAnsi="宋体" w:eastAsia="宋体" w:cs="宋体"/>
                <w:color w:val="auto"/>
                <w:sz w:val="20"/>
                <w:szCs w:val="20"/>
                <w:highlight w:val="none"/>
                <w:shd w:val="clear" w:color="auto" w:fill="auto"/>
              </w:rPr>
            </w:pPr>
            <w:r>
              <w:rPr>
                <w:rFonts w:hint="eastAsia" w:ascii="宋体" w:hAnsi="宋体" w:eastAsia="宋体" w:cs="宋体"/>
                <w:b/>
                <w:bCs/>
                <w:color w:val="auto"/>
                <w:sz w:val="20"/>
                <w:szCs w:val="22"/>
                <w:highlight w:val="none"/>
              </w:rPr>
              <w:t>不属于此种情况的供应商无需提供以上资料。</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323" w:hRule="atLeast"/>
        </w:trPr>
        <w:tc>
          <w:tcPr>
            <w:tcW w:w="738" w:type="dxa"/>
            <w:vAlign w:val="center"/>
          </w:tcPr>
          <w:p>
            <w:pPr>
              <w:keepNext w:val="0"/>
              <w:keepLines w:val="0"/>
              <w:pageBreakBefore w:val="0"/>
              <w:kinsoku/>
              <w:wordWrap/>
              <w:overflowPunct/>
              <w:topLinePunct w:val="0"/>
              <w:bidi w:val="0"/>
              <w:snapToGrid/>
              <w:spacing w:line="360" w:lineRule="auto"/>
              <w:ind w:left="0" w:leftChars="0" w:firstLine="0" w:firstLineChars="0"/>
              <w:jc w:val="center"/>
              <w:textAlignment w:val="auto"/>
              <w:rPr>
                <w:rFonts w:hint="eastAsia" w:ascii="宋体" w:hAnsi="宋体" w:eastAsia="宋体" w:cs="宋体"/>
                <w:color w:val="auto"/>
                <w:sz w:val="20"/>
                <w:szCs w:val="20"/>
                <w:highlight w:val="none"/>
                <w:shd w:val="clear" w:color="auto" w:fill="auto"/>
                <w:lang w:val="en-US" w:eastAsia="zh-CN"/>
              </w:rPr>
            </w:pPr>
            <w:r>
              <w:rPr>
                <w:rFonts w:hint="eastAsia" w:ascii="宋体" w:hAnsi="宋体" w:eastAsia="宋体" w:cs="宋体"/>
                <w:color w:val="auto"/>
                <w:sz w:val="20"/>
                <w:szCs w:val="20"/>
                <w:highlight w:val="none"/>
                <w:shd w:val="clear" w:color="auto" w:fill="auto"/>
                <w:lang w:val="en-US" w:eastAsia="zh-CN"/>
              </w:rPr>
              <w:t>3.3</w:t>
            </w:r>
          </w:p>
        </w:tc>
        <w:tc>
          <w:tcPr>
            <w:tcW w:w="5179" w:type="dxa"/>
            <w:gridSpan w:val="2"/>
            <w:vAlign w:val="center"/>
          </w:tcPr>
          <w:p>
            <w:pPr>
              <w:keepNext w:val="0"/>
              <w:keepLines w:val="0"/>
              <w:pageBreakBefore w:val="0"/>
              <w:widowControl/>
              <w:kinsoku/>
              <w:wordWrap/>
              <w:overflowPunct/>
              <w:topLinePunct w:val="0"/>
              <w:bidi w:val="0"/>
              <w:snapToGrid/>
              <w:spacing w:line="360" w:lineRule="auto"/>
              <w:ind w:left="0" w:leftChars="0" w:firstLine="0" w:firstLineChars="0"/>
              <w:jc w:val="left"/>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非联合体。</w:t>
            </w:r>
          </w:p>
        </w:tc>
        <w:tc>
          <w:tcPr>
            <w:tcW w:w="4110" w:type="dxa"/>
            <w:vAlign w:val="center"/>
          </w:tcPr>
          <w:p>
            <w:pPr>
              <w:keepNext w:val="0"/>
              <w:keepLines w:val="0"/>
              <w:pageBreakBefore w:val="0"/>
              <w:widowControl/>
              <w:kinsoku/>
              <w:wordWrap/>
              <w:overflowPunct/>
              <w:topLinePunct w:val="0"/>
              <w:bidi w:val="0"/>
              <w:snapToGrid/>
              <w:spacing w:line="360" w:lineRule="auto"/>
              <w:ind w:left="0" w:leftChars="0" w:firstLine="0" w:firstLineChars="0"/>
              <w:jc w:val="left"/>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非联合体的声明函，</w:t>
            </w:r>
            <w:r>
              <w:rPr>
                <w:rFonts w:hint="eastAsia" w:ascii="宋体" w:hAnsi="宋体" w:eastAsia="宋体" w:cs="宋体"/>
                <w:color w:val="auto"/>
                <w:sz w:val="20"/>
                <w:szCs w:val="20"/>
                <w:highlight w:val="none"/>
                <w:shd w:val="clear" w:color="auto" w:fill="auto"/>
              </w:rPr>
              <w:t>详见表</w:t>
            </w:r>
            <w:r>
              <w:rPr>
                <w:rFonts w:hint="eastAsia" w:ascii="宋体" w:hAnsi="宋体" w:eastAsia="宋体" w:cs="宋体"/>
                <w:color w:val="auto"/>
                <w:sz w:val="20"/>
                <w:szCs w:val="20"/>
                <w:highlight w:val="none"/>
                <w:shd w:val="clear" w:color="auto" w:fill="auto"/>
                <w:lang w:val="en-US" w:eastAsia="zh-CN"/>
              </w:rPr>
              <w:t>9</w:t>
            </w:r>
            <w:r>
              <w:rPr>
                <w:rFonts w:hint="eastAsia" w:ascii="宋体" w:hAnsi="宋体" w:eastAsia="宋体" w:cs="宋体"/>
                <w:color w:val="auto"/>
                <w:kern w:val="0"/>
                <w:sz w:val="20"/>
                <w:szCs w:val="20"/>
                <w:highlight w:val="none"/>
                <w:shd w:val="clear" w:color="auto" w:fill="auto"/>
              </w:rPr>
              <w:t>。</w:t>
            </w:r>
          </w:p>
        </w:tc>
      </w:tr>
    </w:tbl>
    <w:p>
      <w:pPr>
        <w:pStyle w:val="20"/>
        <w:spacing w:before="66" w:line="360" w:lineRule="auto"/>
        <w:rPr>
          <w:rFonts w:hint="eastAsia" w:ascii="宋体" w:hAnsi="宋体" w:eastAsia="宋体" w:cs="宋体"/>
          <w:color w:val="auto"/>
          <w:sz w:val="24"/>
          <w:highlight w:val="none"/>
          <w:shd w:val="clear" w:color="auto" w:fill="auto"/>
        </w:rPr>
      </w:pPr>
    </w:p>
    <w:p>
      <w:pPr>
        <w:pStyle w:val="19"/>
        <w:rPr>
          <w:rFonts w:hint="eastAsia" w:ascii="宋体" w:hAnsi="宋体" w:eastAsia="宋体" w:cs="宋体"/>
          <w:color w:val="auto"/>
          <w:sz w:val="24"/>
          <w:highlight w:val="none"/>
          <w:shd w:val="clear" w:color="auto" w:fill="auto"/>
        </w:rPr>
      </w:pPr>
    </w:p>
    <w:p>
      <w:pPr>
        <w:rPr>
          <w:rFonts w:hint="eastAsia" w:ascii="宋体" w:hAnsi="宋体" w:eastAsia="宋体" w:cs="宋体"/>
          <w:color w:val="auto"/>
          <w:sz w:val="24"/>
          <w:highlight w:val="none"/>
          <w:shd w:val="clear" w:color="auto" w:fill="auto"/>
        </w:rPr>
      </w:pPr>
    </w:p>
    <w:p>
      <w:pPr>
        <w:pStyle w:val="2"/>
        <w:rPr>
          <w:rFonts w:hint="eastAsia" w:ascii="宋体" w:hAnsi="宋体" w:eastAsia="宋体" w:cs="宋体"/>
          <w:color w:val="auto"/>
          <w:sz w:val="24"/>
          <w:highlight w:val="none"/>
          <w:shd w:val="clear" w:color="auto" w:fill="auto"/>
        </w:rPr>
      </w:pPr>
    </w:p>
    <w:p>
      <w:pPr>
        <w:pStyle w:val="4"/>
        <w:rPr>
          <w:rFonts w:hint="eastAsia" w:ascii="宋体" w:hAnsi="宋体" w:eastAsia="宋体" w:cs="宋体"/>
          <w:color w:val="auto"/>
          <w:sz w:val="24"/>
          <w:highlight w:val="none"/>
          <w:shd w:val="clear" w:color="auto" w:fill="auto"/>
        </w:rPr>
      </w:pPr>
    </w:p>
    <w:p>
      <w:pPr>
        <w:pStyle w:val="4"/>
        <w:rPr>
          <w:rFonts w:hint="eastAsia" w:ascii="宋体" w:hAnsi="宋体" w:eastAsia="宋体" w:cs="宋体"/>
          <w:color w:val="auto"/>
          <w:sz w:val="24"/>
          <w:highlight w:val="none"/>
          <w:shd w:val="clear" w:color="auto" w:fill="auto"/>
        </w:rPr>
      </w:pPr>
    </w:p>
    <w:p>
      <w:pPr>
        <w:pStyle w:val="4"/>
        <w:rPr>
          <w:rFonts w:hint="eastAsia" w:ascii="宋体" w:hAnsi="宋体" w:eastAsia="宋体" w:cs="宋体"/>
          <w:color w:val="auto"/>
          <w:sz w:val="24"/>
          <w:highlight w:val="none"/>
          <w:shd w:val="clear" w:color="auto" w:fill="auto"/>
        </w:rPr>
      </w:pPr>
    </w:p>
    <w:p>
      <w:pPr>
        <w:pStyle w:val="4"/>
        <w:rPr>
          <w:rFonts w:hint="eastAsia" w:ascii="宋体" w:hAnsi="宋体" w:eastAsia="宋体" w:cs="宋体"/>
          <w:color w:val="auto"/>
          <w:sz w:val="24"/>
          <w:highlight w:val="none"/>
          <w:shd w:val="clear" w:color="auto" w:fill="auto"/>
        </w:rPr>
      </w:pPr>
    </w:p>
    <w:p>
      <w:pPr>
        <w:pStyle w:val="4"/>
        <w:rPr>
          <w:rFonts w:hint="eastAsia" w:ascii="宋体" w:hAnsi="宋体" w:eastAsia="宋体" w:cs="宋体"/>
          <w:color w:val="auto"/>
          <w:sz w:val="24"/>
          <w:highlight w:val="none"/>
          <w:shd w:val="clear" w:color="auto" w:fill="auto"/>
        </w:rPr>
      </w:pPr>
    </w:p>
    <w:p>
      <w:pPr>
        <w:pStyle w:val="4"/>
        <w:rPr>
          <w:rFonts w:hint="eastAsia" w:ascii="宋体" w:hAnsi="宋体" w:eastAsia="宋体" w:cs="宋体"/>
          <w:color w:val="auto"/>
          <w:sz w:val="24"/>
          <w:highlight w:val="none"/>
          <w:shd w:val="clear" w:color="auto" w:fill="auto"/>
        </w:rPr>
      </w:pPr>
    </w:p>
    <w:p>
      <w:pPr>
        <w:pStyle w:val="4"/>
        <w:rPr>
          <w:rFonts w:hint="eastAsia" w:ascii="宋体" w:hAnsi="宋体" w:eastAsia="宋体" w:cs="宋体"/>
          <w:color w:val="auto"/>
          <w:sz w:val="24"/>
          <w:highlight w:val="none"/>
          <w:shd w:val="clear" w:color="auto" w:fill="auto"/>
        </w:rPr>
      </w:pPr>
    </w:p>
    <w:p>
      <w:pPr>
        <w:pStyle w:val="4"/>
        <w:rPr>
          <w:rFonts w:hint="eastAsia" w:ascii="宋体" w:hAnsi="宋体" w:eastAsia="宋体" w:cs="宋体"/>
          <w:color w:val="auto"/>
          <w:sz w:val="24"/>
          <w:highlight w:val="none"/>
          <w:shd w:val="clear" w:color="auto" w:fill="auto"/>
        </w:rPr>
      </w:pPr>
    </w:p>
    <w:p>
      <w:pPr>
        <w:pStyle w:val="4"/>
        <w:rPr>
          <w:rFonts w:hint="eastAsia" w:ascii="宋体" w:hAnsi="宋体" w:eastAsia="宋体" w:cs="宋体"/>
          <w:color w:val="auto"/>
          <w:sz w:val="24"/>
          <w:highlight w:val="none"/>
          <w:shd w:val="clear" w:color="auto" w:fill="auto"/>
        </w:rPr>
      </w:pPr>
    </w:p>
    <w:p>
      <w:pPr>
        <w:pStyle w:val="4"/>
        <w:rPr>
          <w:rFonts w:hint="eastAsia" w:ascii="宋体" w:hAnsi="宋体" w:eastAsia="宋体" w:cs="宋体"/>
          <w:color w:val="auto"/>
          <w:sz w:val="24"/>
          <w:highlight w:val="none"/>
          <w:shd w:val="clear" w:color="auto" w:fill="auto"/>
        </w:rPr>
      </w:pPr>
    </w:p>
    <w:p>
      <w:pPr>
        <w:pStyle w:val="4"/>
        <w:rPr>
          <w:rFonts w:hint="eastAsia" w:ascii="宋体" w:hAnsi="宋体" w:eastAsia="宋体" w:cs="宋体"/>
          <w:color w:val="auto"/>
          <w:sz w:val="24"/>
          <w:highlight w:val="none"/>
          <w:shd w:val="clear" w:color="auto" w:fill="auto"/>
        </w:rPr>
      </w:pPr>
    </w:p>
    <w:p>
      <w:pPr>
        <w:pStyle w:val="4"/>
        <w:rPr>
          <w:rFonts w:hint="eastAsia" w:ascii="宋体" w:hAnsi="宋体" w:eastAsia="宋体" w:cs="宋体"/>
          <w:color w:val="auto"/>
          <w:sz w:val="24"/>
          <w:highlight w:val="none"/>
          <w:shd w:val="clear" w:color="auto" w:fill="auto"/>
        </w:rPr>
      </w:pPr>
    </w:p>
    <w:p>
      <w:pPr>
        <w:pStyle w:val="4"/>
        <w:rPr>
          <w:rFonts w:hint="eastAsia" w:ascii="宋体" w:hAnsi="宋体" w:eastAsia="宋体" w:cs="宋体"/>
          <w:color w:val="auto"/>
          <w:sz w:val="24"/>
          <w:highlight w:val="none"/>
          <w:shd w:val="clear" w:color="auto" w:fill="auto"/>
        </w:rPr>
      </w:pPr>
    </w:p>
    <w:p>
      <w:pPr>
        <w:pStyle w:val="4"/>
        <w:rPr>
          <w:rFonts w:hint="eastAsia" w:ascii="宋体" w:hAnsi="宋体" w:eastAsia="宋体" w:cs="宋体"/>
          <w:color w:val="auto"/>
          <w:sz w:val="24"/>
          <w:highlight w:val="none"/>
          <w:shd w:val="clear" w:color="auto" w:fill="auto"/>
        </w:rPr>
      </w:pPr>
    </w:p>
    <w:p>
      <w:pPr>
        <w:pStyle w:val="4"/>
        <w:rPr>
          <w:rFonts w:hint="eastAsia" w:ascii="宋体" w:hAnsi="宋体" w:eastAsia="宋体" w:cs="宋体"/>
          <w:color w:val="auto"/>
          <w:sz w:val="24"/>
          <w:highlight w:val="none"/>
          <w:shd w:val="clear" w:color="auto" w:fill="auto"/>
        </w:rPr>
      </w:pPr>
    </w:p>
    <w:p>
      <w:pPr>
        <w:pStyle w:val="4"/>
        <w:rPr>
          <w:rFonts w:hint="eastAsia" w:ascii="宋体" w:hAnsi="宋体" w:eastAsia="宋体" w:cs="宋体"/>
          <w:color w:val="auto"/>
          <w:sz w:val="24"/>
          <w:highlight w:val="none"/>
          <w:shd w:val="clear" w:color="auto" w:fill="auto"/>
        </w:rPr>
      </w:pPr>
    </w:p>
    <w:p>
      <w:pPr>
        <w:pStyle w:val="4"/>
        <w:rPr>
          <w:rFonts w:hint="eastAsia" w:ascii="宋体" w:hAnsi="宋体" w:eastAsia="宋体" w:cs="宋体"/>
          <w:color w:val="auto"/>
          <w:sz w:val="24"/>
          <w:highlight w:val="none"/>
          <w:shd w:val="clear" w:color="auto" w:fill="auto"/>
        </w:rPr>
      </w:pPr>
    </w:p>
    <w:p>
      <w:pPr>
        <w:pStyle w:val="4"/>
        <w:rPr>
          <w:rFonts w:hint="eastAsia" w:ascii="宋体" w:hAnsi="宋体" w:eastAsia="宋体" w:cs="宋体"/>
          <w:color w:val="auto"/>
          <w:sz w:val="24"/>
          <w:highlight w:val="none"/>
          <w:shd w:val="clear" w:color="auto" w:fill="auto"/>
        </w:rPr>
      </w:pPr>
    </w:p>
    <w:p>
      <w:pPr>
        <w:pStyle w:val="20"/>
        <w:spacing w:before="66"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highlight w:val="none"/>
          <w:shd w:val="clear" w:color="auto" w:fill="auto"/>
        </w:rPr>
        <w:t>表2：</w:t>
      </w:r>
      <w:r>
        <w:rPr>
          <w:rFonts w:hint="eastAsia" w:ascii="宋体" w:hAnsi="宋体" w:eastAsia="宋体" w:cs="宋体"/>
          <w:color w:val="auto"/>
          <w:sz w:val="24"/>
          <w:szCs w:val="24"/>
          <w:highlight w:val="none"/>
          <w:shd w:val="clear" w:color="auto" w:fill="auto"/>
        </w:rPr>
        <w:t>具有良好的商业信誉和健全的财务会计制度声明函</w:t>
      </w:r>
    </w:p>
    <w:p>
      <w:pPr>
        <w:pStyle w:val="19"/>
        <w:spacing w:line="360" w:lineRule="auto"/>
        <w:rPr>
          <w:rFonts w:hint="eastAsia" w:ascii="宋体" w:hAnsi="宋体" w:eastAsia="宋体" w:cs="宋体"/>
          <w:color w:val="auto"/>
          <w:highlight w:val="none"/>
          <w:shd w:val="clear" w:color="auto" w:fill="auto"/>
        </w:rPr>
      </w:pPr>
    </w:p>
    <w:p>
      <w:pPr>
        <w:kinsoku/>
        <w:overflowPunct/>
        <w:bidi w:val="0"/>
        <w:spacing w:line="360" w:lineRule="auto"/>
        <w:jc w:val="center"/>
        <w:rPr>
          <w:rFonts w:hint="eastAsia" w:ascii="宋体" w:hAnsi="宋体" w:eastAsia="宋体" w:cs="宋体"/>
          <w:b/>
          <w:color w:val="auto"/>
          <w:sz w:val="32"/>
          <w:highlight w:val="none"/>
          <w:shd w:val="clear" w:color="auto" w:fill="auto"/>
        </w:rPr>
      </w:pPr>
      <w:r>
        <w:rPr>
          <w:rFonts w:hint="eastAsia" w:ascii="宋体" w:hAnsi="宋体" w:eastAsia="宋体" w:cs="宋体"/>
          <w:b/>
          <w:color w:val="auto"/>
          <w:sz w:val="32"/>
          <w:highlight w:val="none"/>
          <w:shd w:val="clear" w:color="auto" w:fill="auto"/>
        </w:rPr>
        <w:t>具有良好的商业信誉和健全的财务会计制度声明函</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jc w:val="left"/>
        <w:textAlignment w:val="auto"/>
        <w:outlineLvl w:val="9"/>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u w:val="single"/>
          <w:shd w:val="clear" w:color="auto" w:fill="auto"/>
        </w:rPr>
        <w:t xml:space="preserve">（采购人）                   </w:t>
      </w:r>
      <w:r>
        <w:rPr>
          <w:rFonts w:hint="eastAsia" w:ascii="宋体" w:hAnsi="宋体" w:eastAsia="宋体" w:cs="宋体"/>
          <w:color w:val="auto"/>
          <w:kern w:val="0"/>
          <w:sz w:val="24"/>
          <w:highlight w:val="none"/>
          <w:shd w:val="clear" w:color="auto" w:fill="auto"/>
        </w:rPr>
        <w:t>：</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我方</w:t>
      </w:r>
      <w:r>
        <w:rPr>
          <w:rFonts w:hint="eastAsia" w:ascii="宋体" w:hAnsi="宋体" w:eastAsia="宋体" w:cs="宋体"/>
          <w:color w:val="auto"/>
          <w:kern w:val="0"/>
          <w:sz w:val="24"/>
          <w:highlight w:val="none"/>
          <w:u w:val="single"/>
          <w:shd w:val="clear" w:color="auto" w:fill="auto"/>
        </w:rPr>
        <w:t xml:space="preserve"> （供应商）          </w:t>
      </w:r>
      <w:r>
        <w:rPr>
          <w:rFonts w:hint="eastAsia" w:ascii="宋体" w:hAnsi="宋体" w:eastAsia="宋体" w:cs="宋体"/>
          <w:color w:val="auto"/>
          <w:spacing w:val="-4"/>
          <w:sz w:val="24"/>
          <w:szCs w:val="24"/>
          <w:highlight w:val="none"/>
          <w:shd w:val="clear" w:color="auto" w:fill="auto"/>
        </w:rPr>
        <w:t>具有良好的商业</w:t>
      </w:r>
      <w:r>
        <w:rPr>
          <w:rFonts w:hint="eastAsia" w:ascii="宋体" w:hAnsi="宋体" w:eastAsia="宋体" w:cs="宋体"/>
          <w:color w:val="auto"/>
          <w:spacing w:val="-7"/>
          <w:sz w:val="24"/>
          <w:szCs w:val="24"/>
          <w:highlight w:val="none"/>
          <w:shd w:val="clear" w:color="auto" w:fill="auto"/>
        </w:rPr>
        <w:t>信誉和健全的财务会计制度，我方对上述声明的真实性负责。如有虚假，采购人可取消我方任何资格（投标/中标/签订合同），我方对此无任何异议</w:t>
      </w:r>
      <w:r>
        <w:rPr>
          <w:rFonts w:hint="eastAsia" w:ascii="宋体" w:hAnsi="宋体" w:eastAsia="宋体" w:cs="宋体"/>
          <w:color w:val="auto"/>
          <w:kern w:val="0"/>
          <w:sz w:val="24"/>
          <w:highlight w:val="none"/>
          <w:shd w:val="clear" w:color="auto" w:fill="auto"/>
        </w:rPr>
        <w:t>。</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特此承诺！</w:t>
      </w:r>
    </w:p>
    <w:p>
      <w:pPr>
        <w:pStyle w:val="2"/>
        <w:spacing w:line="360" w:lineRule="auto"/>
        <w:rPr>
          <w:rFonts w:hint="eastAsia" w:ascii="宋体" w:hAnsi="宋体" w:eastAsia="宋体" w:cs="宋体"/>
          <w:color w:val="auto"/>
          <w:kern w:val="0"/>
          <w:sz w:val="24"/>
          <w:highlight w:val="none"/>
          <w:shd w:val="clear" w:color="auto" w:fill="auto"/>
        </w:rPr>
      </w:pPr>
    </w:p>
    <w:p>
      <w:pPr>
        <w:adjustRightInd w:val="0"/>
        <w:snapToGrid w:val="0"/>
        <w:spacing w:line="360" w:lineRule="auto"/>
        <w:rPr>
          <w:rFonts w:hint="eastAsia" w:ascii="宋体" w:hAnsi="宋体" w:eastAsia="宋体" w:cs="宋体"/>
          <w:color w:val="auto"/>
          <w:kern w:val="0"/>
          <w:sz w:val="24"/>
          <w:highlight w:val="none"/>
          <w:shd w:val="clear" w:color="auto" w:fill="auto"/>
          <w:lang w:val="zh-CN"/>
        </w:rPr>
      </w:pPr>
    </w:p>
    <w:p>
      <w:pPr>
        <w:adjustRightInd w:val="0"/>
        <w:snapToGrid w:val="0"/>
        <w:spacing w:line="360" w:lineRule="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lang w:val="zh-CN"/>
        </w:rPr>
        <w:t>法定/授权代表：</w:t>
      </w:r>
      <w:r>
        <w:rPr>
          <w:rFonts w:hint="eastAsia" w:ascii="宋体" w:hAnsi="宋体" w:eastAsia="宋体" w:cs="宋体"/>
          <w:color w:val="auto"/>
          <w:kern w:val="0"/>
          <w:sz w:val="24"/>
          <w:highlight w:val="none"/>
          <w:u w:val="single"/>
          <w:shd w:val="clear" w:color="auto" w:fill="auto"/>
          <w:lang w:val="zh-CN"/>
        </w:rPr>
        <w:t xml:space="preserve">（签字或盖章） </w:t>
      </w:r>
    </w:p>
    <w:p>
      <w:pPr>
        <w:adjustRightInd w:val="0"/>
        <w:snapToGrid w:val="0"/>
        <w:spacing w:line="360" w:lineRule="auto"/>
        <w:rPr>
          <w:rFonts w:hint="eastAsia" w:ascii="宋体" w:hAnsi="宋体" w:eastAsia="宋体" w:cs="宋体"/>
          <w:color w:val="auto"/>
          <w:kern w:val="0"/>
          <w:sz w:val="24"/>
          <w:highlight w:val="none"/>
          <w:u w:val="single"/>
          <w:shd w:val="clear" w:color="auto" w:fill="auto"/>
          <w:lang w:val="zh-CN"/>
        </w:rPr>
      </w:pPr>
      <w:r>
        <w:rPr>
          <w:rFonts w:hint="eastAsia" w:ascii="宋体" w:hAnsi="宋体" w:eastAsia="宋体" w:cs="宋体"/>
          <w:color w:val="auto"/>
          <w:kern w:val="0"/>
          <w:sz w:val="24"/>
          <w:highlight w:val="none"/>
          <w:shd w:val="clear" w:color="auto" w:fill="auto"/>
          <w:lang w:val="zh-CN"/>
        </w:rPr>
        <w:t>供应商：</w:t>
      </w:r>
      <w:r>
        <w:rPr>
          <w:rFonts w:hint="eastAsia" w:ascii="宋体" w:hAnsi="宋体" w:eastAsia="宋体" w:cs="宋体"/>
          <w:color w:val="auto"/>
          <w:kern w:val="0"/>
          <w:sz w:val="24"/>
          <w:highlight w:val="none"/>
          <w:u w:val="single"/>
          <w:shd w:val="clear" w:color="auto" w:fill="auto"/>
          <w:lang w:val="zh-CN"/>
        </w:rPr>
        <w:t xml:space="preserve">（全称加盖公章）       </w:t>
      </w:r>
    </w:p>
    <w:p>
      <w:pPr>
        <w:adjustRightInd w:val="0"/>
        <w:snapToGrid w:val="0"/>
        <w:spacing w:line="360" w:lineRule="auto"/>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日期</w:t>
      </w:r>
      <w:r>
        <w:rPr>
          <w:rFonts w:hint="eastAsia" w:ascii="宋体" w:hAnsi="宋体" w:eastAsia="宋体" w:cs="宋体"/>
          <w:color w:val="auto"/>
          <w:kern w:val="0"/>
          <w:sz w:val="24"/>
          <w:highlight w:val="none"/>
          <w:shd w:val="clear" w:color="auto" w:fill="auto"/>
        </w:rPr>
        <w:t>：</w:t>
      </w:r>
      <w:r>
        <w:rPr>
          <w:rFonts w:hint="eastAsia" w:ascii="宋体" w:hAnsi="宋体" w:eastAsia="宋体" w:cs="宋体"/>
          <w:color w:val="auto"/>
          <w:kern w:val="0"/>
          <w:sz w:val="24"/>
          <w:highlight w:val="none"/>
          <w:u w:val="single"/>
          <w:shd w:val="clear" w:color="auto" w:fill="auto"/>
          <w:lang w:val="en-US" w:eastAsia="zh-CN"/>
        </w:rPr>
        <w:t xml:space="preserve">   </w:t>
      </w:r>
      <w:r>
        <w:rPr>
          <w:rFonts w:hint="eastAsia" w:ascii="宋体" w:hAnsi="宋体" w:eastAsia="宋体" w:cs="宋体"/>
          <w:color w:val="auto"/>
          <w:kern w:val="0"/>
          <w:sz w:val="24"/>
          <w:highlight w:val="none"/>
          <w:shd w:val="clear" w:color="auto" w:fill="auto"/>
          <w:lang w:val="zh-CN"/>
        </w:rPr>
        <w:t>年</w:t>
      </w:r>
      <w:r>
        <w:rPr>
          <w:rFonts w:hint="eastAsia" w:ascii="宋体" w:hAnsi="宋体" w:eastAsia="宋体" w:cs="宋体"/>
          <w:color w:val="auto"/>
          <w:kern w:val="0"/>
          <w:sz w:val="24"/>
          <w:highlight w:val="none"/>
          <w:u w:val="single"/>
          <w:shd w:val="clear" w:color="auto" w:fill="auto"/>
        </w:rPr>
        <w:tab/>
      </w:r>
      <w:r>
        <w:rPr>
          <w:rFonts w:hint="eastAsia" w:ascii="宋体" w:hAnsi="宋体" w:eastAsia="宋体" w:cs="宋体"/>
          <w:color w:val="auto"/>
          <w:kern w:val="0"/>
          <w:sz w:val="24"/>
          <w:highlight w:val="none"/>
          <w:shd w:val="clear" w:color="auto" w:fill="auto"/>
          <w:lang w:val="zh-CN"/>
        </w:rPr>
        <w:t>月</w:t>
      </w:r>
      <w:r>
        <w:rPr>
          <w:rFonts w:hint="eastAsia" w:ascii="宋体" w:hAnsi="宋体" w:eastAsia="宋体" w:cs="宋体"/>
          <w:color w:val="auto"/>
          <w:kern w:val="0"/>
          <w:sz w:val="24"/>
          <w:highlight w:val="none"/>
          <w:u w:val="single"/>
          <w:shd w:val="clear" w:color="auto" w:fill="auto"/>
          <w:lang w:val="en-US" w:eastAsia="zh-CN"/>
        </w:rPr>
        <w:t xml:space="preserve">   </w:t>
      </w:r>
      <w:r>
        <w:rPr>
          <w:rFonts w:hint="eastAsia" w:ascii="宋体" w:hAnsi="宋体" w:eastAsia="宋体" w:cs="宋体"/>
          <w:color w:val="auto"/>
          <w:kern w:val="0"/>
          <w:sz w:val="24"/>
          <w:highlight w:val="none"/>
          <w:shd w:val="clear" w:color="auto" w:fill="auto"/>
          <w:lang w:val="zh-CN"/>
        </w:rPr>
        <w:t>日</w:t>
      </w:r>
    </w:p>
    <w:p>
      <w:pPr>
        <w:pStyle w:val="2"/>
        <w:spacing w:line="360" w:lineRule="auto"/>
        <w:rPr>
          <w:rFonts w:hint="eastAsia" w:ascii="宋体" w:hAnsi="宋体" w:eastAsia="宋体" w:cs="宋体"/>
          <w:color w:val="auto"/>
          <w:kern w:val="0"/>
          <w:sz w:val="24"/>
          <w:highlight w:val="none"/>
          <w:shd w:val="clear" w:color="auto" w:fill="auto"/>
          <w:lang w:val="zh-CN"/>
        </w:rPr>
      </w:pPr>
    </w:p>
    <w:p>
      <w:pPr>
        <w:pStyle w:val="2"/>
        <w:spacing w:line="360" w:lineRule="auto"/>
        <w:rPr>
          <w:rFonts w:hint="eastAsia" w:ascii="宋体" w:hAnsi="宋体" w:eastAsia="宋体" w:cs="宋体"/>
          <w:color w:val="auto"/>
          <w:highlight w:val="none"/>
          <w:shd w:val="clear" w:color="auto" w:fill="auto"/>
          <w:lang w:eastAsia="zh-CN"/>
        </w:rPr>
      </w:pPr>
    </w:p>
    <w:p>
      <w:pPr>
        <w:kinsoku/>
        <w:overflowPunct/>
        <w:bidi w:val="0"/>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lang w:eastAsia="zh-CN"/>
        </w:rPr>
        <w:t>表</w:t>
      </w:r>
      <w:r>
        <w:rPr>
          <w:rFonts w:hint="eastAsia" w:ascii="宋体" w:hAnsi="宋体" w:eastAsia="宋体" w:cs="宋体"/>
          <w:color w:val="auto"/>
          <w:sz w:val="24"/>
          <w:highlight w:val="none"/>
          <w:shd w:val="clear" w:color="auto" w:fill="auto"/>
          <w:lang w:val="en-US" w:eastAsia="zh-CN"/>
        </w:rPr>
        <w:t>3：</w:t>
      </w:r>
      <w:r>
        <w:rPr>
          <w:rFonts w:hint="eastAsia" w:ascii="宋体" w:hAnsi="宋体" w:eastAsia="宋体" w:cs="宋体"/>
          <w:color w:val="auto"/>
          <w:sz w:val="24"/>
          <w:highlight w:val="none"/>
          <w:shd w:val="clear" w:color="auto" w:fill="auto"/>
        </w:rPr>
        <w:t>具有履行合同所必需的专业服务（技术）能力的承诺函</w:t>
      </w:r>
    </w:p>
    <w:p>
      <w:pPr>
        <w:kinsoku/>
        <w:overflowPunct/>
        <w:bidi w:val="0"/>
        <w:adjustRightInd w:val="0"/>
        <w:snapToGrid w:val="0"/>
        <w:spacing w:line="360" w:lineRule="auto"/>
        <w:rPr>
          <w:rFonts w:hint="eastAsia" w:ascii="宋体" w:hAnsi="宋体" w:eastAsia="宋体" w:cs="宋体"/>
          <w:b/>
          <w:bCs/>
          <w:color w:val="auto"/>
          <w:sz w:val="24"/>
          <w:szCs w:val="24"/>
          <w:highlight w:val="none"/>
          <w:shd w:val="clear" w:color="auto" w:fill="auto"/>
        </w:rPr>
      </w:pPr>
    </w:p>
    <w:p>
      <w:pPr>
        <w:kinsoku/>
        <w:overflowPunct/>
        <w:bidi w:val="0"/>
        <w:spacing w:line="360" w:lineRule="auto"/>
        <w:jc w:val="center"/>
        <w:rPr>
          <w:rFonts w:hint="eastAsia" w:ascii="宋体" w:hAnsi="宋体" w:eastAsia="宋体" w:cs="宋体"/>
          <w:b/>
          <w:color w:val="auto"/>
          <w:sz w:val="32"/>
          <w:highlight w:val="none"/>
          <w:shd w:val="clear" w:color="auto" w:fill="auto"/>
        </w:rPr>
      </w:pPr>
      <w:r>
        <w:rPr>
          <w:rFonts w:hint="eastAsia" w:ascii="宋体" w:hAnsi="宋体" w:eastAsia="宋体" w:cs="宋体"/>
          <w:b/>
          <w:color w:val="auto"/>
          <w:sz w:val="32"/>
          <w:highlight w:val="none"/>
          <w:shd w:val="clear" w:color="auto" w:fill="auto"/>
        </w:rPr>
        <w:t>具有履行合同所必需的专业服务（技术）能力的承诺函</w:t>
      </w:r>
    </w:p>
    <w:p>
      <w:pPr>
        <w:kinsoku/>
        <w:overflowPunct/>
        <w:bidi w:val="0"/>
        <w:spacing w:line="360" w:lineRule="auto"/>
        <w:rPr>
          <w:rFonts w:hint="eastAsia" w:ascii="宋体" w:hAnsi="宋体" w:eastAsia="宋体" w:cs="宋体"/>
          <w:color w:val="auto"/>
          <w:highlight w:val="none"/>
          <w:shd w:val="clear" w:color="auto" w:fill="auto"/>
        </w:rPr>
      </w:pPr>
    </w:p>
    <w:p>
      <w:pPr>
        <w:widowControl/>
        <w:kinsoku/>
        <w:overflowPunct/>
        <w:bidi w:val="0"/>
        <w:adjustRightInd w:val="0"/>
        <w:snapToGrid w:val="0"/>
        <w:spacing w:line="360" w:lineRule="auto"/>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u w:val="single"/>
          <w:shd w:val="clear" w:color="auto" w:fill="auto"/>
        </w:rPr>
        <w:t xml:space="preserve">（采购人）                   </w:t>
      </w:r>
      <w:r>
        <w:rPr>
          <w:rFonts w:hint="eastAsia" w:ascii="宋体" w:hAnsi="宋体" w:eastAsia="宋体" w:cs="宋体"/>
          <w:color w:val="auto"/>
          <w:kern w:val="0"/>
          <w:sz w:val="24"/>
          <w:highlight w:val="none"/>
          <w:shd w:val="clear" w:color="auto" w:fill="auto"/>
        </w:rPr>
        <w:t>：</w:t>
      </w:r>
    </w:p>
    <w:p>
      <w:pPr>
        <w:widowControl/>
        <w:kinsoku/>
        <w:overflowPunct/>
        <w:bidi w:val="0"/>
        <w:adjustRightInd w:val="0"/>
        <w:snapToGrid w:val="0"/>
        <w:spacing w:line="360" w:lineRule="auto"/>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我方</w:t>
      </w:r>
      <w:r>
        <w:rPr>
          <w:rFonts w:hint="eastAsia" w:ascii="宋体" w:hAnsi="宋体" w:eastAsia="宋体" w:cs="宋体"/>
          <w:color w:val="auto"/>
          <w:kern w:val="0"/>
          <w:sz w:val="24"/>
          <w:highlight w:val="none"/>
          <w:u w:val="single"/>
          <w:shd w:val="clear" w:color="auto" w:fill="auto"/>
        </w:rPr>
        <w:t xml:space="preserve"> （供应商）          </w:t>
      </w:r>
      <w:r>
        <w:rPr>
          <w:rFonts w:hint="eastAsia" w:ascii="宋体" w:hAnsi="宋体" w:eastAsia="宋体" w:cs="宋体"/>
          <w:color w:val="auto"/>
          <w:kern w:val="0"/>
          <w:sz w:val="24"/>
          <w:highlight w:val="none"/>
          <w:shd w:val="clear" w:color="auto" w:fill="auto"/>
        </w:rPr>
        <w:t>承诺具有履行合同所必需的专业服务（技术）能力。如有虚假，采购人可取消我方任何资格（投标/中标/签订合同），我方对此无任何异议。</w:t>
      </w:r>
    </w:p>
    <w:p>
      <w:pPr>
        <w:widowControl/>
        <w:kinsoku/>
        <w:overflowPunct/>
        <w:bidi w:val="0"/>
        <w:adjustRightInd w:val="0"/>
        <w:snapToGrid w:val="0"/>
        <w:spacing w:line="360" w:lineRule="auto"/>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特此承诺！</w:t>
      </w:r>
    </w:p>
    <w:p>
      <w:pPr>
        <w:widowControl/>
        <w:kinsoku/>
        <w:overflowPunct/>
        <w:bidi w:val="0"/>
        <w:adjustRightInd w:val="0"/>
        <w:snapToGrid w:val="0"/>
        <w:spacing w:line="360" w:lineRule="auto"/>
        <w:ind w:firstLine="480" w:firstLineChars="200"/>
        <w:jc w:val="left"/>
        <w:rPr>
          <w:rFonts w:hint="eastAsia" w:ascii="宋体" w:hAnsi="宋体" w:eastAsia="宋体" w:cs="宋体"/>
          <w:color w:val="auto"/>
          <w:kern w:val="0"/>
          <w:sz w:val="24"/>
          <w:highlight w:val="none"/>
          <w:shd w:val="clear" w:color="auto" w:fill="auto"/>
        </w:rPr>
      </w:pPr>
    </w:p>
    <w:p>
      <w:pPr>
        <w:kinsoku/>
        <w:overflowPunct/>
        <w:bidi w:val="0"/>
        <w:adjustRightInd w:val="0"/>
        <w:snapToGrid w:val="0"/>
        <w:spacing w:line="360" w:lineRule="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lang w:val="zh-CN"/>
        </w:rPr>
        <w:t>法定/授权代表：</w:t>
      </w:r>
      <w:r>
        <w:rPr>
          <w:rFonts w:hint="eastAsia" w:ascii="宋体" w:hAnsi="宋体" w:eastAsia="宋体" w:cs="宋体"/>
          <w:color w:val="auto"/>
          <w:kern w:val="0"/>
          <w:sz w:val="24"/>
          <w:highlight w:val="none"/>
          <w:u w:val="single"/>
          <w:shd w:val="clear" w:color="auto" w:fill="auto"/>
          <w:lang w:val="zh-CN"/>
        </w:rPr>
        <w:t xml:space="preserve">（签字或盖章） </w:t>
      </w:r>
    </w:p>
    <w:p>
      <w:pPr>
        <w:kinsoku/>
        <w:overflowPunct/>
        <w:bidi w:val="0"/>
        <w:adjustRightInd w:val="0"/>
        <w:snapToGrid w:val="0"/>
        <w:spacing w:line="360" w:lineRule="auto"/>
        <w:rPr>
          <w:rFonts w:hint="eastAsia" w:ascii="宋体" w:hAnsi="宋体" w:eastAsia="宋体" w:cs="宋体"/>
          <w:color w:val="auto"/>
          <w:kern w:val="0"/>
          <w:sz w:val="24"/>
          <w:highlight w:val="none"/>
          <w:u w:val="single"/>
          <w:shd w:val="clear" w:color="auto" w:fill="auto"/>
          <w:lang w:val="zh-CN"/>
        </w:rPr>
      </w:pPr>
      <w:r>
        <w:rPr>
          <w:rFonts w:hint="eastAsia" w:ascii="宋体" w:hAnsi="宋体" w:eastAsia="宋体" w:cs="宋体"/>
          <w:color w:val="auto"/>
          <w:kern w:val="0"/>
          <w:sz w:val="24"/>
          <w:highlight w:val="none"/>
          <w:shd w:val="clear" w:color="auto" w:fill="auto"/>
          <w:lang w:val="zh-CN"/>
        </w:rPr>
        <w:t>供应商：</w:t>
      </w:r>
      <w:r>
        <w:rPr>
          <w:rFonts w:hint="eastAsia" w:ascii="宋体" w:hAnsi="宋体" w:eastAsia="宋体" w:cs="宋体"/>
          <w:color w:val="auto"/>
          <w:kern w:val="0"/>
          <w:sz w:val="24"/>
          <w:highlight w:val="none"/>
          <w:u w:val="single"/>
          <w:shd w:val="clear" w:color="auto" w:fill="auto"/>
          <w:lang w:val="zh-CN"/>
        </w:rPr>
        <w:t xml:space="preserve">（全称加盖公章）       </w:t>
      </w:r>
    </w:p>
    <w:p>
      <w:pPr>
        <w:kinsoku/>
        <w:overflowPunct/>
        <w:bidi w:val="0"/>
        <w:adjustRightInd w:val="0"/>
        <w:snapToGrid w:val="0"/>
        <w:spacing w:line="360" w:lineRule="auto"/>
        <w:rPr>
          <w:rFonts w:hint="eastAsia" w:ascii="宋体" w:hAnsi="宋体" w:eastAsia="宋体" w:cs="宋体"/>
          <w:color w:val="auto"/>
          <w:kern w:val="0"/>
          <w:sz w:val="24"/>
          <w:highlight w:val="none"/>
          <w:u w:val="single"/>
          <w:shd w:val="clear" w:color="auto" w:fill="auto"/>
        </w:rPr>
      </w:pPr>
      <w:r>
        <w:rPr>
          <w:rFonts w:hint="eastAsia" w:ascii="宋体" w:hAnsi="宋体" w:eastAsia="宋体" w:cs="宋体"/>
          <w:color w:val="auto"/>
          <w:kern w:val="0"/>
          <w:sz w:val="24"/>
          <w:highlight w:val="none"/>
          <w:shd w:val="clear" w:color="auto" w:fill="auto"/>
          <w:lang w:val="zh-CN"/>
        </w:rPr>
        <w:t>日期</w:t>
      </w:r>
      <w:r>
        <w:rPr>
          <w:rFonts w:hint="eastAsia" w:ascii="宋体" w:hAnsi="宋体" w:eastAsia="宋体" w:cs="宋体"/>
          <w:color w:val="auto"/>
          <w:kern w:val="0"/>
          <w:sz w:val="24"/>
          <w:highlight w:val="none"/>
          <w:shd w:val="clear" w:color="auto" w:fill="auto"/>
        </w:rPr>
        <w:t>：</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年  月  日</w:t>
      </w:r>
    </w:p>
    <w:p>
      <w:pPr>
        <w:kinsoku/>
        <w:overflowPunct/>
        <w:bidi w:val="0"/>
        <w:spacing w:line="360" w:lineRule="auto"/>
        <w:rPr>
          <w:rFonts w:hint="eastAsia" w:ascii="宋体" w:hAnsi="宋体" w:eastAsia="宋体" w:cs="宋体"/>
          <w:color w:val="auto"/>
          <w:sz w:val="24"/>
          <w:highlight w:val="none"/>
          <w:shd w:val="clear" w:color="auto" w:fill="auto"/>
        </w:rPr>
      </w:pPr>
    </w:p>
    <w:p>
      <w:pPr>
        <w:pStyle w:val="20"/>
        <w:spacing w:before="66"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highlight w:val="none"/>
          <w:shd w:val="clear" w:color="auto" w:fill="auto"/>
        </w:rPr>
        <w:t>表</w:t>
      </w:r>
      <w:r>
        <w:rPr>
          <w:rFonts w:hint="eastAsia" w:ascii="宋体" w:hAnsi="宋体" w:eastAsia="宋体" w:cs="宋体"/>
          <w:color w:val="auto"/>
          <w:sz w:val="24"/>
          <w:highlight w:val="none"/>
          <w:shd w:val="clear" w:color="auto" w:fill="auto"/>
          <w:lang w:val="en-US" w:eastAsia="zh-CN"/>
        </w:rPr>
        <w:t>4</w:t>
      </w:r>
      <w:r>
        <w:rPr>
          <w:rFonts w:hint="eastAsia" w:ascii="宋体" w:hAnsi="宋体" w:eastAsia="宋体" w:cs="宋体"/>
          <w:color w:val="auto"/>
          <w:sz w:val="24"/>
          <w:highlight w:val="none"/>
          <w:shd w:val="clear" w:color="auto" w:fill="auto"/>
        </w:rPr>
        <w:t>：</w:t>
      </w:r>
      <w:r>
        <w:rPr>
          <w:rFonts w:hint="eastAsia" w:ascii="宋体" w:hAnsi="宋体" w:eastAsia="宋体" w:cs="宋体"/>
          <w:color w:val="auto"/>
          <w:sz w:val="24"/>
          <w:szCs w:val="24"/>
          <w:highlight w:val="none"/>
          <w:shd w:val="clear" w:color="auto" w:fill="auto"/>
        </w:rPr>
        <w:t>依法缴纳税收和社会保障资金的声明函</w:t>
      </w:r>
    </w:p>
    <w:p>
      <w:pPr>
        <w:pStyle w:val="6"/>
        <w:numPr>
          <w:ilvl w:val="0"/>
          <w:numId w:val="0"/>
        </w:numPr>
        <w:tabs>
          <w:tab w:val="clear" w:pos="1110"/>
        </w:tabs>
        <w:spacing w:before="164" w:line="360" w:lineRule="auto"/>
        <w:ind w:left="456" w:leftChars="0" w:right="37" w:rightChars="0"/>
        <w:jc w:val="center"/>
        <w:rPr>
          <w:rFonts w:hint="eastAsia" w:ascii="宋体" w:hAnsi="宋体" w:eastAsia="宋体" w:cs="宋体"/>
          <w:b/>
          <w:color w:val="auto"/>
          <w:kern w:val="2"/>
          <w:sz w:val="32"/>
          <w:highlight w:val="none"/>
          <w:shd w:val="clear" w:color="auto" w:fill="auto"/>
          <w:lang w:val="en-US" w:eastAsia="zh-CN" w:bidi="ar-SA"/>
        </w:rPr>
      </w:pPr>
      <w:r>
        <w:rPr>
          <w:rFonts w:hint="eastAsia" w:ascii="宋体" w:hAnsi="宋体" w:eastAsia="宋体" w:cs="宋体"/>
          <w:b/>
          <w:color w:val="auto"/>
          <w:kern w:val="2"/>
          <w:sz w:val="32"/>
          <w:highlight w:val="none"/>
          <w:shd w:val="clear" w:color="auto" w:fill="auto"/>
          <w:lang w:val="en-US" w:eastAsia="zh-CN" w:bidi="ar-SA"/>
        </w:rPr>
        <w:t>依法缴纳税收和社会保障资金的声明函</w:t>
      </w:r>
    </w:p>
    <w:p>
      <w:pPr>
        <w:spacing w:line="360" w:lineRule="auto"/>
        <w:ind w:firstLine="720" w:firstLineChars="300"/>
        <w:rPr>
          <w:rFonts w:hint="eastAsia" w:ascii="宋体" w:hAnsi="宋体" w:eastAsia="宋体" w:cs="宋体"/>
          <w:color w:val="auto"/>
          <w:sz w:val="24"/>
          <w:highlight w:val="none"/>
          <w:shd w:val="clear" w:color="auto" w:fill="auto"/>
        </w:rPr>
      </w:pPr>
    </w:p>
    <w:p>
      <w:pPr>
        <w:widowControl/>
        <w:adjustRightInd w:val="0"/>
        <w:snapToGrid w:val="0"/>
        <w:spacing w:line="360" w:lineRule="auto"/>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u w:val="single"/>
          <w:shd w:val="clear" w:color="auto" w:fill="auto"/>
        </w:rPr>
        <w:t xml:space="preserve">（采购人）                   </w:t>
      </w:r>
      <w:r>
        <w:rPr>
          <w:rFonts w:hint="eastAsia" w:ascii="宋体" w:hAnsi="宋体" w:eastAsia="宋体" w:cs="宋体"/>
          <w:color w:val="auto"/>
          <w:kern w:val="0"/>
          <w:sz w:val="24"/>
          <w:highlight w:val="none"/>
          <w:shd w:val="clear" w:color="auto" w:fill="auto"/>
        </w:rPr>
        <w:t>：</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我方</w:t>
      </w:r>
      <w:r>
        <w:rPr>
          <w:rFonts w:hint="eastAsia" w:ascii="宋体" w:hAnsi="宋体" w:eastAsia="宋体" w:cs="宋体"/>
          <w:color w:val="auto"/>
          <w:kern w:val="0"/>
          <w:sz w:val="24"/>
          <w:highlight w:val="none"/>
          <w:u w:val="single"/>
          <w:shd w:val="clear" w:color="auto" w:fill="auto"/>
        </w:rPr>
        <w:t xml:space="preserve"> （供应商）          </w:t>
      </w:r>
      <w:r>
        <w:rPr>
          <w:rFonts w:hint="eastAsia" w:ascii="宋体" w:hAnsi="宋体" w:eastAsia="宋体" w:cs="宋体"/>
          <w:color w:val="auto"/>
          <w:spacing w:val="-4"/>
          <w:sz w:val="24"/>
          <w:szCs w:val="24"/>
          <w:highlight w:val="none"/>
          <w:shd w:val="clear" w:color="auto" w:fill="auto"/>
        </w:rPr>
        <w:t>严格依法缴纳税</w:t>
      </w:r>
      <w:r>
        <w:rPr>
          <w:rFonts w:hint="eastAsia" w:ascii="宋体" w:hAnsi="宋体" w:eastAsia="宋体" w:cs="宋体"/>
          <w:color w:val="auto"/>
          <w:spacing w:val="-8"/>
          <w:sz w:val="24"/>
          <w:szCs w:val="24"/>
          <w:highlight w:val="none"/>
          <w:shd w:val="clear" w:color="auto" w:fill="auto"/>
        </w:rPr>
        <w:t>收和社会保障资金，我方对上述声明的真实性负责。</w:t>
      </w:r>
      <w:r>
        <w:rPr>
          <w:rFonts w:hint="eastAsia" w:ascii="宋体" w:hAnsi="宋体" w:eastAsia="宋体" w:cs="宋体"/>
          <w:color w:val="auto"/>
          <w:spacing w:val="-7"/>
          <w:sz w:val="24"/>
          <w:szCs w:val="24"/>
          <w:highlight w:val="none"/>
          <w:shd w:val="clear" w:color="auto" w:fill="auto"/>
        </w:rPr>
        <w:t>如有虚假，采购人可取消我方任何资格（投标/中标/签订合同），我方对此无任何异议</w:t>
      </w:r>
      <w:r>
        <w:rPr>
          <w:rFonts w:hint="eastAsia" w:ascii="宋体" w:hAnsi="宋体" w:eastAsia="宋体" w:cs="宋体"/>
          <w:color w:val="auto"/>
          <w:kern w:val="0"/>
          <w:sz w:val="24"/>
          <w:highlight w:val="none"/>
          <w:shd w:val="clear" w:color="auto" w:fill="auto"/>
        </w:rPr>
        <w:t>。</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特此承诺！</w:t>
      </w:r>
    </w:p>
    <w:p>
      <w:pPr>
        <w:adjustRightInd w:val="0"/>
        <w:snapToGrid w:val="0"/>
        <w:spacing w:line="360" w:lineRule="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lang w:val="zh-CN"/>
        </w:rPr>
        <w:t>法定/授权代表：</w:t>
      </w:r>
      <w:r>
        <w:rPr>
          <w:rFonts w:hint="eastAsia" w:ascii="宋体" w:hAnsi="宋体" w:eastAsia="宋体" w:cs="宋体"/>
          <w:color w:val="auto"/>
          <w:kern w:val="0"/>
          <w:sz w:val="24"/>
          <w:highlight w:val="none"/>
          <w:u w:val="single"/>
          <w:shd w:val="clear" w:color="auto" w:fill="auto"/>
          <w:lang w:val="zh-CN"/>
        </w:rPr>
        <w:t xml:space="preserve">（签字或盖章） </w:t>
      </w:r>
    </w:p>
    <w:p>
      <w:pPr>
        <w:adjustRightInd w:val="0"/>
        <w:snapToGrid w:val="0"/>
        <w:spacing w:line="360" w:lineRule="auto"/>
        <w:rPr>
          <w:rFonts w:hint="eastAsia" w:ascii="宋体" w:hAnsi="宋体" w:eastAsia="宋体" w:cs="宋体"/>
          <w:color w:val="auto"/>
          <w:kern w:val="0"/>
          <w:sz w:val="24"/>
          <w:highlight w:val="none"/>
          <w:u w:val="single"/>
          <w:shd w:val="clear" w:color="auto" w:fill="auto"/>
          <w:lang w:val="zh-CN"/>
        </w:rPr>
      </w:pPr>
      <w:r>
        <w:rPr>
          <w:rFonts w:hint="eastAsia" w:ascii="宋体" w:hAnsi="宋体" w:eastAsia="宋体" w:cs="宋体"/>
          <w:color w:val="auto"/>
          <w:kern w:val="0"/>
          <w:sz w:val="24"/>
          <w:highlight w:val="none"/>
          <w:shd w:val="clear" w:color="auto" w:fill="auto"/>
          <w:lang w:val="zh-CN"/>
        </w:rPr>
        <w:t>供应商：</w:t>
      </w:r>
      <w:r>
        <w:rPr>
          <w:rFonts w:hint="eastAsia" w:ascii="宋体" w:hAnsi="宋体" w:eastAsia="宋体" w:cs="宋体"/>
          <w:color w:val="auto"/>
          <w:kern w:val="0"/>
          <w:sz w:val="24"/>
          <w:highlight w:val="none"/>
          <w:u w:val="single"/>
          <w:shd w:val="clear" w:color="auto" w:fill="auto"/>
          <w:lang w:val="zh-CN"/>
        </w:rPr>
        <w:t xml:space="preserve">（全称加盖公章）       </w:t>
      </w:r>
    </w:p>
    <w:p>
      <w:pPr>
        <w:adjustRightInd w:val="0"/>
        <w:snapToGrid w:val="0"/>
        <w:spacing w:line="360" w:lineRule="auto"/>
        <w:rPr>
          <w:rFonts w:hint="eastAsia" w:ascii="宋体" w:hAnsi="宋体" w:eastAsia="宋体" w:cs="宋体"/>
          <w:color w:val="auto"/>
          <w:kern w:val="0"/>
          <w:sz w:val="24"/>
          <w:highlight w:val="none"/>
          <w:u w:val="single"/>
          <w:shd w:val="clear" w:color="auto" w:fill="auto"/>
        </w:rPr>
      </w:pPr>
      <w:r>
        <w:rPr>
          <w:rFonts w:hint="eastAsia" w:ascii="宋体" w:hAnsi="宋体" w:eastAsia="宋体" w:cs="宋体"/>
          <w:color w:val="auto"/>
          <w:kern w:val="0"/>
          <w:sz w:val="24"/>
          <w:highlight w:val="none"/>
          <w:shd w:val="clear" w:color="auto" w:fill="auto"/>
          <w:lang w:val="zh-CN"/>
        </w:rPr>
        <w:t>日期</w:t>
      </w:r>
      <w:r>
        <w:rPr>
          <w:rFonts w:hint="eastAsia" w:ascii="宋体" w:hAnsi="宋体" w:eastAsia="宋体" w:cs="宋体"/>
          <w:color w:val="auto"/>
          <w:kern w:val="0"/>
          <w:sz w:val="24"/>
          <w:highlight w:val="none"/>
          <w:shd w:val="clear" w:color="auto" w:fill="auto"/>
        </w:rPr>
        <w:t>：</w:t>
      </w:r>
      <w:r>
        <w:rPr>
          <w:rFonts w:hint="eastAsia" w:ascii="宋体" w:hAnsi="宋体" w:eastAsia="宋体" w:cs="宋体"/>
          <w:color w:val="auto"/>
          <w:kern w:val="0"/>
          <w:sz w:val="24"/>
          <w:highlight w:val="none"/>
          <w:u w:val="single"/>
          <w:shd w:val="clear" w:color="auto" w:fill="auto"/>
          <w:lang w:val="en-US" w:eastAsia="zh-CN"/>
        </w:rPr>
        <w:t xml:space="preserve">   </w:t>
      </w:r>
      <w:r>
        <w:rPr>
          <w:rFonts w:hint="eastAsia" w:ascii="宋体" w:hAnsi="宋体" w:eastAsia="宋体" w:cs="宋体"/>
          <w:color w:val="auto"/>
          <w:kern w:val="0"/>
          <w:sz w:val="24"/>
          <w:highlight w:val="none"/>
          <w:shd w:val="clear" w:color="auto" w:fill="auto"/>
          <w:lang w:val="zh-CN"/>
        </w:rPr>
        <w:t>年</w:t>
      </w:r>
      <w:r>
        <w:rPr>
          <w:rFonts w:hint="eastAsia" w:ascii="宋体" w:hAnsi="宋体" w:eastAsia="宋体" w:cs="宋体"/>
          <w:color w:val="auto"/>
          <w:kern w:val="0"/>
          <w:sz w:val="24"/>
          <w:highlight w:val="none"/>
          <w:u w:val="single"/>
          <w:shd w:val="clear" w:color="auto" w:fill="auto"/>
        </w:rPr>
        <w:tab/>
      </w:r>
      <w:r>
        <w:rPr>
          <w:rFonts w:hint="eastAsia" w:ascii="宋体" w:hAnsi="宋体" w:eastAsia="宋体" w:cs="宋体"/>
          <w:color w:val="auto"/>
          <w:kern w:val="0"/>
          <w:sz w:val="24"/>
          <w:highlight w:val="none"/>
          <w:shd w:val="clear" w:color="auto" w:fill="auto"/>
          <w:lang w:val="zh-CN"/>
        </w:rPr>
        <w:t>月</w:t>
      </w:r>
      <w:r>
        <w:rPr>
          <w:rFonts w:hint="eastAsia" w:ascii="宋体" w:hAnsi="宋体" w:eastAsia="宋体" w:cs="宋体"/>
          <w:color w:val="auto"/>
          <w:kern w:val="0"/>
          <w:sz w:val="24"/>
          <w:highlight w:val="none"/>
          <w:u w:val="single"/>
          <w:shd w:val="clear" w:color="auto" w:fill="auto"/>
          <w:lang w:val="en-US" w:eastAsia="zh-CN"/>
        </w:rPr>
        <w:t xml:space="preserve">   </w:t>
      </w:r>
      <w:r>
        <w:rPr>
          <w:rFonts w:hint="eastAsia" w:ascii="宋体" w:hAnsi="宋体" w:eastAsia="宋体" w:cs="宋体"/>
          <w:color w:val="auto"/>
          <w:kern w:val="0"/>
          <w:sz w:val="24"/>
          <w:highlight w:val="none"/>
          <w:shd w:val="clear" w:color="auto" w:fill="auto"/>
          <w:lang w:val="zh-CN"/>
        </w:rPr>
        <w:t>日</w:t>
      </w:r>
    </w:p>
    <w:p>
      <w:pPr>
        <w:spacing w:line="360" w:lineRule="auto"/>
        <w:rPr>
          <w:rFonts w:hint="eastAsia" w:ascii="宋体" w:hAnsi="宋体" w:eastAsia="宋体" w:cs="宋体"/>
          <w:color w:val="auto"/>
          <w:highlight w:val="none"/>
          <w:shd w:val="clear" w:color="auto" w:fill="auto"/>
        </w:rPr>
      </w:pPr>
    </w:p>
    <w:p>
      <w:pP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表</w:t>
      </w:r>
      <w:r>
        <w:rPr>
          <w:rFonts w:hint="eastAsia" w:ascii="宋体" w:hAnsi="宋体" w:eastAsia="宋体" w:cs="宋体"/>
          <w:color w:val="auto"/>
          <w:sz w:val="24"/>
          <w:highlight w:val="none"/>
          <w:shd w:val="clear" w:color="auto" w:fill="auto"/>
          <w:lang w:val="en-US" w:eastAsia="zh-CN"/>
        </w:rPr>
        <w:t>5</w:t>
      </w:r>
      <w:r>
        <w:rPr>
          <w:rFonts w:hint="eastAsia" w:ascii="宋体" w:hAnsi="宋体" w:eastAsia="宋体" w:cs="宋体"/>
          <w:color w:val="auto"/>
          <w:sz w:val="24"/>
          <w:highlight w:val="none"/>
          <w:shd w:val="clear" w:color="auto" w:fill="auto"/>
        </w:rPr>
        <w:t xml:space="preserve">：没有重大违法记录承诺函 </w:t>
      </w:r>
    </w:p>
    <w:p>
      <w:pPr>
        <w:spacing w:line="360" w:lineRule="auto"/>
        <w:jc w:val="center"/>
        <w:rPr>
          <w:rFonts w:hint="eastAsia" w:ascii="宋体" w:hAnsi="宋体" w:eastAsia="宋体" w:cs="宋体"/>
          <w:b/>
          <w:color w:val="auto"/>
          <w:sz w:val="32"/>
          <w:highlight w:val="none"/>
          <w:shd w:val="clear" w:color="auto" w:fill="auto"/>
        </w:rPr>
      </w:pPr>
    </w:p>
    <w:p>
      <w:pPr>
        <w:spacing w:line="360" w:lineRule="auto"/>
        <w:jc w:val="center"/>
        <w:rPr>
          <w:rFonts w:hint="eastAsia" w:ascii="宋体" w:hAnsi="宋体" w:eastAsia="宋体" w:cs="宋体"/>
          <w:b/>
          <w:color w:val="auto"/>
          <w:sz w:val="32"/>
          <w:highlight w:val="none"/>
          <w:shd w:val="clear" w:color="auto" w:fill="auto"/>
        </w:rPr>
      </w:pPr>
      <w:r>
        <w:rPr>
          <w:rFonts w:hint="eastAsia" w:ascii="宋体" w:hAnsi="宋体" w:eastAsia="宋体" w:cs="宋体"/>
          <w:b/>
          <w:color w:val="auto"/>
          <w:sz w:val="32"/>
          <w:highlight w:val="none"/>
          <w:shd w:val="clear" w:color="auto" w:fill="auto"/>
        </w:rPr>
        <w:t>没有重大违法记录承诺函</w:t>
      </w:r>
    </w:p>
    <w:p>
      <w:pPr>
        <w:spacing w:line="360" w:lineRule="auto"/>
        <w:rPr>
          <w:rFonts w:hint="eastAsia" w:ascii="宋体" w:hAnsi="宋体" w:eastAsia="宋体" w:cs="宋体"/>
          <w:color w:val="auto"/>
          <w:sz w:val="24"/>
          <w:szCs w:val="24"/>
          <w:highlight w:val="none"/>
          <w:u w:val="single"/>
          <w:shd w:val="clear" w:color="auto" w:fill="auto"/>
        </w:rPr>
      </w:pPr>
    </w:p>
    <w:p>
      <w:pPr>
        <w:spacing w:line="360" w:lineRule="auto"/>
        <w:rPr>
          <w:rFonts w:hint="eastAsia" w:ascii="宋体" w:hAnsi="宋体" w:eastAsia="宋体" w:cs="宋体"/>
          <w:color w:val="auto"/>
          <w:sz w:val="24"/>
          <w:szCs w:val="24"/>
          <w:highlight w:val="none"/>
          <w:u w:val="single"/>
          <w:shd w:val="clear" w:color="auto" w:fill="auto"/>
        </w:rPr>
      </w:pPr>
      <w:r>
        <w:rPr>
          <w:rFonts w:hint="eastAsia" w:ascii="宋体" w:hAnsi="宋体" w:eastAsia="宋体" w:cs="宋体"/>
          <w:color w:val="auto"/>
          <w:sz w:val="24"/>
          <w:szCs w:val="24"/>
          <w:highlight w:val="none"/>
          <w:u w:val="single"/>
          <w:shd w:val="clear" w:color="auto" w:fill="auto"/>
        </w:rPr>
        <w:t>（采购人）</w:t>
      </w:r>
      <w:r>
        <w:rPr>
          <w:rFonts w:hint="eastAsia" w:ascii="宋体" w:hAnsi="宋体" w:eastAsia="宋体" w:cs="宋体"/>
          <w:color w:val="auto"/>
          <w:sz w:val="24"/>
          <w:szCs w:val="24"/>
          <w:highlight w:val="none"/>
          <w:shd w:val="clear" w:color="auto" w:fill="auto"/>
        </w:rPr>
        <w:t>：</w:t>
      </w:r>
    </w:p>
    <w:p>
      <w:pPr>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我方</w:t>
      </w:r>
      <w:r>
        <w:rPr>
          <w:rFonts w:hint="eastAsia" w:ascii="宋体" w:hAnsi="宋体" w:eastAsia="宋体" w:cs="宋体"/>
          <w:color w:val="auto"/>
          <w:sz w:val="24"/>
          <w:szCs w:val="24"/>
          <w:highlight w:val="none"/>
          <w:u w:val="single"/>
          <w:shd w:val="clear" w:color="auto" w:fill="auto"/>
        </w:rPr>
        <w:t>（</w:t>
      </w:r>
      <w:r>
        <w:rPr>
          <w:rFonts w:hint="eastAsia" w:ascii="宋体" w:hAnsi="宋体" w:eastAsia="宋体" w:cs="宋体"/>
          <w:color w:val="auto"/>
          <w:kern w:val="0"/>
          <w:sz w:val="24"/>
          <w:highlight w:val="none"/>
          <w:u w:val="single"/>
          <w:shd w:val="clear" w:color="auto" w:fill="auto"/>
        </w:rPr>
        <w:t>供应商</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 xml:space="preserve">具有良好的商业信誉，在参加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 </w:t>
      </w:r>
    </w:p>
    <w:p>
      <w:pPr>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特此承诺！ </w:t>
      </w:r>
    </w:p>
    <w:p>
      <w:pPr>
        <w:spacing w:line="360" w:lineRule="auto"/>
        <w:rPr>
          <w:rFonts w:hint="eastAsia" w:ascii="宋体" w:hAnsi="宋体" w:eastAsia="宋体" w:cs="宋体"/>
          <w:color w:val="auto"/>
          <w:sz w:val="24"/>
          <w:szCs w:val="24"/>
          <w:highlight w:val="none"/>
          <w:shd w:val="clear" w:color="auto" w:fill="auto"/>
        </w:rPr>
      </w:pPr>
    </w:p>
    <w:p>
      <w:pPr>
        <w:adjustRightInd w:val="0"/>
        <w:snapToGrid w:val="0"/>
        <w:spacing w:line="360" w:lineRule="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lang w:val="zh-CN"/>
        </w:rPr>
        <w:t>法定/授权代表：</w:t>
      </w:r>
      <w:r>
        <w:rPr>
          <w:rFonts w:hint="eastAsia" w:ascii="宋体" w:hAnsi="宋体" w:eastAsia="宋体" w:cs="宋体"/>
          <w:color w:val="auto"/>
          <w:kern w:val="0"/>
          <w:sz w:val="24"/>
          <w:highlight w:val="none"/>
          <w:u w:val="single"/>
          <w:shd w:val="clear" w:color="auto" w:fill="auto"/>
          <w:lang w:val="zh-CN"/>
        </w:rPr>
        <w:t xml:space="preserve">（签字或盖章） </w:t>
      </w:r>
    </w:p>
    <w:p>
      <w:pPr>
        <w:adjustRightInd w:val="0"/>
        <w:snapToGrid w:val="0"/>
        <w:spacing w:line="360" w:lineRule="auto"/>
        <w:rPr>
          <w:rFonts w:hint="eastAsia" w:ascii="宋体" w:hAnsi="宋体" w:eastAsia="宋体" w:cs="宋体"/>
          <w:color w:val="auto"/>
          <w:kern w:val="0"/>
          <w:sz w:val="24"/>
          <w:highlight w:val="none"/>
          <w:u w:val="single"/>
          <w:shd w:val="clear" w:color="auto" w:fill="auto"/>
          <w:lang w:val="zh-CN"/>
        </w:rPr>
      </w:pPr>
      <w:r>
        <w:rPr>
          <w:rFonts w:hint="eastAsia" w:ascii="宋体" w:hAnsi="宋体" w:eastAsia="宋体" w:cs="宋体"/>
          <w:color w:val="auto"/>
          <w:kern w:val="0"/>
          <w:sz w:val="24"/>
          <w:highlight w:val="none"/>
          <w:shd w:val="clear" w:color="auto" w:fill="auto"/>
          <w:lang w:val="zh-CN"/>
        </w:rPr>
        <w:t>供应商：</w:t>
      </w:r>
      <w:r>
        <w:rPr>
          <w:rFonts w:hint="eastAsia" w:ascii="宋体" w:hAnsi="宋体" w:eastAsia="宋体" w:cs="宋体"/>
          <w:color w:val="auto"/>
          <w:kern w:val="0"/>
          <w:sz w:val="24"/>
          <w:highlight w:val="none"/>
          <w:u w:val="single"/>
          <w:shd w:val="clear" w:color="auto" w:fill="auto"/>
          <w:lang w:val="zh-CN"/>
        </w:rPr>
        <w:t xml:space="preserve">（全称加盖公章）       </w:t>
      </w:r>
    </w:p>
    <w:p>
      <w:pPr>
        <w:adjustRightInd w:val="0"/>
        <w:snapToGrid w:val="0"/>
        <w:spacing w:line="360" w:lineRule="auto"/>
        <w:rPr>
          <w:rFonts w:hint="eastAsia" w:ascii="宋体" w:hAnsi="宋体" w:eastAsia="宋体" w:cs="宋体"/>
          <w:b/>
          <w:color w:val="auto"/>
          <w:sz w:val="30"/>
          <w:szCs w:val="30"/>
          <w:highlight w:val="none"/>
          <w:shd w:val="clear" w:color="auto" w:fill="auto"/>
        </w:rPr>
      </w:pPr>
      <w:r>
        <w:rPr>
          <w:rFonts w:hint="eastAsia" w:ascii="宋体" w:hAnsi="宋体" w:eastAsia="宋体" w:cs="宋体"/>
          <w:color w:val="auto"/>
          <w:kern w:val="0"/>
          <w:sz w:val="24"/>
          <w:highlight w:val="none"/>
          <w:shd w:val="clear" w:color="auto" w:fill="auto"/>
          <w:lang w:val="zh-CN"/>
        </w:rPr>
        <w:t>日期</w:t>
      </w:r>
      <w:r>
        <w:rPr>
          <w:rFonts w:hint="eastAsia" w:ascii="宋体" w:hAnsi="宋体" w:eastAsia="宋体" w:cs="宋体"/>
          <w:color w:val="auto"/>
          <w:kern w:val="0"/>
          <w:sz w:val="24"/>
          <w:highlight w:val="none"/>
          <w:shd w:val="clear" w:color="auto" w:fill="auto"/>
        </w:rPr>
        <w:t xml:space="preserve">： </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年  月  日</w:t>
      </w:r>
    </w:p>
    <w:p>
      <w:pPr>
        <w:widowControl/>
        <w:spacing w:line="360" w:lineRule="auto"/>
        <w:jc w:val="left"/>
        <w:rPr>
          <w:rFonts w:hint="eastAsia" w:ascii="宋体" w:hAnsi="宋体" w:eastAsia="宋体" w:cs="宋体"/>
          <w:color w:val="auto"/>
          <w:sz w:val="24"/>
          <w:highlight w:val="none"/>
          <w:shd w:val="clear" w:color="auto" w:fill="auto"/>
        </w:rPr>
      </w:pPr>
    </w:p>
    <w:p>
      <w:pPr>
        <w:widowControl/>
        <w:spacing w:line="360" w:lineRule="auto"/>
        <w:jc w:val="left"/>
        <w:rPr>
          <w:rFonts w:hint="eastAsia" w:ascii="宋体" w:hAnsi="宋体" w:eastAsia="宋体" w:cs="宋体"/>
          <w:color w:val="auto"/>
          <w:sz w:val="24"/>
          <w:szCs w:val="22"/>
          <w:highlight w:val="none"/>
          <w:shd w:val="clear" w:color="auto" w:fill="auto"/>
        </w:rPr>
      </w:pPr>
      <w:r>
        <w:rPr>
          <w:rFonts w:hint="eastAsia" w:ascii="宋体" w:hAnsi="宋体" w:eastAsia="宋体" w:cs="宋体"/>
          <w:color w:val="auto"/>
          <w:sz w:val="24"/>
          <w:highlight w:val="none"/>
          <w:shd w:val="clear" w:color="auto" w:fill="auto"/>
        </w:rPr>
        <w:t>表</w:t>
      </w:r>
      <w:r>
        <w:rPr>
          <w:rFonts w:hint="eastAsia" w:ascii="宋体" w:hAnsi="宋体" w:eastAsia="宋体" w:cs="宋体"/>
          <w:color w:val="auto"/>
          <w:sz w:val="24"/>
          <w:highlight w:val="none"/>
          <w:shd w:val="clear" w:color="auto" w:fill="auto"/>
          <w:lang w:val="en-US" w:eastAsia="zh-CN"/>
        </w:rPr>
        <w:t>6</w:t>
      </w:r>
      <w:r>
        <w:rPr>
          <w:rFonts w:hint="eastAsia" w:ascii="宋体" w:hAnsi="宋体" w:eastAsia="宋体" w:cs="宋体"/>
          <w:color w:val="auto"/>
          <w:sz w:val="24"/>
          <w:highlight w:val="none"/>
          <w:shd w:val="clear" w:color="auto" w:fill="auto"/>
        </w:rPr>
        <w:t>：</w:t>
      </w:r>
      <w:r>
        <w:rPr>
          <w:rFonts w:hint="eastAsia" w:ascii="宋体" w:hAnsi="宋体" w:eastAsia="宋体" w:cs="宋体"/>
          <w:color w:val="auto"/>
          <w:sz w:val="24"/>
          <w:szCs w:val="22"/>
          <w:highlight w:val="none"/>
          <w:shd w:val="clear" w:color="auto" w:fill="auto"/>
        </w:rPr>
        <w:t>无违法失信的声明函</w:t>
      </w:r>
    </w:p>
    <w:p>
      <w:pPr>
        <w:spacing w:line="360" w:lineRule="auto"/>
        <w:jc w:val="center"/>
        <w:rPr>
          <w:rFonts w:hint="eastAsia" w:ascii="宋体" w:hAnsi="宋体" w:eastAsia="宋体" w:cs="宋体"/>
          <w:b/>
          <w:color w:val="auto"/>
          <w:sz w:val="32"/>
          <w:szCs w:val="22"/>
          <w:highlight w:val="none"/>
          <w:shd w:val="clear" w:color="auto" w:fill="auto"/>
        </w:rPr>
      </w:pPr>
      <w:r>
        <w:rPr>
          <w:rFonts w:hint="eastAsia" w:ascii="宋体" w:hAnsi="宋体" w:eastAsia="宋体" w:cs="宋体"/>
          <w:b/>
          <w:color w:val="auto"/>
          <w:sz w:val="32"/>
          <w:szCs w:val="22"/>
          <w:highlight w:val="none"/>
          <w:shd w:val="clear" w:color="auto" w:fill="auto"/>
        </w:rPr>
        <w:t xml:space="preserve">无违法失信的声明函 </w:t>
      </w:r>
    </w:p>
    <w:p>
      <w:pPr>
        <w:spacing w:line="360" w:lineRule="auto"/>
        <w:rPr>
          <w:rFonts w:hint="eastAsia" w:ascii="宋体" w:hAnsi="宋体" w:eastAsia="宋体" w:cs="宋体"/>
          <w:color w:val="auto"/>
          <w:highlight w:val="none"/>
          <w:shd w:val="clear" w:color="auto" w:fill="auto"/>
        </w:rPr>
      </w:pPr>
      <w:r>
        <w:rPr>
          <w:rFonts w:hint="eastAsia" w:ascii="宋体" w:hAnsi="宋体" w:eastAsia="宋体" w:cs="宋体"/>
          <w:color w:val="auto"/>
          <w:sz w:val="24"/>
          <w:szCs w:val="24"/>
          <w:highlight w:val="none"/>
          <w:u w:val="single"/>
          <w:shd w:val="clear" w:color="auto" w:fill="auto"/>
        </w:rPr>
        <w:t>（采购人）</w:t>
      </w:r>
      <w:r>
        <w:rPr>
          <w:rFonts w:hint="eastAsia" w:ascii="宋体" w:hAnsi="宋体" w:eastAsia="宋体" w:cs="宋体"/>
          <w:color w:val="auto"/>
          <w:sz w:val="24"/>
          <w:szCs w:val="24"/>
          <w:highlight w:val="none"/>
          <w:shd w:val="clear" w:color="auto" w:fill="auto"/>
        </w:rPr>
        <w:t>：</w:t>
      </w:r>
    </w:p>
    <w:p>
      <w:pPr>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截至</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u w:val="single"/>
          <w:shd w:val="clear" w:color="auto" w:fill="auto"/>
          <w:lang w:eastAsia="zh-CN"/>
        </w:rPr>
        <w:t>项目名称</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u w:val="single"/>
          <w:shd w:val="clear" w:color="auto" w:fill="auto"/>
        </w:rPr>
        <w:t>（项目编号:</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u w:val="single"/>
          <w:shd w:val="clear" w:color="auto" w:fill="auto"/>
        </w:rPr>
        <w:t>）</w:t>
      </w:r>
      <w:r>
        <w:rPr>
          <w:rFonts w:hint="eastAsia" w:ascii="宋体" w:hAnsi="宋体" w:eastAsia="宋体" w:cs="宋体"/>
          <w:color w:val="auto"/>
          <w:sz w:val="24"/>
          <w:szCs w:val="24"/>
          <w:highlight w:val="none"/>
          <w:shd w:val="clear" w:color="auto" w:fill="auto"/>
        </w:rPr>
        <w:t>的</w:t>
      </w:r>
      <w:r>
        <w:rPr>
          <w:rFonts w:hint="eastAsia" w:ascii="宋体" w:hAnsi="宋体" w:eastAsia="宋体" w:cs="宋体"/>
          <w:color w:val="auto"/>
          <w:sz w:val="24"/>
          <w:szCs w:val="24"/>
          <w:highlight w:val="none"/>
          <w:shd w:val="clear" w:color="auto" w:fill="auto"/>
          <w:lang w:val="en-US" w:eastAsia="zh-CN"/>
        </w:rPr>
        <w:t>投标</w:t>
      </w:r>
      <w:r>
        <w:rPr>
          <w:rFonts w:hint="eastAsia" w:ascii="宋体" w:hAnsi="宋体" w:eastAsia="宋体" w:cs="宋体"/>
          <w:color w:val="auto"/>
          <w:sz w:val="24"/>
          <w:szCs w:val="24"/>
          <w:highlight w:val="none"/>
          <w:shd w:val="clear" w:color="auto" w:fill="auto"/>
        </w:rPr>
        <w:t xml:space="preserve">文件提交截止时间，往前追溯三年，期间未被信用中国”网站(www.creditchina.gov.cn)列入失信被执行人名单、重大税收违法案件当事人名单、政府采购不良行为记录名单;未被“中国政府采购网”(www.ccgp.gov.cn)列入政府采购严重违法失信行为记录名单。 </w:t>
      </w:r>
    </w:p>
    <w:p>
      <w:pPr>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本公司对上述声明的真实性负责。如有虚假，愿意承担相应责任，对此无任何异议。 </w:t>
      </w:r>
    </w:p>
    <w:p>
      <w:pPr>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特此声明！ </w:t>
      </w:r>
    </w:p>
    <w:p>
      <w:pPr>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供应商全称： </w:t>
      </w:r>
    </w:p>
    <w:p>
      <w:pPr>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（盖单位公章） </w:t>
      </w:r>
    </w:p>
    <w:p>
      <w:pPr>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日期：</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年  月  日</w:t>
      </w:r>
    </w:p>
    <w:p>
      <w:pPr>
        <w:widowControl/>
        <w:spacing w:line="360" w:lineRule="auto"/>
        <w:jc w:val="left"/>
        <w:rPr>
          <w:rFonts w:hint="eastAsia" w:ascii="宋体" w:hAnsi="宋体" w:eastAsia="宋体" w:cs="宋体"/>
          <w:color w:val="auto"/>
          <w:sz w:val="24"/>
          <w:highlight w:val="none"/>
          <w:shd w:val="clear" w:color="auto" w:fill="auto"/>
        </w:rPr>
      </w:pPr>
    </w:p>
    <w:p>
      <w:pPr>
        <w:pStyle w:val="521"/>
        <w:adjustRightInd w:val="0"/>
        <w:snapToGrid w:val="0"/>
        <w:spacing w:line="360" w:lineRule="auto"/>
        <w:ind w:firstLine="480" w:firstLineChars="200"/>
        <w:jc w:val="left"/>
        <w:outlineLvl w:val="1"/>
        <w:rPr>
          <w:rFonts w:hint="eastAsia" w:ascii="宋体" w:hAnsi="宋体" w:eastAsia="宋体" w:cs="宋体"/>
          <w:color w:val="auto"/>
          <w:sz w:val="24"/>
          <w:szCs w:val="22"/>
          <w:highlight w:val="none"/>
          <w:shd w:val="clear" w:color="auto" w:fill="auto"/>
        </w:rPr>
      </w:pPr>
    </w:p>
    <w:p>
      <w:pPr>
        <w:pStyle w:val="521"/>
        <w:kinsoku/>
        <w:overflowPunct/>
        <w:bidi w:val="0"/>
        <w:adjustRightInd w:val="0"/>
        <w:snapToGrid w:val="0"/>
        <w:spacing w:line="360" w:lineRule="auto"/>
        <w:ind w:firstLine="480" w:firstLineChars="200"/>
        <w:jc w:val="left"/>
        <w:outlineLvl w:val="1"/>
        <w:rPr>
          <w:rFonts w:hint="eastAsia" w:ascii="宋体" w:hAnsi="宋体" w:eastAsia="宋体" w:cs="宋体"/>
          <w:color w:val="auto"/>
          <w:sz w:val="24"/>
          <w:szCs w:val="22"/>
          <w:highlight w:val="none"/>
        </w:rPr>
      </w:pPr>
    </w:p>
    <w:p>
      <w:pPr>
        <w:pStyle w:val="521"/>
        <w:kinsoku/>
        <w:overflowPunct/>
        <w:bidi w:val="0"/>
        <w:adjustRightInd w:val="0"/>
        <w:snapToGrid w:val="0"/>
        <w:spacing w:line="360" w:lineRule="auto"/>
        <w:ind w:firstLine="480" w:firstLineChars="200"/>
        <w:jc w:val="left"/>
        <w:outlineLvl w:val="1"/>
        <w:rPr>
          <w:rFonts w:hint="eastAsia" w:ascii="宋体" w:hAnsi="宋体" w:eastAsia="宋体" w:cs="宋体"/>
          <w:color w:val="auto"/>
          <w:sz w:val="24"/>
          <w:szCs w:val="22"/>
          <w:highlight w:val="none"/>
        </w:rPr>
      </w:pPr>
    </w:p>
    <w:p>
      <w:pPr>
        <w:pStyle w:val="521"/>
        <w:kinsoku/>
        <w:overflowPunct/>
        <w:bidi w:val="0"/>
        <w:adjustRightInd w:val="0"/>
        <w:snapToGrid w:val="0"/>
        <w:spacing w:line="360" w:lineRule="auto"/>
        <w:ind w:firstLine="480" w:firstLineChars="200"/>
        <w:jc w:val="left"/>
        <w:outlineLvl w:val="1"/>
        <w:rPr>
          <w:rFonts w:hint="eastAsia" w:ascii="宋体" w:hAnsi="宋体" w:eastAsia="宋体" w:cs="宋体"/>
          <w:color w:val="auto"/>
          <w:sz w:val="24"/>
          <w:szCs w:val="22"/>
          <w:highlight w:val="none"/>
        </w:rPr>
      </w:pPr>
    </w:p>
    <w:p>
      <w:pPr>
        <w:pStyle w:val="521"/>
        <w:kinsoku/>
        <w:overflowPunct/>
        <w:bidi w:val="0"/>
        <w:adjustRightInd w:val="0"/>
        <w:snapToGrid w:val="0"/>
        <w:spacing w:line="360" w:lineRule="auto"/>
        <w:ind w:firstLine="480" w:firstLineChars="200"/>
        <w:jc w:val="left"/>
        <w:outlineLvl w:val="1"/>
        <w:rPr>
          <w:rFonts w:hint="eastAsia" w:ascii="宋体" w:hAnsi="宋体" w:eastAsia="宋体" w:cs="宋体"/>
          <w:color w:val="auto"/>
          <w:sz w:val="24"/>
          <w:szCs w:val="22"/>
          <w:highlight w:val="none"/>
        </w:rPr>
      </w:pPr>
    </w:p>
    <w:p>
      <w:pPr>
        <w:pStyle w:val="521"/>
        <w:kinsoku/>
        <w:overflowPunct/>
        <w:bidi w:val="0"/>
        <w:adjustRightInd w:val="0"/>
        <w:snapToGrid w:val="0"/>
        <w:spacing w:line="360" w:lineRule="auto"/>
        <w:ind w:firstLine="480" w:firstLineChars="200"/>
        <w:jc w:val="left"/>
        <w:outlineLvl w:val="1"/>
        <w:rPr>
          <w:rFonts w:hint="eastAsia" w:ascii="宋体" w:hAnsi="宋体" w:eastAsia="宋体" w:cs="宋体"/>
          <w:color w:val="auto"/>
          <w:sz w:val="24"/>
          <w:szCs w:val="22"/>
          <w:highlight w:val="none"/>
        </w:rPr>
      </w:pPr>
    </w:p>
    <w:p>
      <w:pPr>
        <w:pStyle w:val="521"/>
        <w:kinsoku/>
        <w:overflowPunct/>
        <w:bidi w:val="0"/>
        <w:adjustRightInd w:val="0"/>
        <w:snapToGrid w:val="0"/>
        <w:spacing w:line="360" w:lineRule="auto"/>
        <w:ind w:firstLine="480" w:firstLineChars="200"/>
        <w:jc w:val="left"/>
        <w:outlineLvl w:val="1"/>
        <w:rPr>
          <w:rFonts w:hint="eastAsia" w:ascii="宋体" w:hAnsi="宋体" w:eastAsia="宋体" w:cs="宋体"/>
          <w:color w:val="auto"/>
          <w:sz w:val="24"/>
          <w:szCs w:val="22"/>
          <w:highlight w:val="none"/>
        </w:rPr>
      </w:pPr>
    </w:p>
    <w:p>
      <w:pPr>
        <w:pStyle w:val="521"/>
        <w:kinsoku/>
        <w:overflowPunct/>
        <w:bidi w:val="0"/>
        <w:adjustRightInd w:val="0"/>
        <w:snapToGrid w:val="0"/>
        <w:spacing w:line="360" w:lineRule="auto"/>
        <w:ind w:firstLine="480" w:firstLineChars="200"/>
        <w:jc w:val="left"/>
        <w:outlineLvl w:val="1"/>
        <w:rPr>
          <w:rFonts w:hint="eastAsia" w:ascii="宋体" w:hAnsi="宋体" w:eastAsia="宋体" w:cs="宋体"/>
          <w:color w:val="auto"/>
          <w:sz w:val="24"/>
          <w:szCs w:val="22"/>
          <w:highlight w:val="none"/>
        </w:rPr>
      </w:pPr>
    </w:p>
    <w:p>
      <w:pPr>
        <w:pStyle w:val="521"/>
        <w:kinsoku/>
        <w:overflowPunct/>
        <w:bidi w:val="0"/>
        <w:adjustRightInd w:val="0"/>
        <w:snapToGrid w:val="0"/>
        <w:spacing w:line="360" w:lineRule="auto"/>
        <w:ind w:firstLine="480" w:firstLineChars="200"/>
        <w:jc w:val="left"/>
        <w:outlineLvl w:val="1"/>
        <w:rPr>
          <w:rFonts w:hint="eastAsia" w:ascii="宋体" w:hAnsi="宋体" w:eastAsia="宋体" w:cs="宋体"/>
          <w:color w:val="auto"/>
          <w:sz w:val="24"/>
          <w:szCs w:val="22"/>
          <w:highlight w:val="none"/>
        </w:rPr>
      </w:pPr>
    </w:p>
    <w:p>
      <w:pPr>
        <w:pStyle w:val="521"/>
        <w:kinsoku/>
        <w:overflowPunct/>
        <w:bidi w:val="0"/>
        <w:adjustRightInd w:val="0"/>
        <w:snapToGrid w:val="0"/>
        <w:spacing w:line="360" w:lineRule="auto"/>
        <w:ind w:firstLine="480" w:firstLineChars="200"/>
        <w:jc w:val="left"/>
        <w:outlineLvl w:val="1"/>
        <w:rPr>
          <w:rFonts w:hint="eastAsia" w:ascii="宋体" w:hAnsi="宋体" w:eastAsia="宋体" w:cs="宋体"/>
          <w:color w:val="auto"/>
          <w:sz w:val="24"/>
          <w:szCs w:val="22"/>
          <w:highlight w:val="none"/>
        </w:rPr>
      </w:pPr>
    </w:p>
    <w:p>
      <w:pPr>
        <w:pStyle w:val="521"/>
        <w:kinsoku/>
        <w:overflowPunct/>
        <w:bidi w:val="0"/>
        <w:adjustRightInd w:val="0"/>
        <w:snapToGrid w:val="0"/>
        <w:spacing w:line="360" w:lineRule="auto"/>
        <w:ind w:firstLine="480" w:firstLineChars="200"/>
        <w:jc w:val="left"/>
        <w:outlineLvl w:val="1"/>
        <w:rPr>
          <w:rFonts w:hint="eastAsia" w:ascii="宋体" w:hAnsi="宋体" w:eastAsia="宋体" w:cs="宋体"/>
          <w:color w:val="auto"/>
          <w:sz w:val="24"/>
          <w:szCs w:val="22"/>
          <w:highlight w:val="none"/>
        </w:rPr>
      </w:pPr>
    </w:p>
    <w:p>
      <w:pPr>
        <w:pStyle w:val="521"/>
        <w:kinsoku/>
        <w:overflowPunct/>
        <w:bidi w:val="0"/>
        <w:adjustRightInd w:val="0"/>
        <w:snapToGrid w:val="0"/>
        <w:spacing w:line="360" w:lineRule="auto"/>
        <w:ind w:firstLine="480" w:firstLineChars="200"/>
        <w:jc w:val="left"/>
        <w:outlineLvl w:val="1"/>
        <w:rPr>
          <w:rFonts w:hint="eastAsia" w:ascii="宋体" w:hAnsi="宋体" w:eastAsia="宋体" w:cs="宋体"/>
          <w:color w:val="auto"/>
          <w:sz w:val="24"/>
          <w:szCs w:val="22"/>
          <w:highlight w:val="none"/>
        </w:rPr>
      </w:pPr>
    </w:p>
    <w:p>
      <w:pPr>
        <w:pStyle w:val="521"/>
        <w:kinsoku/>
        <w:overflowPunct/>
        <w:bidi w:val="0"/>
        <w:adjustRightInd w:val="0"/>
        <w:snapToGrid w:val="0"/>
        <w:spacing w:line="360" w:lineRule="auto"/>
        <w:ind w:firstLine="480" w:firstLineChars="200"/>
        <w:jc w:val="left"/>
        <w:outlineLvl w:val="1"/>
        <w:rPr>
          <w:rFonts w:hint="eastAsia" w:ascii="宋体" w:hAnsi="宋体" w:eastAsia="宋体" w:cs="宋体"/>
          <w:color w:val="auto"/>
          <w:sz w:val="24"/>
          <w:szCs w:val="22"/>
          <w:highlight w:val="none"/>
        </w:rPr>
      </w:pPr>
    </w:p>
    <w:p>
      <w:pPr>
        <w:pStyle w:val="521"/>
        <w:kinsoku/>
        <w:overflowPunct/>
        <w:bidi w:val="0"/>
        <w:adjustRightInd w:val="0"/>
        <w:snapToGrid w:val="0"/>
        <w:spacing w:line="360" w:lineRule="auto"/>
        <w:ind w:firstLine="480" w:firstLineChars="200"/>
        <w:jc w:val="left"/>
        <w:outlineLvl w:val="1"/>
        <w:rPr>
          <w:rFonts w:hint="eastAsia" w:ascii="宋体" w:hAnsi="宋体" w:eastAsia="宋体" w:cs="宋体"/>
          <w:color w:val="auto"/>
          <w:sz w:val="24"/>
          <w:szCs w:val="22"/>
          <w:highlight w:val="none"/>
        </w:rPr>
      </w:pPr>
    </w:p>
    <w:p>
      <w:pPr>
        <w:pStyle w:val="521"/>
        <w:kinsoku/>
        <w:overflowPunct/>
        <w:bidi w:val="0"/>
        <w:adjustRightInd w:val="0"/>
        <w:snapToGrid w:val="0"/>
        <w:spacing w:line="360" w:lineRule="auto"/>
        <w:ind w:firstLine="480" w:firstLineChars="200"/>
        <w:jc w:val="left"/>
        <w:outlineLvl w:val="1"/>
        <w:rPr>
          <w:rFonts w:hint="eastAsia" w:ascii="宋体" w:hAnsi="宋体" w:eastAsia="宋体" w:cs="宋体"/>
          <w:color w:val="auto"/>
          <w:sz w:val="24"/>
          <w:szCs w:val="22"/>
          <w:highlight w:val="none"/>
        </w:rPr>
      </w:pPr>
    </w:p>
    <w:p>
      <w:pPr>
        <w:pStyle w:val="521"/>
        <w:kinsoku/>
        <w:overflowPunct/>
        <w:bidi w:val="0"/>
        <w:adjustRightInd w:val="0"/>
        <w:snapToGrid w:val="0"/>
        <w:spacing w:line="360" w:lineRule="auto"/>
        <w:ind w:firstLine="480" w:firstLineChars="200"/>
        <w:jc w:val="left"/>
        <w:outlineLvl w:val="1"/>
        <w:rPr>
          <w:rFonts w:hint="eastAsia" w:ascii="宋体" w:hAnsi="宋体" w:eastAsia="宋体" w:cs="宋体"/>
          <w:color w:val="auto"/>
          <w:sz w:val="24"/>
          <w:szCs w:val="22"/>
          <w:highlight w:val="none"/>
        </w:rPr>
      </w:pPr>
    </w:p>
    <w:p>
      <w:pPr>
        <w:pStyle w:val="521"/>
        <w:kinsoku/>
        <w:overflowPunct/>
        <w:bidi w:val="0"/>
        <w:adjustRightInd w:val="0"/>
        <w:snapToGrid w:val="0"/>
        <w:spacing w:line="360" w:lineRule="auto"/>
        <w:ind w:firstLine="480" w:firstLineChars="200"/>
        <w:jc w:val="left"/>
        <w:outlineLvl w:val="1"/>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sz w:val="24"/>
          <w:szCs w:val="22"/>
          <w:highlight w:val="none"/>
        </w:rPr>
        <w:t>表</w:t>
      </w:r>
      <w:r>
        <w:rPr>
          <w:rFonts w:hint="eastAsia" w:ascii="宋体" w:hAnsi="宋体" w:eastAsia="宋体" w:cs="宋体"/>
          <w:color w:val="auto"/>
          <w:sz w:val="24"/>
          <w:szCs w:val="22"/>
          <w:highlight w:val="none"/>
          <w:lang w:val="en-US" w:eastAsia="zh-CN"/>
        </w:rPr>
        <w:t>7</w:t>
      </w:r>
      <w:r>
        <w:rPr>
          <w:rFonts w:hint="eastAsia" w:ascii="宋体" w:hAnsi="宋体" w:eastAsia="宋体" w:cs="宋体"/>
          <w:color w:val="auto"/>
          <w:sz w:val="24"/>
          <w:szCs w:val="22"/>
          <w:highlight w:val="none"/>
        </w:rPr>
        <w:t>：中小企业声明函</w:t>
      </w:r>
      <w:r>
        <w:rPr>
          <w:rFonts w:hint="eastAsia" w:ascii="宋体" w:hAnsi="宋体" w:eastAsia="宋体" w:cs="宋体"/>
          <w:color w:val="auto"/>
          <w:kern w:val="2"/>
          <w:sz w:val="24"/>
          <w:szCs w:val="22"/>
          <w:highlight w:val="none"/>
          <w:lang w:val="en-US" w:eastAsia="zh-CN" w:bidi="ar-SA"/>
        </w:rPr>
        <w:t>/监狱企业声明函/残疾人福利性单位声明函/分包承诺书</w:t>
      </w:r>
    </w:p>
    <w:p>
      <w:pPr>
        <w:pStyle w:val="584"/>
        <w:kinsoku/>
        <w:overflowPunct/>
        <w:bidi w:val="0"/>
        <w:spacing w:line="360" w:lineRule="auto"/>
        <w:jc w:val="center"/>
        <w:rPr>
          <w:rStyle w:val="606"/>
          <w:rFonts w:hint="eastAsia" w:ascii="宋体" w:hAnsi="宋体" w:eastAsia="宋体" w:cs="宋体"/>
          <w:b/>
          <w:bCs/>
          <w:color w:val="auto"/>
          <w:szCs w:val="24"/>
          <w:highlight w:val="none"/>
          <w:lang w:val="zh-TW" w:eastAsia="zh-TW"/>
        </w:rPr>
      </w:pPr>
      <w:r>
        <w:rPr>
          <w:rStyle w:val="606"/>
          <w:rFonts w:hint="eastAsia" w:ascii="宋体" w:hAnsi="宋体" w:eastAsia="宋体" w:cs="宋体"/>
          <w:b/>
          <w:bCs/>
          <w:color w:val="auto"/>
          <w:szCs w:val="24"/>
          <w:highlight w:val="none"/>
        </w:rPr>
        <w:t>1、</w:t>
      </w:r>
      <w:r>
        <w:rPr>
          <w:rStyle w:val="606"/>
          <w:rFonts w:hint="eastAsia" w:ascii="宋体" w:hAnsi="宋体" w:eastAsia="宋体" w:cs="宋体"/>
          <w:b/>
          <w:bCs/>
          <w:color w:val="auto"/>
          <w:szCs w:val="24"/>
          <w:highlight w:val="none"/>
          <w:lang w:val="zh-TW" w:eastAsia="zh-TW"/>
        </w:rPr>
        <w:t>中小企业声明函</w:t>
      </w:r>
    </w:p>
    <w:p>
      <w:pPr>
        <w:pStyle w:val="584"/>
        <w:kinsoku/>
        <w:overflowPunct/>
        <w:bidi w:val="0"/>
        <w:spacing w:line="360" w:lineRule="auto"/>
        <w:rPr>
          <w:rStyle w:val="606"/>
          <w:rFonts w:hint="eastAsia" w:ascii="宋体" w:hAnsi="宋体" w:eastAsia="宋体" w:cs="宋体"/>
          <w:b/>
          <w:bCs/>
          <w:color w:val="auto"/>
          <w:szCs w:val="24"/>
          <w:highlight w:val="none"/>
        </w:rPr>
      </w:pPr>
    </w:p>
    <w:p>
      <w:pPr>
        <w:pStyle w:val="584"/>
        <w:kinsoku/>
        <w:overflowPunct/>
        <w:bidi w:val="0"/>
        <w:spacing w:line="360" w:lineRule="auto"/>
        <w:ind w:firstLine="444"/>
        <w:rPr>
          <w:rFonts w:hint="eastAsia" w:ascii="宋体" w:hAnsi="宋体" w:eastAsia="宋体" w:cs="宋体"/>
          <w:color w:val="auto"/>
          <w:szCs w:val="24"/>
          <w:highlight w:val="none"/>
        </w:rPr>
      </w:pPr>
      <w:r>
        <w:rPr>
          <w:rStyle w:val="606"/>
          <w:rFonts w:hint="eastAsia" w:ascii="宋体" w:hAnsi="宋体" w:eastAsia="宋体" w:cs="宋体"/>
          <w:color w:val="auto"/>
          <w:szCs w:val="24"/>
          <w:highlight w:val="none"/>
          <w:lang w:val="zh-TW" w:eastAsia="zh-TW"/>
        </w:rPr>
        <w:t>本公司（联合体）郑重声明，根据《</w:t>
      </w:r>
      <w:r>
        <w:rPr>
          <w:rStyle w:val="606"/>
          <w:rFonts w:hint="eastAsia" w:ascii="宋体" w:hAnsi="宋体" w:eastAsia="宋体" w:cs="宋体"/>
          <w:color w:val="auto"/>
          <w:szCs w:val="24"/>
          <w:highlight w:val="none"/>
          <w:lang w:val="zh-TW"/>
        </w:rPr>
        <w:t>政府采购促进中小企业发展管理办法</w:t>
      </w:r>
      <w:r>
        <w:rPr>
          <w:rStyle w:val="606"/>
          <w:rFonts w:hint="eastAsia" w:ascii="宋体" w:hAnsi="宋体" w:eastAsia="宋体" w:cs="宋体"/>
          <w:color w:val="auto"/>
          <w:szCs w:val="24"/>
          <w:highlight w:val="none"/>
          <w:lang w:val="zh-TW" w:eastAsia="zh-TW"/>
        </w:rPr>
        <w:t>》（</w:t>
      </w:r>
      <w:r>
        <w:rPr>
          <w:rStyle w:val="606"/>
          <w:rFonts w:hint="eastAsia" w:ascii="宋体" w:hAnsi="宋体" w:eastAsia="宋体" w:cs="宋体"/>
          <w:color w:val="auto"/>
          <w:szCs w:val="24"/>
          <w:highlight w:val="none"/>
          <w:lang w:val="zh-TW"/>
        </w:rPr>
        <w:t>财库[2020]46号</w:t>
      </w:r>
      <w:r>
        <w:rPr>
          <w:rStyle w:val="606"/>
          <w:rFonts w:hint="eastAsia" w:ascii="宋体" w:hAnsi="宋体" w:eastAsia="宋体" w:cs="宋体"/>
          <w:color w:val="auto"/>
          <w:szCs w:val="24"/>
          <w:highlight w:val="none"/>
          <w:lang w:val="zh-TW" w:eastAsia="zh-TW"/>
        </w:rPr>
        <w:t>）的规定，本公司（联合体）</w:t>
      </w:r>
      <w:r>
        <w:rPr>
          <w:rStyle w:val="606"/>
          <w:rFonts w:hint="eastAsia" w:ascii="宋体" w:hAnsi="宋体" w:eastAsia="宋体" w:cs="宋体"/>
          <w:color w:val="auto"/>
          <w:szCs w:val="24"/>
          <w:highlight w:val="none"/>
          <w:lang w:val="zh-TW"/>
        </w:rPr>
        <w:t>参加</w:t>
      </w:r>
      <w:r>
        <w:rPr>
          <w:rFonts w:hint="eastAsia" w:ascii="宋体" w:hAnsi="宋体" w:eastAsia="宋体" w:cs="宋体"/>
          <w:i/>
          <w:iCs/>
          <w:color w:val="auto"/>
          <w:szCs w:val="24"/>
          <w:highlight w:val="none"/>
          <w:u w:val="single"/>
        </w:rPr>
        <w:t>（单位名称）</w:t>
      </w:r>
      <w:r>
        <w:rPr>
          <w:rFonts w:hint="eastAsia" w:ascii="宋体" w:hAnsi="宋体" w:eastAsia="宋体" w:cs="宋体"/>
          <w:color w:val="auto"/>
          <w:szCs w:val="24"/>
          <w:highlight w:val="none"/>
        </w:rPr>
        <w:t>的</w:t>
      </w:r>
      <w:r>
        <w:rPr>
          <w:rFonts w:hint="eastAsia" w:ascii="宋体" w:hAnsi="宋体" w:eastAsia="宋体" w:cs="宋体"/>
          <w:i/>
          <w:iCs/>
          <w:color w:val="auto"/>
          <w:szCs w:val="24"/>
          <w:highlight w:val="none"/>
          <w:u w:val="single"/>
        </w:rPr>
        <w:t>（项目名称）</w:t>
      </w:r>
      <w:r>
        <w:rPr>
          <w:rStyle w:val="606"/>
          <w:rFonts w:hint="eastAsia" w:ascii="宋体" w:hAnsi="宋体" w:eastAsia="宋体" w:cs="宋体"/>
          <w:color w:val="auto"/>
          <w:szCs w:val="24"/>
          <w:highlight w:val="none"/>
          <w:lang w:val="zh-TW" w:eastAsia="zh-TW"/>
        </w:rPr>
        <w:t>采购活动</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eastAsia="zh-CN"/>
        </w:rPr>
        <w:t>货物</w:t>
      </w:r>
      <w:r>
        <w:rPr>
          <w:rFonts w:hint="eastAsia" w:ascii="宋体" w:hAnsi="宋体" w:eastAsia="宋体" w:cs="宋体"/>
          <w:color w:val="auto"/>
          <w:szCs w:val="24"/>
          <w:highlight w:val="none"/>
        </w:rPr>
        <w:t>全部由符合政策要求的中小企业承接。相关企业（含联合体中的中小企业、签订分包意向协议的中小企业）的具体情况如下：</w:t>
      </w:r>
    </w:p>
    <w:p>
      <w:pPr>
        <w:pStyle w:val="610"/>
        <w:numPr>
          <w:ilvl w:val="0"/>
          <w:numId w:val="11"/>
        </w:numPr>
        <w:tabs>
          <w:tab w:val="left" w:pos="1193"/>
          <w:tab w:val="left" w:pos="6974"/>
        </w:tabs>
        <w:kinsoku/>
        <w:overflowPunct/>
        <w:bidi w:val="0"/>
        <w:spacing w:line="360" w:lineRule="auto"/>
        <w:ind w:firstLine="660"/>
        <w:rPr>
          <w:rFonts w:hint="eastAsia" w:ascii="宋体" w:hAnsi="宋体" w:eastAsia="宋体" w:cs="宋体"/>
          <w:color w:val="auto"/>
          <w:sz w:val="24"/>
          <w:szCs w:val="24"/>
          <w:highlight w:val="none"/>
        </w:rPr>
      </w:pPr>
      <w:r>
        <w:rPr>
          <w:rFonts w:hint="eastAsia" w:ascii="宋体" w:hAnsi="宋体" w:eastAsia="宋体" w:cs="宋体"/>
          <w:i/>
          <w:iCs/>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i/>
          <w:iCs/>
          <w:color w:val="auto"/>
          <w:sz w:val="24"/>
          <w:szCs w:val="24"/>
          <w:highlight w:val="none"/>
          <w:u w:val="single"/>
        </w:rPr>
        <w:t>（采购文件中明确的所属行业）</w:t>
      </w:r>
      <w:r>
        <w:rPr>
          <w:rFonts w:hint="eastAsia" w:ascii="宋体" w:hAnsi="宋体" w:eastAsia="宋体" w:cs="宋体"/>
          <w:i/>
          <w:iCs/>
          <w:color w:val="auto"/>
          <w:sz w:val="24"/>
          <w:szCs w:val="24"/>
          <w:highlight w:val="none"/>
        </w:rPr>
        <w:t>,</w:t>
      </w:r>
      <w:r>
        <w:rPr>
          <w:rFonts w:hint="eastAsia" w:ascii="宋体" w:hAnsi="宋体" w:eastAsia="宋体" w:cs="宋体"/>
          <w:color w:val="auto"/>
          <w:sz w:val="24"/>
          <w:szCs w:val="24"/>
          <w:highlight w:val="none"/>
        </w:rPr>
        <w:t>承接企业为</w:t>
      </w:r>
      <w:r>
        <w:rPr>
          <w:rFonts w:hint="eastAsia" w:ascii="宋体" w:hAnsi="宋体" w:eastAsia="宋体" w:cs="宋体"/>
          <w:i/>
          <w:iCs/>
          <w:color w:val="auto"/>
          <w:sz w:val="24"/>
          <w:szCs w:val="24"/>
          <w:highlight w:val="none"/>
          <w:u w:val="single"/>
        </w:rPr>
        <w:t>（企业名称）</w:t>
      </w:r>
      <w:r>
        <w:rPr>
          <w:rFonts w:hint="eastAsia" w:ascii="宋体" w:hAnsi="宋体" w:eastAsia="宋体" w:cs="宋体"/>
          <w:i/>
          <w:iCs/>
          <w:color w:val="auto"/>
          <w:sz w:val="24"/>
          <w:szCs w:val="24"/>
          <w:highlight w:val="none"/>
        </w:rPr>
        <w:t>,</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w:t>
      </w:r>
      <w:r>
        <w:rPr>
          <w:rFonts w:hint="eastAsia" w:ascii="宋体" w:hAnsi="宋体" w:eastAsia="宋体" w:cs="宋体"/>
          <w:color w:val="auto"/>
          <w:sz w:val="24"/>
          <w:szCs w:val="24"/>
          <w:highlight w:val="none"/>
          <w:lang w:val="en-US" w:eastAsia="en-US"/>
        </w:rPr>
        <w:t>，</w:t>
      </w:r>
      <w:r>
        <w:rPr>
          <w:rFonts w:hint="eastAsia" w:ascii="宋体" w:hAnsi="宋体" w:eastAsia="宋体" w:cs="宋体"/>
          <w:color w:val="auto"/>
          <w:sz w:val="24"/>
          <w:szCs w:val="24"/>
          <w:highlight w:val="none"/>
        </w:rPr>
        <w:t>属于</w:t>
      </w:r>
      <w:r>
        <w:rPr>
          <w:rFonts w:hint="eastAsia" w:ascii="宋体" w:hAnsi="宋体" w:eastAsia="宋体" w:cs="宋体"/>
          <w:i/>
          <w:iCs/>
          <w:color w:val="auto"/>
          <w:sz w:val="24"/>
          <w:szCs w:val="24"/>
          <w:highlight w:val="none"/>
          <w:u w:val="single"/>
        </w:rPr>
        <w:t>（中型企业、 小型企业、微型企业）</w:t>
      </w:r>
      <w:r>
        <w:rPr>
          <w:rFonts w:hint="eastAsia" w:ascii="宋体" w:hAnsi="宋体" w:eastAsia="宋体" w:cs="宋体"/>
          <w:i/>
          <w:iCs/>
          <w:color w:val="auto"/>
          <w:sz w:val="24"/>
          <w:szCs w:val="24"/>
          <w:highlight w:val="none"/>
        </w:rPr>
        <w:t>,</w:t>
      </w:r>
    </w:p>
    <w:p>
      <w:pPr>
        <w:pStyle w:val="610"/>
        <w:numPr>
          <w:ilvl w:val="0"/>
          <w:numId w:val="11"/>
        </w:numPr>
        <w:tabs>
          <w:tab w:val="left" w:pos="1193"/>
          <w:tab w:val="left" w:pos="6965"/>
        </w:tabs>
        <w:kinsoku/>
        <w:overflowPunct/>
        <w:bidi w:val="0"/>
        <w:spacing w:line="360" w:lineRule="auto"/>
        <w:ind w:firstLine="660"/>
        <w:rPr>
          <w:rFonts w:hint="eastAsia" w:ascii="宋体" w:hAnsi="宋体" w:eastAsia="宋体" w:cs="宋体"/>
          <w:color w:val="auto"/>
          <w:sz w:val="24"/>
          <w:szCs w:val="24"/>
          <w:highlight w:val="none"/>
        </w:rPr>
      </w:pPr>
      <w:r>
        <w:rPr>
          <w:rFonts w:hint="eastAsia" w:ascii="宋体" w:hAnsi="宋体" w:eastAsia="宋体" w:cs="宋体"/>
          <w:i/>
          <w:iCs/>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i/>
          <w:iCs/>
          <w:color w:val="auto"/>
          <w:sz w:val="24"/>
          <w:szCs w:val="24"/>
          <w:highlight w:val="none"/>
          <w:u w:val="single"/>
        </w:rPr>
        <w:t>（采购文件中明确的所属行业）</w:t>
      </w:r>
      <w:r>
        <w:rPr>
          <w:rFonts w:hint="eastAsia" w:ascii="宋体" w:hAnsi="宋体" w:eastAsia="宋体" w:cs="宋体"/>
          <w:i/>
          <w:iCs/>
          <w:color w:val="auto"/>
          <w:sz w:val="24"/>
          <w:szCs w:val="24"/>
          <w:highlight w:val="none"/>
        </w:rPr>
        <w:t xml:space="preserve">, </w:t>
      </w:r>
      <w:r>
        <w:rPr>
          <w:rFonts w:hint="eastAsia" w:ascii="宋体" w:hAnsi="宋体" w:eastAsia="宋体" w:cs="宋体"/>
          <w:color w:val="auto"/>
          <w:sz w:val="24"/>
          <w:szCs w:val="24"/>
          <w:highlight w:val="none"/>
        </w:rPr>
        <w:t>承接企业为</w:t>
      </w:r>
      <w:r>
        <w:rPr>
          <w:rFonts w:hint="eastAsia" w:ascii="宋体" w:hAnsi="宋体" w:eastAsia="宋体" w:cs="宋体"/>
          <w:i/>
          <w:iCs/>
          <w:color w:val="auto"/>
          <w:sz w:val="24"/>
          <w:szCs w:val="24"/>
          <w:highlight w:val="none"/>
          <w:u w:val="single"/>
        </w:rPr>
        <w:t>（企业名称）</w:t>
      </w:r>
      <w:r>
        <w:rPr>
          <w:rFonts w:hint="eastAsia" w:ascii="宋体" w:hAnsi="宋体" w:eastAsia="宋体" w:cs="宋体"/>
          <w:i/>
          <w:iCs/>
          <w:color w:val="auto"/>
          <w:sz w:val="24"/>
          <w:szCs w:val="24"/>
          <w:highlight w:val="none"/>
        </w:rPr>
        <w:t>,</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i/>
          <w:iCs/>
          <w:color w:val="auto"/>
          <w:sz w:val="24"/>
          <w:szCs w:val="24"/>
          <w:highlight w:val="none"/>
          <w:u w:val="single"/>
        </w:rPr>
        <w:t>（中型企业、 小型企业、微型企</w:t>
      </w:r>
      <w:r>
        <w:rPr>
          <w:rFonts w:hint="eastAsia" w:ascii="宋体" w:hAnsi="宋体" w:eastAsia="宋体" w:cs="宋体"/>
          <w:i/>
          <w:iCs/>
          <w:color w:val="auto"/>
          <w:sz w:val="24"/>
          <w:szCs w:val="24"/>
          <w:highlight w:val="none"/>
          <w:u w:val="single"/>
          <w:lang w:val="zh-CN" w:eastAsia="zh-CN"/>
        </w:rPr>
        <w:t>业）</w:t>
      </w:r>
      <w:r>
        <w:rPr>
          <w:rFonts w:hint="eastAsia" w:ascii="宋体" w:hAnsi="宋体" w:eastAsia="宋体" w:cs="宋体"/>
          <w:i/>
          <w:iCs/>
          <w:color w:val="auto"/>
          <w:sz w:val="24"/>
          <w:szCs w:val="24"/>
          <w:highlight w:val="none"/>
          <w:lang w:val="zh-CN" w:eastAsia="zh-CN"/>
        </w:rPr>
        <w:t>,</w:t>
      </w:r>
    </w:p>
    <w:p>
      <w:pPr>
        <w:pStyle w:val="610"/>
        <w:tabs>
          <w:tab w:val="left" w:pos="1193"/>
          <w:tab w:val="left" w:pos="6965"/>
        </w:tabs>
        <w:kinsoku/>
        <w:overflowPunct/>
        <w:bidi w:val="0"/>
        <w:spacing w:line="360" w:lineRule="auto"/>
        <w:ind w:firstLine="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p>
      <w:pPr>
        <w:pStyle w:val="610"/>
        <w:kinsoku/>
        <w:overflowPunct/>
        <w:bidi w:val="0"/>
        <w:spacing w:line="360" w:lineRule="auto"/>
        <w:ind w:firstLine="6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pPr>
        <w:pStyle w:val="610"/>
        <w:kinsoku/>
        <w:overflowPunct/>
        <w:bidi w:val="0"/>
        <w:spacing w:line="360" w:lineRule="auto"/>
        <w:ind w:firstLine="6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 法承担相应责任。</w:t>
      </w:r>
    </w:p>
    <w:p>
      <w:pPr>
        <w:pStyle w:val="610"/>
        <w:kinsoku/>
        <w:overflowPunct/>
        <w:bidi w:val="0"/>
        <w:spacing w:line="360" w:lineRule="auto"/>
        <w:ind w:left="3860" w:firstLine="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企业名称（盖章）： </w:t>
      </w:r>
    </w:p>
    <w:p>
      <w:pPr>
        <w:pStyle w:val="610"/>
        <w:kinsoku/>
        <w:overflowPunct/>
        <w:bidi w:val="0"/>
        <w:spacing w:line="360" w:lineRule="auto"/>
        <w:ind w:left="3860" w:firstLine="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pPr>
        <w:pStyle w:val="610"/>
        <w:kinsoku/>
        <w:overflowPunct/>
        <w:bidi w:val="0"/>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注：从业人员、营业收入、资产总额填报上一年度数据，无上一年度数据的新成立企业可不填报。</w:t>
      </w:r>
    </w:p>
    <w:p>
      <w:pPr>
        <w:pStyle w:val="603"/>
        <w:pBdr>
          <w:top w:val="none" w:color="auto" w:sz="0" w:space="0"/>
          <w:left w:val="none" w:color="auto" w:sz="0" w:space="0"/>
          <w:bottom w:val="none" w:color="auto" w:sz="0" w:space="0"/>
          <w:right w:val="none" w:color="auto" w:sz="0" w:space="0"/>
        </w:pBdr>
        <w:kinsoku/>
        <w:wordWrap w:val="0"/>
        <w:overflowPunct/>
        <w:bidi w:val="0"/>
        <w:spacing w:line="360" w:lineRule="auto"/>
        <w:ind w:firstLine="570"/>
        <w:rPr>
          <w:rFonts w:hint="eastAsia" w:ascii="宋体" w:hAnsi="宋体" w:eastAsia="宋体" w:cs="宋体"/>
          <w:b/>
          <w:bCs/>
          <w:color w:val="auto"/>
          <w:sz w:val="24"/>
          <w:szCs w:val="24"/>
          <w:highlight w:val="none"/>
        </w:rPr>
      </w:pPr>
    </w:p>
    <w:p>
      <w:pPr>
        <w:kinsoku/>
        <w:overflowPunct/>
        <w:bidi w:val="0"/>
        <w:spacing w:line="360" w:lineRule="auto"/>
        <w:jc w:val="center"/>
        <w:rPr>
          <w:rFonts w:hint="eastAsia" w:ascii="宋体" w:hAnsi="宋体" w:eastAsia="宋体" w:cs="宋体"/>
          <w:b/>
          <w:color w:val="auto"/>
          <w:spacing w:val="6"/>
          <w:sz w:val="24"/>
          <w:szCs w:val="24"/>
          <w:highlight w:val="none"/>
        </w:rPr>
      </w:pPr>
      <w:r>
        <w:rPr>
          <w:rFonts w:hint="eastAsia" w:ascii="宋体" w:hAnsi="宋体" w:eastAsia="宋体" w:cs="宋体"/>
          <w:b/>
          <w:color w:val="auto"/>
          <w:kern w:val="0"/>
          <w:sz w:val="24"/>
          <w:highlight w:val="none"/>
          <w:lang w:val="zh-CN"/>
        </w:rPr>
        <w:br w:type="page"/>
      </w:r>
      <w:r>
        <w:rPr>
          <w:rFonts w:hint="eastAsia" w:ascii="宋体" w:hAnsi="宋体" w:eastAsia="宋体" w:cs="宋体"/>
          <w:b/>
          <w:color w:val="auto"/>
          <w:sz w:val="24"/>
          <w:szCs w:val="24"/>
          <w:highlight w:val="none"/>
        </w:rPr>
        <w:t>2</w:t>
      </w:r>
      <w:r>
        <w:rPr>
          <w:rFonts w:hint="eastAsia" w:ascii="宋体" w:hAnsi="宋体" w:eastAsia="宋体" w:cs="宋体"/>
          <w:b/>
          <w:color w:val="auto"/>
          <w:spacing w:val="6"/>
          <w:sz w:val="24"/>
          <w:szCs w:val="24"/>
          <w:highlight w:val="none"/>
        </w:rPr>
        <w:t>、监狱和戒毒企业证明材料</w:t>
      </w:r>
    </w:p>
    <w:p>
      <w:pPr>
        <w:kinsoku/>
        <w:overflowPunct/>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监狱和戒毒企业参加投标时应提供由省级以上监狱管理局、戒毒管理局（含新疆生产建设兵团）出具的属于监狱企业的证明文件。</w:t>
      </w:r>
    </w:p>
    <w:p>
      <w:pPr>
        <w:kinsoku/>
        <w:overflowPunct/>
        <w:bidi w:val="0"/>
        <w:spacing w:line="360" w:lineRule="auto"/>
        <w:rPr>
          <w:rFonts w:hint="eastAsia" w:ascii="宋体" w:hAnsi="宋体" w:eastAsia="宋体" w:cs="宋体"/>
          <w:color w:val="auto"/>
          <w:sz w:val="24"/>
          <w:szCs w:val="24"/>
          <w:highlight w:val="none"/>
        </w:rPr>
      </w:pPr>
    </w:p>
    <w:p>
      <w:pPr>
        <w:pStyle w:val="607"/>
        <w:kinsoku/>
        <w:overflowPunct/>
        <w:bidi w:val="0"/>
        <w:spacing w:line="360" w:lineRule="auto"/>
        <w:jc w:val="center"/>
        <w:rPr>
          <w:rFonts w:hint="eastAsia" w:ascii="宋体" w:hAnsi="宋体" w:eastAsia="宋体" w:cs="宋体"/>
          <w:b/>
          <w:color w:val="auto"/>
          <w:spacing w:val="6"/>
          <w:sz w:val="24"/>
          <w:highlight w:val="none"/>
        </w:rPr>
      </w:pPr>
    </w:p>
    <w:p>
      <w:pPr>
        <w:kinsoku/>
        <w:overflowPunct/>
        <w:bidi w:val="0"/>
        <w:snapToGrid w:val="0"/>
        <w:spacing w:line="360" w:lineRule="auto"/>
        <w:ind w:left="0" w:leftChars="0" w:firstLine="5880" w:firstLineChars="245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单位名称（盖章）：</w:t>
      </w:r>
    </w:p>
    <w:p>
      <w:pPr>
        <w:pStyle w:val="603"/>
        <w:pBdr>
          <w:top w:val="none" w:color="auto" w:sz="0" w:space="0"/>
          <w:left w:val="none" w:color="auto" w:sz="0" w:space="0"/>
          <w:bottom w:val="none" w:color="auto" w:sz="0" w:space="0"/>
          <w:right w:val="none" w:color="auto" w:sz="0" w:space="0"/>
        </w:pBdr>
        <w:kinsoku/>
        <w:overflowPunct/>
        <w:bidi w:val="0"/>
        <w:snapToGrid w:val="0"/>
        <w:spacing w:line="360" w:lineRule="auto"/>
        <w:ind w:left="0" w:leftChars="0" w:firstLine="5880" w:firstLineChars="245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  期：</w:t>
      </w:r>
    </w:p>
    <w:p>
      <w:pPr>
        <w:pStyle w:val="607"/>
        <w:kinsoku/>
        <w:overflowPunct/>
        <w:bidi w:val="0"/>
        <w:spacing w:line="360" w:lineRule="auto"/>
        <w:jc w:val="center"/>
        <w:rPr>
          <w:rFonts w:hint="eastAsia" w:ascii="宋体" w:hAnsi="宋体" w:eastAsia="宋体" w:cs="宋体"/>
          <w:b/>
          <w:color w:val="auto"/>
          <w:spacing w:val="6"/>
          <w:sz w:val="24"/>
          <w:highlight w:val="none"/>
        </w:rPr>
      </w:pPr>
    </w:p>
    <w:p>
      <w:pPr>
        <w:pStyle w:val="607"/>
        <w:kinsoku/>
        <w:overflowPunct/>
        <w:bidi w:val="0"/>
        <w:spacing w:line="360" w:lineRule="auto"/>
        <w:jc w:val="center"/>
        <w:rPr>
          <w:rFonts w:hint="eastAsia" w:ascii="宋体" w:hAnsi="宋体" w:eastAsia="宋体" w:cs="宋体"/>
          <w:b/>
          <w:color w:val="auto"/>
          <w:spacing w:val="6"/>
          <w:sz w:val="24"/>
          <w:highlight w:val="none"/>
        </w:rPr>
      </w:pPr>
    </w:p>
    <w:p>
      <w:pPr>
        <w:pStyle w:val="607"/>
        <w:kinsoku/>
        <w:overflowPunct/>
        <w:bidi w:val="0"/>
        <w:spacing w:line="360" w:lineRule="auto"/>
        <w:jc w:val="center"/>
        <w:rPr>
          <w:rFonts w:hint="eastAsia" w:ascii="宋体" w:hAnsi="宋体" w:eastAsia="宋体" w:cs="宋体"/>
          <w:b/>
          <w:color w:val="auto"/>
          <w:spacing w:val="6"/>
          <w:sz w:val="24"/>
          <w:highlight w:val="none"/>
        </w:rPr>
      </w:pPr>
    </w:p>
    <w:p>
      <w:pPr>
        <w:pStyle w:val="607"/>
        <w:kinsoku/>
        <w:overflowPunct/>
        <w:bidi w:val="0"/>
        <w:spacing w:line="360" w:lineRule="auto"/>
        <w:jc w:val="center"/>
        <w:rPr>
          <w:rFonts w:hint="eastAsia" w:ascii="宋体" w:hAnsi="宋体" w:eastAsia="宋体" w:cs="宋体"/>
          <w:b/>
          <w:color w:val="auto"/>
          <w:spacing w:val="6"/>
          <w:sz w:val="24"/>
          <w:highlight w:val="none"/>
        </w:rPr>
      </w:pPr>
    </w:p>
    <w:p>
      <w:pPr>
        <w:pStyle w:val="607"/>
        <w:kinsoku/>
        <w:overflowPunct/>
        <w:bidi w:val="0"/>
        <w:spacing w:line="360" w:lineRule="auto"/>
        <w:jc w:val="center"/>
        <w:rPr>
          <w:rFonts w:hint="eastAsia" w:ascii="宋体" w:hAnsi="宋体" w:eastAsia="宋体" w:cs="宋体"/>
          <w:b/>
          <w:color w:val="auto"/>
          <w:spacing w:val="6"/>
          <w:sz w:val="24"/>
          <w:highlight w:val="none"/>
        </w:rPr>
      </w:pPr>
    </w:p>
    <w:p>
      <w:pPr>
        <w:pStyle w:val="607"/>
        <w:kinsoku/>
        <w:overflowPunct/>
        <w:bidi w:val="0"/>
        <w:spacing w:line="360" w:lineRule="auto"/>
        <w:jc w:val="center"/>
        <w:rPr>
          <w:rFonts w:hint="eastAsia" w:ascii="宋体" w:hAnsi="宋体" w:eastAsia="宋体" w:cs="宋体"/>
          <w:b/>
          <w:color w:val="auto"/>
          <w:spacing w:val="6"/>
          <w:sz w:val="24"/>
          <w:highlight w:val="none"/>
        </w:rPr>
      </w:pPr>
    </w:p>
    <w:p>
      <w:pPr>
        <w:pStyle w:val="607"/>
        <w:kinsoku/>
        <w:overflowPunct/>
        <w:bidi w:val="0"/>
        <w:spacing w:line="360" w:lineRule="auto"/>
        <w:jc w:val="center"/>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3、残疾人福利性单位声明函</w:t>
      </w:r>
    </w:p>
    <w:p>
      <w:pPr>
        <w:kinsoku/>
        <w:overflowPunct/>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kinsoku/>
        <w:overflowPunct/>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pPr>
        <w:widowControl/>
        <w:kinsoku/>
        <w:overflowPunct/>
        <w:bidi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 xml:space="preserve">      </w:t>
      </w:r>
    </w:p>
    <w:p>
      <w:pPr>
        <w:pStyle w:val="607"/>
        <w:kinsoku/>
        <w:overflowPunct/>
        <w:bidi w:val="0"/>
        <w:spacing w:line="360" w:lineRule="auto"/>
        <w:jc w:val="center"/>
        <w:rPr>
          <w:rFonts w:hint="eastAsia" w:ascii="宋体" w:hAnsi="宋体" w:eastAsia="宋体" w:cs="宋体"/>
          <w:b/>
          <w:color w:val="auto"/>
          <w:spacing w:val="6"/>
          <w:sz w:val="24"/>
          <w:highlight w:val="none"/>
        </w:rPr>
      </w:pPr>
    </w:p>
    <w:p>
      <w:pPr>
        <w:kinsoku/>
        <w:overflowPunct/>
        <w:bidi w:val="0"/>
        <w:snapToGrid w:val="0"/>
        <w:spacing w:line="360" w:lineRule="auto"/>
        <w:ind w:left="0" w:leftChars="0" w:firstLine="5880" w:firstLineChars="245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单位名称（盖章）：</w:t>
      </w:r>
    </w:p>
    <w:p>
      <w:pPr>
        <w:pStyle w:val="603"/>
        <w:pBdr>
          <w:top w:val="none" w:color="auto" w:sz="0" w:space="0"/>
          <w:left w:val="none" w:color="auto" w:sz="0" w:space="0"/>
          <w:bottom w:val="none" w:color="auto" w:sz="0" w:space="0"/>
          <w:right w:val="none" w:color="auto" w:sz="0" w:space="0"/>
        </w:pBdr>
        <w:kinsoku/>
        <w:overflowPunct/>
        <w:bidi w:val="0"/>
        <w:snapToGrid w:val="0"/>
        <w:spacing w:line="360" w:lineRule="auto"/>
        <w:ind w:left="0" w:leftChars="0" w:firstLine="5880" w:firstLineChars="245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  期：</w:t>
      </w:r>
    </w:p>
    <w:p>
      <w:pPr>
        <w:pStyle w:val="603"/>
        <w:pBdr>
          <w:top w:val="none" w:color="auto" w:sz="0" w:space="0"/>
          <w:left w:val="none" w:color="auto" w:sz="0" w:space="0"/>
          <w:bottom w:val="none" w:color="auto" w:sz="0" w:space="0"/>
          <w:right w:val="none" w:color="auto" w:sz="0" w:space="0"/>
        </w:pBdr>
        <w:snapToGrid w:val="0"/>
        <w:spacing w:line="360" w:lineRule="auto"/>
        <w:ind w:firstLine="0"/>
        <w:jc w:val="both"/>
        <w:rPr>
          <w:rFonts w:hint="eastAsia" w:ascii="宋体" w:hAnsi="宋体" w:eastAsia="宋体" w:cs="宋体"/>
          <w:color w:val="auto"/>
          <w:kern w:val="2"/>
          <w:sz w:val="24"/>
          <w:szCs w:val="22"/>
          <w:highlight w:val="none"/>
          <w:lang w:val="en-US" w:eastAsia="zh-CN" w:bidi="ar-SA"/>
        </w:rPr>
      </w:pPr>
    </w:p>
    <w:p>
      <w:pPr>
        <w:spacing w:line="360" w:lineRule="auto"/>
        <w:jc w:val="center"/>
        <w:rPr>
          <w:rFonts w:hint="eastAsia" w:ascii="宋体" w:hAnsi="宋体" w:eastAsia="宋体" w:cs="宋体"/>
          <w:b/>
          <w:bCs/>
          <w:color w:val="auto"/>
          <w:kern w:val="2"/>
          <w:sz w:val="24"/>
          <w:szCs w:val="22"/>
          <w:highlight w:val="none"/>
          <w:lang w:val="en-US" w:eastAsia="zh-CN" w:bidi="ar-SA"/>
        </w:rPr>
      </w:pPr>
    </w:p>
    <w:p>
      <w:pPr>
        <w:spacing w:line="360" w:lineRule="auto"/>
        <w:jc w:val="center"/>
        <w:rPr>
          <w:rFonts w:hint="eastAsia" w:ascii="宋体" w:hAnsi="宋体" w:eastAsia="宋体" w:cs="宋体"/>
          <w:b/>
          <w:bCs/>
          <w:color w:val="auto"/>
          <w:kern w:val="2"/>
          <w:sz w:val="24"/>
          <w:szCs w:val="22"/>
          <w:highlight w:val="none"/>
          <w:lang w:val="en-US" w:eastAsia="zh-CN" w:bidi="ar-SA"/>
        </w:rPr>
      </w:pPr>
    </w:p>
    <w:p>
      <w:pPr>
        <w:spacing w:line="360" w:lineRule="auto"/>
        <w:jc w:val="center"/>
        <w:rPr>
          <w:rFonts w:hint="eastAsia" w:ascii="宋体" w:hAnsi="宋体" w:eastAsia="宋体" w:cs="宋体"/>
          <w:b/>
          <w:bCs/>
          <w:color w:val="auto"/>
          <w:kern w:val="2"/>
          <w:sz w:val="24"/>
          <w:szCs w:val="22"/>
          <w:highlight w:val="none"/>
          <w:lang w:val="en-US" w:eastAsia="zh-CN" w:bidi="ar-SA"/>
        </w:rPr>
      </w:pPr>
    </w:p>
    <w:p>
      <w:pPr>
        <w:spacing w:line="360" w:lineRule="auto"/>
        <w:jc w:val="center"/>
        <w:rPr>
          <w:rFonts w:hint="eastAsia" w:ascii="宋体" w:hAnsi="宋体" w:eastAsia="宋体" w:cs="宋体"/>
          <w:b/>
          <w:bCs/>
          <w:color w:val="auto"/>
          <w:kern w:val="2"/>
          <w:sz w:val="24"/>
          <w:szCs w:val="22"/>
          <w:highlight w:val="none"/>
          <w:lang w:val="en-US" w:eastAsia="zh-CN" w:bidi="ar-SA"/>
        </w:rPr>
      </w:pPr>
    </w:p>
    <w:p>
      <w:pPr>
        <w:spacing w:line="360" w:lineRule="auto"/>
        <w:jc w:val="center"/>
        <w:rPr>
          <w:rFonts w:hint="eastAsia" w:ascii="宋体" w:hAnsi="宋体" w:eastAsia="宋体" w:cs="宋体"/>
          <w:b/>
          <w:bCs/>
          <w:color w:val="auto"/>
          <w:kern w:val="2"/>
          <w:sz w:val="24"/>
          <w:szCs w:val="22"/>
          <w:highlight w:val="none"/>
          <w:lang w:val="en-US" w:eastAsia="zh-CN" w:bidi="ar-SA"/>
        </w:rPr>
      </w:pPr>
    </w:p>
    <w:p>
      <w:pPr>
        <w:spacing w:line="360" w:lineRule="auto"/>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2"/>
          <w:highlight w:val="none"/>
          <w:lang w:val="en-US" w:eastAsia="zh-CN" w:bidi="ar-SA"/>
        </w:rPr>
        <w:t>4、分包承诺书（大中型企业提供）</w:t>
      </w:r>
    </w:p>
    <w:p>
      <w:pPr>
        <w:pStyle w:val="49"/>
        <w:snapToGrid w:val="0"/>
        <w:spacing w:before="24" w:beforeLines="10" w:after="24" w:afterLines="10"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color w:val="auto"/>
          <w:sz w:val="24"/>
          <w:szCs w:val="24"/>
          <w:highlight w:val="none"/>
        </w:rPr>
        <w:t>分包承诺书</w:t>
      </w:r>
    </w:p>
    <w:p>
      <w:pPr>
        <w:snapToGrid w:val="0"/>
        <w:spacing w:line="360" w:lineRule="auto"/>
        <w:ind w:firstLine="480" w:firstLineChars="200"/>
        <w:rPr>
          <w:rFonts w:hint="eastAsia" w:ascii="宋体" w:hAnsi="宋体" w:eastAsia="宋体" w:cs="宋体"/>
          <w:color w:val="auto"/>
          <w:kern w:val="0"/>
          <w:sz w:val="24"/>
          <w:szCs w:val="24"/>
          <w:highlight w:val="none"/>
          <w:u w:val="single"/>
          <w:lang w:val="en-US" w:eastAsia="zh-CN"/>
        </w:rPr>
      </w:pPr>
      <w:r>
        <w:rPr>
          <w:rFonts w:hint="eastAsia" w:ascii="宋体" w:hAnsi="宋体" w:eastAsia="宋体" w:cs="宋体"/>
          <w:color w:val="auto"/>
          <w:kern w:val="0"/>
          <w:sz w:val="24"/>
          <w:szCs w:val="24"/>
          <w:highlight w:val="none"/>
          <w:u w:val="none"/>
          <w:lang w:val="en-US" w:eastAsia="zh-CN"/>
        </w:rPr>
        <w:t>我方在此郑重承诺：</w:t>
      </w:r>
    </w:p>
    <w:p>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u w:val="single"/>
        </w:rPr>
        <w:t>（投标人名称）</w:t>
      </w:r>
      <w:r>
        <w:rPr>
          <w:rFonts w:hint="eastAsia" w:ascii="宋体" w:hAnsi="宋体" w:eastAsia="宋体" w:cs="宋体"/>
          <w:color w:val="auto"/>
          <w:kern w:val="0"/>
          <w:sz w:val="24"/>
          <w:szCs w:val="24"/>
          <w:highlight w:val="none"/>
          <w:lang w:val="zh-CN"/>
        </w:rPr>
        <w:t>若成为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pacing w:val="-3"/>
          <w:sz w:val="24"/>
          <w:szCs w:val="24"/>
          <w:highlight w:val="none"/>
          <w:u w:val="single"/>
        </w:rPr>
        <w:t>（项目名称）</w:t>
      </w:r>
      <w:r>
        <w:rPr>
          <w:rFonts w:hint="eastAsia" w:ascii="宋体" w:hAnsi="宋体" w:eastAsia="宋体" w:cs="宋体"/>
          <w:color w:val="auto"/>
          <w:spacing w:val="-3"/>
          <w:sz w:val="24"/>
          <w:szCs w:val="24"/>
          <w:highlight w:val="none"/>
          <w:u w:val="single"/>
          <w:lang w:val="en-US" w:eastAsia="zh-CN"/>
        </w:rPr>
        <w:t xml:space="preserve">        </w:t>
      </w:r>
      <w:r>
        <w:rPr>
          <w:rFonts w:hint="eastAsia" w:ascii="宋体" w:hAnsi="宋体" w:eastAsia="宋体" w:cs="宋体"/>
          <w:color w:val="auto"/>
          <w:spacing w:val="-3"/>
          <w:sz w:val="24"/>
          <w:szCs w:val="24"/>
          <w:highlight w:val="none"/>
        </w:rPr>
        <w:t>（项目编号）</w:t>
      </w:r>
      <w:r>
        <w:rPr>
          <w:rFonts w:hint="eastAsia" w:ascii="宋体" w:hAnsi="宋体" w:eastAsia="宋体" w:cs="宋体"/>
          <w:color w:val="auto"/>
          <w:kern w:val="0"/>
          <w:sz w:val="24"/>
          <w:szCs w:val="24"/>
          <w:highlight w:val="none"/>
          <w:lang w:val="zh-CN"/>
        </w:rPr>
        <w:t>的中标供应商，将依法采取分包方式</w:t>
      </w:r>
      <w:r>
        <w:rPr>
          <w:rFonts w:hint="eastAsia" w:ascii="宋体" w:hAnsi="宋体" w:eastAsia="宋体" w:cs="宋体"/>
          <w:color w:val="auto"/>
          <w:kern w:val="0"/>
          <w:sz w:val="24"/>
          <w:szCs w:val="24"/>
          <w:highlight w:val="none"/>
          <w:lang w:val="en-US" w:eastAsia="zh-CN"/>
        </w:rPr>
        <w:t>选择一家或多家</w:t>
      </w:r>
      <w:r>
        <w:rPr>
          <w:rFonts w:hint="eastAsia" w:ascii="宋体" w:hAnsi="宋体" w:eastAsia="宋体" w:cs="宋体"/>
          <w:color w:val="auto"/>
          <w:kern w:val="0"/>
          <w:sz w:val="24"/>
          <w:szCs w:val="24"/>
          <w:highlight w:val="none"/>
          <w:lang w:val="zh-CN"/>
        </w:rPr>
        <w:t>具备相应资质</w:t>
      </w:r>
      <w:r>
        <w:rPr>
          <w:rFonts w:hint="eastAsia" w:ascii="宋体" w:hAnsi="宋体" w:eastAsia="宋体" w:cs="宋体"/>
          <w:color w:val="auto"/>
          <w:kern w:val="0"/>
          <w:sz w:val="24"/>
          <w:szCs w:val="24"/>
          <w:highlight w:val="none"/>
          <w:lang w:val="en-US" w:eastAsia="zh-CN"/>
        </w:rPr>
        <w:t>的企业签订分包协议</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sz w:val="24"/>
          <w:szCs w:val="24"/>
          <w:highlight w:val="none"/>
          <w:lang w:val="en-US" w:eastAsia="zh-CN"/>
        </w:rPr>
        <w:t>给中小企业预留份额达到合同总金额的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%，其中预留给小微企业的比例达到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w:t>
      </w:r>
    </w:p>
    <w:p>
      <w:pPr>
        <w:numPr>
          <w:ilvl w:val="0"/>
          <w:numId w:val="12"/>
        </w:numPr>
        <w:snapToGrid w:val="0"/>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分包标的及数量</w:t>
      </w:r>
      <w:r>
        <w:rPr>
          <w:rFonts w:hint="eastAsia" w:ascii="宋体" w:hAnsi="宋体" w:cs="宋体"/>
          <w:color w:val="auto"/>
          <w:kern w:val="0"/>
          <w:sz w:val="24"/>
          <w:szCs w:val="24"/>
          <w:highlight w:val="none"/>
          <w:lang w:val="zh-CN"/>
        </w:rPr>
        <w:t>明细：</w:t>
      </w:r>
    </w:p>
    <w:p>
      <w:pPr>
        <w:pStyle w:val="610"/>
        <w:numPr>
          <w:ilvl w:val="0"/>
          <w:numId w:val="0"/>
        </w:numPr>
        <w:tabs>
          <w:tab w:val="left" w:pos="1193"/>
          <w:tab w:val="left" w:pos="6974"/>
        </w:tabs>
        <w:kinsoku/>
        <w:overflowPunct/>
        <w:bidi w:val="0"/>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cs="宋体"/>
          <w:b w:val="0"/>
          <w:bCs w:val="0"/>
          <w:color w:val="auto"/>
          <w:kern w:val="0"/>
          <w:sz w:val="24"/>
          <w:szCs w:val="24"/>
          <w:highlight w:val="none"/>
          <w:u w:val="none"/>
          <w:lang w:val="en-US" w:eastAsia="zh-CN"/>
        </w:rPr>
        <w:t>1.</w:t>
      </w:r>
      <w:r>
        <w:rPr>
          <w:rFonts w:hint="eastAsia" w:ascii="宋体" w:hAnsi="宋体" w:eastAsia="宋体" w:cs="宋体"/>
          <w:color w:val="auto"/>
          <w:kern w:val="0"/>
          <w:sz w:val="24"/>
          <w:szCs w:val="24"/>
          <w:highlight w:val="none"/>
          <w:u w:val="single"/>
          <w:lang w:val="zh-CN"/>
        </w:rPr>
        <w:t>（投标人名称）</w:t>
      </w:r>
      <w:r>
        <w:rPr>
          <w:rFonts w:hint="eastAsia" w:ascii="宋体" w:hAnsi="宋体" w:eastAsia="宋体" w:cs="宋体"/>
          <w:color w:val="auto"/>
          <w:kern w:val="0"/>
          <w:sz w:val="24"/>
          <w:szCs w:val="24"/>
          <w:highlight w:val="none"/>
          <w:lang w:val="zh-CN"/>
        </w:rPr>
        <w:t>将</w:t>
      </w:r>
      <w:r>
        <w:rPr>
          <w:rFonts w:hint="eastAsia" w:ascii="宋体" w:hAnsi="宋体" w:eastAsia="宋体" w:cs="宋体"/>
          <w:color w:val="auto"/>
          <w:kern w:val="0"/>
          <w:sz w:val="24"/>
          <w:szCs w:val="24"/>
          <w:highlight w:val="none"/>
          <w:u w:val="single"/>
          <w:lang w:val="zh-CN"/>
        </w:rPr>
        <w:t xml:space="preserve"> XX工作内容</w:t>
      </w:r>
      <w:r>
        <w:rPr>
          <w:rFonts w:hint="eastAsia" w:ascii="宋体" w:hAnsi="宋体" w:eastAsia="宋体" w:cs="宋体"/>
          <w:color w:val="auto"/>
          <w:kern w:val="0"/>
          <w:sz w:val="24"/>
          <w:szCs w:val="24"/>
          <w:highlight w:val="none"/>
          <w:lang w:val="zh-CN"/>
        </w:rPr>
        <w:t>分包给</w:t>
      </w:r>
      <w:r>
        <w:rPr>
          <w:rFonts w:hint="eastAsia" w:ascii="宋体" w:hAnsi="宋体" w:eastAsia="宋体" w:cs="宋体"/>
          <w:color w:val="auto"/>
          <w:kern w:val="0"/>
          <w:sz w:val="24"/>
          <w:szCs w:val="24"/>
          <w:highlight w:val="none"/>
          <w:u w:val="single"/>
          <w:lang w:val="zh-CN"/>
        </w:rPr>
        <w:t>（分包供应商1名称）</w:t>
      </w: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u w:val="single"/>
          <w:lang w:val="zh-CN"/>
        </w:rPr>
        <w:t>（分包供应商1名称）</w:t>
      </w:r>
      <w:r>
        <w:rPr>
          <w:rFonts w:hint="eastAsia" w:ascii="宋体" w:hAnsi="宋体" w:eastAsia="宋体" w:cs="宋体"/>
          <w:i w:val="0"/>
          <w:iCs w:val="0"/>
          <w:color w:val="auto"/>
          <w:sz w:val="24"/>
          <w:szCs w:val="24"/>
          <w:highlight w:val="none"/>
        </w:rPr>
        <w:t>属于</w:t>
      </w:r>
      <w:r>
        <w:rPr>
          <w:rFonts w:hint="eastAsia" w:ascii="宋体" w:hAnsi="宋体" w:eastAsia="宋体" w:cs="宋体"/>
          <w:i w:val="0"/>
          <w:iCs w:val="0"/>
          <w:color w:val="auto"/>
          <w:sz w:val="24"/>
          <w:szCs w:val="24"/>
          <w:highlight w:val="none"/>
          <w:u w:val="single"/>
        </w:rPr>
        <w:t>（中型企业、 小型企业、微型企业）</w:t>
      </w:r>
      <w:r>
        <w:rPr>
          <w:rFonts w:hint="eastAsia" w:ascii="宋体" w:hAnsi="宋体" w:eastAsia="宋体" w:cs="宋体"/>
          <w:i/>
          <w:iCs/>
          <w:color w:val="auto"/>
          <w:sz w:val="24"/>
          <w:szCs w:val="24"/>
          <w:highlight w:val="none"/>
        </w:rPr>
        <w:t>,</w:t>
      </w:r>
      <w:r>
        <w:rPr>
          <w:rFonts w:hint="eastAsia" w:ascii="宋体" w:hAnsi="宋体" w:eastAsia="宋体" w:cs="宋体"/>
          <w:color w:val="auto"/>
          <w:sz w:val="24"/>
          <w:szCs w:val="24"/>
          <w:highlight w:val="none"/>
          <w:lang w:val="en-US" w:eastAsia="zh-CN"/>
        </w:rPr>
        <w:t>预留</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lang w:val="en-US" w:eastAsia="zh-CN"/>
        </w:rPr>
        <w:t>份额达到合同总金额的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%，其中预留给小微企业的比例达到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w:t>
      </w:r>
    </w:p>
    <w:p>
      <w:pPr>
        <w:snapToGrid w:val="0"/>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cs="宋体"/>
          <w:color w:val="auto"/>
          <w:kern w:val="0"/>
          <w:sz w:val="24"/>
          <w:szCs w:val="24"/>
          <w:highlight w:val="none"/>
          <w:u w:val="none"/>
          <w:lang w:val="en-US" w:eastAsia="zh-CN"/>
        </w:rPr>
        <w:t>2.</w:t>
      </w:r>
      <w:r>
        <w:rPr>
          <w:rFonts w:hint="eastAsia" w:ascii="宋体" w:hAnsi="宋体" w:eastAsia="宋体" w:cs="宋体"/>
          <w:color w:val="auto"/>
          <w:kern w:val="0"/>
          <w:sz w:val="24"/>
          <w:szCs w:val="24"/>
          <w:highlight w:val="none"/>
          <w:u w:val="single"/>
          <w:lang w:val="zh-CN"/>
        </w:rPr>
        <w:t>（投标人名称）</w:t>
      </w:r>
      <w:r>
        <w:rPr>
          <w:rFonts w:hint="eastAsia" w:ascii="宋体" w:hAnsi="宋体" w:eastAsia="宋体" w:cs="宋体"/>
          <w:color w:val="auto"/>
          <w:kern w:val="0"/>
          <w:sz w:val="24"/>
          <w:szCs w:val="24"/>
          <w:highlight w:val="none"/>
          <w:lang w:val="zh-CN"/>
        </w:rPr>
        <w:t>将</w:t>
      </w:r>
      <w:r>
        <w:rPr>
          <w:rFonts w:hint="eastAsia" w:ascii="宋体" w:hAnsi="宋体" w:eastAsia="宋体" w:cs="宋体"/>
          <w:color w:val="auto"/>
          <w:kern w:val="0"/>
          <w:sz w:val="24"/>
          <w:szCs w:val="24"/>
          <w:highlight w:val="none"/>
          <w:u w:val="single"/>
          <w:lang w:val="zh-CN"/>
        </w:rPr>
        <w:t xml:space="preserve">  XX工作内容</w:t>
      </w:r>
      <w:r>
        <w:rPr>
          <w:rFonts w:hint="eastAsia" w:ascii="宋体" w:hAnsi="宋体" w:eastAsia="宋体" w:cs="宋体"/>
          <w:color w:val="auto"/>
          <w:kern w:val="0"/>
          <w:sz w:val="24"/>
          <w:szCs w:val="24"/>
          <w:highlight w:val="none"/>
          <w:lang w:val="zh-CN"/>
        </w:rPr>
        <w:t>分包给</w:t>
      </w:r>
      <w:r>
        <w:rPr>
          <w:rFonts w:hint="eastAsia" w:ascii="宋体" w:hAnsi="宋体" w:eastAsia="宋体" w:cs="宋体"/>
          <w:color w:val="auto"/>
          <w:kern w:val="0"/>
          <w:sz w:val="24"/>
          <w:szCs w:val="24"/>
          <w:highlight w:val="none"/>
          <w:u w:val="single"/>
          <w:lang w:val="zh-CN"/>
        </w:rPr>
        <w:t>（分包供应商</w:t>
      </w:r>
      <w:r>
        <w:rPr>
          <w:rFonts w:hint="eastAsia" w:ascii="宋体" w:hAnsi="宋体" w:cs="宋体"/>
          <w:color w:val="auto"/>
          <w:kern w:val="0"/>
          <w:sz w:val="24"/>
          <w:szCs w:val="24"/>
          <w:highlight w:val="none"/>
          <w:u w:val="single"/>
          <w:lang w:val="en-US" w:eastAsia="zh-CN"/>
        </w:rPr>
        <w:t>2</w:t>
      </w:r>
      <w:r>
        <w:rPr>
          <w:rFonts w:hint="eastAsia" w:ascii="宋体" w:hAnsi="宋体" w:eastAsia="宋体" w:cs="宋体"/>
          <w:color w:val="auto"/>
          <w:kern w:val="0"/>
          <w:sz w:val="24"/>
          <w:szCs w:val="24"/>
          <w:highlight w:val="none"/>
          <w:u w:val="single"/>
          <w:lang w:val="zh-CN"/>
        </w:rPr>
        <w:t>名称）</w:t>
      </w: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u w:val="single"/>
          <w:lang w:val="zh-CN"/>
        </w:rPr>
        <w:t>（分包供应商</w:t>
      </w:r>
      <w:r>
        <w:rPr>
          <w:rFonts w:hint="eastAsia" w:ascii="宋体" w:hAnsi="宋体" w:cs="宋体"/>
          <w:color w:val="auto"/>
          <w:kern w:val="0"/>
          <w:sz w:val="24"/>
          <w:szCs w:val="24"/>
          <w:highlight w:val="none"/>
          <w:u w:val="single"/>
          <w:lang w:val="en-US" w:eastAsia="zh-CN"/>
        </w:rPr>
        <w:t>2</w:t>
      </w:r>
      <w:r>
        <w:rPr>
          <w:rFonts w:hint="eastAsia" w:ascii="宋体" w:hAnsi="宋体" w:eastAsia="宋体" w:cs="宋体"/>
          <w:color w:val="auto"/>
          <w:kern w:val="0"/>
          <w:sz w:val="24"/>
          <w:szCs w:val="24"/>
          <w:highlight w:val="none"/>
          <w:u w:val="single"/>
          <w:lang w:val="zh-CN"/>
        </w:rPr>
        <w:t>名称）</w:t>
      </w:r>
      <w:r>
        <w:rPr>
          <w:rFonts w:hint="eastAsia" w:ascii="宋体" w:hAnsi="宋体" w:eastAsia="宋体" w:cs="宋体"/>
          <w:i w:val="0"/>
          <w:iCs w:val="0"/>
          <w:color w:val="auto"/>
          <w:sz w:val="24"/>
          <w:szCs w:val="24"/>
          <w:highlight w:val="none"/>
        </w:rPr>
        <w:t>属于</w:t>
      </w:r>
      <w:r>
        <w:rPr>
          <w:rFonts w:hint="eastAsia" w:ascii="宋体" w:hAnsi="宋体" w:eastAsia="宋体" w:cs="宋体"/>
          <w:i w:val="0"/>
          <w:iCs w:val="0"/>
          <w:color w:val="auto"/>
          <w:sz w:val="24"/>
          <w:szCs w:val="24"/>
          <w:highlight w:val="none"/>
          <w:u w:val="single"/>
        </w:rPr>
        <w:t>（中型企业、 小型企业、微型企业）</w:t>
      </w:r>
      <w:r>
        <w:rPr>
          <w:rFonts w:hint="eastAsia" w:ascii="宋体" w:hAnsi="宋体" w:eastAsia="宋体" w:cs="宋体"/>
          <w:i/>
          <w:iCs/>
          <w:color w:val="auto"/>
          <w:sz w:val="24"/>
          <w:szCs w:val="24"/>
          <w:highlight w:val="none"/>
        </w:rPr>
        <w:t>,</w:t>
      </w:r>
      <w:r>
        <w:rPr>
          <w:rFonts w:hint="eastAsia" w:ascii="宋体" w:hAnsi="宋体" w:eastAsia="宋体" w:cs="宋体"/>
          <w:color w:val="auto"/>
          <w:sz w:val="24"/>
          <w:szCs w:val="24"/>
          <w:highlight w:val="none"/>
          <w:lang w:val="en-US" w:eastAsia="zh-CN"/>
        </w:rPr>
        <w:t>预留</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lang w:val="en-US" w:eastAsia="zh-CN"/>
        </w:rPr>
        <w:t>份额达到合同总金额的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%，其中预留给小微企业的比例达到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w:t>
      </w:r>
    </w:p>
    <w:p>
      <w:pPr>
        <w:pStyle w:val="513"/>
        <w:numPr>
          <w:ilvl w:val="0"/>
          <w:numId w:val="0"/>
        </w:numPr>
        <w:rPr>
          <w:rFonts w:hint="eastAsia"/>
          <w:color w:val="auto"/>
          <w:highlight w:val="none"/>
          <w:lang w:val="zh-CN"/>
        </w:rPr>
      </w:pPr>
    </w:p>
    <w:p>
      <w:pPr>
        <w:snapToGrid w:val="0"/>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    </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zh-CN"/>
        </w:rPr>
        <w:t xml:space="preserve">                          </w:t>
      </w:r>
    </w:p>
    <w:p>
      <w:pPr>
        <w:snapToGrid w:val="0"/>
        <w:spacing w:line="360" w:lineRule="auto"/>
        <w:ind w:left="5120" w:leftChars="200" w:hanging="4560" w:hangingChars="1900"/>
        <w:jc w:val="left"/>
        <w:rPr>
          <w:rFonts w:hint="eastAsia" w:ascii="宋体" w:hAnsi="宋体" w:eastAsia="宋体" w:cs="宋体"/>
          <w:color w:val="auto"/>
          <w:kern w:val="0"/>
          <w:sz w:val="24"/>
          <w:szCs w:val="24"/>
          <w:highlight w:val="none"/>
          <w:lang w:val="zh-CN"/>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供应商全称：（盖单位公章）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  月  日</w:t>
      </w:r>
    </w:p>
    <w:p>
      <w:pPr>
        <w:pStyle w:val="88"/>
        <w:rPr>
          <w:rFonts w:hint="eastAsia"/>
          <w:color w:val="auto"/>
          <w:highlight w:val="none"/>
        </w:rPr>
      </w:pPr>
    </w:p>
    <w:p>
      <w:pPr>
        <w:widowControl/>
        <w:spacing w:line="360" w:lineRule="auto"/>
        <w:jc w:val="left"/>
        <w:rPr>
          <w:rFonts w:hint="eastAsia" w:ascii="宋体" w:hAnsi="宋体" w:eastAsia="宋体" w:cs="宋体"/>
          <w:color w:val="auto"/>
          <w:sz w:val="24"/>
          <w:szCs w:val="22"/>
          <w:highlight w:val="none"/>
          <w:shd w:val="clear" w:color="auto" w:fill="auto"/>
        </w:rPr>
      </w:pPr>
    </w:p>
    <w:p>
      <w:pPr>
        <w:rPr>
          <w:rFonts w:hint="eastAsia"/>
          <w:color w:val="auto"/>
          <w:highlight w:val="none"/>
        </w:rPr>
      </w:pPr>
    </w:p>
    <w:p>
      <w:pPr>
        <w:pStyle w:val="513"/>
        <w:rPr>
          <w:rFonts w:hint="eastAsia" w:ascii="宋体" w:hAnsi="宋体" w:eastAsia="宋体" w:cs="宋体"/>
          <w:b/>
          <w:bCs/>
          <w:color w:val="auto"/>
          <w:kern w:val="0"/>
          <w:sz w:val="24"/>
          <w:szCs w:val="24"/>
          <w:highlight w:val="none"/>
          <w:lang w:val="zh-CN" w:eastAsia="zh-CN" w:bidi="ar-SA"/>
        </w:rPr>
      </w:pPr>
    </w:p>
    <w:p>
      <w:pPr>
        <w:spacing w:line="360" w:lineRule="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zh-CN" w:eastAsia="zh-CN" w:bidi="ar-SA"/>
        </w:rPr>
        <w:t>注：供应商是大中型企业的，</w:t>
      </w:r>
      <w:r>
        <w:rPr>
          <w:rFonts w:hint="eastAsia" w:ascii="宋体" w:hAnsi="宋体" w:cs="宋体"/>
          <w:b/>
          <w:bCs/>
          <w:color w:val="auto"/>
          <w:kern w:val="0"/>
          <w:sz w:val="24"/>
          <w:szCs w:val="24"/>
          <w:highlight w:val="none"/>
          <w:lang w:val="zh-CN" w:eastAsia="zh-CN" w:bidi="ar-SA"/>
        </w:rPr>
        <w:t>须</w:t>
      </w:r>
      <w:r>
        <w:rPr>
          <w:rFonts w:hint="eastAsia" w:ascii="宋体" w:hAnsi="宋体" w:eastAsia="宋体" w:cs="宋体"/>
          <w:b/>
          <w:bCs/>
          <w:color w:val="auto"/>
          <w:kern w:val="0"/>
          <w:sz w:val="24"/>
          <w:szCs w:val="24"/>
          <w:highlight w:val="none"/>
          <w:lang w:val="zh-CN" w:eastAsia="zh-CN" w:bidi="ar-SA"/>
        </w:rPr>
        <w:t>同时提供</w:t>
      </w:r>
      <w:r>
        <w:rPr>
          <w:rFonts w:hint="eastAsia" w:ascii="宋体" w:hAnsi="宋体" w:cs="宋体"/>
          <w:b/>
          <w:bCs/>
          <w:color w:val="auto"/>
          <w:kern w:val="0"/>
          <w:sz w:val="24"/>
          <w:szCs w:val="24"/>
          <w:highlight w:val="none"/>
          <w:lang w:val="zh-CN" w:eastAsia="zh-CN" w:bidi="ar-SA"/>
        </w:rPr>
        <w:t>《</w:t>
      </w:r>
      <w:r>
        <w:rPr>
          <w:rFonts w:hint="eastAsia" w:ascii="宋体" w:hAnsi="宋体" w:eastAsia="宋体" w:cs="宋体"/>
          <w:b/>
          <w:bCs/>
          <w:color w:val="auto"/>
          <w:kern w:val="0"/>
          <w:sz w:val="24"/>
          <w:szCs w:val="24"/>
          <w:highlight w:val="none"/>
          <w:lang w:val="en-US" w:eastAsia="zh-CN" w:bidi="ar-SA"/>
        </w:rPr>
        <w:t>分包承诺书</w:t>
      </w:r>
      <w:r>
        <w:rPr>
          <w:rFonts w:hint="eastAsia" w:ascii="宋体" w:hAnsi="宋体" w:cs="宋体"/>
          <w:b/>
          <w:bCs/>
          <w:color w:val="auto"/>
          <w:kern w:val="0"/>
          <w:sz w:val="24"/>
          <w:szCs w:val="24"/>
          <w:highlight w:val="none"/>
          <w:lang w:val="zh-CN" w:eastAsia="zh-CN" w:bidi="ar-SA"/>
        </w:rPr>
        <w:t>》</w:t>
      </w:r>
      <w:r>
        <w:rPr>
          <w:rFonts w:hint="eastAsia" w:ascii="宋体" w:hAnsi="宋体" w:eastAsia="宋体" w:cs="宋体"/>
          <w:b/>
          <w:bCs/>
          <w:color w:val="auto"/>
          <w:kern w:val="0"/>
          <w:sz w:val="24"/>
          <w:szCs w:val="24"/>
          <w:highlight w:val="none"/>
          <w:lang w:val="en-US" w:eastAsia="zh-CN" w:bidi="ar-SA"/>
        </w:rPr>
        <w:t>和</w:t>
      </w:r>
      <w:r>
        <w:rPr>
          <w:rFonts w:hint="eastAsia" w:ascii="宋体" w:hAnsi="宋体" w:cs="宋体"/>
          <w:b/>
          <w:bCs/>
          <w:color w:val="auto"/>
          <w:kern w:val="0"/>
          <w:sz w:val="24"/>
          <w:szCs w:val="24"/>
          <w:highlight w:val="none"/>
          <w:lang w:val="zh-CN" w:eastAsia="zh-CN" w:bidi="ar-SA"/>
        </w:rPr>
        <w:t>《中小企业声明函》</w:t>
      </w:r>
      <w:r>
        <w:rPr>
          <w:rFonts w:hint="eastAsia" w:ascii="宋体" w:hAnsi="宋体" w:eastAsia="宋体" w:cs="宋体"/>
          <w:b/>
          <w:bCs/>
          <w:color w:val="auto"/>
          <w:kern w:val="0"/>
          <w:sz w:val="24"/>
          <w:szCs w:val="24"/>
          <w:highlight w:val="none"/>
          <w:lang w:val="en-US" w:eastAsia="zh-CN" w:bidi="ar-SA"/>
        </w:rPr>
        <w:t>；</w:t>
      </w:r>
    </w:p>
    <w:p>
      <w:pPr>
        <w:spacing w:line="360" w:lineRule="auto"/>
        <w:ind w:firstLine="482" w:firstLineChars="200"/>
        <w:rPr>
          <w:rFonts w:hint="eastAsia" w:ascii="宋体" w:hAnsi="宋体" w:eastAsia="宋体" w:cs="宋体"/>
          <w:b/>
          <w:bCs/>
          <w:color w:val="auto"/>
          <w:kern w:val="0"/>
          <w:sz w:val="24"/>
          <w:szCs w:val="24"/>
          <w:highlight w:val="none"/>
          <w:lang w:val="zh-CN" w:eastAsia="zh-CN" w:bidi="ar-SA"/>
        </w:rPr>
      </w:pPr>
      <w:r>
        <w:rPr>
          <w:rFonts w:hint="eastAsia" w:ascii="宋体" w:hAnsi="宋体" w:eastAsia="宋体" w:cs="宋体"/>
          <w:b/>
          <w:bCs/>
          <w:color w:val="auto"/>
          <w:kern w:val="0"/>
          <w:sz w:val="24"/>
          <w:szCs w:val="24"/>
          <w:highlight w:val="none"/>
          <w:lang w:val="zh-CN" w:eastAsia="zh-CN" w:bidi="ar-SA"/>
        </w:rPr>
        <w:t>供应商是中小企业的，只需要提供</w:t>
      </w:r>
      <w:r>
        <w:rPr>
          <w:rFonts w:hint="eastAsia" w:ascii="宋体" w:hAnsi="宋体" w:cs="宋体"/>
          <w:b/>
          <w:bCs/>
          <w:color w:val="auto"/>
          <w:kern w:val="0"/>
          <w:sz w:val="24"/>
          <w:szCs w:val="24"/>
          <w:highlight w:val="none"/>
          <w:lang w:val="zh-CN" w:eastAsia="zh-CN" w:bidi="ar-SA"/>
        </w:rPr>
        <w:t>《中小企业声明函》或《残疾人福利性单位声明函》或《监狱企业声明函》，</w:t>
      </w:r>
      <w:r>
        <w:rPr>
          <w:rFonts w:hint="eastAsia" w:ascii="宋体" w:hAnsi="宋体" w:eastAsia="宋体" w:cs="宋体"/>
          <w:b/>
          <w:bCs/>
          <w:color w:val="auto"/>
          <w:kern w:val="0"/>
          <w:sz w:val="24"/>
          <w:szCs w:val="24"/>
          <w:highlight w:val="none"/>
          <w:lang w:val="zh-CN" w:eastAsia="zh-CN" w:bidi="ar-SA"/>
        </w:rPr>
        <w:t>无需提供</w:t>
      </w:r>
      <w:r>
        <w:rPr>
          <w:rFonts w:hint="eastAsia" w:ascii="宋体" w:hAnsi="宋体" w:cs="宋体"/>
          <w:b/>
          <w:bCs/>
          <w:color w:val="auto"/>
          <w:kern w:val="0"/>
          <w:sz w:val="24"/>
          <w:szCs w:val="24"/>
          <w:highlight w:val="none"/>
          <w:lang w:val="zh-CN" w:eastAsia="zh-CN" w:bidi="ar-SA"/>
        </w:rPr>
        <w:t>《</w:t>
      </w:r>
      <w:r>
        <w:rPr>
          <w:rFonts w:hint="eastAsia" w:ascii="宋体" w:hAnsi="宋体" w:eastAsia="宋体" w:cs="宋体"/>
          <w:b/>
          <w:bCs/>
          <w:color w:val="auto"/>
          <w:kern w:val="0"/>
          <w:sz w:val="24"/>
          <w:szCs w:val="24"/>
          <w:highlight w:val="none"/>
          <w:lang w:val="en-US" w:eastAsia="zh-CN" w:bidi="ar-SA"/>
        </w:rPr>
        <w:t>分包承诺书</w:t>
      </w:r>
      <w:r>
        <w:rPr>
          <w:rFonts w:hint="eastAsia" w:ascii="宋体" w:hAnsi="宋体" w:cs="宋体"/>
          <w:b/>
          <w:bCs/>
          <w:color w:val="auto"/>
          <w:kern w:val="0"/>
          <w:sz w:val="24"/>
          <w:szCs w:val="24"/>
          <w:highlight w:val="none"/>
          <w:lang w:val="zh-CN" w:eastAsia="zh-CN" w:bidi="ar-SA"/>
        </w:rPr>
        <w:t>》</w:t>
      </w:r>
      <w:r>
        <w:rPr>
          <w:rFonts w:hint="eastAsia" w:ascii="宋体" w:hAnsi="宋体" w:cs="宋体"/>
          <w:b/>
          <w:bCs/>
          <w:color w:val="auto"/>
          <w:kern w:val="0"/>
          <w:sz w:val="24"/>
          <w:szCs w:val="24"/>
          <w:highlight w:val="none"/>
          <w:lang w:val="en-US" w:eastAsia="zh-CN" w:bidi="ar-SA"/>
        </w:rPr>
        <w:t>。</w:t>
      </w:r>
    </w:p>
    <w:p>
      <w:pPr>
        <w:widowControl/>
        <w:spacing w:line="360" w:lineRule="auto"/>
        <w:jc w:val="left"/>
        <w:rPr>
          <w:rFonts w:hint="eastAsia" w:ascii="宋体" w:hAnsi="宋体" w:eastAsia="宋体" w:cs="宋体"/>
          <w:color w:val="auto"/>
          <w:sz w:val="24"/>
          <w:szCs w:val="22"/>
          <w:highlight w:val="none"/>
          <w:shd w:val="clear" w:color="auto" w:fill="auto"/>
        </w:rPr>
      </w:pPr>
    </w:p>
    <w:p>
      <w:pPr>
        <w:widowControl/>
        <w:spacing w:line="360" w:lineRule="auto"/>
        <w:jc w:val="left"/>
        <w:rPr>
          <w:rFonts w:hint="eastAsia" w:ascii="宋体" w:hAnsi="宋体" w:eastAsia="宋体" w:cs="宋体"/>
          <w:color w:val="auto"/>
          <w:sz w:val="24"/>
          <w:szCs w:val="22"/>
          <w:highlight w:val="none"/>
          <w:shd w:val="clear" w:color="auto" w:fill="auto"/>
        </w:rPr>
      </w:pPr>
    </w:p>
    <w:p>
      <w:pPr>
        <w:widowControl/>
        <w:spacing w:line="360" w:lineRule="auto"/>
        <w:jc w:val="left"/>
        <w:rPr>
          <w:rFonts w:hint="eastAsia" w:ascii="宋体" w:hAnsi="宋体" w:eastAsia="宋体" w:cs="宋体"/>
          <w:color w:val="auto"/>
          <w:sz w:val="24"/>
          <w:szCs w:val="22"/>
          <w:highlight w:val="none"/>
          <w:shd w:val="clear" w:color="auto" w:fill="auto"/>
        </w:rPr>
      </w:pPr>
    </w:p>
    <w:p>
      <w:pPr>
        <w:widowControl/>
        <w:spacing w:line="360" w:lineRule="auto"/>
        <w:jc w:val="left"/>
        <w:rPr>
          <w:rFonts w:hint="eastAsia" w:ascii="宋体" w:hAnsi="宋体" w:eastAsia="宋体" w:cs="宋体"/>
          <w:color w:val="auto"/>
          <w:sz w:val="24"/>
          <w:szCs w:val="22"/>
          <w:highlight w:val="none"/>
          <w:shd w:val="clear" w:color="auto" w:fill="auto"/>
        </w:rPr>
      </w:pPr>
    </w:p>
    <w:p>
      <w:pPr>
        <w:widowControl/>
        <w:spacing w:line="360" w:lineRule="auto"/>
        <w:jc w:val="left"/>
        <w:rPr>
          <w:rFonts w:hint="eastAsia" w:ascii="宋体" w:hAnsi="宋体" w:eastAsia="宋体" w:cs="宋体"/>
          <w:color w:val="auto"/>
          <w:sz w:val="24"/>
          <w:szCs w:val="22"/>
          <w:highlight w:val="none"/>
          <w:shd w:val="clear" w:color="auto" w:fill="auto"/>
        </w:rPr>
      </w:pPr>
    </w:p>
    <w:p>
      <w:pPr>
        <w:widowControl/>
        <w:spacing w:line="360" w:lineRule="auto"/>
        <w:jc w:val="left"/>
        <w:rPr>
          <w:rFonts w:hint="eastAsia" w:ascii="宋体" w:hAnsi="宋体" w:eastAsia="宋体" w:cs="宋体"/>
          <w:color w:val="auto"/>
          <w:sz w:val="24"/>
          <w:szCs w:val="22"/>
          <w:highlight w:val="none"/>
          <w:shd w:val="clear" w:color="auto" w:fill="auto"/>
        </w:rPr>
      </w:pPr>
    </w:p>
    <w:p>
      <w:pPr>
        <w:widowControl/>
        <w:spacing w:line="360" w:lineRule="auto"/>
        <w:jc w:val="left"/>
        <w:rPr>
          <w:rFonts w:hint="eastAsia" w:ascii="宋体" w:hAnsi="宋体" w:eastAsia="宋体" w:cs="宋体"/>
          <w:color w:val="auto"/>
          <w:sz w:val="24"/>
          <w:szCs w:val="22"/>
          <w:highlight w:val="none"/>
          <w:shd w:val="clear" w:color="auto" w:fill="auto"/>
        </w:rPr>
      </w:pPr>
      <w:r>
        <w:rPr>
          <w:rFonts w:hint="eastAsia" w:ascii="宋体" w:hAnsi="宋体" w:eastAsia="宋体" w:cs="宋体"/>
          <w:color w:val="auto"/>
          <w:sz w:val="24"/>
          <w:szCs w:val="22"/>
          <w:highlight w:val="none"/>
          <w:shd w:val="clear" w:color="auto" w:fill="auto"/>
        </w:rPr>
        <w:t>表</w:t>
      </w:r>
      <w:r>
        <w:rPr>
          <w:rFonts w:hint="eastAsia" w:ascii="宋体" w:hAnsi="宋体" w:cs="宋体"/>
          <w:color w:val="auto"/>
          <w:sz w:val="24"/>
          <w:szCs w:val="22"/>
          <w:highlight w:val="none"/>
          <w:shd w:val="clear" w:color="auto" w:fill="auto"/>
          <w:lang w:val="en-US" w:eastAsia="zh-CN"/>
        </w:rPr>
        <w:t>8</w:t>
      </w:r>
      <w:r>
        <w:rPr>
          <w:rFonts w:hint="eastAsia" w:ascii="宋体" w:hAnsi="宋体" w:eastAsia="宋体" w:cs="宋体"/>
          <w:color w:val="auto"/>
          <w:sz w:val="24"/>
          <w:szCs w:val="22"/>
          <w:highlight w:val="none"/>
          <w:shd w:val="clear" w:color="auto" w:fill="auto"/>
        </w:rPr>
        <w:t>：与其他供应商无利害关系的声明函</w:t>
      </w:r>
    </w:p>
    <w:p>
      <w:pPr>
        <w:spacing w:line="360" w:lineRule="auto"/>
        <w:jc w:val="center"/>
        <w:rPr>
          <w:rFonts w:hint="eastAsia" w:ascii="宋体" w:hAnsi="宋体" w:eastAsia="宋体" w:cs="宋体"/>
          <w:b/>
          <w:color w:val="auto"/>
          <w:sz w:val="32"/>
          <w:szCs w:val="32"/>
          <w:highlight w:val="none"/>
          <w:shd w:val="clear" w:color="auto" w:fill="auto"/>
        </w:rPr>
      </w:pPr>
      <w:r>
        <w:rPr>
          <w:rFonts w:hint="eastAsia" w:ascii="宋体" w:hAnsi="宋体" w:eastAsia="宋体" w:cs="宋体"/>
          <w:b/>
          <w:color w:val="auto"/>
          <w:sz w:val="32"/>
          <w:szCs w:val="32"/>
          <w:highlight w:val="none"/>
          <w:shd w:val="clear" w:color="auto" w:fill="auto"/>
        </w:rPr>
        <w:t>与其他供应商无利害关系的声明函</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sz w:val="24"/>
          <w:szCs w:val="24"/>
          <w:highlight w:val="none"/>
          <w:u w:val="single"/>
          <w:shd w:val="clear" w:color="auto" w:fill="auto"/>
        </w:rPr>
        <w:t>（采购人）</w:t>
      </w:r>
      <w:r>
        <w:rPr>
          <w:rFonts w:hint="eastAsia" w:ascii="宋体" w:hAnsi="宋体" w:eastAsia="宋体" w:cs="宋体"/>
          <w:color w:val="auto"/>
          <w:sz w:val="24"/>
          <w:szCs w:val="24"/>
          <w:highlight w:val="none"/>
          <w:shd w:val="clear" w:color="auto" w:fill="auto"/>
        </w:rPr>
        <w:t>：</w:t>
      </w:r>
    </w:p>
    <w:p>
      <w:pPr>
        <w:pStyle w:val="20"/>
        <w:keepNext w:val="0"/>
        <w:keepLines w:val="0"/>
        <w:pageBreakBefore w:val="0"/>
        <w:tabs>
          <w:tab w:val="left" w:pos="1903"/>
          <w:tab w:val="left" w:pos="4336"/>
        </w:tabs>
        <w:kinsoku/>
        <w:wordWrap/>
        <w:overflowPunct/>
        <w:topLinePunct w:val="0"/>
        <w:autoSpaceDE/>
        <w:autoSpaceDN/>
        <w:bidi w:val="0"/>
        <w:adjustRightInd/>
        <w:snapToGrid/>
        <w:spacing w:after="0" w:line="360" w:lineRule="auto"/>
        <w:ind w:firstLine="720" w:firstLineChars="3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我方</w:t>
      </w:r>
      <w:r>
        <w:rPr>
          <w:rFonts w:hint="eastAsia" w:ascii="宋体" w:hAnsi="宋体" w:eastAsia="宋体" w:cs="宋体"/>
          <w:color w:val="auto"/>
          <w:sz w:val="24"/>
          <w:szCs w:val="24"/>
          <w:highlight w:val="none"/>
          <w:u w:val="single"/>
          <w:shd w:val="clear" w:color="auto" w:fill="auto"/>
        </w:rPr>
        <w:tab/>
      </w:r>
      <w:r>
        <w:rPr>
          <w:rFonts w:hint="eastAsia" w:ascii="宋体" w:hAnsi="宋体" w:eastAsia="宋体" w:cs="宋体"/>
          <w:color w:val="auto"/>
          <w:sz w:val="24"/>
          <w:szCs w:val="24"/>
          <w:highlight w:val="none"/>
          <w:u w:val="single"/>
          <w:shd w:val="clear" w:color="auto" w:fill="auto"/>
        </w:rPr>
        <w:t>（供应商）</w:t>
      </w:r>
      <w:r>
        <w:rPr>
          <w:rFonts w:hint="eastAsia" w:ascii="宋体" w:hAnsi="宋体" w:eastAsia="宋体" w:cs="宋体"/>
          <w:color w:val="auto"/>
          <w:sz w:val="24"/>
          <w:szCs w:val="24"/>
          <w:highlight w:val="none"/>
          <w:u w:val="single"/>
          <w:shd w:val="clear" w:color="auto" w:fill="auto"/>
        </w:rPr>
        <w:tab/>
      </w:r>
      <w:r>
        <w:rPr>
          <w:rFonts w:hint="eastAsia" w:ascii="宋体" w:hAnsi="宋体" w:eastAsia="宋体" w:cs="宋体"/>
          <w:color w:val="auto"/>
          <w:sz w:val="24"/>
          <w:szCs w:val="24"/>
          <w:highlight w:val="none"/>
          <w:shd w:val="clear" w:color="auto" w:fill="auto"/>
        </w:rPr>
        <w:t>参加</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（采购人）</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u w:val="single"/>
          <w:shd w:val="clear" w:color="auto" w:fill="auto"/>
          <w:lang w:eastAsia="zh-CN"/>
        </w:rPr>
        <w:t>项目名称</w:t>
      </w:r>
      <w:r>
        <w:rPr>
          <w:rFonts w:hint="eastAsia" w:ascii="宋体" w:hAnsi="宋体" w:eastAsia="宋体" w:cs="宋体"/>
          <w:color w:val="auto"/>
          <w:spacing w:val="-3"/>
          <w:sz w:val="24"/>
          <w:szCs w:val="24"/>
          <w:highlight w:val="none"/>
          <w:shd w:val="clear" w:color="auto" w:fill="auto"/>
        </w:rPr>
        <w:t>（项目编号</w:t>
      </w:r>
      <w:r>
        <w:rPr>
          <w:rFonts w:hint="eastAsia" w:ascii="宋体" w:hAnsi="宋体" w:eastAsia="宋体" w:cs="宋体"/>
          <w:color w:val="auto"/>
          <w:spacing w:val="-3"/>
          <w:sz w:val="24"/>
          <w:szCs w:val="24"/>
          <w:highlight w:val="none"/>
          <w:shd w:val="clear" w:color="auto" w:fill="auto"/>
          <w:lang w:eastAsia="zh-CN"/>
        </w:rPr>
        <w:t>：</w:t>
      </w:r>
      <w:r>
        <w:rPr>
          <w:rFonts w:hint="eastAsia" w:ascii="宋体" w:hAnsi="宋体" w:eastAsia="宋体" w:cs="宋体"/>
          <w:color w:val="auto"/>
          <w:spacing w:val="-3"/>
          <w:sz w:val="24"/>
          <w:szCs w:val="24"/>
          <w:highlight w:val="none"/>
          <w:u w:val="single"/>
          <w:shd w:val="clear" w:color="auto" w:fill="auto"/>
          <w:lang w:val="en-US" w:eastAsia="zh-CN"/>
        </w:rPr>
        <w:t xml:space="preserve">      </w:t>
      </w:r>
      <w:r>
        <w:rPr>
          <w:rFonts w:hint="eastAsia" w:ascii="宋体" w:hAnsi="宋体" w:eastAsia="宋体" w:cs="宋体"/>
          <w:color w:val="auto"/>
          <w:spacing w:val="-3"/>
          <w:sz w:val="24"/>
          <w:szCs w:val="24"/>
          <w:highlight w:val="none"/>
          <w:shd w:val="clear" w:color="auto" w:fill="auto"/>
        </w:rPr>
        <w:t>）政府采购活动，与其他供应商不存在法定代表人为同一人或存在直接控股、管理关系。</w:t>
      </w:r>
    </w:p>
    <w:p>
      <w:pPr>
        <w:pStyle w:val="20"/>
        <w:keepNext w:val="0"/>
        <w:keepLines w:val="0"/>
        <w:pageBreakBefore w:val="0"/>
        <w:kinsoku/>
        <w:wordWrap/>
        <w:overflowPunct/>
        <w:topLinePunct w:val="0"/>
        <w:autoSpaceDE/>
        <w:autoSpaceDN/>
        <w:bidi w:val="0"/>
        <w:adjustRightInd/>
        <w:snapToGrid/>
        <w:spacing w:after="0" w:line="360" w:lineRule="auto"/>
        <w:ind w:left="490" w:leftChars="170" w:right="-30" w:hanging="14" w:hangingChars="6"/>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我方对上述声明的真实性负责。如有虚假，愿意承担相应责任，对此无任何异议。特此声明！</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供应商全称：（盖单位公章）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日期：</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年  月  日</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highlight w:val="none"/>
          <w:shd w:val="clear" w:color="auto" w:fill="auto"/>
        </w:rPr>
      </w:pP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highlight w:val="none"/>
          <w:shd w:val="clear" w:color="auto" w:fill="auto"/>
        </w:rPr>
      </w:pPr>
    </w:p>
    <w:p>
      <w:pPr>
        <w:pStyle w:val="88"/>
        <w:rPr>
          <w:rFonts w:hint="eastAsia" w:ascii="宋体" w:hAnsi="宋体" w:eastAsia="宋体" w:cs="宋体"/>
          <w:color w:val="auto"/>
          <w:sz w:val="24"/>
          <w:highlight w:val="none"/>
          <w:shd w:val="clear" w:color="auto" w:fill="auto"/>
        </w:rPr>
      </w:pPr>
    </w:p>
    <w:p>
      <w:pPr>
        <w:rPr>
          <w:rFonts w:hint="eastAsia" w:ascii="宋体" w:hAnsi="宋体" w:eastAsia="宋体" w:cs="宋体"/>
          <w:color w:val="auto"/>
          <w:sz w:val="24"/>
          <w:highlight w:val="none"/>
          <w:shd w:val="clear" w:color="auto" w:fill="auto"/>
        </w:rPr>
      </w:pPr>
    </w:p>
    <w:p>
      <w:pPr>
        <w:pStyle w:val="88"/>
        <w:rPr>
          <w:rFonts w:hint="eastAsia"/>
          <w:color w:val="auto"/>
          <w:highlight w:val="none"/>
        </w:rPr>
      </w:pP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highlight w:val="none"/>
          <w:shd w:val="clear" w:color="auto" w:fill="auto"/>
        </w:rPr>
      </w:pP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2"/>
          <w:highlight w:val="none"/>
          <w:shd w:val="clear" w:color="auto" w:fill="auto"/>
        </w:rPr>
      </w:pPr>
      <w:r>
        <w:rPr>
          <w:rFonts w:hint="eastAsia" w:ascii="宋体" w:hAnsi="宋体" w:eastAsia="宋体" w:cs="宋体"/>
          <w:color w:val="auto"/>
          <w:sz w:val="24"/>
          <w:highlight w:val="none"/>
          <w:shd w:val="clear" w:color="auto" w:fill="auto"/>
          <w:lang w:eastAsia="zh-CN"/>
        </w:rPr>
        <w:t>表</w:t>
      </w:r>
      <w:r>
        <w:rPr>
          <w:rFonts w:hint="eastAsia" w:ascii="宋体" w:hAnsi="宋体" w:cs="宋体"/>
          <w:color w:val="auto"/>
          <w:sz w:val="24"/>
          <w:highlight w:val="none"/>
          <w:shd w:val="clear" w:color="auto" w:fill="auto"/>
          <w:lang w:val="en-US" w:eastAsia="zh-CN"/>
        </w:rPr>
        <w:t>9</w:t>
      </w:r>
      <w:r>
        <w:rPr>
          <w:rFonts w:hint="eastAsia" w:ascii="宋体" w:hAnsi="宋体" w:eastAsia="宋体" w:cs="宋体"/>
          <w:color w:val="auto"/>
          <w:sz w:val="24"/>
          <w:highlight w:val="none"/>
          <w:shd w:val="clear" w:color="auto" w:fill="auto"/>
          <w:lang w:val="en-US" w:eastAsia="zh-CN"/>
        </w:rPr>
        <w:t>：</w:t>
      </w:r>
      <w:r>
        <w:rPr>
          <w:rFonts w:hint="eastAsia" w:ascii="宋体" w:hAnsi="宋体" w:eastAsia="宋体" w:cs="宋体"/>
          <w:color w:val="auto"/>
          <w:sz w:val="24"/>
          <w:highlight w:val="none"/>
          <w:shd w:val="clear" w:color="auto" w:fill="auto"/>
        </w:rPr>
        <w:t>非联合体的声明函</w:t>
      </w:r>
    </w:p>
    <w:p>
      <w:pPr>
        <w:spacing w:line="360" w:lineRule="auto"/>
        <w:jc w:val="center"/>
        <w:rPr>
          <w:rFonts w:hint="eastAsia" w:ascii="宋体" w:hAnsi="宋体" w:eastAsia="宋体" w:cs="宋体"/>
          <w:b/>
          <w:color w:val="auto"/>
          <w:sz w:val="32"/>
          <w:szCs w:val="22"/>
          <w:highlight w:val="none"/>
          <w:shd w:val="clear" w:color="auto" w:fill="auto"/>
        </w:rPr>
      </w:pPr>
      <w:r>
        <w:rPr>
          <w:rFonts w:hint="eastAsia" w:ascii="宋体" w:hAnsi="宋体" w:eastAsia="宋体" w:cs="宋体"/>
          <w:b/>
          <w:color w:val="auto"/>
          <w:sz w:val="32"/>
          <w:szCs w:val="22"/>
          <w:highlight w:val="none"/>
          <w:shd w:val="clear" w:color="auto" w:fill="auto"/>
        </w:rPr>
        <w:t xml:space="preserve">非联合体的声明函 </w:t>
      </w:r>
    </w:p>
    <w:p>
      <w:pPr>
        <w:spacing w:line="360" w:lineRule="auto"/>
        <w:ind w:firstLine="480" w:firstLineChars="200"/>
        <w:rPr>
          <w:rFonts w:hint="eastAsia" w:ascii="宋体" w:hAnsi="宋体" w:eastAsia="宋体" w:cs="宋体"/>
          <w:color w:val="auto"/>
          <w:sz w:val="24"/>
          <w:szCs w:val="24"/>
          <w:highlight w:val="none"/>
          <w:u w:val="single"/>
          <w:shd w:val="clear" w:color="auto" w:fill="auto"/>
        </w:rPr>
      </w:pPr>
      <w:r>
        <w:rPr>
          <w:rFonts w:hint="eastAsia" w:ascii="宋体" w:hAnsi="宋体" w:eastAsia="宋体" w:cs="宋体"/>
          <w:color w:val="auto"/>
          <w:sz w:val="24"/>
          <w:szCs w:val="24"/>
          <w:highlight w:val="none"/>
          <w:u w:val="single"/>
          <w:shd w:val="clear" w:color="auto" w:fill="auto"/>
        </w:rPr>
        <w:t>（采购人）：</w:t>
      </w:r>
    </w:p>
    <w:p>
      <w:pPr>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我方</w:t>
      </w:r>
      <w:r>
        <w:rPr>
          <w:rFonts w:hint="eastAsia" w:ascii="宋体" w:hAnsi="宋体" w:eastAsia="宋体" w:cs="宋体"/>
          <w:color w:val="auto"/>
          <w:sz w:val="24"/>
          <w:szCs w:val="24"/>
          <w:highlight w:val="none"/>
          <w:u w:val="single"/>
          <w:shd w:val="clear" w:color="auto" w:fill="auto"/>
        </w:rPr>
        <w:t xml:space="preserve">    （供应商） </w:t>
      </w:r>
      <w:r>
        <w:rPr>
          <w:rFonts w:hint="eastAsia" w:ascii="宋体" w:hAnsi="宋体" w:eastAsia="宋体" w:cs="宋体"/>
          <w:color w:val="auto"/>
          <w:sz w:val="24"/>
          <w:szCs w:val="24"/>
          <w:highlight w:val="none"/>
          <w:shd w:val="clear" w:color="auto" w:fill="auto"/>
        </w:rPr>
        <w:t>独立参加</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highlight w:val="none"/>
          <w:u w:val="single"/>
          <w:shd w:val="clear" w:color="auto" w:fill="auto"/>
        </w:rPr>
        <w:t>（项目名称）</w:t>
      </w:r>
      <w:r>
        <w:rPr>
          <w:rFonts w:hint="eastAsia" w:ascii="宋体" w:hAnsi="宋体" w:eastAsia="宋体" w:cs="宋体"/>
          <w:color w:val="auto"/>
          <w:sz w:val="24"/>
          <w:szCs w:val="24"/>
          <w:highlight w:val="none"/>
          <w:u w:val="single"/>
          <w:shd w:val="clear" w:color="auto" w:fill="auto"/>
        </w:rPr>
        <w:t>（项目编号:</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u w:val="single"/>
          <w:shd w:val="clear" w:color="auto" w:fill="auto"/>
        </w:rPr>
        <w:t>）</w:t>
      </w:r>
      <w:r>
        <w:rPr>
          <w:rFonts w:hint="eastAsia" w:ascii="宋体" w:hAnsi="宋体" w:eastAsia="宋体" w:cs="宋体"/>
          <w:color w:val="auto"/>
          <w:sz w:val="24"/>
          <w:szCs w:val="24"/>
          <w:highlight w:val="none"/>
          <w:shd w:val="clear" w:color="auto" w:fill="auto"/>
        </w:rPr>
        <w:t xml:space="preserve">政府采购活动，未与其他单位组成联合体。 </w:t>
      </w:r>
    </w:p>
    <w:p>
      <w:pPr>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本公司对上述声明的真实性负责。如有虚假，将依法承担相应责任。 </w:t>
      </w:r>
    </w:p>
    <w:p>
      <w:pPr>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特此声明！ </w:t>
      </w:r>
    </w:p>
    <w:p>
      <w:pPr>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供应商全称： （盖单位公章） </w:t>
      </w:r>
    </w:p>
    <w:p>
      <w:pPr>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日期：</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年</w:t>
      </w:r>
      <w:r>
        <w:rPr>
          <w:rFonts w:hint="eastAsia" w:ascii="宋体" w:hAnsi="宋体" w:eastAsia="宋体" w:cs="宋体"/>
          <w:color w:val="auto"/>
          <w:sz w:val="24"/>
          <w:szCs w:val="24"/>
          <w:highlight w:val="none"/>
          <w:shd w:val="clear" w:color="auto" w:fill="auto"/>
        </w:rPr>
        <w:t xml:space="preserve">  月  日</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highlight w:val="none"/>
        </w:rPr>
      </w:pPr>
    </w:p>
    <w:p>
      <w:pPr>
        <w:pStyle w:val="19"/>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pStyle w:val="19"/>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bookmarkEnd w:id="78"/>
    <w:bookmarkEnd w:id="79"/>
    <w:p>
      <w:pPr>
        <w:pStyle w:val="49"/>
        <w:kinsoku/>
        <w:overflowPunct/>
        <w:bidi w:val="0"/>
        <w:adjustRightInd w:val="0"/>
        <w:snapToGrid w:val="0"/>
        <w:spacing w:line="360" w:lineRule="auto"/>
        <w:jc w:val="center"/>
        <w:outlineLvl w:val="1"/>
        <w:rPr>
          <w:rFonts w:hint="eastAsia" w:ascii="宋体" w:hAnsi="宋体" w:eastAsia="宋体" w:cs="宋体"/>
          <w:b/>
          <w:color w:val="auto"/>
          <w:sz w:val="28"/>
          <w:highlight w:val="none"/>
        </w:rPr>
      </w:pPr>
      <w:bookmarkStart w:id="81" w:name="_Toc16646"/>
      <w:bookmarkStart w:id="82" w:name="_Toc522530061"/>
      <w:r>
        <w:rPr>
          <w:rFonts w:hint="eastAsia" w:ascii="宋体" w:hAnsi="宋体" w:eastAsia="宋体" w:cs="宋体"/>
          <w:b/>
          <w:color w:val="auto"/>
          <w:sz w:val="28"/>
          <w:highlight w:val="none"/>
        </w:rPr>
        <w:t>格式二：投标声明函</w:t>
      </w:r>
    </w:p>
    <w:p>
      <w:pPr>
        <w:kinsoku/>
        <w:overflowPunct/>
        <w:bidi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衢州市柯城区教育局</w:t>
      </w:r>
      <w:r>
        <w:rPr>
          <w:rFonts w:hint="eastAsia" w:ascii="宋体" w:hAnsi="宋体" w:eastAsia="宋体" w:cs="宋体"/>
          <w:color w:val="auto"/>
          <w:sz w:val="24"/>
          <w:highlight w:val="none"/>
        </w:rPr>
        <w:t xml:space="preserve"> </w:t>
      </w:r>
    </w:p>
    <w:p>
      <w:pPr>
        <w:kinsoku/>
        <w:overflowPunct/>
        <w:bidi w:val="0"/>
        <w:adjustRightInd w:val="0"/>
        <w:snapToGrid w:val="0"/>
        <w:spacing w:line="360" w:lineRule="auto"/>
        <w:rPr>
          <w:rFonts w:hint="eastAsia" w:ascii="宋体" w:hAnsi="宋体" w:eastAsia="宋体" w:cs="宋体"/>
          <w:b/>
          <w:color w:val="auto"/>
          <w:sz w:val="30"/>
          <w:highlight w:val="none"/>
        </w:rPr>
      </w:pPr>
      <w:r>
        <w:rPr>
          <w:rFonts w:hint="eastAsia" w:ascii="宋体" w:hAnsi="宋体" w:eastAsia="宋体" w:cs="宋体"/>
          <w:color w:val="auto"/>
          <w:sz w:val="24"/>
          <w:highlight w:val="none"/>
        </w:rPr>
        <w:t>浙江中正工程项目管理有限公司：</w:t>
      </w:r>
    </w:p>
    <w:p>
      <w:pPr>
        <w:pStyle w:val="49"/>
        <w:kinsoku/>
        <w:overflowPunct/>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本单位自愿参加</w:t>
      </w:r>
      <w:r>
        <w:rPr>
          <w:rFonts w:hint="eastAsia" w:ascii="宋体" w:hAnsi="宋体" w:eastAsia="宋体" w:cs="宋体"/>
          <w:color w:val="auto"/>
          <w:sz w:val="24"/>
          <w:highlight w:val="none"/>
          <w:u w:val="single"/>
        </w:rPr>
        <w:t xml:space="preserve">              （项目名称）(项目编号：</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的投标，并保证投标文件中所列举的投报价文件及相关资料和公司基本情况资料是真实的、合法的，我方：</w:t>
      </w:r>
    </w:p>
    <w:p>
      <w:pPr>
        <w:kinsoku/>
        <w:overflowPunct/>
        <w:bidi w:val="0"/>
        <w:adjustRightInd w:val="0"/>
        <w:snapToGrid w:val="0"/>
        <w:spacing w:line="360" w:lineRule="auto"/>
        <w:ind w:firstLine="480"/>
        <w:rPr>
          <w:rFonts w:hint="eastAsia" w:ascii="宋体" w:hAnsi="宋体" w:eastAsia="宋体" w:cs="宋体"/>
          <w:color w:val="auto"/>
          <w:kern w:val="0"/>
          <w:sz w:val="24"/>
          <w:highlight w:val="none"/>
        </w:rPr>
      </w:pPr>
      <w:bookmarkStart w:id="83" w:name="_Toc522530053"/>
      <w:r>
        <w:rPr>
          <w:rFonts w:hint="eastAsia" w:ascii="宋体" w:hAnsi="宋体" w:eastAsia="宋体" w:cs="宋体"/>
          <w:color w:val="auto"/>
          <w:kern w:val="0"/>
          <w:sz w:val="24"/>
          <w:highlight w:val="none"/>
        </w:rPr>
        <w:t>1、已详细阅读全部招标文件，包括招标文件补充文件（（如果有，包括相关的补充、更正、澄清公告和文件））、参考资料及有关附件，确认无误。我方完全理解并接受招标文件的各项规定和要求。</w:t>
      </w:r>
    </w:p>
    <w:p>
      <w:pPr>
        <w:kinsoku/>
        <w:overflowPunct/>
        <w:bidi w:val="0"/>
        <w:adjustRightInd w:val="0"/>
        <w:snapToGrid w:val="0"/>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2、同意提供按照贵方可能要求的与投标有关的一切数据或资料等。若贵方需要，我方愿意提供我方作出的一切承诺的证明材料。</w:t>
      </w:r>
    </w:p>
    <w:p>
      <w:pPr>
        <w:kinsoku/>
        <w:overflowPunct/>
        <w:bidi w:val="0"/>
        <w:adjustRightInd w:val="0"/>
        <w:snapToGrid w:val="0"/>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3、中标或者成交后，按采购文件规定与采购人签订合同。拒绝签订合同的，承诺按采购预算金额的2%对采购人进行赔偿；赔偿金额不足以弥补采购人损失的，承诺继续承担超过部分的损失。</w:t>
      </w:r>
    </w:p>
    <w:p>
      <w:pPr>
        <w:kinsoku/>
        <w:overflowPunct/>
        <w:bidi w:val="0"/>
        <w:adjustRightInd w:val="0"/>
        <w:snapToGrid w:val="0"/>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4、同意在招标文件中投标人须知规定的开标日期起遵守本投标书中的承诺且在投标有效期满之前均具有约束力。</w:t>
      </w:r>
    </w:p>
    <w:p>
      <w:pPr>
        <w:kinsoku/>
        <w:overflowPunct/>
        <w:bidi w:val="0"/>
        <w:adjustRightInd w:val="0"/>
        <w:snapToGrid w:val="0"/>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5、投标有效期内不撤销投标文件；强行撤销的，承诺按采购预算金额的2%赔偿对采购组织机构造成损失；</w:t>
      </w:r>
    </w:p>
    <w:p>
      <w:pPr>
        <w:kinsoku/>
        <w:overflowPunct/>
        <w:bidi w:val="0"/>
        <w:adjustRightInd w:val="0"/>
        <w:snapToGrid w:val="0"/>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6、完全理解贵方不一定要接受最低价的投标。</w:t>
      </w:r>
    </w:p>
    <w:p>
      <w:pPr>
        <w:kinsoku/>
        <w:overflowPunct/>
        <w:bidi w:val="0"/>
        <w:adjustRightInd w:val="0"/>
        <w:snapToGrid w:val="0"/>
        <w:spacing w:line="360" w:lineRule="auto"/>
        <w:ind w:firstLine="480"/>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7</w:t>
      </w:r>
      <w:r>
        <w:rPr>
          <w:rFonts w:hint="eastAsia" w:ascii="宋体" w:hAnsi="宋体" w:eastAsia="宋体" w:cs="宋体"/>
          <w:color w:val="auto"/>
          <w:kern w:val="0"/>
          <w:sz w:val="24"/>
          <w:highlight w:val="none"/>
        </w:rPr>
        <w:t>、单位、法定代表人、本项目授权代表及本项目负责人在参加本项目前三年内（以法院判决书生效日期为准）均无行贿犯罪记录。</w:t>
      </w:r>
    </w:p>
    <w:p>
      <w:pPr>
        <w:kinsoku/>
        <w:overflowPunct/>
        <w:bidi w:val="0"/>
        <w:adjustRightInd w:val="0"/>
        <w:snapToGrid w:val="0"/>
        <w:spacing w:line="360" w:lineRule="auto"/>
        <w:ind w:firstLine="480"/>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8</w:t>
      </w:r>
      <w:r>
        <w:rPr>
          <w:rFonts w:hint="eastAsia" w:ascii="宋体" w:hAnsi="宋体" w:eastAsia="宋体" w:cs="宋体"/>
          <w:color w:val="auto"/>
          <w:kern w:val="0"/>
          <w:sz w:val="24"/>
          <w:highlight w:val="none"/>
        </w:rPr>
        <w:t>、如有列情形之一的，我方愿意被取消中标资格（如中标），同时继续承担其他一切法律后果，并不再寻求任何旨在减轻或免除法律责任的解释：</w:t>
      </w:r>
    </w:p>
    <w:p>
      <w:pPr>
        <w:kinsoku/>
        <w:overflowPunct/>
        <w:bidi w:val="0"/>
        <w:adjustRightInd w:val="0"/>
        <w:snapToGrid w:val="0"/>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(1)提供虚假材料（承诺）谋取中标、成交的；</w:t>
      </w:r>
    </w:p>
    <w:p>
      <w:pPr>
        <w:kinsoku/>
        <w:overflowPunct/>
        <w:bidi w:val="0"/>
        <w:adjustRightInd w:val="0"/>
        <w:snapToGrid w:val="0"/>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(2)采取不正当手段诋毁、排挤其他投标人的；</w:t>
      </w:r>
    </w:p>
    <w:p>
      <w:pPr>
        <w:kinsoku/>
        <w:overflowPunct/>
        <w:bidi w:val="0"/>
        <w:adjustRightInd w:val="0"/>
        <w:snapToGrid w:val="0"/>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(3)与招标人、其它投标人或者招标代理机构恶意串通的；</w:t>
      </w:r>
    </w:p>
    <w:p>
      <w:pPr>
        <w:kinsoku/>
        <w:overflowPunct/>
        <w:bidi w:val="0"/>
        <w:adjustRightInd w:val="0"/>
        <w:snapToGrid w:val="0"/>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(4)向招标人、招标代理机构行贿或者提供其他不正当利益的；</w:t>
      </w:r>
    </w:p>
    <w:p>
      <w:pPr>
        <w:kinsoku/>
        <w:overflowPunct/>
        <w:bidi w:val="0"/>
        <w:adjustRightInd w:val="0"/>
        <w:snapToGrid w:val="0"/>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(5)在招标采购过程中与招标人进行协商谈判的；</w:t>
      </w:r>
    </w:p>
    <w:p>
      <w:pPr>
        <w:kinsoku/>
        <w:overflowPunct/>
        <w:bidi w:val="0"/>
        <w:adjustRightInd w:val="0"/>
        <w:snapToGrid w:val="0"/>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(6)拒绝有关部门监督检查或提供虚假情况的。</w:t>
      </w:r>
    </w:p>
    <w:p>
      <w:pPr>
        <w:kinsoku/>
        <w:overflowPunct/>
        <w:bidi w:val="0"/>
        <w:adjustRightInd w:val="0"/>
        <w:snapToGrid w:val="0"/>
        <w:spacing w:line="360" w:lineRule="auto"/>
        <w:ind w:firstLine="480"/>
        <w:rPr>
          <w:rFonts w:hint="eastAsia" w:ascii="宋体" w:hAnsi="宋体" w:eastAsia="宋体" w:cs="宋体"/>
          <w:color w:val="auto"/>
          <w:kern w:val="0"/>
          <w:sz w:val="24"/>
          <w:highlight w:val="none"/>
        </w:rPr>
      </w:pPr>
    </w:p>
    <w:p>
      <w:pPr>
        <w:kinsoku/>
        <w:overflowPunct/>
        <w:bidi w:val="0"/>
        <w:adjustRightInd w:val="0"/>
        <w:snapToGrid w:val="0"/>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法定（授权）代表人（签字或盖章）：                      </w:t>
      </w:r>
    </w:p>
    <w:p>
      <w:pPr>
        <w:kinsoku/>
        <w:overflowPunct/>
        <w:bidi w:val="0"/>
        <w:adjustRightInd w:val="0"/>
        <w:snapToGrid w:val="0"/>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投标人盖章：                            </w:t>
      </w:r>
    </w:p>
    <w:p>
      <w:pPr>
        <w:kinsoku/>
        <w:overflowPunct/>
        <w:bidi w:val="0"/>
        <w:adjustRightInd w:val="0"/>
        <w:snapToGrid w:val="0"/>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联系电话（手机及座机）：           </w:t>
      </w:r>
    </w:p>
    <w:p>
      <w:pPr>
        <w:kinsoku/>
        <w:overflowPunct/>
        <w:bidi w:val="0"/>
        <w:adjustRightInd w:val="0"/>
        <w:snapToGrid w:val="0"/>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传真：              </w:t>
      </w:r>
    </w:p>
    <w:p>
      <w:pPr>
        <w:kinsoku/>
        <w:overflowPunct/>
        <w:bidi w:val="0"/>
        <w:adjustRightInd w:val="0"/>
        <w:snapToGrid w:val="0"/>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电子邮件：              </w:t>
      </w:r>
    </w:p>
    <w:p>
      <w:pPr>
        <w:kinsoku/>
        <w:overflowPunct/>
        <w:bidi w:val="0"/>
        <w:adjustRightInd w:val="0"/>
        <w:snapToGrid w:val="0"/>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纳税人识别号：                                                </w:t>
      </w:r>
    </w:p>
    <w:p>
      <w:pPr>
        <w:kinsoku/>
        <w:overflowPunct/>
        <w:bidi w:val="0"/>
        <w:adjustRightInd w:val="0"/>
        <w:snapToGrid w:val="0"/>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开户银行：                                                    </w:t>
      </w:r>
    </w:p>
    <w:p>
      <w:pPr>
        <w:kinsoku/>
        <w:overflowPunct/>
        <w:bidi w:val="0"/>
        <w:adjustRightInd w:val="0"/>
        <w:snapToGrid w:val="0"/>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银行账号：                                                    </w:t>
      </w:r>
    </w:p>
    <w:p>
      <w:pPr>
        <w:kinsoku/>
        <w:overflowPunct/>
        <w:bidi w:val="0"/>
        <w:adjustRightInd w:val="0"/>
        <w:snapToGrid w:val="0"/>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联系地址：                                                    </w:t>
      </w:r>
    </w:p>
    <w:p>
      <w:pPr>
        <w:kinsoku/>
        <w:overflowPunct/>
        <w:bidi w:val="0"/>
        <w:adjustRightInd w:val="0"/>
        <w:snapToGrid w:val="0"/>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邮政编码：                     </w:t>
      </w:r>
    </w:p>
    <w:p>
      <w:pPr>
        <w:kinsoku/>
        <w:overflowPunct/>
        <w:bidi w:val="0"/>
        <w:adjustRightInd w:val="0"/>
        <w:snapToGrid w:val="0"/>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日    期：        年  </w:t>
      </w:r>
      <w:r>
        <w:rPr>
          <w:rFonts w:hint="eastAsia" w:ascii="宋体" w:hAnsi="宋体" w:eastAsia="宋体" w:cs="宋体"/>
          <w:color w:val="auto"/>
          <w:kern w:val="0"/>
          <w:sz w:val="24"/>
          <w:highlight w:val="none"/>
        </w:rPr>
        <w:tab/>
      </w:r>
      <w:r>
        <w:rPr>
          <w:rFonts w:hint="eastAsia" w:ascii="宋体" w:hAnsi="宋体" w:eastAsia="宋体" w:cs="宋体"/>
          <w:color w:val="auto"/>
          <w:kern w:val="0"/>
          <w:sz w:val="24"/>
          <w:highlight w:val="none"/>
        </w:rPr>
        <w:t xml:space="preserve"> 月    日</w:t>
      </w:r>
    </w:p>
    <w:p>
      <w:pPr>
        <w:kinsoku/>
        <w:overflowPunct/>
        <w:bidi w:val="0"/>
        <w:adjustRightInd w:val="0"/>
        <w:snapToGrid w:val="0"/>
        <w:spacing w:line="360" w:lineRule="auto"/>
        <w:ind w:firstLine="480"/>
        <w:rPr>
          <w:rFonts w:hint="eastAsia" w:ascii="宋体" w:hAnsi="宋体" w:eastAsia="宋体" w:cs="宋体"/>
          <w:color w:val="auto"/>
          <w:kern w:val="0"/>
          <w:sz w:val="24"/>
          <w:highlight w:val="none"/>
        </w:rPr>
      </w:pPr>
    </w:p>
    <w:p>
      <w:pPr>
        <w:kinsoku/>
        <w:overflowPunct/>
        <w:bidi w:val="0"/>
        <w:adjustRightInd w:val="0"/>
        <w:snapToGrid w:val="0"/>
        <w:spacing w:line="360" w:lineRule="auto"/>
        <w:ind w:firstLine="480"/>
        <w:rPr>
          <w:rFonts w:hint="eastAsia" w:ascii="宋体" w:hAnsi="宋体" w:eastAsia="宋体" w:cs="宋体"/>
          <w:color w:val="auto"/>
          <w:kern w:val="0"/>
          <w:sz w:val="24"/>
          <w:highlight w:val="none"/>
        </w:rPr>
      </w:pPr>
    </w:p>
    <w:p>
      <w:pPr>
        <w:kinsoku/>
        <w:overflowPunct/>
        <w:bidi w:val="0"/>
        <w:adjustRightInd w:val="0"/>
        <w:snapToGrid w:val="0"/>
        <w:spacing w:line="360" w:lineRule="auto"/>
        <w:rPr>
          <w:rFonts w:hint="eastAsia" w:ascii="宋体" w:hAnsi="宋体" w:eastAsia="宋体" w:cs="宋体"/>
          <w:color w:val="auto"/>
          <w:highlight w:val="none"/>
        </w:rPr>
        <w:sectPr>
          <w:headerReference r:id="rId8" w:type="default"/>
          <w:footerReference r:id="rId9" w:type="default"/>
          <w:pgSz w:w="11906" w:h="16838"/>
          <w:pgMar w:top="1440" w:right="1440" w:bottom="1440" w:left="1440" w:header="851" w:footer="851" w:gutter="0"/>
          <w:pgBorders>
            <w:top w:val="none" w:sz="0" w:space="0"/>
            <w:left w:val="none" w:sz="0" w:space="0"/>
            <w:bottom w:val="none" w:sz="0" w:space="0"/>
            <w:right w:val="none" w:sz="0" w:space="0"/>
          </w:pgBorders>
          <w:cols w:space="720" w:num="1"/>
          <w:titlePg/>
          <w:docGrid w:linePitch="381" w:charSpace="0"/>
        </w:sectPr>
      </w:pPr>
      <w:r>
        <w:rPr>
          <w:rFonts w:hint="eastAsia" w:ascii="宋体" w:hAnsi="宋体" w:eastAsia="宋体" w:cs="宋体"/>
          <w:b/>
          <w:color w:val="auto"/>
          <w:kern w:val="0"/>
          <w:sz w:val="24"/>
          <w:highlight w:val="none"/>
          <w:lang w:val="zh-CN"/>
        </w:rPr>
        <w:t>注：未按照本投标声明函要求填报的将被视为非实质性响应，从而可能导致该投标文件被拒绝。</w:t>
      </w:r>
    </w:p>
    <w:p>
      <w:pPr>
        <w:pStyle w:val="49"/>
        <w:kinsoku/>
        <w:overflowPunct/>
        <w:bidi w:val="0"/>
        <w:adjustRightInd w:val="0"/>
        <w:snapToGrid w:val="0"/>
        <w:spacing w:line="360" w:lineRule="auto"/>
        <w:outlineLvl w:val="1"/>
        <w:rPr>
          <w:rFonts w:hint="eastAsia" w:ascii="宋体" w:hAnsi="宋体" w:eastAsia="宋体" w:cs="宋体"/>
          <w:b/>
          <w:color w:val="auto"/>
          <w:sz w:val="28"/>
          <w:highlight w:val="none"/>
        </w:rPr>
      </w:pPr>
      <w:bookmarkStart w:id="84" w:name="_Toc15127"/>
      <w:r>
        <w:rPr>
          <w:rFonts w:hint="eastAsia" w:ascii="宋体" w:hAnsi="宋体" w:eastAsia="宋体" w:cs="宋体"/>
          <w:b/>
          <w:color w:val="auto"/>
          <w:kern w:val="0"/>
          <w:sz w:val="30"/>
          <w:highlight w:val="none"/>
          <w:lang w:val="zh-CN"/>
        </w:rPr>
        <w:t>格式三：</w:t>
      </w:r>
      <w:r>
        <w:rPr>
          <w:rFonts w:hint="eastAsia" w:ascii="宋体" w:hAnsi="宋体" w:eastAsia="宋体" w:cs="宋体"/>
          <w:b/>
          <w:color w:val="auto"/>
          <w:sz w:val="28"/>
          <w:highlight w:val="none"/>
        </w:rPr>
        <w:t>法定代表人身份证明或法定代表人身份证明及授权委托书</w:t>
      </w:r>
      <w:bookmarkEnd w:id="83"/>
      <w:bookmarkEnd w:id="84"/>
    </w:p>
    <w:p>
      <w:pPr>
        <w:pStyle w:val="49"/>
        <w:kinsoku/>
        <w:overflowPunct/>
        <w:bidi w:val="0"/>
        <w:adjustRightInd w:val="0"/>
        <w:snapToGrid w:val="0"/>
        <w:spacing w:line="360" w:lineRule="auto"/>
        <w:jc w:val="center"/>
        <w:rPr>
          <w:rFonts w:hint="eastAsia" w:ascii="宋体" w:hAnsi="宋体" w:eastAsia="宋体" w:cs="宋体"/>
          <w:b/>
          <w:color w:val="auto"/>
          <w:sz w:val="28"/>
          <w:highlight w:val="none"/>
        </w:rPr>
      </w:pPr>
    </w:p>
    <w:p>
      <w:pPr>
        <w:pStyle w:val="49"/>
        <w:kinsoku/>
        <w:overflowPunct/>
        <w:bidi w:val="0"/>
        <w:adjustRightInd w:val="0"/>
        <w:snapToGrid w:val="0"/>
        <w:spacing w:line="360" w:lineRule="auto"/>
        <w:jc w:val="center"/>
        <w:rPr>
          <w:rFonts w:hint="eastAsia" w:ascii="宋体" w:hAnsi="宋体" w:eastAsia="宋体" w:cs="宋体"/>
          <w:b/>
          <w:color w:val="auto"/>
          <w:kern w:val="0"/>
          <w:sz w:val="30"/>
          <w:highlight w:val="none"/>
          <w:lang w:val="zh-CN"/>
        </w:rPr>
      </w:pPr>
      <w:r>
        <w:rPr>
          <w:rFonts w:hint="eastAsia" w:ascii="宋体" w:hAnsi="宋体" w:eastAsia="宋体" w:cs="宋体"/>
          <w:b/>
          <w:color w:val="auto"/>
          <w:sz w:val="28"/>
          <w:highlight w:val="none"/>
        </w:rPr>
        <w:t>3-1法定代表人身份证明</w:t>
      </w:r>
    </w:p>
    <w:p>
      <w:pPr>
        <w:kinsoku/>
        <w:overflowPunct/>
        <w:bidi w:val="0"/>
        <w:adjustRightInd w:val="0"/>
        <w:snapToGrid w:val="0"/>
        <w:spacing w:line="360" w:lineRule="auto"/>
        <w:rPr>
          <w:rFonts w:hint="eastAsia" w:ascii="宋体" w:hAnsi="宋体" w:eastAsia="宋体" w:cs="宋体"/>
          <w:color w:val="auto"/>
          <w:sz w:val="24"/>
          <w:highlight w:val="none"/>
        </w:rPr>
      </w:pPr>
    </w:p>
    <w:p>
      <w:pPr>
        <w:kinsoku/>
        <w:overflowPunct/>
        <w:bidi w:val="0"/>
        <w:adjustRightInd w:val="0"/>
        <w:snapToGrid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姓名：  性别：  年龄：  职务：</w:t>
      </w:r>
    </w:p>
    <w:p>
      <w:pPr>
        <w:kinsoku/>
        <w:overflowPunct/>
        <w:bidi w:val="0"/>
        <w:adjustRightInd w:val="0"/>
        <w:snapToGrid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（投标人名称）的法定代表人。</w:t>
      </w:r>
    </w:p>
    <w:p>
      <w:pPr>
        <w:kinsoku/>
        <w:overflowPunct/>
        <w:bidi w:val="0"/>
        <w:adjustRightInd w:val="0"/>
        <w:snapToGrid w:val="0"/>
        <w:spacing w:line="360" w:lineRule="auto"/>
        <w:ind w:firstLine="560"/>
        <w:rPr>
          <w:rFonts w:hint="eastAsia" w:ascii="宋体" w:hAnsi="宋体" w:eastAsia="宋体" w:cs="宋体"/>
          <w:color w:val="auto"/>
          <w:sz w:val="24"/>
          <w:highlight w:val="none"/>
        </w:rPr>
      </w:pPr>
    </w:p>
    <w:p>
      <w:pPr>
        <w:kinsoku/>
        <w:overflowPunct/>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pPr>
        <w:kinsoku/>
        <w:overflowPunct/>
        <w:bidi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附：法定代表人身份证复印件</w:t>
      </w:r>
    </w:p>
    <w:p>
      <w:pPr>
        <w:kinsoku/>
        <w:overflowPunct/>
        <w:bidi w:val="0"/>
        <w:adjustRightInd w:val="0"/>
        <w:snapToGrid w:val="0"/>
        <w:spacing w:line="360" w:lineRule="auto"/>
        <w:rPr>
          <w:rFonts w:hint="eastAsia" w:ascii="宋体" w:hAnsi="宋体" w:eastAsia="宋体" w:cs="宋体"/>
          <w:color w:val="auto"/>
          <w:sz w:val="24"/>
          <w:highlight w:val="none"/>
        </w:rPr>
      </w:pPr>
    </w:p>
    <w:p>
      <w:pPr>
        <w:kinsoku/>
        <w:overflowPunct/>
        <w:bidi w:val="0"/>
        <w:adjustRightInd w:val="0"/>
        <w:snapToGrid w:val="0"/>
        <w:spacing w:line="360" w:lineRule="auto"/>
        <w:ind w:right="1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投标人：（全称加盖公章） </w:t>
      </w:r>
    </w:p>
    <w:p>
      <w:pPr>
        <w:kinsoku/>
        <w:overflowPunct/>
        <w:bidi w:val="0"/>
        <w:adjustRightInd w:val="0"/>
        <w:snapToGrid w:val="0"/>
        <w:spacing w:line="360" w:lineRule="auto"/>
        <w:ind w:right="1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日期：   年    月    日</w:t>
      </w:r>
    </w:p>
    <w:tbl>
      <w:tblPr>
        <w:tblStyle w:val="98"/>
        <w:tblW w:w="92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8" w:hRule="atLeast"/>
          <w:jc w:val="center"/>
        </w:trPr>
        <w:tc>
          <w:tcPr>
            <w:tcW w:w="9242" w:type="dxa"/>
            <w:vAlign w:val="center"/>
          </w:tcPr>
          <w:p>
            <w:pPr>
              <w:kinsoku/>
              <w:overflowPunct/>
              <w:bidi w:val="0"/>
              <w:adjustRightInd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法定代表人身份证复印件粘贴处（正、反面）</w:t>
            </w:r>
          </w:p>
        </w:tc>
      </w:tr>
    </w:tbl>
    <w:p>
      <w:pPr>
        <w:kinsoku/>
        <w:overflowPunct/>
        <w:bidi w:val="0"/>
        <w:spacing w:beforeLines="50" w:line="360" w:lineRule="auto"/>
        <w:jc w:val="center"/>
        <w:rPr>
          <w:rFonts w:hint="eastAsia" w:ascii="宋体" w:hAnsi="宋体" w:eastAsia="宋体" w:cs="宋体"/>
          <w:b/>
          <w:color w:val="auto"/>
          <w:highlight w:val="none"/>
        </w:rPr>
      </w:pPr>
    </w:p>
    <w:p>
      <w:pPr>
        <w:kinsoku/>
        <w:overflowPunct/>
        <w:bidi w:val="0"/>
        <w:spacing w:beforeLines="50" w:line="360" w:lineRule="auto"/>
        <w:jc w:val="center"/>
        <w:rPr>
          <w:rFonts w:hint="eastAsia" w:ascii="宋体" w:hAnsi="宋体" w:eastAsia="宋体" w:cs="宋体"/>
          <w:b/>
          <w:color w:val="auto"/>
          <w:highlight w:val="none"/>
        </w:rPr>
      </w:pPr>
    </w:p>
    <w:p>
      <w:pPr>
        <w:kinsoku/>
        <w:overflowPunct/>
        <w:bidi w:val="0"/>
        <w:spacing w:beforeLines="50" w:line="360" w:lineRule="auto"/>
        <w:jc w:val="center"/>
        <w:rPr>
          <w:rFonts w:hint="eastAsia" w:ascii="宋体" w:hAnsi="宋体" w:eastAsia="宋体" w:cs="宋体"/>
          <w:b/>
          <w:color w:val="auto"/>
          <w:highlight w:val="none"/>
        </w:rPr>
      </w:pPr>
    </w:p>
    <w:p>
      <w:pPr>
        <w:kinsoku/>
        <w:overflowPunct/>
        <w:bidi w:val="0"/>
        <w:spacing w:beforeLines="50" w:line="360" w:lineRule="auto"/>
        <w:jc w:val="center"/>
        <w:rPr>
          <w:rFonts w:hint="eastAsia" w:ascii="宋体" w:hAnsi="宋体" w:eastAsia="宋体" w:cs="宋体"/>
          <w:b/>
          <w:color w:val="auto"/>
          <w:highlight w:val="none"/>
        </w:rPr>
      </w:pPr>
      <w:r>
        <w:rPr>
          <w:rFonts w:hint="eastAsia" w:ascii="宋体" w:hAnsi="宋体" w:eastAsia="宋体" w:cs="宋体"/>
          <w:b/>
          <w:color w:val="auto"/>
          <w:highlight w:val="none"/>
        </w:rPr>
        <w:t>3-2法定代表人授权委托书</w:t>
      </w:r>
    </w:p>
    <w:p>
      <w:pPr>
        <w:kinsoku/>
        <w:overflowPunct/>
        <w:bidi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衢州市柯城区教育局</w:t>
      </w:r>
      <w:r>
        <w:rPr>
          <w:rFonts w:hint="eastAsia" w:ascii="宋体" w:hAnsi="宋体" w:eastAsia="宋体" w:cs="宋体"/>
          <w:color w:val="auto"/>
          <w:sz w:val="24"/>
          <w:highlight w:val="none"/>
        </w:rPr>
        <w:t xml:space="preserve"> </w:t>
      </w:r>
    </w:p>
    <w:p>
      <w:pPr>
        <w:kinsoku/>
        <w:overflowPunct/>
        <w:bidi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浙江中正工程项目管理有限公司：</w:t>
      </w:r>
    </w:p>
    <w:p>
      <w:pPr>
        <w:kinsoku/>
        <w:overflowPunct/>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本人</w:t>
      </w:r>
      <w:r>
        <w:rPr>
          <w:rFonts w:hint="eastAsia" w:ascii="宋体" w:hAnsi="宋体" w:eastAsia="宋体" w:cs="宋体"/>
          <w:color w:val="auto"/>
          <w:sz w:val="24"/>
          <w:highlight w:val="none"/>
          <w:u w:val="single"/>
        </w:rPr>
        <w:t xml:space="preserve">      （姓名）</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（供应商名称）</w:t>
      </w:r>
      <w:r>
        <w:rPr>
          <w:rFonts w:hint="eastAsia" w:ascii="宋体" w:hAnsi="宋体" w:eastAsia="宋体" w:cs="宋体"/>
          <w:color w:val="auto"/>
          <w:sz w:val="24"/>
          <w:highlight w:val="none"/>
        </w:rPr>
        <w:t>的法定代表人，现委托</w:t>
      </w:r>
      <w:r>
        <w:rPr>
          <w:rFonts w:hint="eastAsia" w:ascii="宋体" w:hAnsi="宋体" w:eastAsia="宋体" w:cs="宋体"/>
          <w:color w:val="auto"/>
          <w:sz w:val="24"/>
          <w:highlight w:val="none"/>
          <w:u w:val="single"/>
        </w:rPr>
        <w:t xml:space="preserve">      （姓名）  （职务）</w:t>
      </w:r>
      <w:r>
        <w:rPr>
          <w:rFonts w:hint="eastAsia" w:ascii="宋体" w:hAnsi="宋体" w:eastAsia="宋体" w:cs="宋体"/>
          <w:color w:val="auto"/>
          <w:sz w:val="24"/>
          <w:highlight w:val="none"/>
        </w:rPr>
        <w:t>为我方授权代表，以我方名义签署、澄清、说明、补正、递交、撤回、修改</w:t>
      </w:r>
      <w:r>
        <w:rPr>
          <w:rFonts w:hint="eastAsia" w:ascii="宋体" w:hAnsi="宋体" w:eastAsia="宋体" w:cs="宋体"/>
          <w:color w:val="auto"/>
          <w:sz w:val="24"/>
          <w:highlight w:val="none"/>
          <w:u w:val="single"/>
        </w:rPr>
        <w:t>（项目名称）</w:t>
      </w:r>
      <w:r>
        <w:rPr>
          <w:rFonts w:hint="eastAsia" w:ascii="宋体" w:hAnsi="宋体" w:eastAsia="宋体" w:cs="宋体"/>
          <w:color w:val="auto"/>
          <w:spacing w:val="-3"/>
          <w:sz w:val="24"/>
          <w:szCs w:val="24"/>
          <w:highlight w:val="none"/>
          <w:u w:val="single"/>
          <w:lang w:val="en-US" w:eastAsia="zh-CN"/>
        </w:rPr>
        <w:t xml:space="preserve">                    </w:t>
      </w:r>
      <w:r>
        <w:rPr>
          <w:rFonts w:hint="eastAsia" w:ascii="宋体" w:hAnsi="宋体" w:eastAsia="宋体" w:cs="宋体"/>
          <w:color w:val="auto"/>
          <w:sz w:val="24"/>
          <w:highlight w:val="none"/>
          <w:u w:val="single"/>
        </w:rPr>
        <w:t>(项目编号：</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投标文件、签订合同和处理有关事宜，其法律后果由我方承担。</w:t>
      </w:r>
    </w:p>
    <w:p>
      <w:pPr>
        <w:kinsoku/>
        <w:overflowPunct/>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在撤销授权的书面通知以前，本授权书一直有效。被授权人在授权书有效期内签署的所有文件不因授权的撤销而失效。</w:t>
      </w:r>
    </w:p>
    <w:p>
      <w:pPr>
        <w:kinsoku/>
        <w:overflowPunct/>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该授权代表无转委托权，特此委托</w:t>
      </w:r>
    </w:p>
    <w:p>
      <w:pPr>
        <w:kinsoku/>
        <w:overflowPunct/>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附：</w:t>
      </w:r>
    </w:p>
    <w:p>
      <w:pPr>
        <w:kinsoku/>
        <w:overflowPunct/>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1、委托代理人身份证复印件</w:t>
      </w:r>
    </w:p>
    <w:p>
      <w:pPr>
        <w:kinsoku/>
        <w:overflowPunct/>
        <w:bidi w:val="0"/>
        <w:adjustRightInd w:val="0"/>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2、授权代表为投标人在职员工的证明文件（投标人为其缴纳的社保记录或劳务合同等）。</w:t>
      </w:r>
    </w:p>
    <w:p>
      <w:pPr>
        <w:kinsoku/>
        <w:overflowPunct/>
        <w:bidi w:val="0"/>
        <w:adjustRightInd w:val="0"/>
        <w:snapToGrid w:val="0"/>
        <w:spacing w:line="360" w:lineRule="auto"/>
        <w:rPr>
          <w:rFonts w:hint="eastAsia" w:ascii="宋体" w:hAnsi="宋体" w:eastAsia="宋体" w:cs="宋体"/>
          <w:color w:val="auto"/>
          <w:sz w:val="24"/>
          <w:highlight w:val="none"/>
        </w:rPr>
      </w:pPr>
    </w:p>
    <w:p>
      <w:pPr>
        <w:kinsoku/>
        <w:overflowPunct/>
        <w:bidi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供应商：（全称加盖公章）</w:t>
      </w:r>
    </w:p>
    <w:p>
      <w:pPr>
        <w:kinsoku/>
        <w:overflowPunct/>
        <w:bidi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法定代表：（签字或盖章）                        授权代表：（签字或盖章）</w:t>
      </w:r>
    </w:p>
    <w:p>
      <w:pPr>
        <w:kinsoku/>
        <w:overflowPunct/>
        <w:bidi w:val="0"/>
        <w:adjustRightInd w:val="0"/>
        <w:snapToGrid w:val="0"/>
        <w:spacing w:line="360" w:lineRule="auto"/>
        <w:ind w:firstLine="5160" w:firstLineChars="215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日期：年月日</w:t>
      </w:r>
    </w:p>
    <w:tbl>
      <w:tblPr>
        <w:tblStyle w:val="98"/>
        <w:tblW w:w="94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59" w:hRule="atLeast"/>
          <w:jc w:val="center"/>
        </w:trPr>
        <w:tc>
          <w:tcPr>
            <w:tcW w:w="9425" w:type="dxa"/>
            <w:vAlign w:val="center"/>
          </w:tcPr>
          <w:p>
            <w:pPr>
              <w:kinsoku/>
              <w:overflowPunct/>
              <w:bidi w:val="0"/>
              <w:adjustRightInd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授权代表身份证复印件粘贴处（正、反面）</w:t>
            </w:r>
          </w:p>
        </w:tc>
      </w:tr>
    </w:tbl>
    <w:p>
      <w:pPr>
        <w:kinsoku/>
        <w:overflowPunct/>
        <w:bidi w:val="0"/>
        <w:adjustRightInd w:val="0"/>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注：如投标文件由授权代表签字或盖章的，投标文件必须附此授权委托书，否则视为无效投标文件。</w:t>
      </w:r>
    </w:p>
    <w:p>
      <w:pPr>
        <w:pStyle w:val="49"/>
        <w:kinsoku/>
        <w:overflowPunct/>
        <w:bidi w:val="0"/>
        <w:adjustRightInd w:val="0"/>
        <w:snapToGrid w:val="0"/>
        <w:spacing w:line="360" w:lineRule="auto"/>
        <w:jc w:val="center"/>
        <w:outlineLvl w:val="1"/>
        <w:rPr>
          <w:rFonts w:hint="eastAsia" w:ascii="宋体" w:hAnsi="宋体" w:eastAsia="宋体" w:cs="宋体"/>
          <w:b/>
          <w:color w:val="auto"/>
          <w:kern w:val="0"/>
          <w:sz w:val="30"/>
          <w:highlight w:val="none"/>
          <w:lang w:val="zh-CN"/>
        </w:rPr>
      </w:pPr>
      <w:bookmarkStart w:id="85" w:name="_Toc522530054"/>
      <w:bookmarkStart w:id="86" w:name="_Toc354859632"/>
      <w:bookmarkStart w:id="87" w:name="_Toc354859551"/>
      <w:bookmarkStart w:id="88" w:name="_Toc233618991"/>
      <w:bookmarkStart w:id="89" w:name="_Toc391277571"/>
      <w:bookmarkStart w:id="90" w:name="_Toc354859475"/>
    </w:p>
    <w:p>
      <w:pPr>
        <w:pStyle w:val="49"/>
        <w:kinsoku/>
        <w:overflowPunct/>
        <w:bidi w:val="0"/>
        <w:adjustRightInd w:val="0"/>
        <w:snapToGrid w:val="0"/>
        <w:spacing w:line="360" w:lineRule="auto"/>
        <w:jc w:val="center"/>
        <w:outlineLvl w:val="1"/>
        <w:rPr>
          <w:rFonts w:hint="eastAsia" w:ascii="宋体" w:hAnsi="宋体" w:eastAsia="宋体" w:cs="宋体"/>
          <w:b/>
          <w:color w:val="auto"/>
          <w:kern w:val="0"/>
          <w:sz w:val="30"/>
          <w:highlight w:val="none"/>
          <w:lang w:val="zh-CN"/>
        </w:rPr>
      </w:pPr>
    </w:p>
    <w:p>
      <w:pPr>
        <w:pStyle w:val="49"/>
        <w:kinsoku/>
        <w:overflowPunct/>
        <w:bidi w:val="0"/>
        <w:adjustRightInd w:val="0"/>
        <w:snapToGrid w:val="0"/>
        <w:spacing w:line="360" w:lineRule="auto"/>
        <w:outlineLvl w:val="1"/>
        <w:rPr>
          <w:rFonts w:hint="eastAsia" w:ascii="宋体" w:hAnsi="宋体" w:eastAsia="宋体" w:cs="宋体"/>
          <w:b/>
          <w:color w:val="auto"/>
          <w:kern w:val="0"/>
          <w:sz w:val="30"/>
          <w:highlight w:val="none"/>
          <w:lang w:val="zh-CN"/>
        </w:rPr>
      </w:pPr>
    </w:p>
    <w:p>
      <w:pPr>
        <w:pStyle w:val="49"/>
        <w:kinsoku/>
        <w:overflowPunct/>
        <w:bidi w:val="0"/>
        <w:adjustRightInd w:val="0"/>
        <w:snapToGrid w:val="0"/>
        <w:spacing w:line="360" w:lineRule="auto"/>
        <w:jc w:val="center"/>
        <w:outlineLvl w:val="1"/>
        <w:rPr>
          <w:rFonts w:hint="eastAsia" w:ascii="宋体" w:hAnsi="宋体" w:eastAsia="宋体" w:cs="宋体"/>
          <w:b/>
          <w:color w:val="auto"/>
          <w:kern w:val="0"/>
          <w:sz w:val="30"/>
          <w:highlight w:val="none"/>
          <w:lang w:val="zh-CN"/>
        </w:rPr>
      </w:pPr>
      <w:bookmarkStart w:id="91" w:name="_Toc10253"/>
      <w:r>
        <w:rPr>
          <w:rFonts w:hint="eastAsia" w:ascii="宋体" w:hAnsi="宋体" w:eastAsia="宋体" w:cs="宋体"/>
          <w:b/>
          <w:color w:val="auto"/>
          <w:kern w:val="0"/>
          <w:sz w:val="30"/>
          <w:highlight w:val="none"/>
          <w:lang w:val="zh-CN"/>
        </w:rPr>
        <w:t>格式四：以往业绩情况表</w:t>
      </w:r>
      <w:bookmarkEnd w:id="85"/>
      <w:bookmarkEnd w:id="91"/>
    </w:p>
    <w:p>
      <w:pPr>
        <w:pStyle w:val="50"/>
        <w:spacing w:line="360" w:lineRule="auto"/>
        <w:rPr>
          <w:rFonts w:hint="eastAsia" w:ascii="宋体" w:hAnsi="宋体" w:eastAsia="宋体" w:cs="宋体"/>
          <w:color w:val="auto"/>
          <w:highlight w:val="none"/>
          <w:lang w:val="zh-CN"/>
        </w:rPr>
      </w:pPr>
    </w:p>
    <w:p>
      <w:pPr>
        <w:kinsoku/>
        <w:overflowPunct/>
        <w:bidi w:val="0"/>
        <w:adjustRightInd w:val="0"/>
        <w:snapToGrid w:val="0"/>
        <w:spacing w:line="360" w:lineRule="auto"/>
        <w:jc w:val="center"/>
        <w:rPr>
          <w:rFonts w:hint="eastAsia" w:ascii="宋体" w:hAnsi="宋体" w:eastAsia="宋体" w:cs="宋体"/>
          <w:b/>
          <w:color w:val="auto"/>
          <w:sz w:val="24"/>
          <w:highlight w:val="none"/>
        </w:rPr>
      </w:pPr>
      <w:bookmarkStart w:id="92" w:name="_Toc522530055"/>
      <w:bookmarkStart w:id="93" w:name="_Toc25910"/>
      <w:r>
        <w:rPr>
          <w:rFonts w:hint="eastAsia" w:ascii="宋体" w:hAnsi="宋体" w:eastAsia="宋体" w:cs="宋体"/>
          <w:b/>
          <w:color w:val="auto"/>
          <w:sz w:val="24"/>
          <w:highlight w:val="none"/>
          <w:lang w:val="en-US" w:eastAsia="zh-CN"/>
        </w:rPr>
        <w:t xml:space="preserve"> </w:t>
      </w:r>
      <w:r>
        <w:rPr>
          <w:rFonts w:hint="eastAsia" w:ascii="宋体" w:hAnsi="宋体" w:eastAsia="宋体" w:cs="宋体"/>
          <w:b/>
          <w:color w:val="auto"/>
          <w:sz w:val="24"/>
          <w:highlight w:val="none"/>
          <w:u w:val="single"/>
          <w:lang w:val="en-US" w:eastAsia="zh-CN"/>
        </w:rPr>
        <w:t xml:space="preserve">     </w:t>
      </w:r>
      <w:r>
        <w:rPr>
          <w:rFonts w:hint="eastAsia" w:ascii="宋体" w:hAnsi="宋体" w:eastAsia="宋体" w:cs="宋体"/>
          <w:b/>
          <w:color w:val="auto"/>
          <w:sz w:val="24"/>
          <w:highlight w:val="none"/>
        </w:rPr>
        <w:t>年以来</w:t>
      </w:r>
      <w:r>
        <w:rPr>
          <w:rFonts w:hint="eastAsia" w:ascii="宋体" w:hAnsi="宋体" w:eastAsia="宋体" w:cs="宋体"/>
          <w:b/>
          <w:color w:val="auto"/>
          <w:sz w:val="24"/>
          <w:highlight w:val="none"/>
          <w:lang w:eastAsia="zh-CN"/>
        </w:rPr>
        <w:t>企业</w:t>
      </w:r>
      <w:r>
        <w:rPr>
          <w:rFonts w:hint="eastAsia" w:ascii="宋体" w:hAnsi="宋体" w:eastAsia="宋体" w:cs="宋体"/>
          <w:b/>
          <w:color w:val="auto"/>
          <w:sz w:val="24"/>
          <w:highlight w:val="none"/>
        </w:rPr>
        <w:t>业绩情况汇总表</w:t>
      </w:r>
    </w:p>
    <w:tbl>
      <w:tblPr>
        <w:tblStyle w:val="98"/>
        <w:tblW w:w="9147"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499"/>
        <w:gridCol w:w="2690"/>
        <w:gridCol w:w="1914"/>
        <w:gridCol w:w="1000"/>
        <w:gridCol w:w="1414"/>
        <w:gridCol w:w="815"/>
        <w:gridCol w:w="815"/>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499" w:type="dxa"/>
            <w:tcBorders>
              <w:top w:val="single" w:color="auto" w:sz="18" w:space="0"/>
              <w:left w:val="single" w:color="auto" w:sz="18" w:space="0"/>
              <w:bottom w:val="single" w:color="auto" w:sz="4" w:space="0"/>
              <w:right w:val="single" w:color="auto" w:sz="4" w:space="0"/>
            </w:tcBorders>
            <w:vAlign w:val="center"/>
          </w:tcPr>
          <w:p>
            <w:pPr>
              <w:kinsoku/>
              <w:overflowPunct/>
              <w:autoSpaceDE w:val="0"/>
              <w:autoSpaceDN w:val="0"/>
              <w:bidi w:val="0"/>
              <w:adjustRightInd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序号</w:t>
            </w:r>
          </w:p>
        </w:tc>
        <w:tc>
          <w:tcPr>
            <w:tcW w:w="2690" w:type="dxa"/>
            <w:tcBorders>
              <w:top w:val="single" w:color="auto" w:sz="18"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项目名称</w:t>
            </w:r>
          </w:p>
        </w:tc>
        <w:tc>
          <w:tcPr>
            <w:tcW w:w="1914" w:type="dxa"/>
            <w:tcBorders>
              <w:top w:val="single" w:color="auto" w:sz="18"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sz w:val="24"/>
                <w:szCs w:val="24"/>
                <w:highlight w:val="none"/>
              </w:rPr>
              <w:t>合同内容</w:t>
            </w:r>
          </w:p>
        </w:tc>
        <w:tc>
          <w:tcPr>
            <w:tcW w:w="1000" w:type="dxa"/>
            <w:tcBorders>
              <w:top w:val="single" w:color="auto" w:sz="18"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合同价</w:t>
            </w:r>
          </w:p>
        </w:tc>
        <w:tc>
          <w:tcPr>
            <w:tcW w:w="1414" w:type="dxa"/>
            <w:tcBorders>
              <w:top w:val="single" w:color="auto" w:sz="18"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合同签订日期</w:t>
            </w:r>
          </w:p>
        </w:tc>
        <w:tc>
          <w:tcPr>
            <w:tcW w:w="815" w:type="dxa"/>
            <w:tcBorders>
              <w:top w:val="single" w:color="auto" w:sz="18"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所在页码</w:t>
            </w:r>
          </w:p>
        </w:tc>
        <w:tc>
          <w:tcPr>
            <w:tcW w:w="815" w:type="dxa"/>
            <w:tcBorders>
              <w:top w:val="single" w:color="auto" w:sz="18"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备注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pPr>
              <w:kinsoku/>
              <w:overflowPunct/>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269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360" w:lineRule="auto"/>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360" w:lineRule="auto"/>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360" w:lineRule="auto"/>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360" w:lineRule="auto"/>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360" w:lineRule="auto"/>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360" w:lineRule="auto"/>
              <w:rPr>
                <w:rFonts w:hint="eastAsia" w:ascii="宋体" w:hAnsi="宋体" w:eastAsia="宋体" w:cs="宋体"/>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pPr>
              <w:kinsoku/>
              <w:overflowPunct/>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269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360" w:lineRule="auto"/>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360" w:lineRule="auto"/>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360" w:lineRule="auto"/>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360" w:lineRule="auto"/>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360" w:lineRule="auto"/>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360" w:lineRule="auto"/>
              <w:rPr>
                <w:rFonts w:hint="eastAsia" w:ascii="宋体" w:hAnsi="宋体" w:eastAsia="宋体" w:cs="宋体"/>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pPr>
              <w:kinsoku/>
              <w:overflowPunct/>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269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360" w:lineRule="auto"/>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360" w:lineRule="auto"/>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360" w:lineRule="auto"/>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360" w:lineRule="auto"/>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360" w:lineRule="auto"/>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360" w:lineRule="auto"/>
              <w:rPr>
                <w:rFonts w:hint="eastAsia" w:ascii="宋体" w:hAnsi="宋体" w:eastAsia="宋体" w:cs="宋体"/>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pPr>
              <w:kinsoku/>
              <w:overflowPunct/>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269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360" w:lineRule="auto"/>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360" w:lineRule="auto"/>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360" w:lineRule="auto"/>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360" w:lineRule="auto"/>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360" w:lineRule="auto"/>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360" w:lineRule="auto"/>
              <w:rPr>
                <w:rFonts w:hint="eastAsia" w:ascii="宋体" w:hAnsi="宋体" w:eastAsia="宋体" w:cs="宋体"/>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pPr>
              <w:kinsoku/>
              <w:overflowPunct/>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269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360" w:lineRule="auto"/>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360" w:lineRule="auto"/>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360" w:lineRule="auto"/>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360" w:lineRule="auto"/>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360" w:lineRule="auto"/>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360" w:lineRule="auto"/>
              <w:rPr>
                <w:rFonts w:hint="eastAsia" w:ascii="宋体" w:hAnsi="宋体" w:eastAsia="宋体" w:cs="宋体"/>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pPr>
              <w:kinsoku/>
              <w:overflowPunct/>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269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360" w:lineRule="auto"/>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360" w:lineRule="auto"/>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360" w:lineRule="auto"/>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360" w:lineRule="auto"/>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360" w:lineRule="auto"/>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360" w:lineRule="auto"/>
              <w:rPr>
                <w:rFonts w:hint="eastAsia" w:ascii="宋体" w:hAnsi="宋体" w:eastAsia="宋体" w:cs="宋体"/>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pPr>
              <w:kinsoku/>
              <w:overflowPunct/>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269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360" w:lineRule="auto"/>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360" w:lineRule="auto"/>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360" w:lineRule="auto"/>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360" w:lineRule="auto"/>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360" w:lineRule="auto"/>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360" w:lineRule="auto"/>
              <w:rPr>
                <w:rFonts w:hint="eastAsia" w:ascii="宋体" w:hAnsi="宋体" w:eastAsia="宋体" w:cs="宋体"/>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pPr>
              <w:kinsoku/>
              <w:overflowPunct/>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269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360" w:lineRule="auto"/>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360" w:lineRule="auto"/>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360" w:lineRule="auto"/>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360" w:lineRule="auto"/>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360" w:lineRule="auto"/>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360" w:lineRule="auto"/>
              <w:rPr>
                <w:rFonts w:hint="eastAsia" w:ascii="宋体" w:hAnsi="宋体" w:eastAsia="宋体" w:cs="宋体"/>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18" w:space="0"/>
              <w:right w:val="single" w:color="auto" w:sz="4" w:space="0"/>
            </w:tcBorders>
            <w:vAlign w:val="center"/>
          </w:tcPr>
          <w:p>
            <w:pPr>
              <w:kinsoku/>
              <w:overflowPunct/>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2690" w:type="dxa"/>
            <w:tcBorders>
              <w:top w:val="single" w:color="auto" w:sz="4" w:space="0"/>
              <w:left w:val="single" w:color="auto" w:sz="4" w:space="0"/>
              <w:bottom w:val="single" w:color="auto" w:sz="18" w:space="0"/>
              <w:right w:val="single" w:color="auto" w:sz="4" w:space="0"/>
            </w:tcBorders>
            <w:vAlign w:val="center"/>
          </w:tcPr>
          <w:p>
            <w:pPr>
              <w:kinsoku/>
              <w:overflowPunct/>
              <w:autoSpaceDE w:val="0"/>
              <w:autoSpaceDN w:val="0"/>
              <w:bidi w:val="0"/>
              <w:adjustRightInd w:val="0"/>
              <w:spacing w:line="360" w:lineRule="auto"/>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18" w:space="0"/>
              <w:right w:val="single" w:color="auto" w:sz="4" w:space="0"/>
            </w:tcBorders>
            <w:vAlign w:val="center"/>
          </w:tcPr>
          <w:p>
            <w:pPr>
              <w:kinsoku/>
              <w:overflowPunct/>
              <w:autoSpaceDE w:val="0"/>
              <w:autoSpaceDN w:val="0"/>
              <w:bidi w:val="0"/>
              <w:adjustRightInd w:val="0"/>
              <w:spacing w:line="360" w:lineRule="auto"/>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18" w:space="0"/>
              <w:right w:val="single" w:color="auto" w:sz="4" w:space="0"/>
            </w:tcBorders>
            <w:vAlign w:val="center"/>
          </w:tcPr>
          <w:p>
            <w:pPr>
              <w:kinsoku/>
              <w:overflowPunct/>
              <w:autoSpaceDE w:val="0"/>
              <w:autoSpaceDN w:val="0"/>
              <w:bidi w:val="0"/>
              <w:adjustRightInd w:val="0"/>
              <w:spacing w:line="360" w:lineRule="auto"/>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18" w:space="0"/>
              <w:right w:val="single" w:color="auto" w:sz="4" w:space="0"/>
            </w:tcBorders>
            <w:vAlign w:val="center"/>
          </w:tcPr>
          <w:p>
            <w:pPr>
              <w:kinsoku/>
              <w:overflowPunct/>
              <w:autoSpaceDE w:val="0"/>
              <w:autoSpaceDN w:val="0"/>
              <w:bidi w:val="0"/>
              <w:adjustRightInd w:val="0"/>
              <w:spacing w:line="360" w:lineRule="auto"/>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18" w:space="0"/>
              <w:right w:val="single" w:color="auto" w:sz="18" w:space="0"/>
            </w:tcBorders>
            <w:vAlign w:val="center"/>
          </w:tcPr>
          <w:p>
            <w:pPr>
              <w:kinsoku/>
              <w:overflowPunct/>
              <w:autoSpaceDE w:val="0"/>
              <w:autoSpaceDN w:val="0"/>
              <w:bidi w:val="0"/>
              <w:adjustRightInd w:val="0"/>
              <w:spacing w:line="360" w:lineRule="auto"/>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18" w:space="0"/>
              <w:right w:val="single" w:color="auto" w:sz="18" w:space="0"/>
            </w:tcBorders>
            <w:vAlign w:val="center"/>
          </w:tcPr>
          <w:p>
            <w:pPr>
              <w:kinsoku/>
              <w:overflowPunct/>
              <w:autoSpaceDE w:val="0"/>
              <w:autoSpaceDN w:val="0"/>
              <w:bidi w:val="0"/>
              <w:adjustRightInd w:val="0"/>
              <w:spacing w:line="360" w:lineRule="auto"/>
              <w:rPr>
                <w:rFonts w:hint="eastAsia" w:ascii="宋体" w:hAnsi="宋体" w:eastAsia="宋体" w:cs="宋体"/>
                <w:color w:val="auto"/>
                <w:kern w:val="0"/>
                <w:sz w:val="24"/>
                <w:szCs w:val="24"/>
                <w:highlight w:val="none"/>
              </w:rPr>
            </w:pPr>
          </w:p>
        </w:tc>
      </w:tr>
    </w:tbl>
    <w:p>
      <w:pPr>
        <w:kinsoku/>
        <w:overflowPunct/>
        <w:bidi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b/>
          <w:color w:val="auto"/>
          <w:kern w:val="0"/>
          <w:sz w:val="24"/>
          <w:szCs w:val="24"/>
          <w:highlight w:val="none"/>
        </w:rPr>
        <w:t>注：本表后附评分办法中要求的证明材料。</w:t>
      </w:r>
    </w:p>
    <w:p>
      <w:pPr>
        <w:kinsoku/>
        <w:overflowPunct/>
        <w:bidi w:val="0"/>
        <w:adjustRightInd w:val="0"/>
        <w:snapToGrid w:val="0"/>
        <w:spacing w:line="360" w:lineRule="auto"/>
        <w:rPr>
          <w:rFonts w:hint="eastAsia" w:ascii="宋体" w:hAnsi="宋体" w:eastAsia="宋体" w:cs="宋体"/>
          <w:color w:val="auto"/>
          <w:kern w:val="0"/>
          <w:sz w:val="24"/>
          <w:highlight w:val="none"/>
          <w:lang w:val="zh-CN"/>
        </w:rPr>
      </w:pPr>
    </w:p>
    <w:p>
      <w:pPr>
        <w:kinsoku/>
        <w:overflowPunct/>
        <w:bidi w:val="0"/>
        <w:adjustRightInd w:val="0"/>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法定/授权代表：</w:t>
      </w:r>
      <w:r>
        <w:rPr>
          <w:rFonts w:hint="eastAsia" w:ascii="宋体" w:hAnsi="宋体" w:eastAsia="宋体" w:cs="宋体"/>
          <w:color w:val="auto"/>
          <w:kern w:val="0"/>
          <w:sz w:val="24"/>
          <w:highlight w:val="none"/>
          <w:u w:val="single"/>
          <w:lang w:val="zh-CN"/>
        </w:rPr>
        <w:t xml:space="preserve">（签字或盖章） </w:t>
      </w:r>
    </w:p>
    <w:p>
      <w:pPr>
        <w:kinsoku/>
        <w:overflowPunct/>
        <w:bidi w:val="0"/>
        <w:adjustRightInd w:val="0"/>
        <w:snapToGrid w:val="0"/>
        <w:spacing w:line="360" w:lineRule="auto"/>
        <w:rPr>
          <w:rFonts w:hint="eastAsia" w:ascii="宋体" w:hAnsi="宋体" w:eastAsia="宋体" w:cs="宋体"/>
          <w:color w:val="auto"/>
          <w:kern w:val="0"/>
          <w:sz w:val="24"/>
          <w:highlight w:val="none"/>
          <w:u w:val="single"/>
          <w:lang w:val="zh-CN"/>
        </w:rPr>
      </w:pPr>
      <w:r>
        <w:rPr>
          <w:rFonts w:hint="eastAsia" w:ascii="宋体" w:hAnsi="宋体" w:eastAsia="宋体" w:cs="宋体"/>
          <w:color w:val="auto"/>
          <w:kern w:val="0"/>
          <w:sz w:val="24"/>
          <w:highlight w:val="none"/>
          <w:lang w:val="zh-CN"/>
        </w:rPr>
        <w:t>供应商：</w:t>
      </w:r>
      <w:r>
        <w:rPr>
          <w:rFonts w:hint="eastAsia" w:ascii="宋体" w:hAnsi="宋体" w:eastAsia="宋体" w:cs="宋体"/>
          <w:color w:val="auto"/>
          <w:kern w:val="0"/>
          <w:sz w:val="24"/>
          <w:highlight w:val="none"/>
          <w:u w:val="single"/>
          <w:lang w:val="zh-CN"/>
        </w:rPr>
        <w:t xml:space="preserve">（全称加盖公章）       </w:t>
      </w:r>
    </w:p>
    <w:p>
      <w:pPr>
        <w:kinsoku/>
        <w:overflowPunct/>
        <w:bidi w:val="0"/>
        <w:adjustRightInd w:val="0"/>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eastAsia="zh-CN"/>
        </w:rPr>
        <w:t>年</w:t>
      </w:r>
      <w:r>
        <w:rPr>
          <w:rFonts w:hint="eastAsia" w:ascii="宋体" w:hAnsi="宋体" w:eastAsia="宋体" w:cs="宋体"/>
          <w:color w:val="auto"/>
          <w:kern w:val="0"/>
          <w:sz w:val="24"/>
          <w:highlight w:val="none"/>
          <w:u w:val="none"/>
        </w:rPr>
        <w:tab/>
      </w:r>
      <w:r>
        <w:rPr>
          <w:rFonts w:hint="eastAsia" w:ascii="宋体" w:hAnsi="宋体" w:eastAsia="宋体" w:cs="宋体"/>
          <w:color w:val="auto"/>
          <w:kern w:val="0"/>
          <w:sz w:val="24"/>
          <w:highlight w:val="none"/>
          <w:u w:val="none"/>
          <w:lang w:val="en-US" w:eastAsia="zh-CN"/>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日</w:t>
      </w:r>
    </w:p>
    <w:p>
      <w:pPr>
        <w:kinsoku/>
        <w:overflowPunct/>
        <w:bidi w:val="0"/>
        <w:adjustRightInd w:val="0"/>
        <w:snapToGrid w:val="0"/>
        <w:spacing w:line="360" w:lineRule="auto"/>
        <w:jc w:val="center"/>
        <w:rPr>
          <w:rFonts w:hint="eastAsia" w:ascii="宋体" w:hAnsi="宋体" w:eastAsia="宋体" w:cs="宋体"/>
          <w:b/>
          <w:color w:val="auto"/>
          <w:sz w:val="24"/>
          <w:highlight w:val="none"/>
        </w:rPr>
      </w:pPr>
    </w:p>
    <w:p>
      <w:pPr>
        <w:pStyle w:val="19"/>
        <w:kinsoku/>
        <w:overflowPunct/>
        <w:bidi w:val="0"/>
        <w:spacing w:after="0" w:line="360" w:lineRule="auto"/>
        <w:ind w:firstLine="240"/>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30"/>
          <w:szCs w:val="30"/>
          <w:highlight w:val="none"/>
        </w:rPr>
        <w:br w:type="page"/>
      </w:r>
    </w:p>
    <w:p>
      <w:pPr>
        <w:pStyle w:val="49"/>
        <w:kinsoku/>
        <w:overflowPunct/>
        <w:bidi w:val="0"/>
        <w:adjustRightInd w:val="0"/>
        <w:snapToGrid w:val="0"/>
        <w:spacing w:line="360" w:lineRule="auto"/>
        <w:jc w:val="center"/>
        <w:outlineLvl w:val="1"/>
        <w:rPr>
          <w:rFonts w:hint="eastAsia" w:ascii="宋体" w:hAnsi="宋体" w:eastAsia="宋体" w:cs="宋体"/>
          <w:b/>
          <w:color w:val="auto"/>
          <w:kern w:val="0"/>
          <w:sz w:val="30"/>
          <w:highlight w:val="none"/>
          <w:lang w:val="zh-CN"/>
        </w:rPr>
      </w:pPr>
      <w:r>
        <w:rPr>
          <w:rFonts w:hint="eastAsia" w:ascii="宋体" w:hAnsi="宋体" w:eastAsia="宋体" w:cs="宋体"/>
          <w:b/>
          <w:color w:val="auto"/>
          <w:kern w:val="0"/>
          <w:sz w:val="30"/>
          <w:highlight w:val="none"/>
          <w:lang w:val="zh-CN"/>
        </w:rPr>
        <w:t>格式五：</w:t>
      </w:r>
      <w:bookmarkEnd w:id="92"/>
      <w:bookmarkEnd w:id="93"/>
      <w:bookmarkStart w:id="94" w:name="_Toc522530057"/>
      <w:r>
        <w:rPr>
          <w:rFonts w:hint="eastAsia" w:ascii="宋体" w:hAnsi="宋体" w:eastAsia="宋体" w:cs="宋体"/>
          <w:b/>
          <w:color w:val="auto"/>
          <w:kern w:val="0"/>
          <w:sz w:val="30"/>
          <w:highlight w:val="none"/>
          <w:lang w:val="zh-CN"/>
        </w:rPr>
        <w:t>商务/技术偏离表</w:t>
      </w:r>
    </w:p>
    <w:p>
      <w:pPr>
        <w:kinsoku/>
        <w:overflowPunct/>
        <w:bidi w:val="0"/>
        <w:spacing w:line="360" w:lineRule="auto"/>
        <w:rPr>
          <w:rFonts w:hint="eastAsia" w:ascii="宋体" w:hAnsi="宋体" w:eastAsia="宋体" w:cs="宋体"/>
          <w:color w:val="auto"/>
          <w:highlight w:val="none"/>
          <w:lang w:val="zh-CN"/>
        </w:rPr>
      </w:pPr>
    </w:p>
    <w:tbl>
      <w:tblPr>
        <w:tblStyle w:val="98"/>
        <w:tblW w:w="9242" w:type="dxa"/>
        <w:jc w:val="center"/>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677"/>
        <w:gridCol w:w="2693"/>
        <w:gridCol w:w="2593"/>
        <w:gridCol w:w="1431"/>
        <w:gridCol w:w="1848"/>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Align w:val="center"/>
          </w:tcPr>
          <w:p>
            <w:pPr>
              <w:kinsoku/>
              <w:wordWrap/>
              <w:overflowPunct/>
              <w:topLinePunct w:val="0"/>
              <w:bidi w:val="0"/>
              <w:adjustRightInd w:val="0"/>
              <w:snapToGrid w:val="0"/>
              <w:spacing w:line="36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序号</w:t>
            </w:r>
          </w:p>
        </w:tc>
        <w:tc>
          <w:tcPr>
            <w:tcW w:w="2693" w:type="dxa"/>
            <w:vAlign w:val="center"/>
          </w:tcPr>
          <w:p>
            <w:pPr>
              <w:kinsoku/>
              <w:wordWrap/>
              <w:overflowPunct/>
              <w:topLinePunct w:val="0"/>
              <w:bidi w:val="0"/>
              <w:adjustRightInd w:val="0"/>
              <w:snapToGrid w:val="0"/>
              <w:spacing w:line="36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招标文件要求</w:t>
            </w:r>
          </w:p>
        </w:tc>
        <w:tc>
          <w:tcPr>
            <w:tcW w:w="2593" w:type="dxa"/>
            <w:vAlign w:val="center"/>
          </w:tcPr>
          <w:p>
            <w:pPr>
              <w:kinsoku/>
              <w:wordWrap/>
              <w:overflowPunct/>
              <w:topLinePunct w:val="0"/>
              <w:bidi w:val="0"/>
              <w:adjustRightInd w:val="0"/>
              <w:snapToGrid w:val="0"/>
              <w:spacing w:line="36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投标文件响应</w:t>
            </w:r>
          </w:p>
        </w:tc>
        <w:tc>
          <w:tcPr>
            <w:tcW w:w="1431" w:type="dxa"/>
            <w:vAlign w:val="center"/>
          </w:tcPr>
          <w:p>
            <w:pPr>
              <w:kinsoku/>
              <w:wordWrap/>
              <w:overflowPunct/>
              <w:topLinePunct w:val="0"/>
              <w:bidi w:val="0"/>
              <w:adjustRightInd w:val="0"/>
              <w:snapToGrid w:val="0"/>
              <w:spacing w:line="36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正/负偏离</w:t>
            </w:r>
          </w:p>
        </w:tc>
        <w:tc>
          <w:tcPr>
            <w:tcW w:w="1848" w:type="dxa"/>
            <w:vAlign w:val="center"/>
          </w:tcPr>
          <w:p>
            <w:pPr>
              <w:kinsoku/>
              <w:wordWrap/>
              <w:overflowPunct/>
              <w:topLinePunct w:val="0"/>
              <w:bidi w:val="0"/>
              <w:adjustRightInd w:val="0"/>
              <w:snapToGrid w:val="0"/>
              <w:spacing w:line="36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理由</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Align w:val="center"/>
          </w:tcPr>
          <w:p>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693" w:type="dxa"/>
            <w:vAlign w:val="center"/>
          </w:tcPr>
          <w:p>
            <w:pPr>
              <w:kinsoku/>
              <w:wordWrap/>
              <w:overflowPunct/>
              <w:topLinePunct w:val="0"/>
              <w:bidi w:val="0"/>
              <w:adjustRightInd w:val="0"/>
              <w:snapToGrid w:val="0"/>
              <w:spacing w:line="360" w:lineRule="auto"/>
              <w:jc w:val="center"/>
              <w:rPr>
                <w:rFonts w:hint="eastAsia" w:ascii="宋体" w:hAnsi="宋体" w:eastAsia="宋体" w:cs="宋体"/>
                <w:color w:val="auto"/>
                <w:sz w:val="24"/>
                <w:highlight w:val="none"/>
              </w:rPr>
            </w:pPr>
          </w:p>
        </w:tc>
        <w:tc>
          <w:tcPr>
            <w:tcW w:w="2593" w:type="dxa"/>
            <w:vAlign w:val="center"/>
          </w:tcPr>
          <w:p>
            <w:pPr>
              <w:kinsoku/>
              <w:wordWrap/>
              <w:overflowPunct/>
              <w:topLinePunct w:val="0"/>
              <w:bidi w:val="0"/>
              <w:adjustRightInd w:val="0"/>
              <w:snapToGrid w:val="0"/>
              <w:spacing w:line="360" w:lineRule="auto"/>
              <w:jc w:val="center"/>
              <w:rPr>
                <w:rFonts w:hint="eastAsia" w:ascii="宋体" w:hAnsi="宋体" w:eastAsia="宋体" w:cs="宋体"/>
                <w:color w:val="auto"/>
                <w:sz w:val="24"/>
                <w:highlight w:val="none"/>
              </w:rPr>
            </w:pPr>
          </w:p>
        </w:tc>
        <w:tc>
          <w:tcPr>
            <w:tcW w:w="1431" w:type="dxa"/>
            <w:vAlign w:val="center"/>
          </w:tcPr>
          <w:p>
            <w:pPr>
              <w:kinsoku/>
              <w:wordWrap/>
              <w:overflowPunct/>
              <w:topLinePunct w:val="0"/>
              <w:bidi w:val="0"/>
              <w:adjustRightInd w:val="0"/>
              <w:snapToGrid w:val="0"/>
              <w:spacing w:line="360" w:lineRule="auto"/>
              <w:jc w:val="center"/>
              <w:rPr>
                <w:rFonts w:hint="eastAsia" w:ascii="宋体" w:hAnsi="宋体" w:eastAsia="宋体" w:cs="宋体"/>
                <w:color w:val="auto"/>
                <w:sz w:val="24"/>
                <w:highlight w:val="none"/>
              </w:rPr>
            </w:pPr>
          </w:p>
        </w:tc>
        <w:tc>
          <w:tcPr>
            <w:tcW w:w="1848" w:type="dxa"/>
            <w:vAlign w:val="center"/>
          </w:tcPr>
          <w:p>
            <w:pPr>
              <w:kinsoku/>
              <w:wordWrap/>
              <w:overflowPunct/>
              <w:topLinePunct w:val="0"/>
              <w:bidi w:val="0"/>
              <w:adjustRightInd w:val="0"/>
              <w:snapToGrid w:val="0"/>
              <w:spacing w:line="360" w:lineRule="auto"/>
              <w:jc w:val="center"/>
              <w:rPr>
                <w:rFonts w:hint="eastAsia" w:ascii="宋体" w:hAnsi="宋体" w:eastAsia="宋体" w:cs="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Align w:val="center"/>
          </w:tcPr>
          <w:p>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2693" w:type="dxa"/>
            <w:vAlign w:val="center"/>
          </w:tcPr>
          <w:p>
            <w:pPr>
              <w:kinsoku/>
              <w:wordWrap/>
              <w:overflowPunct/>
              <w:topLinePunct w:val="0"/>
              <w:bidi w:val="0"/>
              <w:adjustRightInd w:val="0"/>
              <w:snapToGrid w:val="0"/>
              <w:spacing w:line="360" w:lineRule="auto"/>
              <w:jc w:val="center"/>
              <w:rPr>
                <w:rFonts w:hint="eastAsia" w:ascii="宋体" w:hAnsi="宋体" w:eastAsia="宋体" w:cs="宋体"/>
                <w:color w:val="auto"/>
                <w:sz w:val="24"/>
                <w:highlight w:val="none"/>
              </w:rPr>
            </w:pPr>
          </w:p>
        </w:tc>
        <w:tc>
          <w:tcPr>
            <w:tcW w:w="2593" w:type="dxa"/>
            <w:vAlign w:val="center"/>
          </w:tcPr>
          <w:p>
            <w:pPr>
              <w:kinsoku/>
              <w:wordWrap/>
              <w:overflowPunct/>
              <w:topLinePunct w:val="0"/>
              <w:bidi w:val="0"/>
              <w:adjustRightInd w:val="0"/>
              <w:snapToGrid w:val="0"/>
              <w:spacing w:line="360" w:lineRule="auto"/>
              <w:jc w:val="center"/>
              <w:rPr>
                <w:rFonts w:hint="eastAsia" w:ascii="宋体" w:hAnsi="宋体" w:eastAsia="宋体" w:cs="宋体"/>
                <w:color w:val="auto"/>
                <w:sz w:val="24"/>
                <w:highlight w:val="none"/>
              </w:rPr>
            </w:pPr>
          </w:p>
        </w:tc>
        <w:tc>
          <w:tcPr>
            <w:tcW w:w="1431" w:type="dxa"/>
            <w:vAlign w:val="center"/>
          </w:tcPr>
          <w:p>
            <w:pPr>
              <w:kinsoku/>
              <w:wordWrap/>
              <w:overflowPunct/>
              <w:topLinePunct w:val="0"/>
              <w:bidi w:val="0"/>
              <w:adjustRightInd w:val="0"/>
              <w:snapToGrid w:val="0"/>
              <w:spacing w:line="360" w:lineRule="auto"/>
              <w:jc w:val="center"/>
              <w:rPr>
                <w:rFonts w:hint="eastAsia" w:ascii="宋体" w:hAnsi="宋体" w:eastAsia="宋体" w:cs="宋体"/>
                <w:color w:val="auto"/>
                <w:sz w:val="24"/>
                <w:highlight w:val="none"/>
              </w:rPr>
            </w:pPr>
          </w:p>
        </w:tc>
        <w:tc>
          <w:tcPr>
            <w:tcW w:w="1848" w:type="dxa"/>
            <w:vAlign w:val="center"/>
          </w:tcPr>
          <w:p>
            <w:pPr>
              <w:kinsoku/>
              <w:wordWrap/>
              <w:overflowPunct/>
              <w:topLinePunct w:val="0"/>
              <w:bidi w:val="0"/>
              <w:adjustRightInd w:val="0"/>
              <w:snapToGrid w:val="0"/>
              <w:spacing w:line="360" w:lineRule="auto"/>
              <w:jc w:val="center"/>
              <w:rPr>
                <w:rFonts w:hint="eastAsia" w:ascii="宋体" w:hAnsi="宋体" w:eastAsia="宋体" w:cs="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Align w:val="center"/>
          </w:tcPr>
          <w:p>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2693" w:type="dxa"/>
            <w:vAlign w:val="center"/>
          </w:tcPr>
          <w:p>
            <w:pPr>
              <w:kinsoku/>
              <w:wordWrap/>
              <w:overflowPunct/>
              <w:topLinePunct w:val="0"/>
              <w:bidi w:val="0"/>
              <w:adjustRightInd w:val="0"/>
              <w:snapToGrid w:val="0"/>
              <w:spacing w:line="360" w:lineRule="auto"/>
              <w:jc w:val="center"/>
              <w:rPr>
                <w:rFonts w:hint="eastAsia" w:ascii="宋体" w:hAnsi="宋体" w:eastAsia="宋体" w:cs="宋体"/>
                <w:color w:val="auto"/>
                <w:sz w:val="24"/>
                <w:highlight w:val="none"/>
              </w:rPr>
            </w:pPr>
          </w:p>
        </w:tc>
        <w:tc>
          <w:tcPr>
            <w:tcW w:w="2593" w:type="dxa"/>
            <w:vAlign w:val="center"/>
          </w:tcPr>
          <w:p>
            <w:pPr>
              <w:kinsoku/>
              <w:wordWrap/>
              <w:overflowPunct/>
              <w:topLinePunct w:val="0"/>
              <w:bidi w:val="0"/>
              <w:adjustRightInd w:val="0"/>
              <w:snapToGrid w:val="0"/>
              <w:spacing w:line="360" w:lineRule="auto"/>
              <w:jc w:val="center"/>
              <w:rPr>
                <w:rFonts w:hint="eastAsia" w:ascii="宋体" w:hAnsi="宋体" w:eastAsia="宋体" w:cs="宋体"/>
                <w:color w:val="auto"/>
                <w:sz w:val="24"/>
                <w:highlight w:val="none"/>
              </w:rPr>
            </w:pPr>
          </w:p>
        </w:tc>
        <w:tc>
          <w:tcPr>
            <w:tcW w:w="1431" w:type="dxa"/>
            <w:vAlign w:val="center"/>
          </w:tcPr>
          <w:p>
            <w:pPr>
              <w:kinsoku/>
              <w:wordWrap/>
              <w:overflowPunct/>
              <w:topLinePunct w:val="0"/>
              <w:bidi w:val="0"/>
              <w:adjustRightInd w:val="0"/>
              <w:snapToGrid w:val="0"/>
              <w:spacing w:line="360" w:lineRule="auto"/>
              <w:jc w:val="center"/>
              <w:rPr>
                <w:rFonts w:hint="eastAsia" w:ascii="宋体" w:hAnsi="宋体" w:eastAsia="宋体" w:cs="宋体"/>
                <w:color w:val="auto"/>
                <w:sz w:val="24"/>
                <w:highlight w:val="none"/>
              </w:rPr>
            </w:pPr>
          </w:p>
        </w:tc>
        <w:tc>
          <w:tcPr>
            <w:tcW w:w="1848" w:type="dxa"/>
            <w:vAlign w:val="center"/>
          </w:tcPr>
          <w:p>
            <w:pPr>
              <w:kinsoku/>
              <w:wordWrap/>
              <w:overflowPunct/>
              <w:topLinePunct w:val="0"/>
              <w:bidi w:val="0"/>
              <w:adjustRightInd w:val="0"/>
              <w:snapToGrid w:val="0"/>
              <w:spacing w:line="360" w:lineRule="auto"/>
              <w:jc w:val="center"/>
              <w:rPr>
                <w:rFonts w:hint="eastAsia" w:ascii="宋体" w:hAnsi="宋体" w:eastAsia="宋体" w:cs="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Align w:val="center"/>
          </w:tcPr>
          <w:p>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693" w:type="dxa"/>
            <w:vAlign w:val="center"/>
          </w:tcPr>
          <w:p>
            <w:pPr>
              <w:kinsoku/>
              <w:wordWrap/>
              <w:overflowPunct/>
              <w:topLinePunct w:val="0"/>
              <w:bidi w:val="0"/>
              <w:adjustRightInd w:val="0"/>
              <w:snapToGrid w:val="0"/>
              <w:spacing w:line="360" w:lineRule="auto"/>
              <w:jc w:val="center"/>
              <w:rPr>
                <w:rFonts w:hint="eastAsia" w:ascii="宋体" w:hAnsi="宋体" w:eastAsia="宋体" w:cs="宋体"/>
                <w:color w:val="auto"/>
                <w:sz w:val="24"/>
                <w:highlight w:val="none"/>
              </w:rPr>
            </w:pPr>
          </w:p>
        </w:tc>
        <w:tc>
          <w:tcPr>
            <w:tcW w:w="2593" w:type="dxa"/>
            <w:vAlign w:val="center"/>
          </w:tcPr>
          <w:p>
            <w:pPr>
              <w:kinsoku/>
              <w:wordWrap/>
              <w:overflowPunct/>
              <w:topLinePunct w:val="0"/>
              <w:bidi w:val="0"/>
              <w:adjustRightInd w:val="0"/>
              <w:snapToGrid w:val="0"/>
              <w:spacing w:line="360" w:lineRule="auto"/>
              <w:jc w:val="center"/>
              <w:rPr>
                <w:rFonts w:hint="eastAsia" w:ascii="宋体" w:hAnsi="宋体" w:eastAsia="宋体" w:cs="宋体"/>
                <w:color w:val="auto"/>
                <w:sz w:val="24"/>
                <w:highlight w:val="none"/>
              </w:rPr>
            </w:pPr>
          </w:p>
        </w:tc>
        <w:tc>
          <w:tcPr>
            <w:tcW w:w="1431" w:type="dxa"/>
            <w:vAlign w:val="center"/>
          </w:tcPr>
          <w:p>
            <w:pPr>
              <w:kinsoku/>
              <w:wordWrap/>
              <w:overflowPunct/>
              <w:topLinePunct w:val="0"/>
              <w:bidi w:val="0"/>
              <w:adjustRightInd w:val="0"/>
              <w:snapToGrid w:val="0"/>
              <w:spacing w:line="360" w:lineRule="auto"/>
              <w:jc w:val="center"/>
              <w:rPr>
                <w:rFonts w:hint="eastAsia" w:ascii="宋体" w:hAnsi="宋体" w:eastAsia="宋体" w:cs="宋体"/>
                <w:color w:val="auto"/>
                <w:sz w:val="24"/>
                <w:highlight w:val="none"/>
              </w:rPr>
            </w:pPr>
          </w:p>
        </w:tc>
        <w:tc>
          <w:tcPr>
            <w:tcW w:w="1848" w:type="dxa"/>
            <w:vAlign w:val="center"/>
          </w:tcPr>
          <w:p>
            <w:pPr>
              <w:kinsoku/>
              <w:wordWrap/>
              <w:overflowPunct/>
              <w:topLinePunct w:val="0"/>
              <w:bidi w:val="0"/>
              <w:adjustRightInd w:val="0"/>
              <w:snapToGrid w:val="0"/>
              <w:spacing w:line="360" w:lineRule="auto"/>
              <w:jc w:val="center"/>
              <w:rPr>
                <w:rFonts w:hint="eastAsia" w:ascii="宋体" w:hAnsi="宋体" w:eastAsia="宋体" w:cs="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Align w:val="center"/>
          </w:tcPr>
          <w:p>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693" w:type="dxa"/>
            <w:vAlign w:val="center"/>
          </w:tcPr>
          <w:p>
            <w:pPr>
              <w:kinsoku/>
              <w:wordWrap/>
              <w:overflowPunct/>
              <w:topLinePunct w:val="0"/>
              <w:bidi w:val="0"/>
              <w:adjustRightInd w:val="0"/>
              <w:snapToGrid w:val="0"/>
              <w:spacing w:line="360" w:lineRule="auto"/>
              <w:jc w:val="center"/>
              <w:rPr>
                <w:rFonts w:hint="eastAsia" w:ascii="宋体" w:hAnsi="宋体" w:eastAsia="宋体" w:cs="宋体"/>
                <w:color w:val="auto"/>
                <w:sz w:val="24"/>
                <w:highlight w:val="none"/>
              </w:rPr>
            </w:pPr>
          </w:p>
        </w:tc>
        <w:tc>
          <w:tcPr>
            <w:tcW w:w="2593" w:type="dxa"/>
            <w:vAlign w:val="center"/>
          </w:tcPr>
          <w:p>
            <w:pPr>
              <w:kinsoku/>
              <w:wordWrap/>
              <w:overflowPunct/>
              <w:topLinePunct w:val="0"/>
              <w:bidi w:val="0"/>
              <w:adjustRightInd w:val="0"/>
              <w:snapToGrid w:val="0"/>
              <w:spacing w:line="360" w:lineRule="auto"/>
              <w:jc w:val="center"/>
              <w:rPr>
                <w:rFonts w:hint="eastAsia" w:ascii="宋体" w:hAnsi="宋体" w:eastAsia="宋体" w:cs="宋体"/>
                <w:color w:val="auto"/>
                <w:sz w:val="24"/>
                <w:highlight w:val="none"/>
              </w:rPr>
            </w:pPr>
          </w:p>
        </w:tc>
        <w:tc>
          <w:tcPr>
            <w:tcW w:w="1431" w:type="dxa"/>
            <w:vAlign w:val="center"/>
          </w:tcPr>
          <w:p>
            <w:pPr>
              <w:kinsoku/>
              <w:wordWrap/>
              <w:overflowPunct/>
              <w:topLinePunct w:val="0"/>
              <w:bidi w:val="0"/>
              <w:adjustRightInd w:val="0"/>
              <w:snapToGrid w:val="0"/>
              <w:spacing w:line="360" w:lineRule="auto"/>
              <w:jc w:val="center"/>
              <w:rPr>
                <w:rFonts w:hint="eastAsia" w:ascii="宋体" w:hAnsi="宋体" w:eastAsia="宋体" w:cs="宋体"/>
                <w:color w:val="auto"/>
                <w:sz w:val="24"/>
                <w:highlight w:val="none"/>
              </w:rPr>
            </w:pPr>
          </w:p>
        </w:tc>
        <w:tc>
          <w:tcPr>
            <w:tcW w:w="1848" w:type="dxa"/>
            <w:vAlign w:val="center"/>
          </w:tcPr>
          <w:p>
            <w:pPr>
              <w:kinsoku/>
              <w:wordWrap/>
              <w:overflowPunct/>
              <w:topLinePunct w:val="0"/>
              <w:bidi w:val="0"/>
              <w:adjustRightInd w:val="0"/>
              <w:snapToGrid w:val="0"/>
              <w:spacing w:line="360" w:lineRule="auto"/>
              <w:jc w:val="center"/>
              <w:rPr>
                <w:rFonts w:hint="eastAsia" w:ascii="宋体" w:hAnsi="宋体" w:eastAsia="宋体" w:cs="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Align w:val="center"/>
          </w:tcPr>
          <w:p>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693" w:type="dxa"/>
            <w:vAlign w:val="center"/>
          </w:tcPr>
          <w:p>
            <w:pPr>
              <w:kinsoku/>
              <w:wordWrap/>
              <w:overflowPunct/>
              <w:topLinePunct w:val="0"/>
              <w:bidi w:val="0"/>
              <w:adjustRightInd w:val="0"/>
              <w:snapToGrid w:val="0"/>
              <w:spacing w:line="360" w:lineRule="auto"/>
              <w:jc w:val="center"/>
              <w:rPr>
                <w:rFonts w:hint="eastAsia" w:ascii="宋体" w:hAnsi="宋体" w:eastAsia="宋体" w:cs="宋体"/>
                <w:color w:val="auto"/>
                <w:sz w:val="24"/>
                <w:highlight w:val="none"/>
              </w:rPr>
            </w:pPr>
          </w:p>
        </w:tc>
        <w:tc>
          <w:tcPr>
            <w:tcW w:w="2593" w:type="dxa"/>
            <w:vAlign w:val="center"/>
          </w:tcPr>
          <w:p>
            <w:pPr>
              <w:kinsoku/>
              <w:wordWrap/>
              <w:overflowPunct/>
              <w:topLinePunct w:val="0"/>
              <w:bidi w:val="0"/>
              <w:adjustRightInd w:val="0"/>
              <w:snapToGrid w:val="0"/>
              <w:spacing w:line="360" w:lineRule="auto"/>
              <w:jc w:val="center"/>
              <w:rPr>
                <w:rFonts w:hint="eastAsia" w:ascii="宋体" w:hAnsi="宋体" w:eastAsia="宋体" w:cs="宋体"/>
                <w:color w:val="auto"/>
                <w:sz w:val="24"/>
                <w:highlight w:val="none"/>
              </w:rPr>
            </w:pPr>
          </w:p>
        </w:tc>
        <w:tc>
          <w:tcPr>
            <w:tcW w:w="1431" w:type="dxa"/>
            <w:vAlign w:val="center"/>
          </w:tcPr>
          <w:p>
            <w:pPr>
              <w:kinsoku/>
              <w:wordWrap/>
              <w:overflowPunct/>
              <w:topLinePunct w:val="0"/>
              <w:bidi w:val="0"/>
              <w:adjustRightInd w:val="0"/>
              <w:snapToGrid w:val="0"/>
              <w:spacing w:line="360" w:lineRule="auto"/>
              <w:jc w:val="center"/>
              <w:rPr>
                <w:rFonts w:hint="eastAsia" w:ascii="宋体" w:hAnsi="宋体" w:eastAsia="宋体" w:cs="宋体"/>
                <w:color w:val="auto"/>
                <w:sz w:val="24"/>
                <w:highlight w:val="none"/>
              </w:rPr>
            </w:pPr>
          </w:p>
        </w:tc>
        <w:tc>
          <w:tcPr>
            <w:tcW w:w="1848" w:type="dxa"/>
            <w:vAlign w:val="center"/>
          </w:tcPr>
          <w:p>
            <w:pPr>
              <w:kinsoku/>
              <w:wordWrap/>
              <w:overflowPunct/>
              <w:topLinePunct w:val="0"/>
              <w:bidi w:val="0"/>
              <w:adjustRightInd w:val="0"/>
              <w:snapToGrid w:val="0"/>
              <w:spacing w:line="360" w:lineRule="auto"/>
              <w:jc w:val="center"/>
              <w:rPr>
                <w:rFonts w:hint="eastAsia" w:ascii="宋体" w:hAnsi="宋体" w:eastAsia="宋体" w:cs="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Align w:val="center"/>
          </w:tcPr>
          <w:p>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693" w:type="dxa"/>
            <w:vAlign w:val="center"/>
          </w:tcPr>
          <w:p>
            <w:pPr>
              <w:kinsoku/>
              <w:wordWrap/>
              <w:overflowPunct/>
              <w:topLinePunct w:val="0"/>
              <w:bidi w:val="0"/>
              <w:adjustRightInd w:val="0"/>
              <w:snapToGrid w:val="0"/>
              <w:spacing w:line="360" w:lineRule="auto"/>
              <w:jc w:val="center"/>
              <w:rPr>
                <w:rFonts w:hint="eastAsia" w:ascii="宋体" w:hAnsi="宋体" w:eastAsia="宋体" w:cs="宋体"/>
                <w:color w:val="auto"/>
                <w:sz w:val="24"/>
                <w:highlight w:val="none"/>
              </w:rPr>
            </w:pPr>
          </w:p>
        </w:tc>
        <w:tc>
          <w:tcPr>
            <w:tcW w:w="2593" w:type="dxa"/>
            <w:vAlign w:val="center"/>
          </w:tcPr>
          <w:p>
            <w:pPr>
              <w:kinsoku/>
              <w:wordWrap/>
              <w:overflowPunct/>
              <w:topLinePunct w:val="0"/>
              <w:bidi w:val="0"/>
              <w:adjustRightInd w:val="0"/>
              <w:snapToGrid w:val="0"/>
              <w:spacing w:line="360" w:lineRule="auto"/>
              <w:jc w:val="center"/>
              <w:rPr>
                <w:rFonts w:hint="eastAsia" w:ascii="宋体" w:hAnsi="宋体" w:eastAsia="宋体" w:cs="宋体"/>
                <w:color w:val="auto"/>
                <w:sz w:val="24"/>
                <w:highlight w:val="none"/>
              </w:rPr>
            </w:pPr>
          </w:p>
        </w:tc>
        <w:tc>
          <w:tcPr>
            <w:tcW w:w="1431" w:type="dxa"/>
            <w:vAlign w:val="center"/>
          </w:tcPr>
          <w:p>
            <w:pPr>
              <w:kinsoku/>
              <w:wordWrap/>
              <w:overflowPunct/>
              <w:topLinePunct w:val="0"/>
              <w:bidi w:val="0"/>
              <w:adjustRightInd w:val="0"/>
              <w:snapToGrid w:val="0"/>
              <w:spacing w:line="360" w:lineRule="auto"/>
              <w:jc w:val="center"/>
              <w:rPr>
                <w:rFonts w:hint="eastAsia" w:ascii="宋体" w:hAnsi="宋体" w:eastAsia="宋体" w:cs="宋体"/>
                <w:color w:val="auto"/>
                <w:sz w:val="24"/>
                <w:highlight w:val="none"/>
              </w:rPr>
            </w:pPr>
          </w:p>
        </w:tc>
        <w:tc>
          <w:tcPr>
            <w:tcW w:w="1848" w:type="dxa"/>
            <w:vAlign w:val="center"/>
          </w:tcPr>
          <w:p>
            <w:pPr>
              <w:kinsoku/>
              <w:wordWrap/>
              <w:overflowPunct/>
              <w:topLinePunct w:val="0"/>
              <w:bidi w:val="0"/>
              <w:adjustRightInd w:val="0"/>
              <w:snapToGrid w:val="0"/>
              <w:spacing w:line="360" w:lineRule="auto"/>
              <w:jc w:val="center"/>
              <w:rPr>
                <w:rFonts w:hint="eastAsia" w:ascii="宋体" w:hAnsi="宋体" w:eastAsia="宋体" w:cs="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Align w:val="center"/>
          </w:tcPr>
          <w:p>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693" w:type="dxa"/>
            <w:vAlign w:val="center"/>
          </w:tcPr>
          <w:p>
            <w:pPr>
              <w:kinsoku/>
              <w:wordWrap/>
              <w:overflowPunct/>
              <w:topLinePunct w:val="0"/>
              <w:bidi w:val="0"/>
              <w:adjustRightInd w:val="0"/>
              <w:snapToGrid w:val="0"/>
              <w:spacing w:line="360" w:lineRule="auto"/>
              <w:jc w:val="center"/>
              <w:rPr>
                <w:rFonts w:hint="eastAsia" w:ascii="宋体" w:hAnsi="宋体" w:eastAsia="宋体" w:cs="宋体"/>
                <w:color w:val="auto"/>
                <w:sz w:val="24"/>
                <w:highlight w:val="none"/>
              </w:rPr>
            </w:pPr>
          </w:p>
        </w:tc>
        <w:tc>
          <w:tcPr>
            <w:tcW w:w="2593" w:type="dxa"/>
            <w:vAlign w:val="center"/>
          </w:tcPr>
          <w:p>
            <w:pPr>
              <w:kinsoku/>
              <w:wordWrap/>
              <w:overflowPunct/>
              <w:topLinePunct w:val="0"/>
              <w:bidi w:val="0"/>
              <w:adjustRightInd w:val="0"/>
              <w:snapToGrid w:val="0"/>
              <w:spacing w:line="360" w:lineRule="auto"/>
              <w:jc w:val="center"/>
              <w:rPr>
                <w:rFonts w:hint="eastAsia" w:ascii="宋体" w:hAnsi="宋体" w:eastAsia="宋体" w:cs="宋体"/>
                <w:color w:val="auto"/>
                <w:sz w:val="24"/>
                <w:highlight w:val="none"/>
              </w:rPr>
            </w:pPr>
          </w:p>
        </w:tc>
        <w:tc>
          <w:tcPr>
            <w:tcW w:w="1431" w:type="dxa"/>
            <w:vAlign w:val="center"/>
          </w:tcPr>
          <w:p>
            <w:pPr>
              <w:kinsoku/>
              <w:wordWrap/>
              <w:overflowPunct/>
              <w:topLinePunct w:val="0"/>
              <w:bidi w:val="0"/>
              <w:adjustRightInd w:val="0"/>
              <w:snapToGrid w:val="0"/>
              <w:spacing w:line="360" w:lineRule="auto"/>
              <w:jc w:val="center"/>
              <w:rPr>
                <w:rFonts w:hint="eastAsia" w:ascii="宋体" w:hAnsi="宋体" w:eastAsia="宋体" w:cs="宋体"/>
                <w:color w:val="auto"/>
                <w:sz w:val="24"/>
                <w:highlight w:val="none"/>
              </w:rPr>
            </w:pPr>
          </w:p>
        </w:tc>
        <w:tc>
          <w:tcPr>
            <w:tcW w:w="1848" w:type="dxa"/>
            <w:vAlign w:val="center"/>
          </w:tcPr>
          <w:p>
            <w:pPr>
              <w:kinsoku/>
              <w:wordWrap/>
              <w:overflowPunct/>
              <w:topLinePunct w:val="0"/>
              <w:bidi w:val="0"/>
              <w:adjustRightInd w:val="0"/>
              <w:snapToGrid w:val="0"/>
              <w:spacing w:line="360" w:lineRule="auto"/>
              <w:jc w:val="center"/>
              <w:rPr>
                <w:rFonts w:hint="eastAsia" w:ascii="宋体" w:hAnsi="宋体" w:eastAsia="宋体" w:cs="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Align w:val="center"/>
          </w:tcPr>
          <w:p>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693" w:type="dxa"/>
            <w:vAlign w:val="center"/>
          </w:tcPr>
          <w:p>
            <w:pPr>
              <w:kinsoku/>
              <w:wordWrap/>
              <w:overflowPunct/>
              <w:topLinePunct w:val="0"/>
              <w:bidi w:val="0"/>
              <w:adjustRightInd w:val="0"/>
              <w:snapToGrid w:val="0"/>
              <w:spacing w:line="360" w:lineRule="auto"/>
              <w:jc w:val="center"/>
              <w:rPr>
                <w:rFonts w:hint="eastAsia" w:ascii="宋体" w:hAnsi="宋体" w:eastAsia="宋体" w:cs="宋体"/>
                <w:color w:val="auto"/>
                <w:sz w:val="24"/>
                <w:highlight w:val="none"/>
              </w:rPr>
            </w:pPr>
          </w:p>
        </w:tc>
        <w:tc>
          <w:tcPr>
            <w:tcW w:w="2593" w:type="dxa"/>
            <w:vAlign w:val="center"/>
          </w:tcPr>
          <w:p>
            <w:pPr>
              <w:kinsoku/>
              <w:wordWrap/>
              <w:overflowPunct/>
              <w:topLinePunct w:val="0"/>
              <w:bidi w:val="0"/>
              <w:adjustRightInd w:val="0"/>
              <w:snapToGrid w:val="0"/>
              <w:spacing w:line="360" w:lineRule="auto"/>
              <w:jc w:val="center"/>
              <w:rPr>
                <w:rFonts w:hint="eastAsia" w:ascii="宋体" w:hAnsi="宋体" w:eastAsia="宋体" w:cs="宋体"/>
                <w:color w:val="auto"/>
                <w:sz w:val="24"/>
                <w:highlight w:val="none"/>
              </w:rPr>
            </w:pPr>
          </w:p>
        </w:tc>
        <w:tc>
          <w:tcPr>
            <w:tcW w:w="1431" w:type="dxa"/>
            <w:vAlign w:val="center"/>
          </w:tcPr>
          <w:p>
            <w:pPr>
              <w:kinsoku/>
              <w:wordWrap/>
              <w:overflowPunct/>
              <w:topLinePunct w:val="0"/>
              <w:bidi w:val="0"/>
              <w:adjustRightInd w:val="0"/>
              <w:snapToGrid w:val="0"/>
              <w:spacing w:line="360" w:lineRule="auto"/>
              <w:jc w:val="center"/>
              <w:rPr>
                <w:rFonts w:hint="eastAsia" w:ascii="宋体" w:hAnsi="宋体" w:eastAsia="宋体" w:cs="宋体"/>
                <w:color w:val="auto"/>
                <w:sz w:val="24"/>
                <w:highlight w:val="none"/>
              </w:rPr>
            </w:pPr>
          </w:p>
        </w:tc>
        <w:tc>
          <w:tcPr>
            <w:tcW w:w="1848" w:type="dxa"/>
            <w:vAlign w:val="center"/>
          </w:tcPr>
          <w:p>
            <w:pPr>
              <w:kinsoku/>
              <w:wordWrap/>
              <w:overflowPunct/>
              <w:topLinePunct w:val="0"/>
              <w:bidi w:val="0"/>
              <w:adjustRightInd w:val="0"/>
              <w:snapToGrid w:val="0"/>
              <w:spacing w:line="360" w:lineRule="auto"/>
              <w:jc w:val="center"/>
              <w:rPr>
                <w:rFonts w:hint="eastAsia" w:ascii="宋体" w:hAnsi="宋体" w:eastAsia="宋体" w:cs="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Align w:val="center"/>
          </w:tcPr>
          <w:p>
            <w:pPr>
              <w:kinsoku/>
              <w:wordWrap/>
              <w:overflowPunct/>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w:t>
            </w:r>
          </w:p>
        </w:tc>
        <w:tc>
          <w:tcPr>
            <w:tcW w:w="2693" w:type="dxa"/>
            <w:vAlign w:val="center"/>
          </w:tcPr>
          <w:p>
            <w:pPr>
              <w:kinsoku/>
              <w:wordWrap/>
              <w:overflowPunct/>
              <w:topLinePunct w:val="0"/>
              <w:bidi w:val="0"/>
              <w:adjustRightInd w:val="0"/>
              <w:snapToGrid w:val="0"/>
              <w:spacing w:line="360" w:lineRule="auto"/>
              <w:jc w:val="center"/>
              <w:rPr>
                <w:rFonts w:hint="eastAsia" w:ascii="宋体" w:hAnsi="宋体" w:eastAsia="宋体" w:cs="宋体"/>
                <w:color w:val="auto"/>
                <w:sz w:val="24"/>
                <w:highlight w:val="none"/>
              </w:rPr>
            </w:pPr>
          </w:p>
        </w:tc>
        <w:tc>
          <w:tcPr>
            <w:tcW w:w="2593" w:type="dxa"/>
            <w:vAlign w:val="center"/>
          </w:tcPr>
          <w:p>
            <w:pPr>
              <w:kinsoku/>
              <w:wordWrap/>
              <w:overflowPunct/>
              <w:topLinePunct w:val="0"/>
              <w:bidi w:val="0"/>
              <w:adjustRightInd w:val="0"/>
              <w:snapToGrid w:val="0"/>
              <w:spacing w:line="360" w:lineRule="auto"/>
              <w:jc w:val="center"/>
              <w:rPr>
                <w:rFonts w:hint="eastAsia" w:ascii="宋体" w:hAnsi="宋体" w:eastAsia="宋体" w:cs="宋体"/>
                <w:color w:val="auto"/>
                <w:sz w:val="24"/>
                <w:highlight w:val="none"/>
              </w:rPr>
            </w:pPr>
          </w:p>
        </w:tc>
        <w:tc>
          <w:tcPr>
            <w:tcW w:w="1431" w:type="dxa"/>
            <w:vAlign w:val="center"/>
          </w:tcPr>
          <w:p>
            <w:pPr>
              <w:kinsoku/>
              <w:wordWrap/>
              <w:overflowPunct/>
              <w:topLinePunct w:val="0"/>
              <w:bidi w:val="0"/>
              <w:adjustRightInd w:val="0"/>
              <w:snapToGrid w:val="0"/>
              <w:spacing w:line="360" w:lineRule="auto"/>
              <w:jc w:val="center"/>
              <w:rPr>
                <w:rFonts w:hint="eastAsia" w:ascii="宋体" w:hAnsi="宋体" w:eastAsia="宋体" w:cs="宋体"/>
                <w:color w:val="auto"/>
                <w:sz w:val="24"/>
                <w:highlight w:val="none"/>
              </w:rPr>
            </w:pPr>
          </w:p>
        </w:tc>
        <w:tc>
          <w:tcPr>
            <w:tcW w:w="1848" w:type="dxa"/>
            <w:vAlign w:val="center"/>
          </w:tcPr>
          <w:p>
            <w:pPr>
              <w:kinsoku/>
              <w:wordWrap/>
              <w:overflowPunct/>
              <w:topLinePunct w:val="0"/>
              <w:bidi w:val="0"/>
              <w:adjustRightInd w:val="0"/>
              <w:snapToGrid w:val="0"/>
              <w:spacing w:line="360" w:lineRule="auto"/>
              <w:jc w:val="center"/>
              <w:rPr>
                <w:rFonts w:hint="eastAsia" w:ascii="宋体" w:hAnsi="宋体" w:eastAsia="宋体" w:cs="宋体"/>
                <w:color w:val="auto"/>
                <w:sz w:val="24"/>
                <w:highlight w:val="none"/>
              </w:rPr>
            </w:pPr>
          </w:p>
        </w:tc>
      </w:tr>
    </w:tbl>
    <w:p>
      <w:pPr>
        <w:kinsoku/>
        <w:wordWrap/>
        <w:overflowPunct/>
        <w:topLinePunct w:val="0"/>
        <w:autoSpaceDE w:val="0"/>
        <w:autoSpaceDN w:val="0"/>
        <w:bidi w:val="0"/>
        <w:adjustRightInd w:val="0"/>
        <w:spacing w:line="360" w:lineRule="auto"/>
        <w:ind w:firstLine="5160" w:firstLineChars="2150"/>
        <w:rPr>
          <w:rFonts w:hint="eastAsia" w:ascii="宋体" w:hAnsi="宋体" w:eastAsia="宋体" w:cs="宋体"/>
          <w:color w:val="auto"/>
          <w:kern w:val="0"/>
          <w:sz w:val="24"/>
          <w:highlight w:val="none"/>
          <w:lang w:val="zh-CN"/>
        </w:rPr>
      </w:pPr>
    </w:p>
    <w:p>
      <w:pPr>
        <w:adjustRightInd w:val="0"/>
        <w:snapToGrid w:val="0"/>
        <w:spacing w:line="360" w:lineRule="auto"/>
        <w:rPr>
          <w:rFonts w:hint="eastAsia" w:ascii="宋体" w:hAnsi="宋体" w:eastAsia="宋体" w:cs="宋体"/>
          <w:b/>
          <w:bCs/>
          <w:color w:val="auto"/>
          <w:sz w:val="24"/>
          <w:szCs w:val="24"/>
          <w:highlight w:val="none"/>
          <w:lang w:eastAsia="zh-CN"/>
        </w:rPr>
      </w:pPr>
      <w:r>
        <w:rPr>
          <w:rFonts w:hint="eastAsia" w:ascii="宋体" w:hAnsi="宋体" w:eastAsia="宋体" w:cs="宋体"/>
          <w:b/>
          <w:color w:val="auto"/>
          <w:kern w:val="0"/>
          <w:sz w:val="24"/>
          <w:highlight w:val="none"/>
          <w:lang w:val="zh-CN"/>
        </w:rPr>
        <w:t>注：</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eastAsia="zh-CN"/>
        </w:rPr>
        <w:t>投标人递交的技术规格书中与招标文件第三章</w:t>
      </w:r>
      <w:r>
        <w:rPr>
          <w:rFonts w:hint="eastAsia" w:ascii="宋体" w:hAnsi="宋体" w:eastAsia="宋体" w:cs="宋体"/>
          <w:b/>
          <w:bCs/>
          <w:color w:val="auto"/>
          <w:sz w:val="24"/>
          <w:szCs w:val="24"/>
          <w:highlight w:val="none"/>
          <w:lang w:val="en-US" w:eastAsia="zh-CN"/>
        </w:rPr>
        <w:t xml:space="preserve"> 采购内容及要求 采购清单</w:t>
      </w:r>
      <w:r>
        <w:rPr>
          <w:rFonts w:hint="eastAsia" w:ascii="宋体" w:hAnsi="宋体" w:eastAsia="宋体" w:cs="宋体"/>
          <w:b/>
          <w:bCs/>
          <w:color w:val="auto"/>
          <w:sz w:val="24"/>
          <w:szCs w:val="24"/>
          <w:highlight w:val="none"/>
          <w:lang w:eastAsia="zh-CN"/>
        </w:rPr>
        <w:t>的技术参数中的要求有不同时，应逐条列在技术偏离表中并作出“正偏离/负偏离</w:t>
      </w:r>
      <w:r>
        <w:rPr>
          <w:rFonts w:hint="eastAsia" w:ascii="宋体" w:hAnsi="宋体" w:eastAsia="宋体" w:cs="宋体"/>
          <w:b/>
          <w:bCs/>
          <w:color w:val="auto"/>
          <w:sz w:val="24"/>
          <w:szCs w:val="24"/>
          <w:highlight w:val="none"/>
          <w:lang w:val="en-US" w:eastAsia="zh-CN"/>
        </w:rPr>
        <w:t>/无偏离</w:t>
      </w:r>
      <w:r>
        <w:rPr>
          <w:rFonts w:hint="eastAsia" w:ascii="宋体" w:hAnsi="宋体" w:eastAsia="宋体" w:cs="宋体"/>
          <w:b/>
          <w:bCs/>
          <w:color w:val="auto"/>
          <w:sz w:val="24"/>
          <w:szCs w:val="24"/>
          <w:highlight w:val="none"/>
          <w:lang w:eastAsia="zh-CN"/>
        </w:rPr>
        <w:t>”，同时在说明栏目中具体说明。</w:t>
      </w:r>
    </w:p>
    <w:p>
      <w:pPr>
        <w:kinsoku/>
        <w:wordWrap/>
        <w:overflowPunct/>
        <w:topLinePunct w:val="0"/>
        <w:bidi w:val="0"/>
        <w:adjustRightInd w:val="0"/>
        <w:snapToGrid w:val="0"/>
        <w:spacing w:line="360" w:lineRule="auto"/>
        <w:rPr>
          <w:rFonts w:hint="eastAsia" w:ascii="宋体" w:hAnsi="宋体" w:eastAsia="宋体" w:cs="宋体"/>
          <w:color w:val="auto"/>
          <w:kern w:val="0"/>
          <w:sz w:val="24"/>
          <w:highlight w:val="none"/>
          <w:lang w:val="zh-CN"/>
        </w:rPr>
      </w:pPr>
    </w:p>
    <w:p>
      <w:pPr>
        <w:kinsoku/>
        <w:wordWrap/>
        <w:overflowPunct/>
        <w:topLinePunct w:val="0"/>
        <w:bidi w:val="0"/>
        <w:adjustRightInd w:val="0"/>
        <w:snapToGrid w:val="0"/>
        <w:spacing w:line="360" w:lineRule="auto"/>
        <w:rPr>
          <w:rFonts w:hint="eastAsia" w:ascii="宋体" w:hAnsi="宋体" w:eastAsia="宋体" w:cs="宋体"/>
          <w:color w:val="auto"/>
          <w:kern w:val="0"/>
          <w:sz w:val="24"/>
          <w:highlight w:val="none"/>
          <w:lang w:val="zh-CN"/>
        </w:rPr>
      </w:pPr>
    </w:p>
    <w:p>
      <w:pPr>
        <w:kinsoku/>
        <w:wordWrap/>
        <w:overflowPunct/>
        <w:topLinePunct w:val="0"/>
        <w:bidi w:val="0"/>
        <w:adjustRightInd w:val="0"/>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法定/授权代表：</w:t>
      </w:r>
      <w:r>
        <w:rPr>
          <w:rFonts w:hint="eastAsia" w:ascii="宋体" w:hAnsi="宋体" w:eastAsia="宋体" w:cs="宋体"/>
          <w:color w:val="auto"/>
          <w:kern w:val="0"/>
          <w:sz w:val="24"/>
          <w:highlight w:val="none"/>
          <w:u w:val="single"/>
          <w:lang w:val="zh-CN"/>
        </w:rPr>
        <w:t xml:space="preserve">（签字或盖章） </w:t>
      </w:r>
    </w:p>
    <w:p>
      <w:pPr>
        <w:kinsoku/>
        <w:wordWrap/>
        <w:overflowPunct/>
        <w:topLinePunct w:val="0"/>
        <w:bidi w:val="0"/>
        <w:adjustRightInd w:val="0"/>
        <w:snapToGrid w:val="0"/>
        <w:spacing w:line="360" w:lineRule="auto"/>
        <w:rPr>
          <w:rFonts w:hint="eastAsia" w:ascii="宋体" w:hAnsi="宋体" w:eastAsia="宋体" w:cs="宋体"/>
          <w:color w:val="auto"/>
          <w:kern w:val="0"/>
          <w:sz w:val="24"/>
          <w:highlight w:val="none"/>
          <w:u w:val="single"/>
          <w:lang w:val="zh-CN"/>
        </w:rPr>
      </w:pPr>
      <w:r>
        <w:rPr>
          <w:rFonts w:hint="eastAsia" w:ascii="宋体" w:hAnsi="宋体" w:eastAsia="宋体" w:cs="宋体"/>
          <w:color w:val="auto"/>
          <w:kern w:val="0"/>
          <w:sz w:val="24"/>
          <w:highlight w:val="none"/>
          <w:lang w:val="zh-CN"/>
        </w:rPr>
        <w:t>供应商：</w:t>
      </w:r>
      <w:r>
        <w:rPr>
          <w:rFonts w:hint="eastAsia" w:ascii="宋体" w:hAnsi="宋体" w:eastAsia="宋体" w:cs="宋体"/>
          <w:color w:val="auto"/>
          <w:kern w:val="0"/>
          <w:sz w:val="24"/>
          <w:highlight w:val="none"/>
          <w:u w:val="single"/>
          <w:lang w:val="zh-CN"/>
        </w:rPr>
        <w:t xml:space="preserve">（全称加盖公章）       </w:t>
      </w:r>
    </w:p>
    <w:p>
      <w:pPr>
        <w:kinsoku/>
        <w:wordWrap/>
        <w:overflowPunct/>
        <w:topLinePunct w:val="0"/>
        <w:bidi w:val="0"/>
        <w:adjustRightInd w:val="0"/>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u w:val="single"/>
        </w:rPr>
        <w:tab/>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日</w:t>
      </w:r>
    </w:p>
    <w:p>
      <w:pPr>
        <w:pStyle w:val="3"/>
        <w:kinsoku/>
        <w:overflowPunct/>
        <w:bidi w:val="0"/>
        <w:spacing w:after="0" w:line="360" w:lineRule="auto"/>
        <w:rPr>
          <w:rFonts w:hint="eastAsia" w:ascii="宋体" w:hAnsi="宋体" w:eastAsia="宋体" w:cs="宋体"/>
          <w:color w:val="auto"/>
          <w:kern w:val="0"/>
          <w:sz w:val="24"/>
          <w:highlight w:val="none"/>
          <w:lang w:val="zh-CN"/>
        </w:rPr>
      </w:pPr>
    </w:p>
    <w:p>
      <w:pPr>
        <w:pStyle w:val="2"/>
        <w:kinsoku/>
        <w:overflowPunct/>
        <w:bidi w:val="0"/>
        <w:spacing w:after="0" w:line="360" w:lineRule="auto"/>
        <w:rPr>
          <w:rFonts w:hint="eastAsia" w:ascii="宋体" w:hAnsi="宋体" w:eastAsia="宋体" w:cs="宋体"/>
          <w:color w:val="auto"/>
          <w:kern w:val="0"/>
          <w:sz w:val="24"/>
          <w:highlight w:val="none"/>
          <w:lang w:val="zh-CN"/>
        </w:rPr>
      </w:pPr>
    </w:p>
    <w:p>
      <w:pPr>
        <w:pStyle w:val="19"/>
        <w:kinsoku/>
        <w:overflowPunct/>
        <w:bidi w:val="0"/>
        <w:spacing w:after="0" w:line="360" w:lineRule="auto"/>
        <w:rPr>
          <w:rFonts w:hint="eastAsia" w:ascii="宋体" w:hAnsi="宋体" w:eastAsia="宋体" w:cs="宋体"/>
          <w:color w:val="auto"/>
          <w:kern w:val="0"/>
          <w:sz w:val="24"/>
          <w:highlight w:val="none"/>
          <w:lang w:val="zh-CN"/>
        </w:rPr>
      </w:pPr>
    </w:p>
    <w:p>
      <w:pPr>
        <w:pStyle w:val="72"/>
        <w:spacing w:line="360" w:lineRule="auto"/>
        <w:rPr>
          <w:rFonts w:hint="eastAsia" w:ascii="宋体" w:hAnsi="宋体" w:eastAsia="宋体" w:cs="宋体"/>
          <w:color w:val="auto"/>
          <w:highlight w:val="none"/>
          <w:lang w:val="zh-CN"/>
        </w:rPr>
      </w:pPr>
    </w:p>
    <w:p>
      <w:pPr>
        <w:rPr>
          <w:rFonts w:hint="eastAsia"/>
          <w:color w:val="auto"/>
          <w:highlight w:val="none"/>
          <w:lang w:val="zh-CN"/>
        </w:rPr>
      </w:pPr>
    </w:p>
    <w:p>
      <w:pPr>
        <w:kinsoku/>
        <w:overflowPunct/>
        <w:bidi w:val="0"/>
        <w:spacing w:line="360" w:lineRule="auto"/>
        <w:rPr>
          <w:rFonts w:hint="eastAsia" w:ascii="宋体" w:hAnsi="宋体" w:eastAsia="宋体" w:cs="宋体"/>
          <w:color w:val="auto"/>
          <w:kern w:val="0"/>
          <w:sz w:val="24"/>
          <w:highlight w:val="none"/>
          <w:lang w:val="zh-CN"/>
        </w:rPr>
      </w:pPr>
    </w:p>
    <w:p>
      <w:pPr>
        <w:kinsoku/>
        <w:overflowPunct/>
        <w:bidi w:val="0"/>
        <w:adjustRightInd w:val="0"/>
        <w:snapToGrid w:val="0"/>
        <w:spacing w:line="360" w:lineRule="auto"/>
        <w:ind w:firstLine="602" w:firstLineChars="200"/>
        <w:jc w:val="center"/>
        <w:rPr>
          <w:rFonts w:hint="eastAsia" w:ascii="宋体" w:hAnsi="宋体" w:eastAsia="宋体" w:cs="宋体"/>
          <w:b/>
          <w:color w:val="auto"/>
          <w:kern w:val="0"/>
          <w:sz w:val="30"/>
          <w:highlight w:val="none"/>
          <w:lang w:val="zh-CN"/>
        </w:rPr>
      </w:pPr>
      <w:r>
        <w:rPr>
          <w:rFonts w:hint="eastAsia" w:ascii="宋体" w:hAnsi="宋体" w:eastAsia="宋体" w:cs="宋体"/>
          <w:b/>
          <w:color w:val="auto"/>
          <w:kern w:val="0"/>
          <w:sz w:val="30"/>
          <w:highlight w:val="none"/>
          <w:lang w:val="zh-CN"/>
        </w:rPr>
        <w:t>格式六：拟投入本项目的服务团队情况表</w:t>
      </w:r>
      <w:bookmarkEnd w:id="94"/>
    </w:p>
    <w:p>
      <w:pPr>
        <w:kinsoku/>
        <w:overflowPunct/>
        <w:bidi w:val="0"/>
        <w:adjustRightInd w:val="0"/>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拟投入本项目的服务团队情况表</w:t>
      </w:r>
    </w:p>
    <w:tbl>
      <w:tblPr>
        <w:tblStyle w:val="98"/>
        <w:tblW w:w="9223"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252"/>
        <w:gridCol w:w="3392"/>
        <w:gridCol w:w="1417"/>
        <w:gridCol w:w="1555"/>
        <w:gridCol w:w="1052"/>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555" w:type="dxa"/>
            <w:vAlign w:val="center"/>
          </w:tcPr>
          <w:p>
            <w:pPr>
              <w:kinsoku/>
              <w:overflowPunct/>
              <w:autoSpaceDE w:val="0"/>
              <w:autoSpaceDN w:val="0"/>
              <w:bidi w:val="0"/>
              <w:adjustRightInd w:val="0"/>
              <w:spacing w:line="360" w:lineRule="auto"/>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序号</w:t>
            </w:r>
          </w:p>
        </w:tc>
        <w:tc>
          <w:tcPr>
            <w:tcW w:w="1252" w:type="dxa"/>
            <w:vAlign w:val="center"/>
          </w:tcPr>
          <w:p>
            <w:pPr>
              <w:kinsoku/>
              <w:overflowPunct/>
              <w:autoSpaceDE w:val="0"/>
              <w:autoSpaceDN w:val="0"/>
              <w:bidi w:val="0"/>
              <w:adjustRightInd w:val="0"/>
              <w:spacing w:line="360" w:lineRule="auto"/>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姓名</w:t>
            </w:r>
          </w:p>
        </w:tc>
        <w:tc>
          <w:tcPr>
            <w:tcW w:w="3392" w:type="dxa"/>
            <w:vAlign w:val="center"/>
          </w:tcPr>
          <w:p>
            <w:pPr>
              <w:kinsoku/>
              <w:overflowPunct/>
              <w:autoSpaceDE w:val="0"/>
              <w:autoSpaceDN w:val="0"/>
              <w:bidi w:val="0"/>
              <w:adjustRightInd w:val="0"/>
              <w:spacing w:line="360" w:lineRule="auto"/>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职称及相关专业认证（或执业资格）情况（如评分需要）</w:t>
            </w:r>
          </w:p>
        </w:tc>
        <w:tc>
          <w:tcPr>
            <w:tcW w:w="1417" w:type="dxa"/>
            <w:vAlign w:val="center"/>
          </w:tcPr>
          <w:p>
            <w:pPr>
              <w:kinsoku/>
              <w:overflowPunct/>
              <w:autoSpaceDE w:val="0"/>
              <w:autoSpaceDN w:val="0"/>
              <w:bidi w:val="0"/>
              <w:adjustRightInd w:val="0"/>
              <w:spacing w:line="360" w:lineRule="auto"/>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在本单位工作年限</w:t>
            </w:r>
          </w:p>
        </w:tc>
        <w:tc>
          <w:tcPr>
            <w:tcW w:w="1555" w:type="dxa"/>
            <w:vAlign w:val="center"/>
          </w:tcPr>
          <w:p>
            <w:pPr>
              <w:kinsoku/>
              <w:overflowPunct/>
              <w:autoSpaceDE w:val="0"/>
              <w:autoSpaceDN w:val="0"/>
              <w:bidi w:val="0"/>
              <w:adjustRightInd w:val="0"/>
              <w:spacing w:line="360" w:lineRule="auto"/>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在本项目中拟担任职务</w:t>
            </w:r>
          </w:p>
        </w:tc>
        <w:tc>
          <w:tcPr>
            <w:tcW w:w="1052" w:type="dxa"/>
            <w:vAlign w:val="center"/>
          </w:tcPr>
          <w:p>
            <w:pPr>
              <w:kinsoku/>
              <w:overflowPunct/>
              <w:autoSpaceDE w:val="0"/>
              <w:autoSpaceDN w:val="0"/>
              <w:bidi w:val="0"/>
              <w:adjustRightInd w:val="0"/>
              <w:spacing w:line="360" w:lineRule="auto"/>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备注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014" w:hRule="exact"/>
        </w:trPr>
        <w:tc>
          <w:tcPr>
            <w:tcW w:w="555" w:type="dxa"/>
            <w:vAlign w:val="center"/>
          </w:tcPr>
          <w:p>
            <w:pPr>
              <w:kinsoku/>
              <w:overflowPunct/>
              <w:autoSpaceDE w:val="0"/>
              <w:autoSpaceDN w:val="0"/>
              <w:bidi w:val="0"/>
              <w:adjustRightInd w:val="0"/>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1252" w:type="dxa"/>
            <w:vAlign w:val="center"/>
          </w:tcPr>
          <w:p>
            <w:pPr>
              <w:kinsoku/>
              <w:overflowPunct/>
              <w:autoSpaceDE w:val="0"/>
              <w:autoSpaceDN w:val="0"/>
              <w:bidi w:val="0"/>
              <w:adjustRightInd w:val="0"/>
              <w:spacing w:line="360" w:lineRule="auto"/>
              <w:rPr>
                <w:rFonts w:hint="eastAsia" w:ascii="宋体" w:hAnsi="宋体" w:eastAsia="宋体" w:cs="宋体"/>
                <w:color w:val="auto"/>
                <w:kern w:val="0"/>
                <w:sz w:val="24"/>
                <w:highlight w:val="none"/>
              </w:rPr>
            </w:pPr>
          </w:p>
        </w:tc>
        <w:tc>
          <w:tcPr>
            <w:tcW w:w="3392" w:type="dxa"/>
            <w:vAlign w:val="center"/>
          </w:tcPr>
          <w:p>
            <w:pPr>
              <w:kinsoku/>
              <w:overflowPunct/>
              <w:autoSpaceDE w:val="0"/>
              <w:autoSpaceDN w:val="0"/>
              <w:bidi w:val="0"/>
              <w:adjustRightInd w:val="0"/>
              <w:spacing w:line="360" w:lineRule="auto"/>
              <w:rPr>
                <w:rFonts w:hint="eastAsia" w:ascii="宋体" w:hAnsi="宋体" w:eastAsia="宋体" w:cs="宋体"/>
                <w:color w:val="auto"/>
                <w:kern w:val="0"/>
                <w:sz w:val="24"/>
                <w:highlight w:val="none"/>
              </w:rPr>
            </w:pPr>
          </w:p>
        </w:tc>
        <w:tc>
          <w:tcPr>
            <w:tcW w:w="1417" w:type="dxa"/>
            <w:vAlign w:val="center"/>
          </w:tcPr>
          <w:p>
            <w:pPr>
              <w:kinsoku/>
              <w:overflowPunct/>
              <w:autoSpaceDE w:val="0"/>
              <w:autoSpaceDN w:val="0"/>
              <w:bidi w:val="0"/>
              <w:adjustRightInd w:val="0"/>
              <w:spacing w:line="360" w:lineRule="auto"/>
              <w:rPr>
                <w:rFonts w:hint="eastAsia" w:ascii="宋体" w:hAnsi="宋体" w:eastAsia="宋体" w:cs="宋体"/>
                <w:color w:val="auto"/>
                <w:kern w:val="0"/>
                <w:sz w:val="24"/>
                <w:highlight w:val="none"/>
              </w:rPr>
            </w:pPr>
          </w:p>
        </w:tc>
        <w:tc>
          <w:tcPr>
            <w:tcW w:w="1555" w:type="dxa"/>
            <w:vAlign w:val="center"/>
          </w:tcPr>
          <w:p>
            <w:pPr>
              <w:kinsoku/>
              <w:overflowPunct/>
              <w:autoSpaceDE w:val="0"/>
              <w:autoSpaceDN w:val="0"/>
              <w:bidi w:val="0"/>
              <w:adjustRightIn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项目负责人</w:t>
            </w:r>
          </w:p>
        </w:tc>
        <w:tc>
          <w:tcPr>
            <w:tcW w:w="1052" w:type="dxa"/>
            <w:vAlign w:val="center"/>
          </w:tcPr>
          <w:p>
            <w:pPr>
              <w:kinsoku/>
              <w:overflowPunct/>
              <w:autoSpaceDE w:val="0"/>
              <w:autoSpaceDN w:val="0"/>
              <w:bidi w:val="0"/>
              <w:adjustRightInd w:val="0"/>
              <w:spacing w:line="360" w:lineRule="auto"/>
              <w:rPr>
                <w:rFonts w:hint="eastAsia" w:ascii="宋体" w:hAnsi="宋体" w:eastAsia="宋体" w:cs="宋体"/>
                <w:color w:val="auto"/>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55" w:type="dxa"/>
            <w:vAlign w:val="center"/>
          </w:tcPr>
          <w:p>
            <w:pPr>
              <w:kinsoku/>
              <w:overflowPunct/>
              <w:autoSpaceDE w:val="0"/>
              <w:autoSpaceDN w:val="0"/>
              <w:bidi w:val="0"/>
              <w:adjustRightInd w:val="0"/>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1252" w:type="dxa"/>
            <w:vAlign w:val="center"/>
          </w:tcPr>
          <w:p>
            <w:pPr>
              <w:kinsoku/>
              <w:overflowPunct/>
              <w:autoSpaceDE w:val="0"/>
              <w:autoSpaceDN w:val="0"/>
              <w:bidi w:val="0"/>
              <w:adjustRightInd w:val="0"/>
              <w:spacing w:line="360" w:lineRule="auto"/>
              <w:rPr>
                <w:rFonts w:hint="eastAsia" w:ascii="宋体" w:hAnsi="宋体" w:eastAsia="宋体" w:cs="宋体"/>
                <w:color w:val="auto"/>
                <w:kern w:val="0"/>
                <w:sz w:val="24"/>
                <w:highlight w:val="none"/>
              </w:rPr>
            </w:pPr>
          </w:p>
        </w:tc>
        <w:tc>
          <w:tcPr>
            <w:tcW w:w="3392" w:type="dxa"/>
            <w:vAlign w:val="center"/>
          </w:tcPr>
          <w:p>
            <w:pPr>
              <w:kinsoku/>
              <w:overflowPunct/>
              <w:autoSpaceDE w:val="0"/>
              <w:autoSpaceDN w:val="0"/>
              <w:bidi w:val="0"/>
              <w:adjustRightInd w:val="0"/>
              <w:spacing w:line="360" w:lineRule="auto"/>
              <w:rPr>
                <w:rFonts w:hint="eastAsia" w:ascii="宋体" w:hAnsi="宋体" w:eastAsia="宋体" w:cs="宋体"/>
                <w:color w:val="auto"/>
                <w:kern w:val="0"/>
                <w:sz w:val="24"/>
                <w:highlight w:val="none"/>
              </w:rPr>
            </w:pPr>
          </w:p>
        </w:tc>
        <w:tc>
          <w:tcPr>
            <w:tcW w:w="1417" w:type="dxa"/>
            <w:vAlign w:val="center"/>
          </w:tcPr>
          <w:p>
            <w:pPr>
              <w:kinsoku/>
              <w:overflowPunct/>
              <w:autoSpaceDE w:val="0"/>
              <w:autoSpaceDN w:val="0"/>
              <w:bidi w:val="0"/>
              <w:adjustRightInd w:val="0"/>
              <w:spacing w:line="360" w:lineRule="auto"/>
              <w:rPr>
                <w:rFonts w:hint="eastAsia" w:ascii="宋体" w:hAnsi="宋体" w:eastAsia="宋体" w:cs="宋体"/>
                <w:color w:val="auto"/>
                <w:kern w:val="0"/>
                <w:sz w:val="24"/>
                <w:highlight w:val="none"/>
              </w:rPr>
            </w:pPr>
          </w:p>
        </w:tc>
        <w:tc>
          <w:tcPr>
            <w:tcW w:w="1555" w:type="dxa"/>
            <w:vAlign w:val="center"/>
          </w:tcPr>
          <w:p>
            <w:pPr>
              <w:spacing w:line="360" w:lineRule="auto"/>
              <w:jc w:val="center"/>
              <w:rPr>
                <w:rFonts w:hint="eastAsia" w:ascii="宋体" w:hAnsi="宋体" w:eastAsia="宋体" w:cs="宋体"/>
                <w:color w:val="auto"/>
                <w:kern w:val="0"/>
                <w:sz w:val="24"/>
                <w:highlight w:val="none"/>
              </w:rPr>
            </w:pPr>
          </w:p>
        </w:tc>
        <w:tc>
          <w:tcPr>
            <w:tcW w:w="1052" w:type="dxa"/>
            <w:vAlign w:val="center"/>
          </w:tcPr>
          <w:p>
            <w:pPr>
              <w:kinsoku/>
              <w:overflowPunct/>
              <w:autoSpaceDE w:val="0"/>
              <w:autoSpaceDN w:val="0"/>
              <w:bidi w:val="0"/>
              <w:adjustRightInd w:val="0"/>
              <w:spacing w:line="360" w:lineRule="auto"/>
              <w:rPr>
                <w:rFonts w:hint="eastAsia" w:ascii="宋体" w:hAnsi="宋体" w:eastAsia="宋体" w:cs="宋体"/>
                <w:color w:val="auto"/>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55" w:type="dxa"/>
            <w:vAlign w:val="center"/>
          </w:tcPr>
          <w:p>
            <w:pPr>
              <w:kinsoku/>
              <w:overflowPunct/>
              <w:autoSpaceDE w:val="0"/>
              <w:autoSpaceDN w:val="0"/>
              <w:bidi w:val="0"/>
              <w:adjustRightInd w:val="0"/>
              <w:spacing w:line="360" w:lineRule="auto"/>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3</w:t>
            </w:r>
          </w:p>
        </w:tc>
        <w:tc>
          <w:tcPr>
            <w:tcW w:w="1252" w:type="dxa"/>
            <w:vAlign w:val="center"/>
          </w:tcPr>
          <w:p>
            <w:pPr>
              <w:kinsoku/>
              <w:overflowPunct/>
              <w:autoSpaceDE w:val="0"/>
              <w:autoSpaceDN w:val="0"/>
              <w:bidi w:val="0"/>
              <w:adjustRightInd w:val="0"/>
              <w:spacing w:line="360" w:lineRule="auto"/>
              <w:rPr>
                <w:rFonts w:hint="eastAsia" w:ascii="宋体" w:hAnsi="宋体" w:eastAsia="宋体" w:cs="宋体"/>
                <w:color w:val="auto"/>
                <w:kern w:val="0"/>
                <w:sz w:val="24"/>
                <w:highlight w:val="none"/>
              </w:rPr>
            </w:pPr>
          </w:p>
        </w:tc>
        <w:tc>
          <w:tcPr>
            <w:tcW w:w="3392" w:type="dxa"/>
            <w:vAlign w:val="center"/>
          </w:tcPr>
          <w:p>
            <w:pPr>
              <w:kinsoku/>
              <w:overflowPunct/>
              <w:autoSpaceDE w:val="0"/>
              <w:autoSpaceDN w:val="0"/>
              <w:bidi w:val="0"/>
              <w:adjustRightInd w:val="0"/>
              <w:spacing w:line="360" w:lineRule="auto"/>
              <w:rPr>
                <w:rFonts w:hint="eastAsia" w:ascii="宋体" w:hAnsi="宋体" w:eastAsia="宋体" w:cs="宋体"/>
                <w:color w:val="auto"/>
                <w:kern w:val="0"/>
                <w:sz w:val="24"/>
                <w:highlight w:val="none"/>
              </w:rPr>
            </w:pPr>
          </w:p>
        </w:tc>
        <w:tc>
          <w:tcPr>
            <w:tcW w:w="1417" w:type="dxa"/>
            <w:vAlign w:val="center"/>
          </w:tcPr>
          <w:p>
            <w:pPr>
              <w:kinsoku/>
              <w:overflowPunct/>
              <w:autoSpaceDE w:val="0"/>
              <w:autoSpaceDN w:val="0"/>
              <w:bidi w:val="0"/>
              <w:adjustRightInd w:val="0"/>
              <w:spacing w:line="360" w:lineRule="auto"/>
              <w:rPr>
                <w:rFonts w:hint="eastAsia" w:ascii="宋体" w:hAnsi="宋体" w:eastAsia="宋体" w:cs="宋体"/>
                <w:color w:val="auto"/>
                <w:kern w:val="0"/>
                <w:sz w:val="24"/>
                <w:highlight w:val="none"/>
              </w:rPr>
            </w:pPr>
          </w:p>
        </w:tc>
        <w:tc>
          <w:tcPr>
            <w:tcW w:w="1555" w:type="dxa"/>
            <w:vAlign w:val="center"/>
          </w:tcPr>
          <w:p>
            <w:pPr>
              <w:spacing w:line="360" w:lineRule="auto"/>
              <w:jc w:val="center"/>
              <w:rPr>
                <w:rFonts w:hint="eastAsia" w:ascii="宋体" w:hAnsi="宋体" w:eastAsia="宋体" w:cs="宋体"/>
                <w:color w:val="auto"/>
                <w:kern w:val="0"/>
                <w:sz w:val="24"/>
                <w:highlight w:val="none"/>
                <w:lang w:val="en-US" w:eastAsia="zh-CN"/>
              </w:rPr>
            </w:pPr>
          </w:p>
        </w:tc>
        <w:tc>
          <w:tcPr>
            <w:tcW w:w="1052" w:type="dxa"/>
            <w:vAlign w:val="center"/>
          </w:tcPr>
          <w:p>
            <w:pPr>
              <w:kinsoku/>
              <w:overflowPunct/>
              <w:autoSpaceDE w:val="0"/>
              <w:autoSpaceDN w:val="0"/>
              <w:bidi w:val="0"/>
              <w:adjustRightInd w:val="0"/>
              <w:spacing w:line="360" w:lineRule="auto"/>
              <w:rPr>
                <w:rFonts w:hint="eastAsia" w:ascii="宋体" w:hAnsi="宋体" w:eastAsia="宋体" w:cs="宋体"/>
                <w:color w:val="auto"/>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55" w:type="dxa"/>
            <w:vAlign w:val="center"/>
          </w:tcPr>
          <w:p>
            <w:pPr>
              <w:kinsoku/>
              <w:overflowPunct/>
              <w:autoSpaceDE w:val="0"/>
              <w:autoSpaceDN w:val="0"/>
              <w:bidi w:val="0"/>
              <w:adjustRightInd w:val="0"/>
              <w:spacing w:line="360" w:lineRule="auto"/>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w:t>
            </w:r>
          </w:p>
        </w:tc>
        <w:tc>
          <w:tcPr>
            <w:tcW w:w="1252" w:type="dxa"/>
            <w:vAlign w:val="center"/>
          </w:tcPr>
          <w:p>
            <w:pPr>
              <w:kinsoku/>
              <w:overflowPunct/>
              <w:autoSpaceDE w:val="0"/>
              <w:autoSpaceDN w:val="0"/>
              <w:bidi w:val="0"/>
              <w:adjustRightInd w:val="0"/>
              <w:spacing w:line="360" w:lineRule="auto"/>
              <w:rPr>
                <w:rFonts w:hint="eastAsia" w:ascii="宋体" w:hAnsi="宋体" w:eastAsia="宋体" w:cs="宋体"/>
                <w:color w:val="auto"/>
                <w:kern w:val="0"/>
                <w:sz w:val="24"/>
                <w:highlight w:val="none"/>
              </w:rPr>
            </w:pPr>
          </w:p>
        </w:tc>
        <w:tc>
          <w:tcPr>
            <w:tcW w:w="3392" w:type="dxa"/>
            <w:vAlign w:val="center"/>
          </w:tcPr>
          <w:p>
            <w:pPr>
              <w:kinsoku/>
              <w:overflowPunct/>
              <w:autoSpaceDE w:val="0"/>
              <w:autoSpaceDN w:val="0"/>
              <w:bidi w:val="0"/>
              <w:adjustRightInd w:val="0"/>
              <w:spacing w:line="360" w:lineRule="auto"/>
              <w:rPr>
                <w:rFonts w:hint="eastAsia" w:ascii="宋体" w:hAnsi="宋体" w:eastAsia="宋体" w:cs="宋体"/>
                <w:color w:val="auto"/>
                <w:kern w:val="0"/>
                <w:sz w:val="24"/>
                <w:highlight w:val="none"/>
              </w:rPr>
            </w:pPr>
          </w:p>
        </w:tc>
        <w:tc>
          <w:tcPr>
            <w:tcW w:w="1417" w:type="dxa"/>
            <w:vAlign w:val="center"/>
          </w:tcPr>
          <w:p>
            <w:pPr>
              <w:kinsoku/>
              <w:overflowPunct/>
              <w:autoSpaceDE w:val="0"/>
              <w:autoSpaceDN w:val="0"/>
              <w:bidi w:val="0"/>
              <w:adjustRightInd w:val="0"/>
              <w:spacing w:line="360" w:lineRule="auto"/>
              <w:rPr>
                <w:rFonts w:hint="eastAsia" w:ascii="宋体" w:hAnsi="宋体" w:eastAsia="宋体" w:cs="宋体"/>
                <w:color w:val="auto"/>
                <w:kern w:val="0"/>
                <w:sz w:val="24"/>
                <w:highlight w:val="none"/>
              </w:rPr>
            </w:pPr>
          </w:p>
        </w:tc>
        <w:tc>
          <w:tcPr>
            <w:tcW w:w="1555" w:type="dxa"/>
            <w:vAlign w:val="center"/>
          </w:tcPr>
          <w:p>
            <w:pPr>
              <w:spacing w:line="360" w:lineRule="auto"/>
              <w:jc w:val="center"/>
              <w:rPr>
                <w:rFonts w:hint="eastAsia" w:ascii="宋体" w:hAnsi="宋体" w:eastAsia="宋体" w:cs="宋体"/>
                <w:color w:val="auto"/>
                <w:sz w:val="24"/>
                <w:szCs w:val="24"/>
                <w:highlight w:val="none"/>
              </w:rPr>
            </w:pPr>
          </w:p>
        </w:tc>
        <w:tc>
          <w:tcPr>
            <w:tcW w:w="1052" w:type="dxa"/>
            <w:vAlign w:val="center"/>
          </w:tcPr>
          <w:p>
            <w:pPr>
              <w:kinsoku/>
              <w:overflowPunct/>
              <w:autoSpaceDE w:val="0"/>
              <w:autoSpaceDN w:val="0"/>
              <w:bidi w:val="0"/>
              <w:adjustRightInd w:val="0"/>
              <w:spacing w:line="360" w:lineRule="auto"/>
              <w:rPr>
                <w:rFonts w:hint="eastAsia" w:ascii="宋体" w:hAnsi="宋体" w:eastAsia="宋体" w:cs="宋体"/>
                <w:color w:val="auto"/>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55" w:type="dxa"/>
            <w:vAlign w:val="center"/>
          </w:tcPr>
          <w:p>
            <w:pPr>
              <w:kinsoku/>
              <w:overflowPunct/>
              <w:autoSpaceDE w:val="0"/>
              <w:autoSpaceDN w:val="0"/>
              <w:bidi w:val="0"/>
              <w:adjustRightInd w:val="0"/>
              <w:spacing w:line="360" w:lineRule="auto"/>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5</w:t>
            </w:r>
          </w:p>
        </w:tc>
        <w:tc>
          <w:tcPr>
            <w:tcW w:w="1252" w:type="dxa"/>
            <w:vAlign w:val="center"/>
          </w:tcPr>
          <w:p>
            <w:pPr>
              <w:kinsoku/>
              <w:overflowPunct/>
              <w:autoSpaceDE w:val="0"/>
              <w:autoSpaceDN w:val="0"/>
              <w:bidi w:val="0"/>
              <w:adjustRightInd w:val="0"/>
              <w:spacing w:line="360" w:lineRule="auto"/>
              <w:rPr>
                <w:rFonts w:hint="eastAsia" w:ascii="宋体" w:hAnsi="宋体" w:eastAsia="宋体" w:cs="宋体"/>
                <w:color w:val="auto"/>
                <w:kern w:val="0"/>
                <w:sz w:val="24"/>
                <w:highlight w:val="none"/>
              </w:rPr>
            </w:pPr>
          </w:p>
        </w:tc>
        <w:tc>
          <w:tcPr>
            <w:tcW w:w="3392" w:type="dxa"/>
            <w:vAlign w:val="center"/>
          </w:tcPr>
          <w:p>
            <w:pPr>
              <w:kinsoku/>
              <w:overflowPunct/>
              <w:autoSpaceDE w:val="0"/>
              <w:autoSpaceDN w:val="0"/>
              <w:bidi w:val="0"/>
              <w:adjustRightInd w:val="0"/>
              <w:spacing w:line="360" w:lineRule="auto"/>
              <w:rPr>
                <w:rFonts w:hint="eastAsia" w:ascii="宋体" w:hAnsi="宋体" w:eastAsia="宋体" w:cs="宋体"/>
                <w:color w:val="auto"/>
                <w:kern w:val="0"/>
                <w:sz w:val="24"/>
                <w:highlight w:val="none"/>
              </w:rPr>
            </w:pPr>
          </w:p>
        </w:tc>
        <w:tc>
          <w:tcPr>
            <w:tcW w:w="1417" w:type="dxa"/>
            <w:vAlign w:val="center"/>
          </w:tcPr>
          <w:p>
            <w:pPr>
              <w:kinsoku/>
              <w:overflowPunct/>
              <w:autoSpaceDE w:val="0"/>
              <w:autoSpaceDN w:val="0"/>
              <w:bidi w:val="0"/>
              <w:adjustRightInd w:val="0"/>
              <w:spacing w:line="360" w:lineRule="auto"/>
              <w:rPr>
                <w:rFonts w:hint="eastAsia" w:ascii="宋体" w:hAnsi="宋体" w:eastAsia="宋体" w:cs="宋体"/>
                <w:color w:val="auto"/>
                <w:kern w:val="0"/>
                <w:sz w:val="24"/>
                <w:highlight w:val="none"/>
              </w:rPr>
            </w:pPr>
          </w:p>
        </w:tc>
        <w:tc>
          <w:tcPr>
            <w:tcW w:w="1555" w:type="dxa"/>
            <w:vAlign w:val="center"/>
          </w:tcPr>
          <w:p>
            <w:pPr>
              <w:spacing w:line="360" w:lineRule="auto"/>
              <w:jc w:val="center"/>
              <w:rPr>
                <w:rFonts w:hint="eastAsia" w:ascii="宋体" w:hAnsi="宋体" w:eastAsia="宋体" w:cs="宋体"/>
                <w:color w:val="auto"/>
                <w:sz w:val="24"/>
                <w:szCs w:val="24"/>
                <w:highlight w:val="none"/>
              </w:rPr>
            </w:pPr>
          </w:p>
        </w:tc>
        <w:tc>
          <w:tcPr>
            <w:tcW w:w="1052" w:type="dxa"/>
            <w:vAlign w:val="center"/>
          </w:tcPr>
          <w:p>
            <w:pPr>
              <w:kinsoku/>
              <w:overflowPunct/>
              <w:autoSpaceDE w:val="0"/>
              <w:autoSpaceDN w:val="0"/>
              <w:bidi w:val="0"/>
              <w:adjustRightInd w:val="0"/>
              <w:spacing w:line="360" w:lineRule="auto"/>
              <w:rPr>
                <w:rFonts w:hint="eastAsia" w:ascii="宋体" w:hAnsi="宋体" w:eastAsia="宋体" w:cs="宋体"/>
                <w:color w:val="auto"/>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55" w:type="dxa"/>
            <w:vAlign w:val="center"/>
          </w:tcPr>
          <w:p>
            <w:pPr>
              <w:kinsoku/>
              <w:overflowPunct/>
              <w:autoSpaceDE w:val="0"/>
              <w:autoSpaceDN w:val="0"/>
              <w:bidi w:val="0"/>
              <w:adjustRightInd w:val="0"/>
              <w:spacing w:line="360" w:lineRule="auto"/>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6</w:t>
            </w:r>
          </w:p>
        </w:tc>
        <w:tc>
          <w:tcPr>
            <w:tcW w:w="1252" w:type="dxa"/>
            <w:vAlign w:val="center"/>
          </w:tcPr>
          <w:p>
            <w:pPr>
              <w:kinsoku/>
              <w:overflowPunct/>
              <w:autoSpaceDE w:val="0"/>
              <w:autoSpaceDN w:val="0"/>
              <w:bidi w:val="0"/>
              <w:adjustRightInd w:val="0"/>
              <w:spacing w:line="360" w:lineRule="auto"/>
              <w:rPr>
                <w:rFonts w:hint="eastAsia" w:ascii="宋体" w:hAnsi="宋体" w:eastAsia="宋体" w:cs="宋体"/>
                <w:color w:val="auto"/>
                <w:kern w:val="0"/>
                <w:sz w:val="24"/>
                <w:highlight w:val="none"/>
              </w:rPr>
            </w:pPr>
          </w:p>
        </w:tc>
        <w:tc>
          <w:tcPr>
            <w:tcW w:w="3392" w:type="dxa"/>
            <w:vAlign w:val="center"/>
          </w:tcPr>
          <w:p>
            <w:pPr>
              <w:kinsoku/>
              <w:overflowPunct/>
              <w:autoSpaceDE w:val="0"/>
              <w:autoSpaceDN w:val="0"/>
              <w:bidi w:val="0"/>
              <w:adjustRightInd w:val="0"/>
              <w:spacing w:line="360" w:lineRule="auto"/>
              <w:rPr>
                <w:rFonts w:hint="eastAsia" w:ascii="宋体" w:hAnsi="宋体" w:eastAsia="宋体" w:cs="宋体"/>
                <w:color w:val="auto"/>
                <w:kern w:val="0"/>
                <w:sz w:val="24"/>
                <w:highlight w:val="none"/>
              </w:rPr>
            </w:pPr>
          </w:p>
        </w:tc>
        <w:tc>
          <w:tcPr>
            <w:tcW w:w="1417" w:type="dxa"/>
            <w:vAlign w:val="center"/>
          </w:tcPr>
          <w:p>
            <w:pPr>
              <w:kinsoku/>
              <w:overflowPunct/>
              <w:autoSpaceDE w:val="0"/>
              <w:autoSpaceDN w:val="0"/>
              <w:bidi w:val="0"/>
              <w:adjustRightInd w:val="0"/>
              <w:spacing w:line="360" w:lineRule="auto"/>
              <w:rPr>
                <w:rFonts w:hint="eastAsia" w:ascii="宋体" w:hAnsi="宋体" w:eastAsia="宋体" w:cs="宋体"/>
                <w:color w:val="auto"/>
                <w:kern w:val="0"/>
                <w:sz w:val="24"/>
                <w:highlight w:val="none"/>
              </w:rPr>
            </w:pPr>
          </w:p>
        </w:tc>
        <w:tc>
          <w:tcPr>
            <w:tcW w:w="1555" w:type="dxa"/>
            <w:vAlign w:val="center"/>
          </w:tcPr>
          <w:p>
            <w:pPr>
              <w:spacing w:line="360" w:lineRule="auto"/>
              <w:jc w:val="center"/>
              <w:rPr>
                <w:rFonts w:hint="eastAsia" w:ascii="宋体" w:hAnsi="宋体" w:eastAsia="宋体" w:cs="宋体"/>
                <w:color w:val="auto"/>
                <w:kern w:val="0"/>
                <w:sz w:val="24"/>
                <w:highlight w:val="none"/>
                <w:lang w:val="en-US" w:eastAsia="zh-CN"/>
              </w:rPr>
            </w:pPr>
          </w:p>
        </w:tc>
        <w:tc>
          <w:tcPr>
            <w:tcW w:w="1052" w:type="dxa"/>
            <w:vAlign w:val="center"/>
          </w:tcPr>
          <w:p>
            <w:pPr>
              <w:kinsoku/>
              <w:overflowPunct/>
              <w:autoSpaceDE w:val="0"/>
              <w:autoSpaceDN w:val="0"/>
              <w:bidi w:val="0"/>
              <w:adjustRightInd w:val="0"/>
              <w:spacing w:line="360" w:lineRule="auto"/>
              <w:rPr>
                <w:rFonts w:hint="eastAsia" w:ascii="宋体" w:hAnsi="宋体" w:eastAsia="宋体" w:cs="宋体"/>
                <w:color w:val="auto"/>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55" w:type="dxa"/>
            <w:vAlign w:val="center"/>
          </w:tcPr>
          <w:p>
            <w:pPr>
              <w:kinsoku/>
              <w:overflowPunct/>
              <w:autoSpaceDE w:val="0"/>
              <w:autoSpaceDN w:val="0"/>
              <w:bidi w:val="0"/>
              <w:adjustRightInd w:val="0"/>
              <w:spacing w:line="360" w:lineRule="auto"/>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7</w:t>
            </w:r>
          </w:p>
        </w:tc>
        <w:tc>
          <w:tcPr>
            <w:tcW w:w="1252" w:type="dxa"/>
            <w:vAlign w:val="center"/>
          </w:tcPr>
          <w:p>
            <w:pPr>
              <w:kinsoku/>
              <w:overflowPunct/>
              <w:autoSpaceDE w:val="0"/>
              <w:autoSpaceDN w:val="0"/>
              <w:bidi w:val="0"/>
              <w:adjustRightInd w:val="0"/>
              <w:spacing w:line="360" w:lineRule="auto"/>
              <w:rPr>
                <w:rFonts w:hint="eastAsia" w:ascii="宋体" w:hAnsi="宋体" w:eastAsia="宋体" w:cs="宋体"/>
                <w:color w:val="auto"/>
                <w:kern w:val="0"/>
                <w:sz w:val="24"/>
                <w:highlight w:val="none"/>
              </w:rPr>
            </w:pPr>
          </w:p>
        </w:tc>
        <w:tc>
          <w:tcPr>
            <w:tcW w:w="3392" w:type="dxa"/>
            <w:vAlign w:val="center"/>
          </w:tcPr>
          <w:p>
            <w:pPr>
              <w:kinsoku/>
              <w:overflowPunct/>
              <w:autoSpaceDE w:val="0"/>
              <w:autoSpaceDN w:val="0"/>
              <w:bidi w:val="0"/>
              <w:adjustRightInd w:val="0"/>
              <w:spacing w:line="360" w:lineRule="auto"/>
              <w:rPr>
                <w:rFonts w:hint="eastAsia" w:ascii="宋体" w:hAnsi="宋体" w:eastAsia="宋体" w:cs="宋体"/>
                <w:color w:val="auto"/>
                <w:kern w:val="0"/>
                <w:sz w:val="24"/>
                <w:highlight w:val="none"/>
              </w:rPr>
            </w:pPr>
          </w:p>
        </w:tc>
        <w:tc>
          <w:tcPr>
            <w:tcW w:w="1417" w:type="dxa"/>
            <w:vAlign w:val="center"/>
          </w:tcPr>
          <w:p>
            <w:pPr>
              <w:kinsoku/>
              <w:overflowPunct/>
              <w:autoSpaceDE w:val="0"/>
              <w:autoSpaceDN w:val="0"/>
              <w:bidi w:val="0"/>
              <w:adjustRightInd w:val="0"/>
              <w:spacing w:line="360" w:lineRule="auto"/>
              <w:rPr>
                <w:rFonts w:hint="eastAsia" w:ascii="宋体" w:hAnsi="宋体" w:eastAsia="宋体" w:cs="宋体"/>
                <w:color w:val="auto"/>
                <w:kern w:val="0"/>
                <w:sz w:val="24"/>
                <w:highlight w:val="none"/>
              </w:rPr>
            </w:pPr>
          </w:p>
        </w:tc>
        <w:tc>
          <w:tcPr>
            <w:tcW w:w="1555" w:type="dxa"/>
            <w:vAlign w:val="center"/>
          </w:tcPr>
          <w:p>
            <w:pPr>
              <w:spacing w:line="360" w:lineRule="auto"/>
              <w:jc w:val="center"/>
              <w:rPr>
                <w:rFonts w:hint="eastAsia" w:ascii="宋体" w:hAnsi="宋体" w:eastAsia="宋体" w:cs="宋体"/>
                <w:color w:val="auto"/>
                <w:sz w:val="24"/>
                <w:szCs w:val="24"/>
                <w:highlight w:val="none"/>
              </w:rPr>
            </w:pPr>
          </w:p>
        </w:tc>
        <w:tc>
          <w:tcPr>
            <w:tcW w:w="1052" w:type="dxa"/>
            <w:vAlign w:val="center"/>
          </w:tcPr>
          <w:p>
            <w:pPr>
              <w:kinsoku/>
              <w:overflowPunct/>
              <w:autoSpaceDE w:val="0"/>
              <w:autoSpaceDN w:val="0"/>
              <w:bidi w:val="0"/>
              <w:adjustRightInd w:val="0"/>
              <w:spacing w:line="360" w:lineRule="auto"/>
              <w:rPr>
                <w:rFonts w:hint="eastAsia" w:ascii="宋体" w:hAnsi="宋体" w:eastAsia="宋体" w:cs="宋体"/>
                <w:color w:val="auto"/>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55" w:type="dxa"/>
            <w:vAlign w:val="center"/>
          </w:tcPr>
          <w:p>
            <w:pPr>
              <w:kinsoku/>
              <w:overflowPunct/>
              <w:autoSpaceDE w:val="0"/>
              <w:autoSpaceDN w:val="0"/>
              <w:bidi w:val="0"/>
              <w:adjustRightInd w:val="0"/>
              <w:spacing w:line="360" w:lineRule="auto"/>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8</w:t>
            </w:r>
          </w:p>
        </w:tc>
        <w:tc>
          <w:tcPr>
            <w:tcW w:w="1252" w:type="dxa"/>
            <w:vAlign w:val="center"/>
          </w:tcPr>
          <w:p>
            <w:pPr>
              <w:kinsoku/>
              <w:overflowPunct/>
              <w:autoSpaceDE w:val="0"/>
              <w:autoSpaceDN w:val="0"/>
              <w:bidi w:val="0"/>
              <w:adjustRightInd w:val="0"/>
              <w:spacing w:line="360" w:lineRule="auto"/>
              <w:rPr>
                <w:rFonts w:hint="eastAsia" w:ascii="宋体" w:hAnsi="宋体" w:eastAsia="宋体" w:cs="宋体"/>
                <w:color w:val="auto"/>
                <w:kern w:val="0"/>
                <w:sz w:val="24"/>
                <w:highlight w:val="none"/>
              </w:rPr>
            </w:pPr>
          </w:p>
        </w:tc>
        <w:tc>
          <w:tcPr>
            <w:tcW w:w="3392" w:type="dxa"/>
            <w:vAlign w:val="center"/>
          </w:tcPr>
          <w:p>
            <w:pPr>
              <w:kinsoku/>
              <w:overflowPunct/>
              <w:autoSpaceDE w:val="0"/>
              <w:autoSpaceDN w:val="0"/>
              <w:bidi w:val="0"/>
              <w:adjustRightInd w:val="0"/>
              <w:spacing w:line="360" w:lineRule="auto"/>
              <w:rPr>
                <w:rFonts w:hint="eastAsia" w:ascii="宋体" w:hAnsi="宋体" w:eastAsia="宋体" w:cs="宋体"/>
                <w:color w:val="auto"/>
                <w:kern w:val="0"/>
                <w:sz w:val="24"/>
                <w:highlight w:val="none"/>
              </w:rPr>
            </w:pPr>
          </w:p>
        </w:tc>
        <w:tc>
          <w:tcPr>
            <w:tcW w:w="1417" w:type="dxa"/>
            <w:vAlign w:val="center"/>
          </w:tcPr>
          <w:p>
            <w:pPr>
              <w:kinsoku/>
              <w:overflowPunct/>
              <w:autoSpaceDE w:val="0"/>
              <w:autoSpaceDN w:val="0"/>
              <w:bidi w:val="0"/>
              <w:adjustRightInd w:val="0"/>
              <w:spacing w:line="360" w:lineRule="auto"/>
              <w:rPr>
                <w:rFonts w:hint="eastAsia" w:ascii="宋体" w:hAnsi="宋体" w:eastAsia="宋体" w:cs="宋体"/>
                <w:color w:val="auto"/>
                <w:kern w:val="0"/>
                <w:sz w:val="24"/>
                <w:highlight w:val="none"/>
              </w:rPr>
            </w:pPr>
          </w:p>
        </w:tc>
        <w:tc>
          <w:tcPr>
            <w:tcW w:w="1555" w:type="dxa"/>
            <w:vAlign w:val="center"/>
          </w:tcPr>
          <w:p>
            <w:pPr>
              <w:spacing w:line="360" w:lineRule="auto"/>
              <w:jc w:val="center"/>
              <w:rPr>
                <w:rFonts w:hint="eastAsia" w:ascii="宋体" w:hAnsi="宋体" w:eastAsia="宋体" w:cs="宋体"/>
                <w:color w:val="auto"/>
                <w:kern w:val="0"/>
                <w:sz w:val="24"/>
                <w:highlight w:val="none"/>
              </w:rPr>
            </w:pPr>
          </w:p>
        </w:tc>
        <w:tc>
          <w:tcPr>
            <w:tcW w:w="1052" w:type="dxa"/>
            <w:vAlign w:val="center"/>
          </w:tcPr>
          <w:p>
            <w:pPr>
              <w:kinsoku/>
              <w:overflowPunct/>
              <w:autoSpaceDE w:val="0"/>
              <w:autoSpaceDN w:val="0"/>
              <w:bidi w:val="0"/>
              <w:adjustRightInd w:val="0"/>
              <w:spacing w:line="360" w:lineRule="auto"/>
              <w:rPr>
                <w:rFonts w:hint="eastAsia" w:ascii="宋体" w:hAnsi="宋体" w:eastAsia="宋体" w:cs="宋体"/>
                <w:color w:val="auto"/>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55" w:type="dxa"/>
            <w:vAlign w:val="center"/>
          </w:tcPr>
          <w:p>
            <w:pPr>
              <w:kinsoku/>
              <w:overflowPunct/>
              <w:autoSpaceDE w:val="0"/>
              <w:autoSpaceDN w:val="0"/>
              <w:bidi w:val="0"/>
              <w:adjustRightInd w:val="0"/>
              <w:spacing w:line="360" w:lineRule="auto"/>
              <w:jc w:val="center"/>
              <w:rPr>
                <w:rFonts w:hint="eastAsia" w:ascii="宋体" w:hAnsi="宋体" w:eastAsia="宋体" w:cs="宋体"/>
                <w:color w:val="auto"/>
                <w:kern w:val="0"/>
                <w:sz w:val="24"/>
                <w:highlight w:val="none"/>
                <w:lang w:val="en-US" w:eastAsia="zh-CN"/>
              </w:rPr>
            </w:pPr>
          </w:p>
        </w:tc>
        <w:tc>
          <w:tcPr>
            <w:tcW w:w="1252" w:type="dxa"/>
            <w:vAlign w:val="center"/>
          </w:tcPr>
          <w:p>
            <w:pPr>
              <w:kinsoku/>
              <w:overflowPunct/>
              <w:autoSpaceDE w:val="0"/>
              <w:autoSpaceDN w:val="0"/>
              <w:bidi w:val="0"/>
              <w:adjustRightInd w:val="0"/>
              <w:spacing w:line="360" w:lineRule="auto"/>
              <w:rPr>
                <w:rFonts w:hint="eastAsia" w:ascii="宋体" w:hAnsi="宋体" w:eastAsia="宋体" w:cs="宋体"/>
                <w:color w:val="auto"/>
                <w:kern w:val="0"/>
                <w:sz w:val="24"/>
                <w:highlight w:val="none"/>
              </w:rPr>
            </w:pPr>
          </w:p>
        </w:tc>
        <w:tc>
          <w:tcPr>
            <w:tcW w:w="3392" w:type="dxa"/>
            <w:vAlign w:val="center"/>
          </w:tcPr>
          <w:p>
            <w:pPr>
              <w:kinsoku/>
              <w:overflowPunct/>
              <w:autoSpaceDE w:val="0"/>
              <w:autoSpaceDN w:val="0"/>
              <w:bidi w:val="0"/>
              <w:adjustRightInd w:val="0"/>
              <w:spacing w:line="360" w:lineRule="auto"/>
              <w:rPr>
                <w:rFonts w:hint="eastAsia" w:ascii="宋体" w:hAnsi="宋体" w:eastAsia="宋体" w:cs="宋体"/>
                <w:color w:val="auto"/>
                <w:kern w:val="0"/>
                <w:sz w:val="24"/>
                <w:highlight w:val="none"/>
              </w:rPr>
            </w:pPr>
          </w:p>
        </w:tc>
        <w:tc>
          <w:tcPr>
            <w:tcW w:w="1417" w:type="dxa"/>
            <w:vAlign w:val="center"/>
          </w:tcPr>
          <w:p>
            <w:pPr>
              <w:kinsoku/>
              <w:overflowPunct/>
              <w:autoSpaceDE w:val="0"/>
              <w:autoSpaceDN w:val="0"/>
              <w:bidi w:val="0"/>
              <w:adjustRightInd w:val="0"/>
              <w:spacing w:line="360" w:lineRule="auto"/>
              <w:rPr>
                <w:rFonts w:hint="eastAsia" w:ascii="宋体" w:hAnsi="宋体" w:eastAsia="宋体" w:cs="宋体"/>
                <w:color w:val="auto"/>
                <w:kern w:val="0"/>
                <w:sz w:val="24"/>
                <w:highlight w:val="none"/>
              </w:rPr>
            </w:pPr>
          </w:p>
        </w:tc>
        <w:tc>
          <w:tcPr>
            <w:tcW w:w="1555" w:type="dxa"/>
            <w:vAlign w:val="center"/>
          </w:tcPr>
          <w:p>
            <w:pPr>
              <w:spacing w:line="360" w:lineRule="auto"/>
              <w:jc w:val="center"/>
              <w:rPr>
                <w:rFonts w:hint="eastAsia" w:ascii="宋体" w:hAnsi="宋体" w:eastAsia="宋体" w:cs="宋体"/>
                <w:color w:val="auto"/>
                <w:sz w:val="24"/>
                <w:szCs w:val="24"/>
                <w:highlight w:val="none"/>
              </w:rPr>
            </w:pPr>
          </w:p>
        </w:tc>
        <w:tc>
          <w:tcPr>
            <w:tcW w:w="1052" w:type="dxa"/>
            <w:vAlign w:val="center"/>
          </w:tcPr>
          <w:p>
            <w:pPr>
              <w:kinsoku/>
              <w:overflowPunct/>
              <w:autoSpaceDE w:val="0"/>
              <w:autoSpaceDN w:val="0"/>
              <w:bidi w:val="0"/>
              <w:adjustRightInd w:val="0"/>
              <w:spacing w:line="360" w:lineRule="auto"/>
              <w:rPr>
                <w:rFonts w:hint="eastAsia" w:ascii="宋体" w:hAnsi="宋体" w:eastAsia="宋体" w:cs="宋体"/>
                <w:color w:val="auto"/>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223" w:type="dxa"/>
            <w:gridSpan w:val="6"/>
            <w:vAlign w:val="center"/>
          </w:tcPr>
          <w:p>
            <w:pPr>
              <w:kinsoku/>
              <w:overflowPunct/>
              <w:autoSpaceDE w:val="0"/>
              <w:autoSpaceDN w:val="0"/>
              <w:bidi w:val="0"/>
              <w:adjustRightInd w:val="0"/>
              <w:spacing w:line="360" w:lineRule="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其他说明：（如有）</w:t>
            </w:r>
          </w:p>
        </w:tc>
      </w:tr>
    </w:tbl>
    <w:p>
      <w:pPr>
        <w:kinsoku/>
        <w:overflowPunct/>
        <w:bidi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bCs/>
          <w:color w:val="auto"/>
          <w:kern w:val="0"/>
          <w:sz w:val="24"/>
          <w:highlight w:val="none"/>
        </w:rPr>
        <w:t>注：</w:t>
      </w:r>
      <w:r>
        <w:rPr>
          <w:rFonts w:hint="eastAsia" w:ascii="宋体" w:hAnsi="宋体" w:eastAsia="宋体" w:cs="宋体"/>
          <w:bCs/>
          <w:color w:val="auto"/>
          <w:sz w:val="24"/>
          <w:highlight w:val="none"/>
        </w:rPr>
        <w:t>本表后附对应的证明材料；“职称及相关专业认证”仅在评分办法有对应评分项时填写；具体内容见评分办法。</w:t>
      </w:r>
    </w:p>
    <w:p>
      <w:pPr>
        <w:kinsoku/>
        <w:overflowPunct/>
        <w:bidi w:val="0"/>
        <w:adjustRightInd w:val="0"/>
        <w:snapToGrid w:val="0"/>
        <w:spacing w:line="360" w:lineRule="auto"/>
        <w:rPr>
          <w:rFonts w:hint="eastAsia" w:ascii="宋体" w:hAnsi="宋体" w:eastAsia="宋体" w:cs="宋体"/>
          <w:color w:val="auto"/>
          <w:kern w:val="0"/>
          <w:sz w:val="24"/>
          <w:highlight w:val="none"/>
          <w:lang w:val="zh-CN"/>
        </w:rPr>
      </w:pPr>
    </w:p>
    <w:p>
      <w:pPr>
        <w:kinsoku/>
        <w:overflowPunct/>
        <w:bidi w:val="0"/>
        <w:adjustRightInd w:val="0"/>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法定/授权代表：</w:t>
      </w:r>
      <w:r>
        <w:rPr>
          <w:rFonts w:hint="eastAsia" w:ascii="宋体" w:hAnsi="宋体" w:eastAsia="宋体" w:cs="宋体"/>
          <w:color w:val="auto"/>
          <w:kern w:val="0"/>
          <w:sz w:val="24"/>
          <w:highlight w:val="none"/>
          <w:u w:val="single"/>
          <w:lang w:val="zh-CN"/>
        </w:rPr>
        <w:t xml:space="preserve">（签字或盖章） </w:t>
      </w:r>
    </w:p>
    <w:p>
      <w:pPr>
        <w:kinsoku/>
        <w:overflowPunct/>
        <w:bidi w:val="0"/>
        <w:adjustRightInd w:val="0"/>
        <w:snapToGrid w:val="0"/>
        <w:spacing w:line="360" w:lineRule="auto"/>
        <w:rPr>
          <w:rFonts w:hint="eastAsia" w:ascii="宋体" w:hAnsi="宋体" w:eastAsia="宋体" w:cs="宋体"/>
          <w:color w:val="auto"/>
          <w:kern w:val="0"/>
          <w:sz w:val="24"/>
          <w:highlight w:val="none"/>
          <w:u w:val="single"/>
          <w:lang w:val="zh-CN"/>
        </w:rPr>
      </w:pPr>
      <w:r>
        <w:rPr>
          <w:rFonts w:hint="eastAsia" w:ascii="宋体" w:hAnsi="宋体" w:eastAsia="宋体" w:cs="宋体"/>
          <w:color w:val="auto"/>
          <w:kern w:val="0"/>
          <w:sz w:val="24"/>
          <w:highlight w:val="none"/>
          <w:lang w:val="zh-CN"/>
        </w:rPr>
        <w:t>投标人：</w:t>
      </w:r>
      <w:r>
        <w:rPr>
          <w:rFonts w:hint="eastAsia" w:ascii="宋体" w:hAnsi="宋体" w:eastAsia="宋体" w:cs="宋体"/>
          <w:color w:val="auto"/>
          <w:kern w:val="0"/>
          <w:sz w:val="24"/>
          <w:highlight w:val="none"/>
          <w:u w:val="single"/>
          <w:lang w:val="zh-CN"/>
        </w:rPr>
        <w:t xml:space="preserve">（全称加盖公章）       </w:t>
      </w:r>
    </w:p>
    <w:p>
      <w:pPr>
        <w:kinsoku/>
        <w:overflowPunct/>
        <w:bidi w:val="0"/>
        <w:adjustRightInd w:val="0"/>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u w:val="single"/>
        </w:rPr>
        <w:tab/>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日</w:t>
      </w:r>
    </w:p>
    <w:p>
      <w:pPr>
        <w:kinsoku/>
        <w:overflowPunct/>
        <w:autoSpaceDE w:val="0"/>
        <w:autoSpaceDN w:val="0"/>
        <w:bidi w:val="0"/>
        <w:adjustRightInd w:val="0"/>
        <w:spacing w:line="360" w:lineRule="auto"/>
        <w:rPr>
          <w:rFonts w:hint="eastAsia" w:ascii="宋体" w:hAnsi="宋体" w:eastAsia="宋体" w:cs="宋体"/>
          <w:color w:val="auto"/>
          <w:kern w:val="0"/>
          <w:sz w:val="24"/>
          <w:highlight w:val="none"/>
        </w:rPr>
      </w:pPr>
    </w:p>
    <w:p>
      <w:pPr>
        <w:pStyle w:val="49"/>
        <w:kinsoku/>
        <w:overflowPunct/>
        <w:bidi w:val="0"/>
        <w:adjustRightInd w:val="0"/>
        <w:snapToGrid w:val="0"/>
        <w:spacing w:line="360" w:lineRule="auto"/>
        <w:jc w:val="center"/>
        <w:outlineLvl w:val="1"/>
        <w:rPr>
          <w:rFonts w:hint="eastAsia" w:ascii="宋体" w:hAnsi="宋体" w:eastAsia="宋体" w:cs="宋体"/>
          <w:b/>
          <w:color w:val="auto"/>
          <w:kern w:val="0"/>
          <w:sz w:val="30"/>
          <w:highlight w:val="none"/>
          <w:lang w:val="zh-CN"/>
        </w:rPr>
      </w:pPr>
    </w:p>
    <w:p>
      <w:pPr>
        <w:pStyle w:val="49"/>
        <w:kinsoku/>
        <w:overflowPunct/>
        <w:bidi w:val="0"/>
        <w:adjustRightInd w:val="0"/>
        <w:snapToGrid w:val="0"/>
        <w:spacing w:line="360" w:lineRule="auto"/>
        <w:jc w:val="center"/>
        <w:outlineLvl w:val="1"/>
        <w:rPr>
          <w:rFonts w:hint="eastAsia" w:ascii="宋体" w:hAnsi="宋体" w:eastAsia="宋体" w:cs="宋体"/>
          <w:b/>
          <w:color w:val="auto"/>
          <w:kern w:val="0"/>
          <w:sz w:val="30"/>
          <w:highlight w:val="none"/>
          <w:lang w:val="zh-CN"/>
        </w:rPr>
      </w:pPr>
    </w:p>
    <w:p>
      <w:pPr>
        <w:pStyle w:val="49"/>
        <w:kinsoku/>
        <w:overflowPunct/>
        <w:bidi w:val="0"/>
        <w:adjustRightInd w:val="0"/>
        <w:snapToGrid w:val="0"/>
        <w:spacing w:line="360" w:lineRule="auto"/>
        <w:jc w:val="center"/>
        <w:outlineLvl w:val="1"/>
        <w:rPr>
          <w:rFonts w:hint="eastAsia" w:ascii="宋体" w:hAnsi="宋体" w:eastAsia="宋体" w:cs="宋体"/>
          <w:b/>
          <w:color w:val="auto"/>
          <w:kern w:val="0"/>
          <w:sz w:val="30"/>
          <w:highlight w:val="none"/>
          <w:lang w:val="zh-CN"/>
        </w:rPr>
      </w:pPr>
    </w:p>
    <w:p>
      <w:pPr>
        <w:pStyle w:val="6"/>
        <w:kinsoku/>
        <w:overflowPunct/>
        <w:bidi w:val="0"/>
        <w:spacing w:line="360" w:lineRule="auto"/>
        <w:ind w:left="0" w:firstLine="0"/>
        <w:jc w:val="center"/>
        <w:rPr>
          <w:rFonts w:hint="eastAsia" w:ascii="宋体" w:hAnsi="宋体" w:eastAsia="宋体" w:cs="宋体"/>
          <w:color w:val="auto"/>
          <w:sz w:val="28"/>
          <w:highlight w:val="none"/>
        </w:rPr>
      </w:pPr>
      <w:r>
        <w:rPr>
          <w:rFonts w:hint="eastAsia" w:ascii="宋体" w:hAnsi="宋体" w:eastAsia="宋体" w:cs="宋体"/>
          <w:color w:val="auto"/>
          <w:kern w:val="0"/>
          <w:sz w:val="30"/>
          <w:highlight w:val="none"/>
          <w:lang w:val="zh-CN"/>
        </w:rPr>
        <w:t>格式七：</w:t>
      </w:r>
      <w:bookmarkStart w:id="95" w:name="_Toc522530058"/>
      <w:bookmarkStart w:id="96" w:name="_Toc8841"/>
      <w:r>
        <w:rPr>
          <w:rFonts w:hint="eastAsia" w:ascii="宋体" w:hAnsi="宋体" w:eastAsia="宋体" w:cs="宋体"/>
          <w:color w:val="auto"/>
          <w:sz w:val="28"/>
          <w:szCs w:val="22"/>
          <w:highlight w:val="none"/>
        </w:rPr>
        <w:t>开标一览表</w:t>
      </w:r>
      <w:bookmarkEnd w:id="86"/>
      <w:bookmarkEnd w:id="87"/>
      <w:bookmarkEnd w:id="88"/>
      <w:bookmarkEnd w:id="89"/>
      <w:bookmarkEnd w:id="90"/>
      <w:bookmarkEnd w:id="95"/>
      <w:bookmarkEnd w:id="96"/>
    </w:p>
    <w:p>
      <w:pPr>
        <w:kinsoku/>
        <w:overflowPunct/>
        <w:bidi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衢州市柯城区教育局</w:t>
      </w:r>
      <w:r>
        <w:rPr>
          <w:rFonts w:hint="eastAsia" w:ascii="宋体" w:hAnsi="宋体" w:eastAsia="宋体" w:cs="宋体"/>
          <w:color w:val="auto"/>
          <w:sz w:val="24"/>
          <w:highlight w:val="none"/>
        </w:rPr>
        <w:t xml:space="preserve"> </w:t>
      </w:r>
    </w:p>
    <w:p>
      <w:pPr>
        <w:kinsoku/>
        <w:overflowPunct/>
        <w:bidi w:val="0"/>
        <w:adjustRightInd w:val="0"/>
        <w:snapToGrid w:val="0"/>
        <w:spacing w:line="360" w:lineRule="auto"/>
        <w:rPr>
          <w:rFonts w:hint="eastAsia" w:ascii="宋体" w:hAnsi="宋体" w:eastAsia="宋体" w:cs="宋体"/>
          <w:b/>
          <w:color w:val="auto"/>
          <w:sz w:val="30"/>
          <w:highlight w:val="none"/>
        </w:rPr>
      </w:pPr>
      <w:r>
        <w:rPr>
          <w:rFonts w:hint="eastAsia" w:ascii="宋体" w:hAnsi="宋体" w:eastAsia="宋体" w:cs="宋体"/>
          <w:color w:val="auto"/>
          <w:sz w:val="24"/>
          <w:highlight w:val="none"/>
        </w:rPr>
        <w:t>浙江中正工程项目管理有限公司：</w:t>
      </w:r>
    </w:p>
    <w:p>
      <w:pPr>
        <w:kinsoku/>
        <w:overflowPunct/>
        <w:bidi w:val="0"/>
        <w:spacing w:beforeLines="10"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按贵方招标文件要求，如你方接受本投标文件，我方承诺按照如下开标一览表的价格完成</w:t>
      </w:r>
      <w:r>
        <w:rPr>
          <w:rFonts w:hint="eastAsia" w:ascii="宋体" w:hAnsi="宋体" w:eastAsia="宋体" w:cs="宋体"/>
          <w:color w:val="auto"/>
          <w:sz w:val="24"/>
          <w:highlight w:val="none"/>
          <w:u w:val="single"/>
        </w:rPr>
        <w:t>（项目名称） (项目编号：</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lang w:val="zh-CN"/>
        </w:rPr>
        <w:t>的实施。</w:t>
      </w:r>
    </w:p>
    <w:p>
      <w:pPr>
        <w:kinsoku/>
        <w:overflowPunct/>
        <w:bidi w:val="0"/>
        <w:adjustRightInd w:val="0"/>
        <w:snapToGrid w:val="0"/>
        <w:spacing w:line="360" w:lineRule="auto"/>
        <w:ind w:right="480"/>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 xml:space="preserve">                                              货币单位：人民币元</w:t>
      </w:r>
    </w:p>
    <w:tbl>
      <w:tblPr>
        <w:tblStyle w:val="98"/>
        <w:tblW w:w="9242"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219"/>
        <w:gridCol w:w="502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9" w:hRule="atLeast"/>
          <w:tblHeader/>
          <w:jc w:val="center"/>
        </w:trPr>
        <w:tc>
          <w:tcPr>
            <w:tcW w:w="4219" w:type="dxa"/>
            <w:tcBorders>
              <w:top w:val="single" w:color="auto" w:sz="4" w:space="0"/>
            </w:tcBorders>
            <w:vAlign w:val="center"/>
          </w:tcPr>
          <w:p>
            <w:pPr>
              <w:spacing w:line="360" w:lineRule="auto"/>
              <w:jc w:val="center"/>
              <w:rPr>
                <w:rFonts w:hint="eastAsia" w:ascii="宋体" w:hAnsi="宋体" w:eastAsia="宋体" w:cs="宋体"/>
                <w:b/>
                <w:color w:val="auto"/>
                <w:sz w:val="24"/>
                <w:highlight w:val="none"/>
                <w:lang w:val="en-GB"/>
              </w:rPr>
            </w:pPr>
            <w:r>
              <w:rPr>
                <w:rFonts w:hint="eastAsia" w:ascii="宋体" w:hAnsi="宋体" w:eastAsia="宋体" w:cs="宋体"/>
                <w:b/>
                <w:color w:val="auto"/>
                <w:sz w:val="24"/>
                <w:highlight w:val="none"/>
                <w:lang w:val="en-GB" w:eastAsia="zh-CN"/>
              </w:rPr>
              <w:t>标项</w:t>
            </w:r>
            <w:r>
              <w:rPr>
                <w:rFonts w:hint="eastAsia" w:ascii="宋体" w:hAnsi="宋体" w:eastAsia="宋体" w:cs="宋体"/>
                <w:b/>
                <w:color w:val="auto"/>
                <w:sz w:val="24"/>
                <w:highlight w:val="none"/>
                <w:lang w:val="en-GB"/>
              </w:rPr>
              <w:t>名称</w:t>
            </w:r>
          </w:p>
        </w:tc>
        <w:tc>
          <w:tcPr>
            <w:tcW w:w="5023" w:type="dxa"/>
            <w:tcBorders>
              <w:right w:val="single" w:color="auto" w:sz="4" w:space="0"/>
            </w:tcBorders>
            <w:vAlign w:val="center"/>
          </w:tcPr>
          <w:p>
            <w:pPr>
              <w:spacing w:line="360" w:lineRule="auto"/>
              <w:jc w:val="center"/>
              <w:rPr>
                <w:rFonts w:hint="eastAsia" w:ascii="宋体" w:hAnsi="宋体" w:eastAsia="宋体" w:cs="宋体"/>
                <w:b/>
                <w:color w:val="auto"/>
                <w:sz w:val="24"/>
                <w:highlight w:val="none"/>
                <w:lang w:val="en-GB"/>
              </w:rPr>
            </w:pPr>
            <w:r>
              <w:rPr>
                <w:rFonts w:hint="eastAsia" w:ascii="宋体" w:hAnsi="宋体" w:eastAsia="宋体" w:cs="宋体"/>
                <w:b/>
                <w:color w:val="auto"/>
                <w:sz w:val="24"/>
                <w:highlight w:val="none"/>
                <w:lang w:val="en-GB"/>
              </w:rPr>
              <w:t>投标报价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855" w:hRule="atLeast"/>
          <w:jc w:val="center"/>
        </w:trPr>
        <w:tc>
          <w:tcPr>
            <w:tcW w:w="4219" w:type="dxa"/>
            <w:vAlign w:val="center"/>
          </w:tcPr>
          <w:p>
            <w:pPr>
              <w:spacing w:line="360" w:lineRule="auto"/>
              <w:jc w:val="center"/>
              <w:rPr>
                <w:rFonts w:hint="eastAsia" w:ascii="宋体" w:hAnsi="宋体" w:eastAsia="宋体" w:cs="宋体"/>
                <w:b w:val="0"/>
                <w:bCs w:val="0"/>
                <w:color w:val="auto"/>
                <w:sz w:val="24"/>
                <w:highlight w:val="none"/>
              </w:rPr>
            </w:pPr>
            <w:r>
              <w:rPr>
                <w:rFonts w:hint="eastAsia" w:ascii="宋体" w:hAnsi="宋体" w:cs="宋体"/>
                <w:color w:val="auto"/>
                <w:sz w:val="24"/>
                <w:highlight w:val="none"/>
                <w:lang w:val="en-GB" w:eastAsia="zh-CN"/>
              </w:rPr>
              <w:t>柯城区航埠新城K12学校建设项目——航埠新城初级中学校园智能化采购项目（第二次）</w:t>
            </w:r>
          </w:p>
        </w:tc>
        <w:tc>
          <w:tcPr>
            <w:tcW w:w="5023" w:type="dxa"/>
            <w:tcBorders>
              <w:bottom w:val="single" w:color="auto" w:sz="4" w:space="0"/>
              <w:right w:val="single" w:color="auto" w:sz="4" w:space="0"/>
            </w:tcBorders>
            <w:vAlign w:val="center"/>
          </w:tcPr>
          <w:p>
            <w:pPr>
              <w:spacing w:line="360" w:lineRule="auto"/>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（小写）：</w:t>
            </w:r>
            <w:r>
              <w:rPr>
                <w:rFonts w:hint="eastAsia" w:ascii="宋体" w:hAnsi="宋体" w:eastAsia="宋体" w:cs="宋体"/>
                <w:color w:val="auto"/>
                <w:sz w:val="24"/>
                <w:highlight w:val="none"/>
                <w:u w:val="single"/>
                <w:lang w:val="en-US" w:eastAsia="zh-CN"/>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（大写）：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45" w:hRule="atLeast"/>
          <w:jc w:val="center"/>
        </w:trPr>
        <w:tc>
          <w:tcPr>
            <w:tcW w:w="4219" w:type="dxa"/>
            <w:tcBorders>
              <w:right w:val="single" w:color="auto" w:sz="4" w:space="0"/>
            </w:tcBorders>
            <w:vAlign w:val="center"/>
          </w:tcPr>
          <w:p>
            <w:pPr>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服务期</w:t>
            </w:r>
          </w:p>
        </w:tc>
        <w:tc>
          <w:tcPr>
            <w:tcW w:w="5023" w:type="dxa"/>
            <w:tcBorders>
              <w:left w:val="single" w:color="auto" w:sz="4" w:space="0"/>
              <w:bottom w:val="single" w:color="auto" w:sz="4" w:space="0"/>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60" w:lineRule="auto"/>
              <w:ind w:right="-773" w:rightChars="-276"/>
              <w:jc w:val="left"/>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85" w:hRule="atLeast"/>
          <w:jc w:val="center"/>
        </w:trPr>
        <w:tc>
          <w:tcPr>
            <w:tcW w:w="4219" w:type="dxa"/>
            <w:tcBorders>
              <w:right w:val="single" w:color="auto" w:sz="4" w:space="0"/>
            </w:tcBorders>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项目负责人</w:t>
            </w:r>
          </w:p>
        </w:tc>
        <w:tc>
          <w:tcPr>
            <w:tcW w:w="5023" w:type="dxa"/>
            <w:tcBorders>
              <w:left w:val="single" w:color="auto" w:sz="4" w:space="0"/>
              <w:bottom w:val="single" w:color="auto" w:sz="4" w:space="0"/>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60" w:lineRule="auto"/>
              <w:ind w:right="-773" w:rightChars="-276"/>
              <w:jc w:val="left"/>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85" w:hRule="atLeast"/>
          <w:jc w:val="center"/>
        </w:trPr>
        <w:tc>
          <w:tcPr>
            <w:tcW w:w="4219" w:type="dxa"/>
            <w:tcBorders>
              <w:right w:val="single" w:color="auto" w:sz="4" w:space="0"/>
            </w:tcBorders>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备注</w:t>
            </w:r>
          </w:p>
        </w:tc>
        <w:tc>
          <w:tcPr>
            <w:tcW w:w="5023" w:type="dxa"/>
            <w:tcBorders>
              <w:left w:val="single" w:color="auto" w:sz="4" w:space="0"/>
              <w:bottom w:val="single" w:color="auto" w:sz="4" w:space="0"/>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60" w:lineRule="auto"/>
              <w:ind w:right="-773" w:rightChars="-276"/>
              <w:jc w:val="left"/>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855" w:hRule="atLeast"/>
          <w:jc w:val="center"/>
        </w:trPr>
        <w:tc>
          <w:tcPr>
            <w:tcW w:w="9242" w:type="dxa"/>
            <w:gridSpan w:val="2"/>
            <w:tcBorders>
              <w:righ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本报价已包含招标文件“第二部分 投标人须知 \三、投标文件\（三）投标报价”要求的全部内容。</w:t>
            </w:r>
          </w:p>
        </w:tc>
      </w:tr>
    </w:tbl>
    <w:p>
      <w:pPr>
        <w:adjustRightInd w:val="0"/>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注：</w:t>
      </w:r>
      <w:r>
        <w:rPr>
          <w:rFonts w:hint="eastAsia" w:ascii="宋体" w:hAnsi="宋体" w:eastAsia="宋体" w:cs="宋体"/>
          <w:color w:val="auto"/>
          <w:kern w:val="0"/>
          <w:sz w:val="24"/>
          <w:highlight w:val="none"/>
          <w:lang w:val="zh-CN"/>
        </w:rPr>
        <w:t>1、此表报价单不得涂改，请按规定要求填报。</w:t>
      </w:r>
    </w:p>
    <w:p>
      <w:pPr>
        <w:adjustRightInd w:val="0"/>
        <w:snapToGrid w:val="0"/>
        <w:spacing w:line="360" w:lineRule="auto"/>
        <w:ind w:firstLine="600" w:firstLineChars="2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2、以上报价最终对应“第三部分 项目技术及服务要求”中的各项内容的收费。</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3、本项目报价为</w:t>
      </w:r>
      <w:r>
        <w:rPr>
          <w:rFonts w:hint="eastAsia" w:ascii="宋体" w:hAnsi="宋体" w:eastAsia="宋体" w:cs="宋体"/>
          <w:color w:val="auto"/>
          <w:kern w:val="0"/>
          <w:sz w:val="24"/>
          <w:highlight w:val="none"/>
          <w:lang w:eastAsia="zh-CN"/>
        </w:rPr>
        <w:t>柯城区航埠新城K12学校建设项目——航埠新城初级中学校园智能化采购项目</w:t>
      </w:r>
      <w:r>
        <w:rPr>
          <w:rFonts w:hint="eastAsia" w:ascii="宋体" w:hAnsi="宋体" w:eastAsia="宋体" w:cs="宋体"/>
          <w:color w:val="auto"/>
          <w:kern w:val="0"/>
          <w:sz w:val="24"/>
          <w:highlight w:val="none"/>
        </w:rPr>
        <w:t>含税总价，报价</w:t>
      </w:r>
      <w:r>
        <w:rPr>
          <w:rFonts w:hint="eastAsia" w:ascii="宋体" w:hAnsi="宋体" w:eastAsia="宋体" w:cs="宋体"/>
          <w:color w:val="auto"/>
          <w:sz w:val="24"/>
          <w:szCs w:val="24"/>
          <w:highlight w:val="none"/>
        </w:rPr>
        <w:t>包括本次所采购</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需求调研、软件设计、系统开发、系统集成、测试、实施部署、硬件（货物）、硬件（货物）运输、安装、调试、人工费（包括工人工资、奖金、社保、工伤费、教育培训费、暂住费及处理一切伤亡事故等费用）、工具材料费、培训、维护、税费等所有费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highlight w:val="none"/>
        </w:rPr>
        <w:t>中标供应商在报价单中的提供的单价和总价在合同执行过程中固定不变，不得以任何理由予以变更。</w:t>
      </w:r>
    </w:p>
    <w:p>
      <w:pPr>
        <w:adjustRightInd w:val="0"/>
        <w:snapToGrid w:val="0"/>
        <w:spacing w:line="360" w:lineRule="auto"/>
        <w:ind w:firstLine="600" w:firstLineChars="2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如果供应商提出优惠条款，请在备注栏内注明。</w:t>
      </w:r>
    </w:p>
    <w:p>
      <w:pPr>
        <w:kinsoku/>
        <w:overflowPunct/>
        <w:bidi w:val="0"/>
        <w:adjustRightInd w:val="0"/>
        <w:snapToGrid w:val="0"/>
        <w:spacing w:line="360" w:lineRule="auto"/>
        <w:ind w:left="0" w:leftChars="0" w:firstLine="4759" w:firstLineChars="1983"/>
        <w:rPr>
          <w:rFonts w:hint="eastAsia" w:ascii="宋体" w:hAnsi="宋体" w:eastAsia="宋体" w:cs="宋体"/>
          <w:color w:val="auto"/>
          <w:kern w:val="0"/>
          <w:sz w:val="24"/>
          <w:highlight w:val="none"/>
          <w:lang w:val="zh-CN"/>
        </w:rPr>
      </w:pPr>
    </w:p>
    <w:p>
      <w:pPr>
        <w:kinsoku/>
        <w:overflowPunct/>
        <w:bidi w:val="0"/>
        <w:adjustRightInd w:val="0"/>
        <w:snapToGrid w:val="0"/>
        <w:spacing w:line="360" w:lineRule="auto"/>
        <w:ind w:left="0" w:leftChars="0" w:firstLine="4759" w:firstLineChars="1983"/>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法定/授权代表：</w:t>
      </w:r>
      <w:r>
        <w:rPr>
          <w:rFonts w:hint="eastAsia" w:ascii="宋体" w:hAnsi="宋体" w:eastAsia="宋体" w:cs="宋体"/>
          <w:color w:val="auto"/>
          <w:kern w:val="0"/>
          <w:sz w:val="24"/>
          <w:highlight w:val="none"/>
          <w:u w:val="single"/>
          <w:lang w:val="zh-CN"/>
        </w:rPr>
        <w:t xml:space="preserve">（签字或盖章） </w:t>
      </w:r>
    </w:p>
    <w:p>
      <w:pPr>
        <w:kinsoku/>
        <w:overflowPunct/>
        <w:bidi w:val="0"/>
        <w:adjustRightInd w:val="0"/>
        <w:snapToGrid w:val="0"/>
        <w:spacing w:line="360" w:lineRule="auto"/>
        <w:ind w:left="0" w:leftChars="0" w:firstLine="4759" w:firstLineChars="1983"/>
        <w:rPr>
          <w:rFonts w:hint="eastAsia" w:ascii="宋体" w:hAnsi="宋体" w:eastAsia="宋体" w:cs="宋体"/>
          <w:color w:val="auto"/>
          <w:kern w:val="0"/>
          <w:sz w:val="24"/>
          <w:highlight w:val="none"/>
          <w:u w:val="single"/>
          <w:lang w:val="zh-CN"/>
        </w:rPr>
      </w:pPr>
      <w:r>
        <w:rPr>
          <w:rFonts w:hint="eastAsia" w:ascii="宋体" w:hAnsi="宋体" w:eastAsia="宋体" w:cs="宋体"/>
          <w:color w:val="auto"/>
          <w:kern w:val="0"/>
          <w:sz w:val="24"/>
          <w:highlight w:val="none"/>
          <w:lang w:val="zh-CN"/>
        </w:rPr>
        <w:t>供应商：</w:t>
      </w:r>
      <w:r>
        <w:rPr>
          <w:rFonts w:hint="eastAsia" w:ascii="宋体" w:hAnsi="宋体" w:eastAsia="宋体" w:cs="宋体"/>
          <w:color w:val="auto"/>
          <w:kern w:val="0"/>
          <w:sz w:val="24"/>
          <w:highlight w:val="none"/>
          <w:u w:val="single"/>
          <w:lang w:val="zh-CN"/>
        </w:rPr>
        <w:t xml:space="preserve">（全称加盖公章）       </w:t>
      </w:r>
    </w:p>
    <w:p>
      <w:pPr>
        <w:kinsoku/>
        <w:overflowPunct/>
        <w:bidi w:val="0"/>
        <w:adjustRightInd w:val="0"/>
        <w:snapToGrid w:val="0"/>
        <w:spacing w:line="360" w:lineRule="auto"/>
        <w:ind w:left="0" w:leftChars="0" w:firstLine="4759" w:firstLineChars="1983"/>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u w:val="single"/>
        </w:rPr>
        <w:tab/>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日</w:t>
      </w:r>
    </w:p>
    <w:p>
      <w:pPr>
        <w:pStyle w:val="6"/>
        <w:kinsoku/>
        <w:overflowPunct/>
        <w:bidi w:val="0"/>
        <w:spacing w:line="360" w:lineRule="auto"/>
        <w:ind w:left="0" w:firstLine="0"/>
        <w:jc w:val="both"/>
        <w:rPr>
          <w:rFonts w:hint="eastAsia" w:ascii="宋体" w:hAnsi="宋体" w:eastAsia="宋体" w:cs="宋体"/>
          <w:color w:val="auto"/>
          <w:sz w:val="28"/>
          <w:highlight w:val="none"/>
          <w:lang w:eastAsia="zh-CN"/>
        </w:rPr>
        <w:sectPr>
          <w:footerReference r:id="rId11" w:type="first"/>
          <w:footerReference r:id="rId10" w:type="default"/>
          <w:pgSz w:w="11906" w:h="16838"/>
          <w:pgMar w:top="1440" w:right="1440" w:bottom="1440" w:left="1440" w:header="851" w:footer="851" w:gutter="0"/>
          <w:pgBorders>
            <w:top w:val="none" w:sz="0" w:space="0"/>
            <w:left w:val="none" w:sz="0" w:space="0"/>
            <w:bottom w:val="none" w:sz="0" w:space="0"/>
            <w:right w:val="none" w:sz="0" w:space="0"/>
          </w:pgBorders>
          <w:cols w:space="720" w:num="1"/>
          <w:titlePg/>
          <w:docGrid w:linePitch="381" w:charSpace="0"/>
        </w:sectPr>
      </w:pPr>
    </w:p>
    <w:p>
      <w:pPr>
        <w:pStyle w:val="6"/>
        <w:kinsoku/>
        <w:overflowPunct/>
        <w:bidi w:val="0"/>
        <w:spacing w:line="360" w:lineRule="auto"/>
        <w:ind w:left="0" w:firstLine="0"/>
        <w:jc w:val="center"/>
        <w:rPr>
          <w:rFonts w:hint="eastAsia" w:ascii="宋体" w:hAnsi="宋体" w:eastAsia="宋体" w:cs="宋体"/>
          <w:color w:val="auto"/>
          <w:sz w:val="28"/>
          <w:highlight w:val="none"/>
          <w:lang w:eastAsia="zh-CN"/>
        </w:rPr>
      </w:pPr>
      <w:r>
        <w:rPr>
          <w:rFonts w:hint="eastAsia" w:ascii="宋体" w:hAnsi="宋体" w:eastAsia="宋体" w:cs="宋体"/>
          <w:color w:val="auto"/>
          <w:sz w:val="28"/>
          <w:highlight w:val="none"/>
          <w:lang w:eastAsia="zh-CN"/>
        </w:rPr>
        <w:t>格式八：投标报价明细表</w:t>
      </w:r>
    </w:p>
    <w:p>
      <w:pPr>
        <w:numPr>
          <w:ilvl w:val="0"/>
          <w:numId w:val="0"/>
        </w:numP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一、报价明细汇总表</w:t>
      </w:r>
    </w:p>
    <w:tbl>
      <w:tblPr>
        <w:tblStyle w:val="99"/>
        <w:tblW w:w="91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5"/>
        <w:gridCol w:w="4733"/>
        <w:gridCol w:w="2370"/>
        <w:gridCol w:w="1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5" w:type="dxa"/>
            <w:vAlign w:val="center"/>
          </w:tcPr>
          <w:p>
            <w:pPr>
              <w:keepNext w:val="0"/>
              <w:keepLines w:val="0"/>
              <w:widowControl/>
              <w:suppressLineNumbers w:val="0"/>
              <w:spacing w:line="360" w:lineRule="auto"/>
              <w:jc w:val="center"/>
              <w:textAlignment w:val="center"/>
              <w:rPr>
                <w:color w:val="auto"/>
                <w:sz w:val="24"/>
                <w:szCs w:val="24"/>
                <w:highlight w:val="none"/>
                <w:vertAlign w:val="baseline"/>
              </w:rPr>
            </w:pPr>
            <w:r>
              <w:rPr>
                <w:rFonts w:hint="eastAsia" w:ascii="宋体" w:hAnsi="宋体" w:eastAsia="宋体" w:cs="宋体"/>
                <w:b/>
                <w:i w:val="0"/>
                <w:color w:val="auto"/>
                <w:kern w:val="0"/>
                <w:sz w:val="24"/>
                <w:szCs w:val="24"/>
                <w:highlight w:val="none"/>
                <w:u w:val="none"/>
                <w:lang w:val="en-US" w:eastAsia="zh-CN" w:bidi="ar"/>
              </w:rPr>
              <w:t>序号</w:t>
            </w:r>
          </w:p>
        </w:tc>
        <w:tc>
          <w:tcPr>
            <w:tcW w:w="4733" w:type="dxa"/>
            <w:vAlign w:val="center"/>
          </w:tcPr>
          <w:p>
            <w:pPr>
              <w:keepNext w:val="0"/>
              <w:keepLines w:val="0"/>
              <w:widowControl/>
              <w:suppressLineNumbers w:val="0"/>
              <w:spacing w:line="360" w:lineRule="auto"/>
              <w:jc w:val="center"/>
              <w:textAlignment w:val="center"/>
              <w:rPr>
                <w:color w:val="auto"/>
                <w:sz w:val="24"/>
                <w:szCs w:val="24"/>
                <w:highlight w:val="none"/>
                <w:vertAlign w:val="baseline"/>
              </w:rPr>
            </w:pPr>
            <w:r>
              <w:rPr>
                <w:rFonts w:hint="eastAsia" w:ascii="宋体" w:hAnsi="宋体" w:eastAsia="宋体" w:cs="宋体"/>
                <w:b/>
                <w:i w:val="0"/>
                <w:color w:val="auto"/>
                <w:kern w:val="0"/>
                <w:sz w:val="24"/>
                <w:szCs w:val="24"/>
                <w:highlight w:val="none"/>
                <w:u w:val="none"/>
                <w:lang w:val="en-US" w:eastAsia="zh-CN" w:bidi="ar"/>
              </w:rPr>
              <w:t>系统名称</w:t>
            </w:r>
          </w:p>
        </w:tc>
        <w:tc>
          <w:tcPr>
            <w:tcW w:w="2370" w:type="dxa"/>
            <w:vAlign w:val="center"/>
          </w:tcPr>
          <w:p>
            <w:pPr>
              <w:keepNext w:val="0"/>
              <w:keepLines w:val="0"/>
              <w:widowControl/>
              <w:suppressLineNumbers w:val="0"/>
              <w:spacing w:line="360" w:lineRule="auto"/>
              <w:jc w:val="center"/>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b/>
                <w:i w:val="0"/>
                <w:color w:val="auto"/>
                <w:kern w:val="0"/>
                <w:sz w:val="24"/>
                <w:szCs w:val="24"/>
                <w:highlight w:val="none"/>
                <w:u w:val="none"/>
                <w:lang w:val="en-US" w:eastAsia="zh-CN" w:bidi="ar"/>
              </w:rPr>
              <w:t>投标报价</w:t>
            </w:r>
            <w:r>
              <w:rPr>
                <w:rFonts w:hint="eastAsia" w:ascii="宋体" w:hAnsi="宋体" w:cs="宋体"/>
                <w:b/>
                <w:i w:val="0"/>
                <w:color w:val="auto"/>
                <w:kern w:val="0"/>
                <w:sz w:val="24"/>
                <w:szCs w:val="24"/>
                <w:highlight w:val="none"/>
                <w:u w:val="none"/>
                <w:lang w:val="en-US" w:eastAsia="zh-CN" w:bidi="ar"/>
              </w:rPr>
              <w:t>（元）</w:t>
            </w:r>
          </w:p>
        </w:tc>
        <w:tc>
          <w:tcPr>
            <w:tcW w:w="1008" w:type="dxa"/>
            <w:vAlign w:val="center"/>
          </w:tcPr>
          <w:p>
            <w:pPr>
              <w:keepNext w:val="0"/>
              <w:keepLines w:val="0"/>
              <w:widowControl/>
              <w:suppressLineNumbers w:val="0"/>
              <w:spacing w:line="360" w:lineRule="auto"/>
              <w:jc w:val="center"/>
              <w:textAlignment w:val="center"/>
              <w:rPr>
                <w:color w:val="auto"/>
                <w:sz w:val="24"/>
                <w:szCs w:val="24"/>
                <w:highlight w:val="none"/>
                <w:vertAlign w:val="baseline"/>
              </w:rPr>
            </w:pPr>
            <w:r>
              <w:rPr>
                <w:rFonts w:hint="eastAsia" w:ascii="宋体" w:hAnsi="宋体" w:eastAsia="宋体" w:cs="宋体"/>
                <w:b/>
                <w:i w:val="0"/>
                <w:color w:val="auto"/>
                <w:kern w:val="0"/>
                <w:sz w:val="24"/>
                <w:szCs w:val="24"/>
                <w:highlight w:val="none"/>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5" w:type="dxa"/>
            <w:vAlign w:val="center"/>
          </w:tcPr>
          <w:p>
            <w:pPr>
              <w:keepNext w:val="0"/>
              <w:keepLines w:val="0"/>
              <w:widowControl/>
              <w:suppressLineNumbers w:val="0"/>
              <w:spacing w:line="360" w:lineRule="auto"/>
              <w:jc w:val="center"/>
              <w:textAlignment w:val="center"/>
              <w:rPr>
                <w:color w:val="auto"/>
                <w:sz w:val="24"/>
                <w:szCs w:val="24"/>
                <w:highlight w:val="none"/>
                <w:vertAlign w:val="baseline"/>
              </w:rPr>
            </w:pPr>
            <w:r>
              <w:rPr>
                <w:rFonts w:hint="eastAsia" w:ascii="宋体" w:hAnsi="宋体" w:eastAsia="宋体" w:cs="宋体"/>
                <w:i w:val="0"/>
                <w:color w:val="auto"/>
                <w:kern w:val="0"/>
                <w:sz w:val="24"/>
                <w:szCs w:val="24"/>
                <w:highlight w:val="none"/>
                <w:u w:val="none"/>
                <w:lang w:val="en-US" w:eastAsia="zh-CN" w:bidi="ar"/>
              </w:rPr>
              <w:t>1</w:t>
            </w:r>
          </w:p>
        </w:tc>
        <w:tc>
          <w:tcPr>
            <w:tcW w:w="4733" w:type="dxa"/>
            <w:vAlign w:val="center"/>
          </w:tcPr>
          <w:p>
            <w:pPr>
              <w:keepNext w:val="0"/>
              <w:keepLines w:val="0"/>
              <w:widowControl/>
              <w:suppressLineNumbers w:val="0"/>
              <w:spacing w:line="360" w:lineRule="auto"/>
              <w:jc w:val="center"/>
              <w:textAlignment w:val="center"/>
              <w:rPr>
                <w:color w:val="auto"/>
                <w:sz w:val="24"/>
                <w:szCs w:val="24"/>
                <w:highlight w:val="none"/>
                <w:vertAlign w:val="baseline"/>
              </w:rPr>
            </w:pPr>
            <w:r>
              <w:rPr>
                <w:rFonts w:hint="eastAsia" w:ascii="宋体" w:hAnsi="宋体" w:eastAsia="宋体" w:cs="宋体"/>
                <w:i w:val="0"/>
                <w:color w:val="auto"/>
                <w:kern w:val="0"/>
                <w:sz w:val="24"/>
                <w:szCs w:val="24"/>
                <w:highlight w:val="none"/>
                <w:u w:val="none"/>
                <w:lang w:val="en-US" w:eastAsia="zh-CN" w:bidi="ar"/>
              </w:rPr>
              <w:t>校园网络建设</w:t>
            </w:r>
          </w:p>
        </w:tc>
        <w:tc>
          <w:tcPr>
            <w:tcW w:w="2370" w:type="dxa"/>
            <w:vAlign w:val="center"/>
          </w:tcPr>
          <w:p>
            <w:pPr>
              <w:spacing w:line="360" w:lineRule="auto"/>
              <w:jc w:val="center"/>
              <w:rPr>
                <w:color w:val="auto"/>
                <w:sz w:val="24"/>
                <w:szCs w:val="24"/>
                <w:highlight w:val="none"/>
                <w:vertAlign w:val="baseline"/>
              </w:rPr>
            </w:pPr>
          </w:p>
        </w:tc>
        <w:tc>
          <w:tcPr>
            <w:tcW w:w="1008" w:type="dxa"/>
            <w:vAlign w:val="center"/>
          </w:tcPr>
          <w:p>
            <w:pPr>
              <w:spacing w:line="360" w:lineRule="auto"/>
              <w:jc w:val="center"/>
              <w:rPr>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5" w:type="dxa"/>
            <w:vAlign w:val="center"/>
          </w:tcPr>
          <w:p>
            <w:pPr>
              <w:keepNext w:val="0"/>
              <w:keepLines w:val="0"/>
              <w:widowControl/>
              <w:suppressLineNumbers w:val="0"/>
              <w:spacing w:line="360" w:lineRule="auto"/>
              <w:jc w:val="center"/>
              <w:textAlignment w:val="center"/>
              <w:rPr>
                <w:color w:val="auto"/>
                <w:sz w:val="24"/>
                <w:szCs w:val="24"/>
                <w:highlight w:val="none"/>
                <w:vertAlign w:val="baseline"/>
              </w:rPr>
            </w:pPr>
            <w:r>
              <w:rPr>
                <w:rFonts w:hint="eastAsia" w:ascii="宋体" w:hAnsi="宋体" w:eastAsia="宋体" w:cs="宋体"/>
                <w:i w:val="0"/>
                <w:color w:val="auto"/>
                <w:kern w:val="0"/>
                <w:sz w:val="24"/>
                <w:szCs w:val="24"/>
                <w:highlight w:val="none"/>
                <w:u w:val="none"/>
                <w:lang w:val="en-US" w:eastAsia="zh-CN" w:bidi="ar"/>
              </w:rPr>
              <w:t>2</w:t>
            </w:r>
          </w:p>
        </w:tc>
        <w:tc>
          <w:tcPr>
            <w:tcW w:w="4733" w:type="dxa"/>
            <w:vAlign w:val="center"/>
          </w:tcPr>
          <w:p>
            <w:pPr>
              <w:keepNext w:val="0"/>
              <w:keepLines w:val="0"/>
              <w:widowControl/>
              <w:suppressLineNumbers w:val="0"/>
              <w:spacing w:line="360" w:lineRule="auto"/>
              <w:jc w:val="center"/>
              <w:textAlignment w:val="center"/>
              <w:rPr>
                <w:color w:val="auto"/>
                <w:sz w:val="24"/>
                <w:szCs w:val="24"/>
                <w:highlight w:val="none"/>
                <w:vertAlign w:val="baseline"/>
              </w:rPr>
            </w:pPr>
            <w:r>
              <w:rPr>
                <w:rFonts w:hint="eastAsia" w:ascii="宋体" w:hAnsi="宋体" w:eastAsia="宋体" w:cs="宋体"/>
                <w:i w:val="0"/>
                <w:color w:val="auto"/>
                <w:kern w:val="0"/>
                <w:sz w:val="24"/>
                <w:szCs w:val="24"/>
                <w:highlight w:val="none"/>
                <w:u w:val="none"/>
                <w:lang w:val="en-US" w:eastAsia="zh-CN" w:bidi="ar"/>
              </w:rPr>
              <w:t>综合布线系统</w:t>
            </w:r>
          </w:p>
        </w:tc>
        <w:tc>
          <w:tcPr>
            <w:tcW w:w="2370" w:type="dxa"/>
            <w:vAlign w:val="center"/>
          </w:tcPr>
          <w:p>
            <w:pPr>
              <w:spacing w:line="360" w:lineRule="auto"/>
              <w:jc w:val="center"/>
              <w:rPr>
                <w:color w:val="auto"/>
                <w:sz w:val="24"/>
                <w:szCs w:val="24"/>
                <w:highlight w:val="none"/>
                <w:vertAlign w:val="baseline"/>
              </w:rPr>
            </w:pPr>
          </w:p>
        </w:tc>
        <w:tc>
          <w:tcPr>
            <w:tcW w:w="1008" w:type="dxa"/>
            <w:vAlign w:val="center"/>
          </w:tcPr>
          <w:p>
            <w:pPr>
              <w:spacing w:line="360" w:lineRule="auto"/>
              <w:jc w:val="center"/>
              <w:rPr>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5" w:type="dxa"/>
            <w:vAlign w:val="center"/>
          </w:tcPr>
          <w:p>
            <w:pPr>
              <w:keepNext w:val="0"/>
              <w:keepLines w:val="0"/>
              <w:widowControl/>
              <w:suppressLineNumbers w:val="0"/>
              <w:spacing w:line="360" w:lineRule="auto"/>
              <w:jc w:val="center"/>
              <w:textAlignment w:val="center"/>
              <w:rPr>
                <w:color w:val="auto"/>
                <w:sz w:val="24"/>
                <w:szCs w:val="24"/>
                <w:highlight w:val="none"/>
                <w:vertAlign w:val="baseline"/>
              </w:rPr>
            </w:pPr>
            <w:r>
              <w:rPr>
                <w:rFonts w:hint="eastAsia" w:ascii="宋体" w:hAnsi="宋体" w:eastAsia="宋体" w:cs="宋体"/>
                <w:i w:val="0"/>
                <w:color w:val="auto"/>
                <w:kern w:val="0"/>
                <w:sz w:val="24"/>
                <w:szCs w:val="24"/>
                <w:highlight w:val="none"/>
                <w:u w:val="none"/>
                <w:lang w:val="en-US" w:eastAsia="zh-CN" w:bidi="ar"/>
              </w:rPr>
              <w:t>3</w:t>
            </w:r>
          </w:p>
        </w:tc>
        <w:tc>
          <w:tcPr>
            <w:tcW w:w="4733" w:type="dxa"/>
            <w:vAlign w:val="center"/>
          </w:tcPr>
          <w:p>
            <w:pPr>
              <w:keepNext w:val="0"/>
              <w:keepLines w:val="0"/>
              <w:widowControl/>
              <w:suppressLineNumbers w:val="0"/>
              <w:spacing w:line="360" w:lineRule="auto"/>
              <w:jc w:val="center"/>
              <w:textAlignment w:val="center"/>
              <w:rPr>
                <w:color w:val="auto"/>
                <w:sz w:val="24"/>
                <w:szCs w:val="24"/>
                <w:highlight w:val="none"/>
                <w:vertAlign w:val="baseline"/>
              </w:rPr>
            </w:pPr>
            <w:r>
              <w:rPr>
                <w:rFonts w:hint="eastAsia" w:ascii="宋体" w:hAnsi="宋体" w:eastAsia="宋体" w:cs="宋体"/>
                <w:i w:val="0"/>
                <w:color w:val="auto"/>
                <w:kern w:val="0"/>
                <w:sz w:val="24"/>
                <w:szCs w:val="24"/>
                <w:highlight w:val="none"/>
                <w:u w:val="none"/>
                <w:lang w:val="en-US" w:eastAsia="zh-CN" w:bidi="ar"/>
              </w:rPr>
              <w:t>中心机房建设工程</w:t>
            </w:r>
          </w:p>
        </w:tc>
        <w:tc>
          <w:tcPr>
            <w:tcW w:w="2370" w:type="dxa"/>
            <w:vAlign w:val="center"/>
          </w:tcPr>
          <w:p>
            <w:pPr>
              <w:spacing w:line="360" w:lineRule="auto"/>
              <w:jc w:val="center"/>
              <w:rPr>
                <w:color w:val="auto"/>
                <w:sz w:val="24"/>
                <w:szCs w:val="24"/>
                <w:highlight w:val="none"/>
                <w:vertAlign w:val="baseline"/>
              </w:rPr>
            </w:pPr>
          </w:p>
        </w:tc>
        <w:tc>
          <w:tcPr>
            <w:tcW w:w="1008" w:type="dxa"/>
            <w:vAlign w:val="center"/>
          </w:tcPr>
          <w:p>
            <w:pPr>
              <w:spacing w:line="360" w:lineRule="auto"/>
              <w:jc w:val="center"/>
              <w:rPr>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5" w:type="dxa"/>
            <w:vAlign w:val="center"/>
          </w:tcPr>
          <w:p>
            <w:pPr>
              <w:keepNext w:val="0"/>
              <w:keepLines w:val="0"/>
              <w:widowControl/>
              <w:suppressLineNumbers w:val="0"/>
              <w:spacing w:line="360" w:lineRule="auto"/>
              <w:jc w:val="center"/>
              <w:textAlignment w:val="center"/>
              <w:rPr>
                <w:color w:val="auto"/>
                <w:sz w:val="24"/>
                <w:szCs w:val="24"/>
                <w:highlight w:val="none"/>
                <w:vertAlign w:val="baseline"/>
              </w:rPr>
            </w:pPr>
            <w:r>
              <w:rPr>
                <w:rFonts w:hint="eastAsia" w:ascii="宋体" w:hAnsi="宋体" w:eastAsia="宋体" w:cs="宋体"/>
                <w:i w:val="0"/>
                <w:color w:val="auto"/>
                <w:kern w:val="0"/>
                <w:sz w:val="24"/>
                <w:szCs w:val="24"/>
                <w:highlight w:val="none"/>
                <w:u w:val="none"/>
                <w:lang w:val="en-US" w:eastAsia="zh-CN" w:bidi="ar"/>
              </w:rPr>
              <w:t>4</w:t>
            </w:r>
          </w:p>
        </w:tc>
        <w:tc>
          <w:tcPr>
            <w:tcW w:w="4733" w:type="dxa"/>
            <w:vAlign w:val="center"/>
          </w:tcPr>
          <w:p>
            <w:pPr>
              <w:keepNext w:val="0"/>
              <w:keepLines w:val="0"/>
              <w:widowControl/>
              <w:suppressLineNumbers w:val="0"/>
              <w:spacing w:line="360" w:lineRule="auto"/>
              <w:jc w:val="center"/>
              <w:textAlignment w:val="center"/>
              <w:rPr>
                <w:color w:val="auto"/>
                <w:sz w:val="24"/>
                <w:szCs w:val="24"/>
                <w:highlight w:val="none"/>
                <w:vertAlign w:val="baseline"/>
              </w:rPr>
            </w:pPr>
            <w:r>
              <w:rPr>
                <w:rFonts w:hint="eastAsia" w:ascii="宋体" w:hAnsi="宋体" w:eastAsia="宋体" w:cs="宋体"/>
                <w:i w:val="0"/>
                <w:color w:val="auto"/>
                <w:kern w:val="0"/>
                <w:sz w:val="24"/>
                <w:szCs w:val="24"/>
                <w:highlight w:val="none"/>
                <w:u w:val="none"/>
                <w:lang w:val="en-US" w:eastAsia="zh-CN" w:bidi="ar"/>
              </w:rPr>
              <w:t xml:space="preserve">综合安防系统  </w:t>
            </w:r>
          </w:p>
        </w:tc>
        <w:tc>
          <w:tcPr>
            <w:tcW w:w="2370" w:type="dxa"/>
            <w:vAlign w:val="center"/>
          </w:tcPr>
          <w:p>
            <w:pPr>
              <w:spacing w:line="360" w:lineRule="auto"/>
              <w:jc w:val="center"/>
              <w:rPr>
                <w:color w:val="auto"/>
                <w:sz w:val="24"/>
                <w:szCs w:val="24"/>
                <w:highlight w:val="none"/>
                <w:vertAlign w:val="baseline"/>
              </w:rPr>
            </w:pPr>
          </w:p>
        </w:tc>
        <w:tc>
          <w:tcPr>
            <w:tcW w:w="1008" w:type="dxa"/>
            <w:vAlign w:val="center"/>
          </w:tcPr>
          <w:p>
            <w:pPr>
              <w:spacing w:line="360" w:lineRule="auto"/>
              <w:jc w:val="center"/>
              <w:rPr>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5" w:type="dxa"/>
            <w:vAlign w:val="center"/>
          </w:tcPr>
          <w:p>
            <w:pPr>
              <w:keepNext w:val="0"/>
              <w:keepLines w:val="0"/>
              <w:widowControl/>
              <w:suppressLineNumbers w:val="0"/>
              <w:spacing w:line="360" w:lineRule="auto"/>
              <w:jc w:val="center"/>
              <w:textAlignment w:val="center"/>
              <w:rPr>
                <w:color w:val="auto"/>
                <w:sz w:val="24"/>
                <w:szCs w:val="24"/>
                <w:highlight w:val="none"/>
                <w:vertAlign w:val="baseline"/>
              </w:rPr>
            </w:pPr>
            <w:r>
              <w:rPr>
                <w:rFonts w:hint="eastAsia" w:ascii="宋体" w:hAnsi="宋体" w:eastAsia="宋体" w:cs="宋体"/>
                <w:i w:val="0"/>
                <w:color w:val="auto"/>
                <w:kern w:val="0"/>
                <w:sz w:val="24"/>
                <w:szCs w:val="24"/>
                <w:highlight w:val="none"/>
                <w:u w:val="none"/>
                <w:lang w:val="en-US" w:eastAsia="zh-CN" w:bidi="ar"/>
              </w:rPr>
              <w:t>5</w:t>
            </w:r>
          </w:p>
        </w:tc>
        <w:tc>
          <w:tcPr>
            <w:tcW w:w="4733" w:type="dxa"/>
            <w:vAlign w:val="center"/>
          </w:tcPr>
          <w:p>
            <w:pPr>
              <w:keepNext w:val="0"/>
              <w:keepLines w:val="0"/>
              <w:widowControl/>
              <w:suppressLineNumbers w:val="0"/>
              <w:spacing w:line="360" w:lineRule="auto"/>
              <w:jc w:val="center"/>
              <w:textAlignment w:val="center"/>
              <w:rPr>
                <w:color w:val="auto"/>
                <w:sz w:val="24"/>
                <w:szCs w:val="24"/>
                <w:highlight w:val="none"/>
                <w:vertAlign w:val="baseline"/>
              </w:rPr>
            </w:pPr>
            <w:r>
              <w:rPr>
                <w:rFonts w:hint="eastAsia" w:ascii="宋体" w:hAnsi="宋体" w:eastAsia="宋体" w:cs="宋体"/>
                <w:i w:val="0"/>
                <w:color w:val="auto"/>
                <w:kern w:val="0"/>
                <w:sz w:val="24"/>
                <w:szCs w:val="24"/>
                <w:highlight w:val="none"/>
                <w:u w:val="none"/>
                <w:lang w:val="en-US" w:eastAsia="zh-CN" w:bidi="ar"/>
              </w:rPr>
              <w:t>考场系统</w:t>
            </w:r>
          </w:p>
        </w:tc>
        <w:tc>
          <w:tcPr>
            <w:tcW w:w="2370" w:type="dxa"/>
            <w:vAlign w:val="center"/>
          </w:tcPr>
          <w:p>
            <w:pPr>
              <w:spacing w:line="360" w:lineRule="auto"/>
              <w:jc w:val="center"/>
              <w:rPr>
                <w:color w:val="auto"/>
                <w:sz w:val="24"/>
                <w:szCs w:val="24"/>
                <w:highlight w:val="none"/>
                <w:vertAlign w:val="baseline"/>
              </w:rPr>
            </w:pPr>
          </w:p>
        </w:tc>
        <w:tc>
          <w:tcPr>
            <w:tcW w:w="1008" w:type="dxa"/>
            <w:vAlign w:val="center"/>
          </w:tcPr>
          <w:p>
            <w:pPr>
              <w:spacing w:line="360" w:lineRule="auto"/>
              <w:jc w:val="center"/>
              <w:rPr>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5" w:type="dxa"/>
            <w:vAlign w:val="center"/>
          </w:tcPr>
          <w:p>
            <w:pPr>
              <w:keepNext w:val="0"/>
              <w:keepLines w:val="0"/>
              <w:widowControl/>
              <w:suppressLineNumbers w:val="0"/>
              <w:spacing w:line="360" w:lineRule="auto"/>
              <w:jc w:val="center"/>
              <w:textAlignment w:val="center"/>
              <w:rPr>
                <w:color w:val="auto"/>
                <w:sz w:val="24"/>
                <w:szCs w:val="24"/>
                <w:highlight w:val="none"/>
                <w:vertAlign w:val="baseline"/>
              </w:rPr>
            </w:pPr>
            <w:r>
              <w:rPr>
                <w:rFonts w:hint="eastAsia" w:ascii="宋体" w:hAnsi="宋体" w:eastAsia="宋体" w:cs="宋体"/>
                <w:i w:val="0"/>
                <w:color w:val="auto"/>
                <w:kern w:val="0"/>
                <w:sz w:val="24"/>
                <w:szCs w:val="24"/>
                <w:highlight w:val="none"/>
                <w:u w:val="none"/>
                <w:lang w:val="en-US" w:eastAsia="zh-CN" w:bidi="ar"/>
              </w:rPr>
              <w:t>6</w:t>
            </w:r>
          </w:p>
        </w:tc>
        <w:tc>
          <w:tcPr>
            <w:tcW w:w="4733" w:type="dxa"/>
            <w:vAlign w:val="center"/>
          </w:tcPr>
          <w:p>
            <w:pPr>
              <w:keepNext w:val="0"/>
              <w:keepLines w:val="0"/>
              <w:widowControl/>
              <w:suppressLineNumbers w:val="0"/>
              <w:spacing w:line="360" w:lineRule="auto"/>
              <w:jc w:val="center"/>
              <w:textAlignment w:val="center"/>
              <w:rPr>
                <w:color w:val="auto"/>
                <w:sz w:val="24"/>
                <w:szCs w:val="24"/>
                <w:highlight w:val="none"/>
                <w:vertAlign w:val="baseline"/>
              </w:rPr>
            </w:pPr>
            <w:r>
              <w:rPr>
                <w:rFonts w:hint="eastAsia" w:ascii="宋体" w:hAnsi="宋体" w:eastAsia="宋体" w:cs="宋体"/>
                <w:i w:val="0"/>
                <w:color w:val="auto"/>
                <w:kern w:val="0"/>
                <w:sz w:val="24"/>
                <w:szCs w:val="24"/>
                <w:highlight w:val="none"/>
                <w:u w:val="none"/>
                <w:lang w:val="en-US" w:eastAsia="zh-CN" w:bidi="ar"/>
              </w:rPr>
              <w:t>智能通道、门禁系统</w:t>
            </w:r>
          </w:p>
        </w:tc>
        <w:tc>
          <w:tcPr>
            <w:tcW w:w="2370" w:type="dxa"/>
            <w:vAlign w:val="center"/>
          </w:tcPr>
          <w:p>
            <w:pPr>
              <w:spacing w:line="360" w:lineRule="auto"/>
              <w:jc w:val="center"/>
              <w:rPr>
                <w:color w:val="auto"/>
                <w:sz w:val="24"/>
                <w:szCs w:val="24"/>
                <w:highlight w:val="none"/>
                <w:vertAlign w:val="baseline"/>
              </w:rPr>
            </w:pPr>
          </w:p>
        </w:tc>
        <w:tc>
          <w:tcPr>
            <w:tcW w:w="1008" w:type="dxa"/>
            <w:vAlign w:val="center"/>
          </w:tcPr>
          <w:p>
            <w:pPr>
              <w:spacing w:line="360" w:lineRule="auto"/>
              <w:jc w:val="center"/>
              <w:rPr>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5" w:type="dxa"/>
            <w:vAlign w:val="center"/>
          </w:tcPr>
          <w:p>
            <w:pPr>
              <w:keepNext w:val="0"/>
              <w:keepLines w:val="0"/>
              <w:widowControl/>
              <w:suppressLineNumbers w:val="0"/>
              <w:spacing w:line="360" w:lineRule="auto"/>
              <w:jc w:val="center"/>
              <w:textAlignment w:val="center"/>
              <w:rPr>
                <w:color w:val="auto"/>
                <w:sz w:val="24"/>
                <w:szCs w:val="24"/>
                <w:highlight w:val="none"/>
                <w:vertAlign w:val="baseline"/>
              </w:rPr>
            </w:pPr>
            <w:r>
              <w:rPr>
                <w:rFonts w:hint="eastAsia" w:ascii="宋体" w:hAnsi="宋体" w:eastAsia="宋体" w:cs="宋体"/>
                <w:i w:val="0"/>
                <w:color w:val="auto"/>
                <w:kern w:val="0"/>
                <w:sz w:val="24"/>
                <w:szCs w:val="24"/>
                <w:highlight w:val="none"/>
                <w:u w:val="none"/>
                <w:lang w:val="en-US" w:eastAsia="zh-CN" w:bidi="ar"/>
              </w:rPr>
              <w:t>7</w:t>
            </w:r>
          </w:p>
        </w:tc>
        <w:tc>
          <w:tcPr>
            <w:tcW w:w="4733" w:type="dxa"/>
            <w:vAlign w:val="center"/>
          </w:tcPr>
          <w:p>
            <w:pPr>
              <w:keepNext w:val="0"/>
              <w:keepLines w:val="0"/>
              <w:widowControl/>
              <w:suppressLineNumbers w:val="0"/>
              <w:spacing w:line="360" w:lineRule="auto"/>
              <w:jc w:val="center"/>
              <w:textAlignment w:val="center"/>
              <w:rPr>
                <w:color w:val="auto"/>
                <w:sz w:val="24"/>
                <w:szCs w:val="24"/>
                <w:highlight w:val="none"/>
                <w:vertAlign w:val="baseline"/>
              </w:rPr>
            </w:pPr>
            <w:r>
              <w:rPr>
                <w:rFonts w:hint="eastAsia" w:ascii="宋体" w:hAnsi="宋体" w:eastAsia="宋体" w:cs="宋体"/>
                <w:i w:val="0"/>
                <w:color w:val="auto"/>
                <w:kern w:val="0"/>
                <w:sz w:val="24"/>
                <w:szCs w:val="24"/>
                <w:highlight w:val="none"/>
                <w:u w:val="none"/>
                <w:lang w:val="en-US" w:eastAsia="zh-CN" w:bidi="ar"/>
              </w:rPr>
              <w:t>数字广播系统</w:t>
            </w:r>
          </w:p>
        </w:tc>
        <w:tc>
          <w:tcPr>
            <w:tcW w:w="2370" w:type="dxa"/>
            <w:vAlign w:val="center"/>
          </w:tcPr>
          <w:p>
            <w:pPr>
              <w:spacing w:line="360" w:lineRule="auto"/>
              <w:jc w:val="center"/>
              <w:rPr>
                <w:color w:val="auto"/>
                <w:sz w:val="24"/>
                <w:szCs w:val="24"/>
                <w:highlight w:val="none"/>
                <w:vertAlign w:val="baseline"/>
              </w:rPr>
            </w:pPr>
          </w:p>
        </w:tc>
        <w:tc>
          <w:tcPr>
            <w:tcW w:w="1008" w:type="dxa"/>
            <w:vAlign w:val="center"/>
          </w:tcPr>
          <w:p>
            <w:pPr>
              <w:spacing w:line="360" w:lineRule="auto"/>
              <w:jc w:val="center"/>
              <w:rPr>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5" w:type="dxa"/>
            <w:vAlign w:val="center"/>
          </w:tcPr>
          <w:p>
            <w:pPr>
              <w:keepNext w:val="0"/>
              <w:keepLines w:val="0"/>
              <w:widowControl/>
              <w:suppressLineNumbers w:val="0"/>
              <w:spacing w:line="360" w:lineRule="auto"/>
              <w:jc w:val="center"/>
              <w:textAlignment w:val="center"/>
              <w:rPr>
                <w:color w:val="auto"/>
                <w:sz w:val="24"/>
                <w:szCs w:val="24"/>
                <w:highlight w:val="none"/>
                <w:vertAlign w:val="baseline"/>
              </w:rPr>
            </w:pPr>
            <w:r>
              <w:rPr>
                <w:rFonts w:hint="eastAsia" w:ascii="宋体" w:hAnsi="宋体" w:eastAsia="宋体" w:cs="宋体"/>
                <w:i w:val="0"/>
                <w:color w:val="auto"/>
                <w:kern w:val="0"/>
                <w:sz w:val="24"/>
                <w:szCs w:val="24"/>
                <w:highlight w:val="none"/>
                <w:u w:val="none"/>
                <w:lang w:val="en-US" w:eastAsia="zh-CN" w:bidi="ar"/>
              </w:rPr>
              <w:t>8</w:t>
            </w:r>
          </w:p>
        </w:tc>
        <w:tc>
          <w:tcPr>
            <w:tcW w:w="4733" w:type="dxa"/>
            <w:vAlign w:val="center"/>
          </w:tcPr>
          <w:p>
            <w:pPr>
              <w:keepNext w:val="0"/>
              <w:keepLines w:val="0"/>
              <w:widowControl/>
              <w:suppressLineNumbers w:val="0"/>
              <w:spacing w:line="360" w:lineRule="auto"/>
              <w:jc w:val="center"/>
              <w:textAlignment w:val="center"/>
              <w:rPr>
                <w:color w:val="auto"/>
                <w:sz w:val="24"/>
                <w:szCs w:val="24"/>
                <w:highlight w:val="none"/>
                <w:vertAlign w:val="baseline"/>
              </w:rPr>
            </w:pPr>
            <w:r>
              <w:rPr>
                <w:rFonts w:hint="eastAsia"/>
                <w:color w:val="auto"/>
                <w:sz w:val="24"/>
                <w:szCs w:val="24"/>
                <w:highlight w:val="none"/>
                <w:vertAlign w:val="baseline"/>
              </w:rPr>
              <w:t>明厨亮灶管理系统</w:t>
            </w:r>
          </w:p>
        </w:tc>
        <w:tc>
          <w:tcPr>
            <w:tcW w:w="2370" w:type="dxa"/>
            <w:vAlign w:val="center"/>
          </w:tcPr>
          <w:p>
            <w:pPr>
              <w:spacing w:line="360" w:lineRule="auto"/>
              <w:jc w:val="center"/>
              <w:rPr>
                <w:color w:val="auto"/>
                <w:sz w:val="24"/>
                <w:szCs w:val="24"/>
                <w:highlight w:val="none"/>
                <w:vertAlign w:val="baseline"/>
              </w:rPr>
            </w:pPr>
          </w:p>
        </w:tc>
        <w:tc>
          <w:tcPr>
            <w:tcW w:w="1008" w:type="dxa"/>
            <w:vAlign w:val="center"/>
          </w:tcPr>
          <w:p>
            <w:pPr>
              <w:spacing w:line="360" w:lineRule="auto"/>
              <w:jc w:val="center"/>
              <w:rPr>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5" w:type="dxa"/>
            <w:vAlign w:val="center"/>
          </w:tcPr>
          <w:p>
            <w:pPr>
              <w:keepNext w:val="0"/>
              <w:keepLines w:val="0"/>
              <w:widowControl/>
              <w:suppressLineNumbers w:val="0"/>
              <w:spacing w:line="360" w:lineRule="auto"/>
              <w:jc w:val="center"/>
              <w:textAlignment w:val="center"/>
              <w:rPr>
                <w:color w:val="auto"/>
                <w:sz w:val="24"/>
                <w:szCs w:val="24"/>
                <w:highlight w:val="none"/>
                <w:vertAlign w:val="baseline"/>
              </w:rPr>
            </w:pPr>
            <w:r>
              <w:rPr>
                <w:rFonts w:hint="eastAsia" w:ascii="宋体" w:hAnsi="宋体" w:eastAsia="宋体" w:cs="宋体"/>
                <w:i w:val="0"/>
                <w:color w:val="auto"/>
                <w:kern w:val="0"/>
                <w:sz w:val="24"/>
                <w:szCs w:val="24"/>
                <w:highlight w:val="none"/>
                <w:u w:val="none"/>
                <w:lang w:val="en-US" w:eastAsia="zh-CN" w:bidi="ar"/>
              </w:rPr>
              <w:t>9</w:t>
            </w:r>
          </w:p>
        </w:tc>
        <w:tc>
          <w:tcPr>
            <w:tcW w:w="4733" w:type="dxa"/>
            <w:vAlign w:val="center"/>
          </w:tcPr>
          <w:p>
            <w:pPr>
              <w:jc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b w:val="0"/>
                <w:bCs w:val="0"/>
                <w:color w:val="auto"/>
                <w:sz w:val="24"/>
                <w:szCs w:val="24"/>
                <w:highlight w:val="none"/>
                <w:lang w:val="en-US" w:eastAsia="zh-CN"/>
              </w:rPr>
              <w:t>报告厅灯光、音响</w:t>
            </w:r>
          </w:p>
        </w:tc>
        <w:tc>
          <w:tcPr>
            <w:tcW w:w="2370" w:type="dxa"/>
            <w:vAlign w:val="center"/>
          </w:tcPr>
          <w:p>
            <w:pPr>
              <w:spacing w:line="360" w:lineRule="auto"/>
              <w:jc w:val="center"/>
              <w:rPr>
                <w:color w:val="auto"/>
                <w:sz w:val="24"/>
                <w:szCs w:val="24"/>
                <w:highlight w:val="none"/>
                <w:vertAlign w:val="baseline"/>
              </w:rPr>
            </w:pPr>
          </w:p>
        </w:tc>
        <w:tc>
          <w:tcPr>
            <w:tcW w:w="1008" w:type="dxa"/>
            <w:vAlign w:val="center"/>
          </w:tcPr>
          <w:p>
            <w:pPr>
              <w:spacing w:line="360" w:lineRule="auto"/>
              <w:jc w:val="center"/>
              <w:rPr>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5"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10</w:t>
            </w:r>
          </w:p>
        </w:tc>
        <w:tc>
          <w:tcPr>
            <w:tcW w:w="4733" w:type="dxa"/>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color w:val="auto"/>
                <w:sz w:val="24"/>
                <w:szCs w:val="24"/>
                <w:highlight w:val="none"/>
                <w:lang w:val="en-US" w:eastAsia="zh-CN"/>
              </w:rPr>
              <w:t>多媒体会议系统</w:t>
            </w:r>
          </w:p>
        </w:tc>
        <w:tc>
          <w:tcPr>
            <w:tcW w:w="2370" w:type="dxa"/>
            <w:vAlign w:val="center"/>
          </w:tcPr>
          <w:p>
            <w:pPr>
              <w:spacing w:line="360" w:lineRule="auto"/>
              <w:jc w:val="center"/>
              <w:rPr>
                <w:rFonts w:hint="eastAsia" w:ascii="宋体" w:hAnsi="宋体" w:eastAsia="宋体" w:cs="宋体"/>
                <w:color w:val="auto"/>
                <w:sz w:val="24"/>
                <w:szCs w:val="24"/>
                <w:highlight w:val="none"/>
                <w:vertAlign w:val="baseline"/>
              </w:rPr>
            </w:pPr>
          </w:p>
        </w:tc>
        <w:tc>
          <w:tcPr>
            <w:tcW w:w="1008" w:type="dxa"/>
            <w:vAlign w:val="center"/>
          </w:tcPr>
          <w:p>
            <w:pPr>
              <w:spacing w:line="360" w:lineRule="auto"/>
              <w:jc w:val="center"/>
              <w:rPr>
                <w:rFonts w:hint="eastAsia" w:ascii="宋体" w:hAnsi="宋体" w:eastAsia="宋体" w:cs="宋体"/>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11</w:t>
            </w:r>
          </w:p>
        </w:tc>
        <w:tc>
          <w:tcPr>
            <w:tcW w:w="47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智慧教室</w:t>
            </w:r>
          </w:p>
        </w:tc>
        <w:tc>
          <w:tcPr>
            <w:tcW w:w="23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vertAlign w:val="baseline"/>
              </w:rPr>
            </w:pPr>
          </w:p>
        </w:tc>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12</w:t>
            </w:r>
          </w:p>
        </w:tc>
        <w:tc>
          <w:tcPr>
            <w:tcW w:w="47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计算机教室静电地板</w:t>
            </w:r>
          </w:p>
        </w:tc>
        <w:tc>
          <w:tcPr>
            <w:tcW w:w="23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vertAlign w:val="baseline"/>
              </w:rPr>
            </w:pPr>
          </w:p>
        </w:tc>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13</w:t>
            </w:r>
          </w:p>
        </w:tc>
        <w:tc>
          <w:tcPr>
            <w:tcW w:w="47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人机对话教室静电地板</w:t>
            </w:r>
          </w:p>
        </w:tc>
        <w:tc>
          <w:tcPr>
            <w:tcW w:w="23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vertAlign w:val="baseline"/>
              </w:rPr>
            </w:pPr>
          </w:p>
        </w:tc>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14</w:t>
            </w:r>
          </w:p>
        </w:tc>
        <w:tc>
          <w:tcPr>
            <w:tcW w:w="47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录播教室</w:t>
            </w:r>
          </w:p>
        </w:tc>
        <w:tc>
          <w:tcPr>
            <w:tcW w:w="23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vertAlign w:val="baseline"/>
              </w:rPr>
            </w:pPr>
          </w:p>
        </w:tc>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15</w:t>
            </w:r>
          </w:p>
        </w:tc>
        <w:tc>
          <w:tcPr>
            <w:tcW w:w="47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智慧体育</w:t>
            </w:r>
          </w:p>
        </w:tc>
        <w:tc>
          <w:tcPr>
            <w:tcW w:w="23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vertAlign w:val="baseline"/>
              </w:rPr>
            </w:pPr>
          </w:p>
        </w:tc>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16</w:t>
            </w:r>
          </w:p>
        </w:tc>
        <w:tc>
          <w:tcPr>
            <w:tcW w:w="47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 xml:space="preserve">楼层智慧信息发布系统 </w:t>
            </w:r>
          </w:p>
        </w:tc>
        <w:tc>
          <w:tcPr>
            <w:tcW w:w="23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vertAlign w:val="baseline"/>
              </w:rPr>
            </w:pPr>
          </w:p>
        </w:tc>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17</w:t>
            </w:r>
          </w:p>
        </w:tc>
        <w:tc>
          <w:tcPr>
            <w:tcW w:w="47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梯控系统</w:t>
            </w:r>
          </w:p>
        </w:tc>
        <w:tc>
          <w:tcPr>
            <w:tcW w:w="23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vertAlign w:val="baseline"/>
              </w:rPr>
            </w:pPr>
          </w:p>
        </w:tc>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18</w:t>
            </w:r>
          </w:p>
        </w:tc>
        <w:tc>
          <w:tcPr>
            <w:tcW w:w="47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 xml:space="preserve">存储空间系统 </w:t>
            </w:r>
          </w:p>
        </w:tc>
        <w:tc>
          <w:tcPr>
            <w:tcW w:w="23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vertAlign w:val="baseline"/>
              </w:rPr>
            </w:pPr>
          </w:p>
        </w:tc>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19</w:t>
            </w:r>
          </w:p>
        </w:tc>
        <w:tc>
          <w:tcPr>
            <w:tcW w:w="47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校园智慧管理平台</w:t>
            </w:r>
          </w:p>
        </w:tc>
        <w:tc>
          <w:tcPr>
            <w:tcW w:w="23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vertAlign w:val="baseline"/>
              </w:rPr>
            </w:pPr>
          </w:p>
        </w:tc>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20</w:t>
            </w:r>
          </w:p>
        </w:tc>
        <w:tc>
          <w:tcPr>
            <w:tcW w:w="47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办公电脑、课桌椅</w:t>
            </w:r>
          </w:p>
        </w:tc>
        <w:tc>
          <w:tcPr>
            <w:tcW w:w="23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vertAlign w:val="baseline"/>
              </w:rPr>
            </w:pPr>
          </w:p>
        </w:tc>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21</w:t>
            </w:r>
          </w:p>
        </w:tc>
        <w:tc>
          <w:tcPr>
            <w:tcW w:w="47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RFID图书馆系统</w:t>
            </w:r>
          </w:p>
        </w:tc>
        <w:tc>
          <w:tcPr>
            <w:tcW w:w="23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vertAlign w:val="baseline"/>
              </w:rPr>
            </w:pPr>
          </w:p>
        </w:tc>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22</w:t>
            </w:r>
          </w:p>
        </w:tc>
        <w:tc>
          <w:tcPr>
            <w:tcW w:w="47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心理辅导教室</w:t>
            </w:r>
          </w:p>
        </w:tc>
        <w:tc>
          <w:tcPr>
            <w:tcW w:w="23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vertAlign w:val="baseline"/>
              </w:rPr>
            </w:pPr>
          </w:p>
        </w:tc>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23</w:t>
            </w:r>
          </w:p>
        </w:tc>
        <w:tc>
          <w:tcPr>
            <w:tcW w:w="47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精准教学、智慧课堂</w:t>
            </w:r>
          </w:p>
        </w:tc>
        <w:tc>
          <w:tcPr>
            <w:tcW w:w="23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vertAlign w:val="baseline"/>
              </w:rPr>
            </w:pPr>
          </w:p>
        </w:tc>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p>
        </w:tc>
        <w:tc>
          <w:tcPr>
            <w:tcW w:w="47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cs="宋体"/>
                <w:i w:val="0"/>
                <w:color w:val="auto"/>
                <w:kern w:val="0"/>
                <w:sz w:val="24"/>
                <w:szCs w:val="24"/>
                <w:highlight w:val="none"/>
                <w:u w:val="none"/>
                <w:lang w:val="en-US" w:eastAsia="zh-CN" w:bidi="ar"/>
              </w:rPr>
              <w:t>合计</w:t>
            </w:r>
          </w:p>
        </w:tc>
        <w:tc>
          <w:tcPr>
            <w:tcW w:w="23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vertAlign w:val="baseline"/>
              </w:rPr>
            </w:pPr>
          </w:p>
        </w:tc>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vertAlign w:val="baseline"/>
              </w:rPr>
            </w:pPr>
          </w:p>
        </w:tc>
      </w:tr>
    </w:tbl>
    <w:p>
      <w:pPr>
        <w:numPr>
          <w:ilvl w:val="0"/>
          <w:numId w:val="0"/>
        </w:numPr>
        <w:rPr>
          <w:rFonts w:hint="eastAsia" w:ascii="宋体" w:hAnsi="宋体" w:eastAsia="宋体" w:cs="宋体"/>
          <w:color w:val="auto"/>
          <w:sz w:val="21"/>
          <w:szCs w:val="21"/>
          <w:highlight w:val="none"/>
          <w:lang w:val="en-US" w:eastAsia="zh-CN"/>
        </w:rPr>
      </w:pPr>
    </w:p>
    <w:p>
      <w:pPr>
        <w:numPr>
          <w:ilvl w:val="0"/>
          <w:numId w:val="0"/>
        </w:numPr>
        <w:rPr>
          <w:rFonts w:hint="eastAsia" w:ascii="宋体" w:hAnsi="宋体" w:eastAsia="宋体" w:cs="宋体"/>
          <w:color w:val="auto"/>
          <w:sz w:val="21"/>
          <w:szCs w:val="21"/>
          <w:highlight w:val="none"/>
          <w:lang w:eastAsia="zh-CN"/>
        </w:rPr>
      </w:pPr>
    </w:p>
    <w:p>
      <w:pPr>
        <w:pStyle w:val="20"/>
        <w:rPr>
          <w:rFonts w:hint="eastAsia" w:ascii="宋体" w:hAnsi="宋体" w:eastAsia="宋体" w:cs="宋体"/>
          <w:color w:val="auto"/>
          <w:sz w:val="21"/>
          <w:szCs w:val="21"/>
          <w:highlight w:val="none"/>
          <w:lang w:eastAsia="zh-CN"/>
        </w:rPr>
      </w:pPr>
    </w:p>
    <w:p>
      <w:pPr>
        <w:pStyle w:val="19"/>
        <w:rPr>
          <w:rFonts w:hint="eastAsia"/>
          <w:color w:val="auto"/>
          <w:highlight w:val="none"/>
          <w:lang w:eastAsia="zh-CN"/>
        </w:rPr>
      </w:pPr>
      <w:r>
        <w:rPr>
          <w:rFonts w:hint="eastAsia"/>
          <w:color w:val="auto"/>
          <w:highlight w:val="none"/>
          <w:lang w:eastAsia="zh-CN"/>
        </w:rPr>
        <w:t>二、</w:t>
      </w:r>
      <w:r>
        <w:rPr>
          <w:rFonts w:hint="eastAsia" w:ascii="宋体" w:hAnsi="宋体" w:eastAsia="宋体" w:cs="宋体"/>
          <w:b/>
          <w:bCs/>
          <w:color w:val="auto"/>
          <w:sz w:val="28"/>
          <w:szCs w:val="28"/>
          <w:highlight w:val="none"/>
          <w:lang w:val="en-US" w:eastAsia="zh-CN"/>
        </w:rPr>
        <w:t>报价明细</w:t>
      </w:r>
    </w:p>
    <w:p>
      <w:pPr>
        <w:spacing w:line="360" w:lineRule="auto"/>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2.1校园网络建设</w:t>
      </w:r>
    </w:p>
    <w:tbl>
      <w:tblPr>
        <w:tblStyle w:val="99"/>
        <w:tblW w:w="91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
        <w:gridCol w:w="713"/>
        <w:gridCol w:w="1933"/>
        <w:gridCol w:w="811"/>
        <w:gridCol w:w="1"/>
        <w:gridCol w:w="838"/>
        <w:gridCol w:w="1"/>
        <w:gridCol w:w="838"/>
        <w:gridCol w:w="1"/>
        <w:gridCol w:w="838"/>
        <w:gridCol w:w="1"/>
        <w:gridCol w:w="838"/>
        <w:gridCol w:w="1"/>
        <w:gridCol w:w="1074"/>
        <w:gridCol w:w="1"/>
        <w:gridCol w:w="738"/>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57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序号</w:t>
            </w:r>
          </w:p>
        </w:tc>
        <w:tc>
          <w:tcPr>
            <w:tcW w:w="7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lang w:eastAsia="zh-CN"/>
              </w:rPr>
              <w:t>名称</w:t>
            </w:r>
          </w:p>
        </w:tc>
        <w:tc>
          <w:tcPr>
            <w:tcW w:w="193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技术参数</w:t>
            </w:r>
          </w:p>
        </w:tc>
        <w:tc>
          <w:tcPr>
            <w:tcW w:w="812"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品牌</w:t>
            </w: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规格型号</w:t>
            </w:r>
          </w:p>
        </w:tc>
        <w:tc>
          <w:tcPr>
            <w:tcW w:w="839" w:type="dxa"/>
            <w:gridSpan w:val="2"/>
            <w:vAlign w:val="center"/>
          </w:tcPr>
          <w:p>
            <w:pPr>
              <w:spacing w:line="360" w:lineRule="auto"/>
              <w:jc w:val="both"/>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cs="宋体"/>
                <w:b w:val="0"/>
                <w:bCs w:val="0"/>
                <w:color w:val="auto"/>
                <w:sz w:val="24"/>
                <w:szCs w:val="24"/>
                <w:highlight w:val="none"/>
                <w:u w:val="none"/>
                <w:vertAlign w:val="baseline"/>
                <w:lang w:eastAsia="zh-CN"/>
              </w:rPr>
              <w:t>单位</w:t>
            </w: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cs="宋体"/>
                <w:b w:val="0"/>
                <w:bCs w:val="0"/>
                <w:color w:val="auto"/>
                <w:sz w:val="24"/>
                <w:szCs w:val="24"/>
                <w:highlight w:val="none"/>
                <w:u w:val="none"/>
                <w:vertAlign w:val="baseline"/>
                <w:lang w:val="en-US" w:eastAsia="zh-CN"/>
              </w:rPr>
              <w:t>数量</w:t>
            </w: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单价（元）</w:t>
            </w:r>
          </w:p>
        </w:tc>
        <w:tc>
          <w:tcPr>
            <w:tcW w:w="1075"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总价（元）</w:t>
            </w:r>
          </w:p>
        </w:tc>
        <w:tc>
          <w:tcPr>
            <w:tcW w:w="7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57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1</w:t>
            </w:r>
          </w:p>
        </w:tc>
        <w:tc>
          <w:tcPr>
            <w:tcW w:w="7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93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2"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75"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7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57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val="en-US" w:eastAsia="zh-CN"/>
              </w:rPr>
              <w:t>2</w:t>
            </w:r>
          </w:p>
        </w:tc>
        <w:tc>
          <w:tcPr>
            <w:tcW w:w="7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93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2"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75"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7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57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7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93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cs="宋体"/>
                <w:b w:val="0"/>
                <w:bCs w:val="0"/>
                <w:color w:val="auto"/>
                <w:sz w:val="24"/>
                <w:szCs w:val="24"/>
                <w:highlight w:val="none"/>
                <w:u w:val="none"/>
                <w:vertAlign w:val="baseline"/>
                <w:lang w:val="en-US" w:eastAsia="zh-CN"/>
              </w:rPr>
              <w:t>......</w:t>
            </w:r>
          </w:p>
        </w:tc>
        <w:tc>
          <w:tcPr>
            <w:tcW w:w="812"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75"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7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60" w:hRule="atLeast"/>
          <w:jc w:val="center"/>
        </w:trPr>
        <w:tc>
          <w:tcPr>
            <w:tcW w:w="3217" w:type="dxa"/>
            <w:gridSpan w:val="3"/>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eastAsia="zh-CN"/>
              </w:rPr>
              <w:t>合计</w:t>
            </w:r>
          </w:p>
        </w:tc>
        <w:tc>
          <w:tcPr>
            <w:tcW w:w="81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75"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7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bl>
    <w:p>
      <w:pPr>
        <w:spacing w:line="360" w:lineRule="auto"/>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2.2综合布线系统</w:t>
      </w:r>
    </w:p>
    <w:tbl>
      <w:tblPr>
        <w:tblStyle w:val="99"/>
        <w:tblW w:w="91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
        <w:gridCol w:w="713"/>
        <w:gridCol w:w="1933"/>
        <w:gridCol w:w="811"/>
        <w:gridCol w:w="1"/>
        <w:gridCol w:w="838"/>
        <w:gridCol w:w="1"/>
        <w:gridCol w:w="838"/>
        <w:gridCol w:w="1"/>
        <w:gridCol w:w="838"/>
        <w:gridCol w:w="1"/>
        <w:gridCol w:w="838"/>
        <w:gridCol w:w="1"/>
        <w:gridCol w:w="1074"/>
        <w:gridCol w:w="1"/>
        <w:gridCol w:w="738"/>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57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序号</w:t>
            </w:r>
          </w:p>
        </w:tc>
        <w:tc>
          <w:tcPr>
            <w:tcW w:w="7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lang w:eastAsia="zh-CN"/>
              </w:rPr>
              <w:t>名称</w:t>
            </w:r>
          </w:p>
        </w:tc>
        <w:tc>
          <w:tcPr>
            <w:tcW w:w="193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技术参数</w:t>
            </w:r>
          </w:p>
        </w:tc>
        <w:tc>
          <w:tcPr>
            <w:tcW w:w="812"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品牌</w:t>
            </w: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规格型号</w:t>
            </w:r>
          </w:p>
        </w:tc>
        <w:tc>
          <w:tcPr>
            <w:tcW w:w="839" w:type="dxa"/>
            <w:gridSpan w:val="2"/>
            <w:vAlign w:val="center"/>
          </w:tcPr>
          <w:p>
            <w:pPr>
              <w:spacing w:line="360" w:lineRule="auto"/>
              <w:jc w:val="both"/>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cs="宋体"/>
                <w:b w:val="0"/>
                <w:bCs w:val="0"/>
                <w:color w:val="auto"/>
                <w:sz w:val="24"/>
                <w:szCs w:val="24"/>
                <w:highlight w:val="none"/>
                <w:u w:val="none"/>
                <w:vertAlign w:val="baseline"/>
                <w:lang w:eastAsia="zh-CN"/>
              </w:rPr>
              <w:t>单位</w:t>
            </w: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cs="宋体"/>
                <w:b w:val="0"/>
                <w:bCs w:val="0"/>
                <w:color w:val="auto"/>
                <w:sz w:val="24"/>
                <w:szCs w:val="24"/>
                <w:highlight w:val="none"/>
                <w:u w:val="none"/>
                <w:vertAlign w:val="baseline"/>
                <w:lang w:val="en-US" w:eastAsia="zh-CN"/>
              </w:rPr>
              <w:t>数量</w:t>
            </w: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单价（元）</w:t>
            </w:r>
          </w:p>
        </w:tc>
        <w:tc>
          <w:tcPr>
            <w:tcW w:w="1075"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总价（元）</w:t>
            </w:r>
          </w:p>
        </w:tc>
        <w:tc>
          <w:tcPr>
            <w:tcW w:w="7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57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1</w:t>
            </w:r>
          </w:p>
        </w:tc>
        <w:tc>
          <w:tcPr>
            <w:tcW w:w="7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93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2"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75"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7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57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val="en-US" w:eastAsia="zh-CN"/>
              </w:rPr>
              <w:t>2</w:t>
            </w:r>
          </w:p>
        </w:tc>
        <w:tc>
          <w:tcPr>
            <w:tcW w:w="7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93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2"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75"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7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57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7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93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cs="宋体"/>
                <w:b w:val="0"/>
                <w:bCs w:val="0"/>
                <w:color w:val="auto"/>
                <w:sz w:val="24"/>
                <w:szCs w:val="24"/>
                <w:highlight w:val="none"/>
                <w:u w:val="none"/>
                <w:vertAlign w:val="baseline"/>
                <w:lang w:val="en-US" w:eastAsia="zh-CN"/>
              </w:rPr>
              <w:t>......</w:t>
            </w:r>
          </w:p>
        </w:tc>
        <w:tc>
          <w:tcPr>
            <w:tcW w:w="812"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75"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7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45" w:hRule="atLeast"/>
          <w:jc w:val="center"/>
        </w:trPr>
        <w:tc>
          <w:tcPr>
            <w:tcW w:w="3217" w:type="dxa"/>
            <w:gridSpan w:val="3"/>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eastAsia="zh-CN"/>
              </w:rPr>
              <w:t>合计</w:t>
            </w:r>
          </w:p>
        </w:tc>
        <w:tc>
          <w:tcPr>
            <w:tcW w:w="81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75"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7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bl>
    <w:p>
      <w:pPr>
        <w:pStyle w:val="2"/>
        <w:ind w:left="0" w:leftChars="0" w:firstLine="0" w:firstLineChars="0"/>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2.3中心机房建设工程</w:t>
      </w:r>
    </w:p>
    <w:tbl>
      <w:tblPr>
        <w:tblStyle w:val="99"/>
        <w:tblW w:w="91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
        <w:gridCol w:w="713"/>
        <w:gridCol w:w="1933"/>
        <w:gridCol w:w="811"/>
        <w:gridCol w:w="1"/>
        <w:gridCol w:w="838"/>
        <w:gridCol w:w="1"/>
        <w:gridCol w:w="838"/>
        <w:gridCol w:w="1"/>
        <w:gridCol w:w="838"/>
        <w:gridCol w:w="1"/>
        <w:gridCol w:w="838"/>
        <w:gridCol w:w="1"/>
        <w:gridCol w:w="1074"/>
        <w:gridCol w:w="1"/>
        <w:gridCol w:w="738"/>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57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序号</w:t>
            </w:r>
          </w:p>
        </w:tc>
        <w:tc>
          <w:tcPr>
            <w:tcW w:w="7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lang w:eastAsia="zh-CN"/>
              </w:rPr>
              <w:t>名称</w:t>
            </w:r>
          </w:p>
        </w:tc>
        <w:tc>
          <w:tcPr>
            <w:tcW w:w="193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技术参数</w:t>
            </w:r>
          </w:p>
        </w:tc>
        <w:tc>
          <w:tcPr>
            <w:tcW w:w="812"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品牌</w:t>
            </w: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规格型号</w:t>
            </w:r>
          </w:p>
        </w:tc>
        <w:tc>
          <w:tcPr>
            <w:tcW w:w="839" w:type="dxa"/>
            <w:gridSpan w:val="2"/>
            <w:vAlign w:val="center"/>
          </w:tcPr>
          <w:p>
            <w:pPr>
              <w:spacing w:line="360" w:lineRule="auto"/>
              <w:jc w:val="both"/>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cs="宋体"/>
                <w:b w:val="0"/>
                <w:bCs w:val="0"/>
                <w:color w:val="auto"/>
                <w:sz w:val="24"/>
                <w:szCs w:val="24"/>
                <w:highlight w:val="none"/>
                <w:u w:val="none"/>
                <w:vertAlign w:val="baseline"/>
                <w:lang w:eastAsia="zh-CN"/>
              </w:rPr>
              <w:t>单位</w:t>
            </w: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cs="宋体"/>
                <w:b w:val="0"/>
                <w:bCs w:val="0"/>
                <w:color w:val="auto"/>
                <w:sz w:val="24"/>
                <w:szCs w:val="24"/>
                <w:highlight w:val="none"/>
                <w:u w:val="none"/>
                <w:vertAlign w:val="baseline"/>
                <w:lang w:val="en-US" w:eastAsia="zh-CN"/>
              </w:rPr>
              <w:t>数量</w:t>
            </w: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单价（元）</w:t>
            </w:r>
          </w:p>
        </w:tc>
        <w:tc>
          <w:tcPr>
            <w:tcW w:w="1075"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总价（元）</w:t>
            </w:r>
          </w:p>
        </w:tc>
        <w:tc>
          <w:tcPr>
            <w:tcW w:w="7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57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1</w:t>
            </w:r>
          </w:p>
        </w:tc>
        <w:tc>
          <w:tcPr>
            <w:tcW w:w="7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93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2"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75"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7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7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val="en-US" w:eastAsia="zh-CN"/>
              </w:rPr>
              <w:t>2</w:t>
            </w:r>
          </w:p>
        </w:tc>
        <w:tc>
          <w:tcPr>
            <w:tcW w:w="7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93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2"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75"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7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57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7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93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cs="宋体"/>
                <w:b w:val="0"/>
                <w:bCs w:val="0"/>
                <w:color w:val="auto"/>
                <w:sz w:val="24"/>
                <w:szCs w:val="24"/>
                <w:highlight w:val="none"/>
                <w:u w:val="none"/>
                <w:vertAlign w:val="baseline"/>
                <w:lang w:val="en-US" w:eastAsia="zh-CN"/>
              </w:rPr>
              <w:t>......</w:t>
            </w:r>
          </w:p>
        </w:tc>
        <w:tc>
          <w:tcPr>
            <w:tcW w:w="812"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75"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7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370" w:hRule="atLeast"/>
          <w:jc w:val="center"/>
        </w:trPr>
        <w:tc>
          <w:tcPr>
            <w:tcW w:w="3217" w:type="dxa"/>
            <w:gridSpan w:val="3"/>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eastAsia="zh-CN"/>
              </w:rPr>
              <w:t>合计</w:t>
            </w:r>
          </w:p>
        </w:tc>
        <w:tc>
          <w:tcPr>
            <w:tcW w:w="81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75"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7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bl>
    <w:p>
      <w:pPr>
        <w:pStyle w:val="2"/>
        <w:ind w:left="0" w:leftChars="0" w:firstLine="0" w:firstLineChars="0"/>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 xml:space="preserve">2.4综合安防系统 </w:t>
      </w:r>
    </w:p>
    <w:tbl>
      <w:tblPr>
        <w:tblStyle w:val="99"/>
        <w:tblW w:w="91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
        <w:gridCol w:w="713"/>
        <w:gridCol w:w="1933"/>
        <w:gridCol w:w="811"/>
        <w:gridCol w:w="1"/>
        <w:gridCol w:w="838"/>
        <w:gridCol w:w="1"/>
        <w:gridCol w:w="838"/>
        <w:gridCol w:w="1"/>
        <w:gridCol w:w="838"/>
        <w:gridCol w:w="1"/>
        <w:gridCol w:w="838"/>
        <w:gridCol w:w="1"/>
        <w:gridCol w:w="1074"/>
        <w:gridCol w:w="1"/>
        <w:gridCol w:w="738"/>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57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序号</w:t>
            </w:r>
          </w:p>
        </w:tc>
        <w:tc>
          <w:tcPr>
            <w:tcW w:w="7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lang w:eastAsia="zh-CN"/>
              </w:rPr>
              <w:t>名称</w:t>
            </w:r>
          </w:p>
        </w:tc>
        <w:tc>
          <w:tcPr>
            <w:tcW w:w="193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技术参数</w:t>
            </w:r>
          </w:p>
        </w:tc>
        <w:tc>
          <w:tcPr>
            <w:tcW w:w="812"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品牌</w:t>
            </w: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规格型号</w:t>
            </w:r>
          </w:p>
        </w:tc>
        <w:tc>
          <w:tcPr>
            <w:tcW w:w="839" w:type="dxa"/>
            <w:gridSpan w:val="2"/>
            <w:vAlign w:val="center"/>
          </w:tcPr>
          <w:p>
            <w:pPr>
              <w:spacing w:line="360" w:lineRule="auto"/>
              <w:jc w:val="both"/>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cs="宋体"/>
                <w:b w:val="0"/>
                <w:bCs w:val="0"/>
                <w:color w:val="auto"/>
                <w:sz w:val="24"/>
                <w:szCs w:val="24"/>
                <w:highlight w:val="none"/>
                <w:u w:val="none"/>
                <w:vertAlign w:val="baseline"/>
                <w:lang w:eastAsia="zh-CN"/>
              </w:rPr>
              <w:t>单位</w:t>
            </w: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cs="宋体"/>
                <w:b w:val="0"/>
                <w:bCs w:val="0"/>
                <w:color w:val="auto"/>
                <w:sz w:val="24"/>
                <w:szCs w:val="24"/>
                <w:highlight w:val="none"/>
                <w:u w:val="none"/>
                <w:vertAlign w:val="baseline"/>
                <w:lang w:val="en-US" w:eastAsia="zh-CN"/>
              </w:rPr>
              <w:t>数量</w:t>
            </w: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单价（元）</w:t>
            </w:r>
          </w:p>
        </w:tc>
        <w:tc>
          <w:tcPr>
            <w:tcW w:w="1075"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总价（元）</w:t>
            </w:r>
          </w:p>
        </w:tc>
        <w:tc>
          <w:tcPr>
            <w:tcW w:w="7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57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1</w:t>
            </w:r>
          </w:p>
        </w:tc>
        <w:tc>
          <w:tcPr>
            <w:tcW w:w="7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93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2"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75"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7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7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val="en-US" w:eastAsia="zh-CN"/>
              </w:rPr>
              <w:t>2</w:t>
            </w:r>
          </w:p>
        </w:tc>
        <w:tc>
          <w:tcPr>
            <w:tcW w:w="7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93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2"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75"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7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57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7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93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cs="宋体"/>
                <w:b w:val="0"/>
                <w:bCs w:val="0"/>
                <w:color w:val="auto"/>
                <w:sz w:val="24"/>
                <w:szCs w:val="24"/>
                <w:highlight w:val="none"/>
                <w:u w:val="none"/>
                <w:vertAlign w:val="baseline"/>
                <w:lang w:val="en-US" w:eastAsia="zh-CN"/>
              </w:rPr>
              <w:t>......</w:t>
            </w:r>
          </w:p>
        </w:tc>
        <w:tc>
          <w:tcPr>
            <w:tcW w:w="812"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75"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7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370" w:hRule="atLeast"/>
          <w:jc w:val="center"/>
        </w:trPr>
        <w:tc>
          <w:tcPr>
            <w:tcW w:w="3217" w:type="dxa"/>
            <w:gridSpan w:val="3"/>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eastAsia="zh-CN"/>
              </w:rPr>
              <w:t>合计</w:t>
            </w:r>
          </w:p>
        </w:tc>
        <w:tc>
          <w:tcPr>
            <w:tcW w:w="81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75"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7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bl>
    <w:p>
      <w:pPr>
        <w:pStyle w:val="2"/>
        <w:ind w:left="0" w:leftChars="0" w:firstLine="0" w:firstLineChars="0"/>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2.5考场系统</w:t>
      </w:r>
    </w:p>
    <w:tbl>
      <w:tblPr>
        <w:tblStyle w:val="99"/>
        <w:tblW w:w="91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
        <w:gridCol w:w="713"/>
        <w:gridCol w:w="1933"/>
        <w:gridCol w:w="811"/>
        <w:gridCol w:w="1"/>
        <w:gridCol w:w="838"/>
        <w:gridCol w:w="1"/>
        <w:gridCol w:w="838"/>
        <w:gridCol w:w="1"/>
        <w:gridCol w:w="838"/>
        <w:gridCol w:w="1"/>
        <w:gridCol w:w="838"/>
        <w:gridCol w:w="1"/>
        <w:gridCol w:w="1074"/>
        <w:gridCol w:w="1"/>
        <w:gridCol w:w="738"/>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57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序号</w:t>
            </w:r>
          </w:p>
        </w:tc>
        <w:tc>
          <w:tcPr>
            <w:tcW w:w="7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lang w:eastAsia="zh-CN"/>
              </w:rPr>
              <w:t>名称</w:t>
            </w:r>
          </w:p>
        </w:tc>
        <w:tc>
          <w:tcPr>
            <w:tcW w:w="193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技术参数</w:t>
            </w:r>
          </w:p>
        </w:tc>
        <w:tc>
          <w:tcPr>
            <w:tcW w:w="812"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品牌</w:t>
            </w: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规格型号</w:t>
            </w:r>
          </w:p>
        </w:tc>
        <w:tc>
          <w:tcPr>
            <w:tcW w:w="839" w:type="dxa"/>
            <w:gridSpan w:val="2"/>
            <w:vAlign w:val="center"/>
          </w:tcPr>
          <w:p>
            <w:pPr>
              <w:spacing w:line="360" w:lineRule="auto"/>
              <w:jc w:val="both"/>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cs="宋体"/>
                <w:b w:val="0"/>
                <w:bCs w:val="0"/>
                <w:color w:val="auto"/>
                <w:sz w:val="24"/>
                <w:szCs w:val="24"/>
                <w:highlight w:val="none"/>
                <w:u w:val="none"/>
                <w:vertAlign w:val="baseline"/>
                <w:lang w:eastAsia="zh-CN"/>
              </w:rPr>
              <w:t>单位</w:t>
            </w: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cs="宋体"/>
                <w:b w:val="0"/>
                <w:bCs w:val="0"/>
                <w:color w:val="auto"/>
                <w:sz w:val="24"/>
                <w:szCs w:val="24"/>
                <w:highlight w:val="none"/>
                <w:u w:val="none"/>
                <w:vertAlign w:val="baseline"/>
                <w:lang w:val="en-US" w:eastAsia="zh-CN"/>
              </w:rPr>
              <w:t>数量</w:t>
            </w: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单价（元）</w:t>
            </w:r>
          </w:p>
        </w:tc>
        <w:tc>
          <w:tcPr>
            <w:tcW w:w="1075"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总价（元）</w:t>
            </w:r>
          </w:p>
        </w:tc>
        <w:tc>
          <w:tcPr>
            <w:tcW w:w="7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57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1</w:t>
            </w:r>
          </w:p>
        </w:tc>
        <w:tc>
          <w:tcPr>
            <w:tcW w:w="7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93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2"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75"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7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7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val="en-US" w:eastAsia="zh-CN"/>
              </w:rPr>
              <w:t>2</w:t>
            </w:r>
          </w:p>
        </w:tc>
        <w:tc>
          <w:tcPr>
            <w:tcW w:w="7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93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2"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75"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7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57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7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93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cs="宋体"/>
                <w:b w:val="0"/>
                <w:bCs w:val="0"/>
                <w:color w:val="auto"/>
                <w:sz w:val="24"/>
                <w:szCs w:val="24"/>
                <w:highlight w:val="none"/>
                <w:u w:val="none"/>
                <w:vertAlign w:val="baseline"/>
                <w:lang w:val="en-US" w:eastAsia="zh-CN"/>
              </w:rPr>
              <w:t>......</w:t>
            </w:r>
          </w:p>
        </w:tc>
        <w:tc>
          <w:tcPr>
            <w:tcW w:w="812"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75"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7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370" w:hRule="atLeast"/>
          <w:jc w:val="center"/>
        </w:trPr>
        <w:tc>
          <w:tcPr>
            <w:tcW w:w="3217" w:type="dxa"/>
            <w:gridSpan w:val="3"/>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eastAsia="zh-CN"/>
              </w:rPr>
              <w:t>合计</w:t>
            </w:r>
          </w:p>
        </w:tc>
        <w:tc>
          <w:tcPr>
            <w:tcW w:w="81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75"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7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bl>
    <w:p>
      <w:pPr>
        <w:pStyle w:val="2"/>
        <w:ind w:left="0" w:leftChars="0" w:firstLine="0" w:firstLineChars="0"/>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2.6智能通道、门禁系统</w:t>
      </w:r>
    </w:p>
    <w:tbl>
      <w:tblPr>
        <w:tblStyle w:val="99"/>
        <w:tblW w:w="91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
        <w:gridCol w:w="713"/>
        <w:gridCol w:w="1933"/>
        <w:gridCol w:w="811"/>
        <w:gridCol w:w="1"/>
        <w:gridCol w:w="838"/>
        <w:gridCol w:w="1"/>
        <w:gridCol w:w="838"/>
        <w:gridCol w:w="1"/>
        <w:gridCol w:w="838"/>
        <w:gridCol w:w="1"/>
        <w:gridCol w:w="838"/>
        <w:gridCol w:w="1"/>
        <w:gridCol w:w="1074"/>
        <w:gridCol w:w="1"/>
        <w:gridCol w:w="738"/>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57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序号</w:t>
            </w:r>
          </w:p>
        </w:tc>
        <w:tc>
          <w:tcPr>
            <w:tcW w:w="7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lang w:eastAsia="zh-CN"/>
              </w:rPr>
              <w:t>名称</w:t>
            </w:r>
          </w:p>
        </w:tc>
        <w:tc>
          <w:tcPr>
            <w:tcW w:w="193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技术参数</w:t>
            </w:r>
          </w:p>
        </w:tc>
        <w:tc>
          <w:tcPr>
            <w:tcW w:w="812"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品牌</w:t>
            </w: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规格型号</w:t>
            </w:r>
          </w:p>
        </w:tc>
        <w:tc>
          <w:tcPr>
            <w:tcW w:w="839" w:type="dxa"/>
            <w:gridSpan w:val="2"/>
            <w:vAlign w:val="center"/>
          </w:tcPr>
          <w:p>
            <w:pPr>
              <w:spacing w:line="360" w:lineRule="auto"/>
              <w:jc w:val="both"/>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cs="宋体"/>
                <w:b w:val="0"/>
                <w:bCs w:val="0"/>
                <w:color w:val="auto"/>
                <w:sz w:val="24"/>
                <w:szCs w:val="24"/>
                <w:highlight w:val="none"/>
                <w:u w:val="none"/>
                <w:vertAlign w:val="baseline"/>
                <w:lang w:eastAsia="zh-CN"/>
              </w:rPr>
              <w:t>单位</w:t>
            </w: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cs="宋体"/>
                <w:b w:val="0"/>
                <w:bCs w:val="0"/>
                <w:color w:val="auto"/>
                <w:sz w:val="24"/>
                <w:szCs w:val="24"/>
                <w:highlight w:val="none"/>
                <w:u w:val="none"/>
                <w:vertAlign w:val="baseline"/>
                <w:lang w:val="en-US" w:eastAsia="zh-CN"/>
              </w:rPr>
              <w:t>数量</w:t>
            </w: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单价（元）</w:t>
            </w:r>
          </w:p>
        </w:tc>
        <w:tc>
          <w:tcPr>
            <w:tcW w:w="1075"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总价（元）</w:t>
            </w:r>
          </w:p>
        </w:tc>
        <w:tc>
          <w:tcPr>
            <w:tcW w:w="7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57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1</w:t>
            </w:r>
          </w:p>
        </w:tc>
        <w:tc>
          <w:tcPr>
            <w:tcW w:w="7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93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2"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75"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7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7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val="en-US" w:eastAsia="zh-CN"/>
              </w:rPr>
              <w:t>2</w:t>
            </w:r>
          </w:p>
        </w:tc>
        <w:tc>
          <w:tcPr>
            <w:tcW w:w="7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93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2"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75"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7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57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7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93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cs="宋体"/>
                <w:b w:val="0"/>
                <w:bCs w:val="0"/>
                <w:color w:val="auto"/>
                <w:sz w:val="24"/>
                <w:szCs w:val="24"/>
                <w:highlight w:val="none"/>
                <w:u w:val="none"/>
                <w:vertAlign w:val="baseline"/>
                <w:lang w:val="en-US" w:eastAsia="zh-CN"/>
              </w:rPr>
              <w:t>......</w:t>
            </w:r>
          </w:p>
        </w:tc>
        <w:tc>
          <w:tcPr>
            <w:tcW w:w="812"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75"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7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370" w:hRule="atLeast"/>
          <w:jc w:val="center"/>
        </w:trPr>
        <w:tc>
          <w:tcPr>
            <w:tcW w:w="3217" w:type="dxa"/>
            <w:gridSpan w:val="3"/>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eastAsia="zh-CN"/>
              </w:rPr>
              <w:t>合计</w:t>
            </w:r>
          </w:p>
        </w:tc>
        <w:tc>
          <w:tcPr>
            <w:tcW w:w="81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75"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7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bl>
    <w:p>
      <w:pPr>
        <w:pStyle w:val="2"/>
        <w:ind w:left="0" w:leftChars="0" w:firstLine="0" w:firstLineChars="0"/>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2.7数字广播系统</w:t>
      </w:r>
    </w:p>
    <w:tbl>
      <w:tblPr>
        <w:tblStyle w:val="99"/>
        <w:tblW w:w="91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
        <w:gridCol w:w="713"/>
        <w:gridCol w:w="1933"/>
        <w:gridCol w:w="811"/>
        <w:gridCol w:w="1"/>
        <w:gridCol w:w="838"/>
        <w:gridCol w:w="1"/>
        <w:gridCol w:w="838"/>
        <w:gridCol w:w="1"/>
        <w:gridCol w:w="838"/>
        <w:gridCol w:w="1"/>
        <w:gridCol w:w="838"/>
        <w:gridCol w:w="1"/>
        <w:gridCol w:w="1074"/>
        <w:gridCol w:w="1"/>
        <w:gridCol w:w="738"/>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57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序号</w:t>
            </w:r>
          </w:p>
        </w:tc>
        <w:tc>
          <w:tcPr>
            <w:tcW w:w="7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lang w:eastAsia="zh-CN"/>
              </w:rPr>
              <w:t>名称</w:t>
            </w:r>
          </w:p>
        </w:tc>
        <w:tc>
          <w:tcPr>
            <w:tcW w:w="193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技术参数</w:t>
            </w:r>
          </w:p>
        </w:tc>
        <w:tc>
          <w:tcPr>
            <w:tcW w:w="812"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品牌</w:t>
            </w: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规格型号</w:t>
            </w:r>
          </w:p>
        </w:tc>
        <w:tc>
          <w:tcPr>
            <w:tcW w:w="839" w:type="dxa"/>
            <w:gridSpan w:val="2"/>
            <w:vAlign w:val="center"/>
          </w:tcPr>
          <w:p>
            <w:pPr>
              <w:spacing w:line="360" w:lineRule="auto"/>
              <w:jc w:val="both"/>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cs="宋体"/>
                <w:b w:val="0"/>
                <w:bCs w:val="0"/>
                <w:color w:val="auto"/>
                <w:sz w:val="24"/>
                <w:szCs w:val="24"/>
                <w:highlight w:val="none"/>
                <w:u w:val="none"/>
                <w:vertAlign w:val="baseline"/>
                <w:lang w:eastAsia="zh-CN"/>
              </w:rPr>
              <w:t>单位</w:t>
            </w: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cs="宋体"/>
                <w:b w:val="0"/>
                <w:bCs w:val="0"/>
                <w:color w:val="auto"/>
                <w:sz w:val="24"/>
                <w:szCs w:val="24"/>
                <w:highlight w:val="none"/>
                <w:u w:val="none"/>
                <w:vertAlign w:val="baseline"/>
                <w:lang w:val="en-US" w:eastAsia="zh-CN"/>
              </w:rPr>
              <w:t>数量</w:t>
            </w: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单价（元）</w:t>
            </w:r>
          </w:p>
        </w:tc>
        <w:tc>
          <w:tcPr>
            <w:tcW w:w="1075"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总价（元）</w:t>
            </w:r>
          </w:p>
        </w:tc>
        <w:tc>
          <w:tcPr>
            <w:tcW w:w="7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57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1</w:t>
            </w:r>
          </w:p>
        </w:tc>
        <w:tc>
          <w:tcPr>
            <w:tcW w:w="7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93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2"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75"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7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7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val="en-US" w:eastAsia="zh-CN"/>
              </w:rPr>
              <w:t>2</w:t>
            </w:r>
          </w:p>
        </w:tc>
        <w:tc>
          <w:tcPr>
            <w:tcW w:w="7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93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2"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75"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7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57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7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93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cs="宋体"/>
                <w:b w:val="0"/>
                <w:bCs w:val="0"/>
                <w:color w:val="auto"/>
                <w:sz w:val="24"/>
                <w:szCs w:val="24"/>
                <w:highlight w:val="none"/>
                <w:u w:val="none"/>
                <w:vertAlign w:val="baseline"/>
                <w:lang w:val="en-US" w:eastAsia="zh-CN"/>
              </w:rPr>
              <w:t>......</w:t>
            </w:r>
          </w:p>
        </w:tc>
        <w:tc>
          <w:tcPr>
            <w:tcW w:w="812"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75"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7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370" w:hRule="atLeast"/>
          <w:jc w:val="center"/>
        </w:trPr>
        <w:tc>
          <w:tcPr>
            <w:tcW w:w="3217" w:type="dxa"/>
            <w:gridSpan w:val="3"/>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eastAsia="zh-CN"/>
              </w:rPr>
              <w:t>合计</w:t>
            </w:r>
          </w:p>
        </w:tc>
        <w:tc>
          <w:tcPr>
            <w:tcW w:w="81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75"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7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bl>
    <w:p>
      <w:pPr>
        <w:pStyle w:val="2"/>
        <w:ind w:left="0" w:leftChars="0" w:firstLine="0" w:firstLineChars="0"/>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2.8</w:t>
      </w:r>
      <w:r>
        <w:rPr>
          <w:rFonts w:hint="eastAsia"/>
          <w:color w:val="auto"/>
          <w:sz w:val="24"/>
          <w:szCs w:val="24"/>
          <w:highlight w:val="none"/>
          <w:vertAlign w:val="baseline"/>
        </w:rPr>
        <w:t>明厨亮灶管理系统</w:t>
      </w:r>
    </w:p>
    <w:tbl>
      <w:tblPr>
        <w:tblStyle w:val="99"/>
        <w:tblW w:w="91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
        <w:gridCol w:w="713"/>
        <w:gridCol w:w="1933"/>
        <w:gridCol w:w="811"/>
        <w:gridCol w:w="1"/>
        <w:gridCol w:w="838"/>
        <w:gridCol w:w="1"/>
        <w:gridCol w:w="838"/>
        <w:gridCol w:w="1"/>
        <w:gridCol w:w="838"/>
        <w:gridCol w:w="1"/>
        <w:gridCol w:w="838"/>
        <w:gridCol w:w="1"/>
        <w:gridCol w:w="1074"/>
        <w:gridCol w:w="1"/>
        <w:gridCol w:w="738"/>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57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序号</w:t>
            </w:r>
          </w:p>
        </w:tc>
        <w:tc>
          <w:tcPr>
            <w:tcW w:w="7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lang w:eastAsia="zh-CN"/>
              </w:rPr>
              <w:t>名称</w:t>
            </w:r>
          </w:p>
        </w:tc>
        <w:tc>
          <w:tcPr>
            <w:tcW w:w="193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技术参数</w:t>
            </w:r>
          </w:p>
        </w:tc>
        <w:tc>
          <w:tcPr>
            <w:tcW w:w="812"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品牌</w:t>
            </w: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规格型号</w:t>
            </w:r>
          </w:p>
        </w:tc>
        <w:tc>
          <w:tcPr>
            <w:tcW w:w="839" w:type="dxa"/>
            <w:gridSpan w:val="2"/>
            <w:vAlign w:val="center"/>
          </w:tcPr>
          <w:p>
            <w:pPr>
              <w:spacing w:line="360" w:lineRule="auto"/>
              <w:jc w:val="both"/>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cs="宋体"/>
                <w:b w:val="0"/>
                <w:bCs w:val="0"/>
                <w:color w:val="auto"/>
                <w:sz w:val="24"/>
                <w:szCs w:val="24"/>
                <w:highlight w:val="none"/>
                <w:u w:val="none"/>
                <w:vertAlign w:val="baseline"/>
                <w:lang w:eastAsia="zh-CN"/>
              </w:rPr>
              <w:t>单位</w:t>
            </w: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cs="宋体"/>
                <w:b w:val="0"/>
                <w:bCs w:val="0"/>
                <w:color w:val="auto"/>
                <w:sz w:val="24"/>
                <w:szCs w:val="24"/>
                <w:highlight w:val="none"/>
                <w:u w:val="none"/>
                <w:vertAlign w:val="baseline"/>
                <w:lang w:val="en-US" w:eastAsia="zh-CN"/>
              </w:rPr>
              <w:t>数量</w:t>
            </w: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单价（元）</w:t>
            </w:r>
          </w:p>
        </w:tc>
        <w:tc>
          <w:tcPr>
            <w:tcW w:w="1075"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总价（元）</w:t>
            </w:r>
          </w:p>
        </w:tc>
        <w:tc>
          <w:tcPr>
            <w:tcW w:w="7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57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1</w:t>
            </w:r>
          </w:p>
        </w:tc>
        <w:tc>
          <w:tcPr>
            <w:tcW w:w="7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93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2"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75"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7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7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val="en-US" w:eastAsia="zh-CN"/>
              </w:rPr>
              <w:t>2</w:t>
            </w:r>
          </w:p>
        </w:tc>
        <w:tc>
          <w:tcPr>
            <w:tcW w:w="7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93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2"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75"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7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57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7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93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cs="宋体"/>
                <w:b w:val="0"/>
                <w:bCs w:val="0"/>
                <w:color w:val="auto"/>
                <w:sz w:val="24"/>
                <w:szCs w:val="24"/>
                <w:highlight w:val="none"/>
                <w:u w:val="none"/>
                <w:vertAlign w:val="baseline"/>
                <w:lang w:val="en-US" w:eastAsia="zh-CN"/>
              </w:rPr>
              <w:t>......</w:t>
            </w:r>
          </w:p>
        </w:tc>
        <w:tc>
          <w:tcPr>
            <w:tcW w:w="812"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75"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7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370" w:hRule="atLeast"/>
          <w:jc w:val="center"/>
        </w:trPr>
        <w:tc>
          <w:tcPr>
            <w:tcW w:w="3217" w:type="dxa"/>
            <w:gridSpan w:val="3"/>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eastAsia="zh-CN"/>
              </w:rPr>
              <w:t>合计</w:t>
            </w:r>
          </w:p>
        </w:tc>
        <w:tc>
          <w:tcPr>
            <w:tcW w:w="81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75"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7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bl>
    <w:p>
      <w:pPr>
        <w:pStyle w:val="2"/>
        <w:ind w:left="0" w:leftChars="0" w:firstLine="0" w:firstLineChars="0"/>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2.9</w:t>
      </w:r>
      <w:r>
        <w:rPr>
          <w:rFonts w:hint="eastAsia" w:ascii="宋体" w:hAnsi="宋体" w:eastAsia="宋体" w:cs="宋体"/>
          <w:b w:val="0"/>
          <w:bCs w:val="0"/>
          <w:color w:val="auto"/>
          <w:sz w:val="24"/>
          <w:szCs w:val="24"/>
          <w:highlight w:val="none"/>
          <w:lang w:val="en-US" w:eastAsia="zh-CN"/>
        </w:rPr>
        <w:t>报告厅灯光、音响</w:t>
      </w:r>
    </w:p>
    <w:tbl>
      <w:tblPr>
        <w:tblStyle w:val="99"/>
        <w:tblW w:w="91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
        <w:gridCol w:w="713"/>
        <w:gridCol w:w="1933"/>
        <w:gridCol w:w="811"/>
        <w:gridCol w:w="1"/>
        <w:gridCol w:w="838"/>
        <w:gridCol w:w="1"/>
        <w:gridCol w:w="838"/>
        <w:gridCol w:w="1"/>
        <w:gridCol w:w="838"/>
        <w:gridCol w:w="1"/>
        <w:gridCol w:w="838"/>
        <w:gridCol w:w="1"/>
        <w:gridCol w:w="1074"/>
        <w:gridCol w:w="1"/>
        <w:gridCol w:w="738"/>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57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序号</w:t>
            </w:r>
          </w:p>
        </w:tc>
        <w:tc>
          <w:tcPr>
            <w:tcW w:w="7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lang w:eastAsia="zh-CN"/>
              </w:rPr>
              <w:t>名称</w:t>
            </w:r>
          </w:p>
        </w:tc>
        <w:tc>
          <w:tcPr>
            <w:tcW w:w="193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技术参数</w:t>
            </w:r>
          </w:p>
        </w:tc>
        <w:tc>
          <w:tcPr>
            <w:tcW w:w="812"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品牌</w:t>
            </w: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规格型号</w:t>
            </w:r>
          </w:p>
        </w:tc>
        <w:tc>
          <w:tcPr>
            <w:tcW w:w="839" w:type="dxa"/>
            <w:gridSpan w:val="2"/>
            <w:vAlign w:val="center"/>
          </w:tcPr>
          <w:p>
            <w:pPr>
              <w:spacing w:line="360" w:lineRule="auto"/>
              <w:jc w:val="both"/>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cs="宋体"/>
                <w:b w:val="0"/>
                <w:bCs w:val="0"/>
                <w:color w:val="auto"/>
                <w:sz w:val="24"/>
                <w:szCs w:val="24"/>
                <w:highlight w:val="none"/>
                <w:u w:val="none"/>
                <w:vertAlign w:val="baseline"/>
                <w:lang w:eastAsia="zh-CN"/>
              </w:rPr>
              <w:t>单位</w:t>
            </w: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cs="宋体"/>
                <w:b w:val="0"/>
                <w:bCs w:val="0"/>
                <w:color w:val="auto"/>
                <w:sz w:val="24"/>
                <w:szCs w:val="24"/>
                <w:highlight w:val="none"/>
                <w:u w:val="none"/>
                <w:vertAlign w:val="baseline"/>
                <w:lang w:val="en-US" w:eastAsia="zh-CN"/>
              </w:rPr>
              <w:t>数量</w:t>
            </w: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单价（元）</w:t>
            </w:r>
          </w:p>
        </w:tc>
        <w:tc>
          <w:tcPr>
            <w:tcW w:w="1075"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总价（元）</w:t>
            </w:r>
          </w:p>
        </w:tc>
        <w:tc>
          <w:tcPr>
            <w:tcW w:w="7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57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1</w:t>
            </w:r>
          </w:p>
        </w:tc>
        <w:tc>
          <w:tcPr>
            <w:tcW w:w="7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93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2"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75"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7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7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val="en-US" w:eastAsia="zh-CN"/>
              </w:rPr>
              <w:t>2</w:t>
            </w:r>
          </w:p>
        </w:tc>
        <w:tc>
          <w:tcPr>
            <w:tcW w:w="7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93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2"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75"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7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57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7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93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cs="宋体"/>
                <w:b w:val="0"/>
                <w:bCs w:val="0"/>
                <w:color w:val="auto"/>
                <w:sz w:val="24"/>
                <w:szCs w:val="24"/>
                <w:highlight w:val="none"/>
                <w:u w:val="none"/>
                <w:vertAlign w:val="baseline"/>
                <w:lang w:val="en-US" w:eastAsia="zh-CN"/>
              </w:rPr>
              <w:t>......</w:t>
            </w:r>
          </w:p>
        </w:tc>
        <w:tc>
          <w:tcPr>
            <w:tcW w:w="812"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75"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7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370" w:hRule="atLeast"/>
          <w:jc w:val="center"/>
        </w:trPr>
        <w:tc>
          <w:tcPr>
            <w:tcW w:w="3217" w:type="dxa"/>
            <w:gridSpan w:val="3"/>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eastAsia="zh-CN"/>
              </w:rPr>
              <w:t>合计</w:t>
            </w:r>
          </w:p>
        </w:tc>
        <w:tc>
          <w:tcPr>
            <w:tcW w:w="81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75"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7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bl>
    <w:p>
      <w:pPr>
        <w:pStyle w:val="2"/>
        <w:ind w:left="0" w:leftChars="0" w:firstLine="0" w:firstLineChars="0"/>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2.10</w:t>
      </w:r>
      <w:r>
        <w:rPr>
          <w:rFonts w:hint="eastAsia" w:ascii="宋体" w:hAnsi="宋体" w:eastAsia="宋体" w:cs="宋体"/>
          <w:b w:val="0"/>
          <w:bCs w:val="0"/>
          <w:color w:val="auto"/>
          <w:sz w:val="24"/>
          <w:szCs w:val="24"/>
          <w:highlight w:val="none"/>
          <w:lang w:val="en-US" w:eastAsia="zh-CN"/>
        </w:rPr>
        <w:t>多媒体会议系统</w:t>
      </w:r>
    </w:p>
    <w:tbl>
      <w:tblPr>
        <w:tblStyle w:val="99"/>
        <w:tblW w:w="91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
        <w:gridCol w:w="713"/>
        <w:gridCol w:w="1933"/>
        <w:gridCol w:w="811"/>
        <w:gridCol w:w="1"/>
        <w:gridCol w:w="838"/>
        <w:gridCol w:w="1"/>
        <w:gridCol w:w="838"/>
        <w:gridCol w:w="1"/>
        <w:gridCol w:w="838"/>
        <w:gridCol w:w="1"/>
        <w:gridCol w:w="838"/>
        <w:gridCol w:w="1"/>
        <w:gridCol w:w="1074"/>
        <w:gridCol w:w="1"/>
        <w:gridCol w:w="738"/>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57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序号</w:t>
            </w:r>
          </w:p>
        </w:tc>
        <w:tc>
          <w:tcPr>
            <w:tcW w:w="7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lang w:eastAsia="zh-CN"/>
              </w:rPr>
              <w:t>名称</w:t>
            </w:r>
          </w:p>
        </w:tc>
        <w:tc>
          <w:tcPr>
            <w:tcW w:w="193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技术参数</w:t>
            </w:r>
          </w:p>
        </w:tc>
        <w:tc>
          <w:tcPr>
            <w:tcW w:w="812"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品牌</w:t>
            </w: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规格型号</w:t>
            </w:r>
          </w:p>
        </w:tc>
        <w:tc>
          <w:tcPr>
            <w:tcW w:w="839" w:type="dxa"/>
            <w:gridSpan w:val="2"/>
            <w:vAlign w:val="center"/>
          </w:tcPr>
          <w:p>
            <w:pPr>
              <w:spacing w:line="360" w:lineRule="auto"/>
              <w:jc w:val="both"/>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cs="宋体"/>
                <w:b w:val="0"/>
                <w:bCs w:val="0"/>
                <w:color w:val="auto"/>
                <w:sz w:val="24"/>
                <w:szCs w:val="24"/>
                <w:highlight w:val="none"/>
                <w:u w:val="none"/>
                <w:vertAlign w:val="baseline"/>
                <w:lang w:eastAsia="zh-CN"/>
              </w:rPr>
              <w:t>单位</w:t>
            </w: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cs="宋体"/>
                <w:b w:val="0"/>
                <w:bCs w:val="0"/>
                <w:color w:val="auto"/>
                <w:sz w:val="24"/>
                <w:szCs w:val="24"/>
                <w:highlight w:val="none"/>
                <w:u w:val="none"/>
                <w:vertAlign w:val="baseline"/>
                <w:lang w:val="en-US" w:eastAsia="zh-CN"/>
              </w:rPr>
              <w:t>数量</w:t>
            </w: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单价（元）</w:t>
            </w:r>
          </w:p>
        </w:tc>
        <w:tc>
          <w:tcPr>
            <w:tcW w:w="1075"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总价（元）</w:t>
            </w:r>
          </w:p>
        </w:tc>
        <w:tc>
          <w:tcPr>
            <w:tcW w:w="7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57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1</w:t>
            </w:r>
          </w:p>
        </w:tc>
        <w:tc>
          <w:tcPr>
            <w:tcW w:w="7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93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2"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75"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7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7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val="en-US" w:eastAsia="zh-CN"/>
              </w:rPr>
              <w:t>2</w:t>
            </w:r>
          </w:p>
        </w:tc>
        <w:tc>
          <w:tcPr>
            <w:tcW w:w="7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93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2"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75"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7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57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7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93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cs="宋体"/>
                <w:b w:val="0"/>
                <w:bCs w:val="0"/>
                <w:color w:val="auto"/>
                <w:sz w:val="24"/>
                <w:szCs w:val="24"/>
                <w:highlight w:val="none"/>
                <w:u w:val="none"/>
                <w:vertAlign w:val="baseline"/>
                <w:lang w:val="en-US" w:eastAsia="zh-CN"/>
              </w:rPr>
              <w:t>......</w:t>
            </w:r>
          </w:p>
        </w:tc>
        <w:tc>
          <w:tcPr>
            <w:tcW w:w="812"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75"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7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370" w:hRule="atLeast"/>
          <w:jc w:val="center"/>
        </w:trPr>
        <w:tc>
          <w:tcPr>
            <w:tcW w:w="3217" w:type="dxa"/>
            <w:gridSpan w:val="3"/>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eastAsia="zh-CN"/>
              </w:rPr>
              <w:t>合计</w:t>
            </w:r>
          </w:p>
        </w:tc>
        <w:tc>
          <w:tcPr>
            <w:tcW w:w="81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75"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7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bl>
    <w:p>
      <w:pPr>
        <w:pStyle w:val="2"/>
        <w:ind w:left="0" w:leftChars="0" w:firstLine="0" w:firstLineChars="0"/>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2.11智慧教室</w:t>
      </w:r>
    </w:p>
    <w:tbl>
      <w:tblPr>
        <w:tblStyle w:val="99"/>
        <w:tblW w:w="91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
        <w:gridCol w:w="713"/>
        <w:gridCol w:w="1933"/>
        <w:gridCol w:w="811"/>
        <w:gridCol w:w="1"/>
        <w:gridCol w:w="838"/>
        <w:gridCol w:w="1"/>
        <w:gridCol w:w="838"/>
        <w:gridCol w:w="1"/>
        <w:gridCol w:w="838"/>
        <w:gridCol w:w="1"/>
        <w:gridCol w:w="838"/>
        <w:gridCol w:w="1"/>
        <w:gridCol w:w="1074"/>
        <w:gridCol w:w="1"/>
        <w:gridCol w:w="738"/>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57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序号</w:t>
            </w:r>
          </w:p>
        </w:tc>
        <w:tc>
          <w:tcPr>
            <w:tcW w:w="7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lang w:eastAsia="zh-CN"/>
              </w:rPr>
              <w:t>名称</w:t>
            </w:r>
          </w:p>
        </w:tc>
        <w:tc>
          <w:tcPr>
            <w:tcW w:w="193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技术参数</w:t>
            </w:r>
          </w:p>
        </w:tc>
        <w:tc>
          <w:tcPr>
            <w:tcW w:w="812"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品牌</w:t>
            </w: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规格型号</w:t>
            </w:r>
          </w:p>
        </w:tc>
        <w:tc>
          <w:tcPr>
            <w:tcW w:w="839" w:type="dxa"/>
            <w:gridSpan w:val="2"/>
            <w:vAlign w:val="center"/>
          </w:tcPr>
          <w:p>
            <w:pPr>
              <w:spacing w:line="360" w:lineRule="auto"/>
              <w:jc w:val="both"/>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cs="宋体"/>
                <w:b w:val="0"/>
                <w:bCs w:val="0"/>
                <w:color w:val="auto"/>
                <w:sz w:val="24"/>
                <w:szCs w:val="24"/>
                <w:highlight w:val="none"/>
                <w:u w:val="none"/>
                <w:vertAlign w:val="baseline"/>
                <w:lang w:eastAsia="zh-CN"/>
              </w:rPr>
              <w:t>单位</w:t>
            </w: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cs="宋体"/>
                <w:b w:val="0"/>
                <w:bCs w:val="0"/>
                <w:color w:val="auto"/>
                <w:sz w:val="24"/>
                <w:szCs w:val="24"/>
                <w:highlight w:val="none"/>
                <w:u w:val="none"/>
                <w:vertAlign w:val="baseline"/>
                <w:lang w:val="en-US" w:eastAsia="zh-CN"/>
              </w:rPr>
              <w:t>数量</w:t>
            </w: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单价（元）</w:t>
            </w:r>
          </w:p>
        </w:tc>
        <w:tc>
          <w:tcPr>
            <w:tcW w:w="1075"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总价（元）</w:t>
            </w:r>
          </w:p>
        </w:tc>
        <w:tc>
          <w:tcPr>
            <w:tcW w:w="7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57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1</w:t>
            </w:r>
          </w:p>
        </w:tc>
        <w:tc>
          <w:tcPr>
            <w:tcW w:w="7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93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2"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75"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7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7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val="en-US" w:eastAsia="zh-CN"/>
              </w:rPr>
              <w:t>2</w:t>
            </w:r>
          </w:p>
        </w:tc>
        <w:tc>
          <w:tcPr>
            <w:tcW w:w="7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93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2"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75"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7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57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7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93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cs="宋体"/>
                <w:b w:val="0"/>
                <w:bCs w:val="0"/>
                <w:color w:val="auto"/>
                <w:sz w:val="24"/>
                <w:szCs w:val="24"/>
                <w:highlight w:val="none"/>
                <w:u w:val="none"/>
                <w:vertAlign w:val="baseline"/>
                <w:lang w:val="en-US" w:eastAsia="zh-CN"/>
              </w:rPr>
              <w:t>......</w:t>
            </w:r>
          </w:p>
        </w:tc>
        <w:tc>
          <w:tcPr>
            <w:tcW w:w="812"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75"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7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370" w:hRule="atLeast"/>
          <w:jc w:val="center"/>
        </w:trPr>
        <w:tc>
          <w:tcPr>
            <w:tcW w:w="3217" w:type="dxa"/>
            <w:gridSpan w:val="3"/>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eastAsia="zh-CN"/>
              </w:rPr>
              <w:t>合计</w:t>
            </w:r>
          </w:p>
        </w:tc>
        <w:tc>
          <w:tcPr>
            <w:tcW w:w="81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75"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7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bl>
    <w:p>
      <w:pPr>
        <w:pStyle w:val="2"/>
        <w:ind w:left="0" w:leftChars="0" w:firstLine="0" w:firstLineChars="0"/>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2.12计算机教室静电地板</w:t>
      </w:r>
    </w:p>
    <w:tbl>
      <w:tblPr>
        <w:tblStyle w:val="99"/>
        <w:tblW w:w="91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
        <w:gridCol w:w="713"/>
        <w:gridCol w:w="1933"/>
        <w:gridCol w:w="811"/>
        <w:gridCol w:w="1"/>
        <w:gridCol w:w="838"/>
        <w:gridCol w:w="1"/>
        <w:gridCol w:w="838"/>
        <w:gridCol w:w="1"/>
        <w:gridCol w:w="838"/>
        <w:gridCol w:w="1"/>
        <w:gridCol w:w="838"/>
        <w:gridCol w:w="1"/>
        <w:gridCol w:w="1074"/>
        <w:gridCol w:w="1"/>
        <w:gridCol w:w="738"/>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57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序号</w:t>
            </w:r>
          </w:p>
        </w:tc>
        <w:tc>
          <w:tcPr>
            <w:tcW w:w="7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lang w:eastAsia="zh-CN"/>
              </w:rPr>
              <w:t>名称</w:t>
            </w:r>
          </w:p>
        </w:tc>
        <w:tc>
          <w:tcPr>
            <w:tcW w:w="193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技术参数</w:t>
            </w:r>
          </w:p>
        </w:tc>
        <w:tc>
          <w:tcPr>
            <w:tcW w:w="812"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品牌</w:t>
            </w: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规格型号</w:t>
            </w:r>
          </w:p>
        </w:tc>
        <w:tc>
          <w:tcPr>
            <w:tcW w:w="839" w:type="dxa"/>
            <w:gridSpan w:val="2"/>
            <w:vAlign w:val="center"/>
          </w:tcPr>
          <w:p>
            <w:pPr>
              <w:spacing w:line="360" w:lineRule="auto"/>
              <w:jc w:val="both"/>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cs="宋体"/>
                <w:b w:val="0"/>
                <w:bCs w:val="0"/>
                <w:color w:val="auto"/>
                <w:sz w:val="24"/>
                <w:szCs w:val="24"/>
                <w:highlight w:val="none"/>
                <w:u w:val="none"/>
                <w:vertAlign w:val="baseline"/>
                <w:lang w:eastAsia="zh-CN"/>
              </w:rPr>
              <w:t>单位</w:t>
            </w: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cs="宋体"/>
                <w:b w:val="0"/>
                <w:bCs w:val="0"/>
                <w:color w:val="auto"/>
                <w:sz w:val="24"/>
                <w:szCs w:val="24"/>
                <w:highlight w:val="none"/>
                <w:u w:val="none"/>
                <w:vertAlign w:val="baseline"/>
                <w:lang w:val="en-US" w:eastAsia="zh-CN"/>
              </w:rPr>
              <w:t>数量</w:t>
            </w: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单价（元）</w:t>
            </w:r>
          </w:p>
        </w:tc>
        <w:tc>
          <w:tcPr>
            <w:tcW w:w="1075"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总价（元）</w:t>
            </w:r>
          </w:p>
        </w:tc>
        <w:tc>
          <w:tcPr>
            <w:tcW w:w="7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57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1</w:t>
            </w:r>
          </w:p>
        </w:tc>
        <w:tc>
          <w:tcPr>
            <w:tcW w:w="7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93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2"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75"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7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7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val="en-US" w:eastAsia="zh-CN"/>
              </w:rPr>
              <w:t>2</w:t>
            </w:r>
          </w:p>
        </w:tc>
        <w:tc>
          <w:tcPr>
            <w:tcW w:w="7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93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2"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75"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7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57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7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93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cs="宋体"/>
                <w:b w:val="0"/>
                <w:bCs w:val="0"/>
                <w:color w:val="auto"/>
                <w:sz w:val="24"/>
                <w:szCs w:val="24"/>
                <w:highlight w:val="none"/>
                <w:u w:val="none"/>
                <w:vertAlign w:val="baseline"/>
                <w:lang w:val="en-US" w:eastAsia="zh-CN"/>
              </w:rPr>
              <w:t>......</w:t>
            </w:r>
          </w:p>
        </w:tc>
        <w:tc>
          <w:tcPr>
            <w:tcW w:w="812"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75"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7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370" w:hRule="atLeast"/>
          <w:jc w:val="center"/>
        </w:trPr>
        <w:tc>
          <w:tcPr>
            <w:tcW w:w="3217" w:type="dxa"/>
            <w:gridSpan w:val="3"/>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eastAsia="zh-CN"/>
              </w:rPr>
              <w:t>合计</w:t>
            </w:r>
          </w:p>
        </w:tc>
        <w:tc>
          <w:tcPr>
            <w:tcW w:w="81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75"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7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bl>
    <w:p>
      <w:pPr>
        <w:pStyle w:val="2"/>
        <w:ind w:left="0" w:leftChars="0" w:firstLine="0" w:firstLineChars="0"/>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2.13人机对话教室静电地板</w:t>
      </w:r>
    </w:p>
    <w:tbl>
      <w:tblPr>
        <w:tblStyle w:val="99"/>
        <w:tblW w:w="91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
        <w:gridCol w:w="713"/>
        <w:gridCol w:w="1933"/>
        <w:gridCol w:w="811"/>
        <w:gridCol w:w="1"/>
        <w:gridCol w:w="838"/>
        <w:gridCol w:w="1"/>
        <w:gridCol w:w="838"/>
        <w:gridCol w:w="1"/>
        <w:gridCol w:w="838"/>
        <w:gridCol w:w="1"/>
        <w:gridCol w:w="838"/>
        <w:gridCol w:w="1"/>
        <w:gridCol w:w="1074"/>
        <w:gridCol w:w="1"/>
        <w:gridCol w:w="738"/>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57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序号</w:t>
            </w:r>
          </w:p>
        </w:tc>
        <w:tc>
          <w:tcPr>
            <w:tcW w:w="7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lang w:eastAsia="zh-CN"/>
              </w:rPr>
              <w:t>名称</w:t>
            </w:r>
          </w:p>
        </w:tc>
        <w:tc>
          <w:tcPr>
            <w:tcW w:w="193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技术参数</w:t>
            </w:r>
          </w:p>
        </w:tc>
        <w:tc>
          <w:tcPr>
            <w:tcW w:w="812"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品牌</w:t>
            </w: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规格型号</w:t>
            </w:r>
          </w:p>
        </w:tc>
        <w:tc>
          <w:tcPr>
            <w:tcW w:w="839" w:type="dxa"/>
            <w:gridSpan w:val="2"/>
            <w:vAlign w:val="center"/>
          </w:tcPr>
          <w:p>
            <w:pPr>
              <w:spacing w:line="360" w:lineRule="auto"/>
              <w:jc w:val="both"/>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cs="宋体"/>
                <w:b w:val="0"/>
                <w:bCs w:val="0"/>
                <w:color w:val="auto"/>
                <w:sz w:val="24"/>
                <w:szCs w:val="24"/>
                <w:highlight w:val="none"/>
                <w:u w:val="none"/>
                <w:vertAlign w:val="baseline"/>
                <w:lang w:eastAsia="zh-CN"/>
              </w:rPr>
              <w:t>单位</w:t>
            </w: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cs="宋体"/>
                <w:b w:val="0"/>
                <w:bCs w:val="0"/>
                <w:color w:val="auto"/>
                <w:sz w:val="24"/>
                <w:szCs w:val="24"/>
                <w:highlight w:val="none"/>
                <w:u w:val="none"/>
                <w:vertAlign w:val="baseline"/>
                <w:lang w:val="en-US" w:eastAsia="zh-CN"/>
              </w:rPr>
              <w:t>数量</w:t>
            </w: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单价（元）</w:t>
            </w:r>
          </w:p>
        </w:tc>
        <w:tc>
          <w:tcPr>
            <w:tcW w:w="1075"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总价（元）</w:t>
            </w:r>
          </w:p>
        </w:tc>
        <w:tc>
          <w:tcPr>
            <w:tcW w:w="7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57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1</w:t>
            </w:r>
          </w:p>
        </w:tc>
        <w:tc>
          <w:tcPr>
            <w:tcW w:w="7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93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2"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75"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7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7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val="en-US" w:eastAsia="zh-CN"/>
              </w:rPr>
              <w:t>2</w:t>
            </w:r>
          </w:p>
        </w:tc>
        <w:tc>
          <w:tcPr>
            <w:tcW w:w="7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93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2"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75"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7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57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7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93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cs="宋体"/>
                <w:b w:val="0"/>
                <w:bCs w:val="0"/>
                <w:color w:val="auto"/>
                <w:sz w:val="24"/>
                <w:szCs w:val="24"/>
                <w:highlight w:val="none"/>
                <w:u w:val="none"/>
                <w:vertAlign w:val="baseline"/>
                <w:lang w:val="en-US" w:eastAsia="zh-CN"/>
              </w:rPr>
              <w:t>......</w:t>
            </w:r>
          </w:p>
        </w:tc>
        <w:tc>
          <w:tcPr>
            <w:tcW w:w="812"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75"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7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370" w:hRule="atLeast"/>
          <w:jc w:val="center"/>
        </w:trPr>
        <w:tc>
          <w:tcPr>
            <w:tcW w:w="3217" w:type="dxa"/>
            <w:gridSpan w:val="3"/>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eastAsia="zh-CN"/>
              </w:rPr>
              <w:t>合计</w:t>
            </w:r>
          </w:p>
        </w:tc>
        <w:tc>
          <w:tcPr>
            <w:tcW w:w="81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75"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7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bl>
    <w:p>
      <w:pPr>
        <w:pStyle w:val="2"/>
        <w:ind w:left="0" w:leftChars="0" w:firstLine="0" w:firstLineChars="0"/>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2.14录播教室</w:t>
      </w:r>
    </w:p>
    <w:tbl>
      <w:tblPr>
        <w:tblStyle w:val="99"/>
        <w:tblW w:w="91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
        <w:gridCol w:w="713"/>
        <w:gridCol w:w="1933"/>
        <w:gridCol w:w="811"/>
        <w:gridCol w:w="1"/>
        <w:gridCol w:w="838"/>
        <w:gridCol w:w="1"/>
        <w:gridCol w:w="838"/>
        <w:gridCol w:w="1"/>
        <w:gridCol w:w="838"/>
        <w:gridCol w:w="1"/>
        <w:gridCol w:w="838"/>
        <w:gridCol w:w="1"/>
        <w:gridCol w:w="1074"/>
        <w:gridCol w:w="1"/>
        <w:gridCol w:w="738"/>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57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序号</w:t>
            </w:r>
          </w:p>
        </w:tc>
        <w:tc>
          <w:tcPr>
            <w:tcW w:w="7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lang w:eastAsia="zh-CN"/>
              </w:rPr>
              <w:t>名称</w:t>
            </w:r>
          </w:p>
        </w:tc>
        <w:tc>
          <w:tcPr>
            <w:tcW w:w="193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技术参数</w:t>
            </w:r>
          </w:p>
        </w:tc>
        <w:tc>
          <w:tcPr>
            <w:tcW w:w="812"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品牌</w:t>
            </w: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规格型号</w:t>
            </w:r>
          </w:p>
        </w:tc>
        <w:tc>
          <w:tcPr>
            <w:tcW w:w="839" w:type="dxa"/>
            <w:gridSpan w:val="2"/>
            <w:vAlign w:val="center"/>
          </w:tcPr>
          <w:p>
            <w:pPr>
              <w:spacing w:line="360" w:lineRule="auto"/>
              <w:jc w:val="both"/>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cs="宋体"/>
                <w:b w:val="0"/>
                <w:bCs w:val="0"/>
                <w:color w:val="auto"/>
                <w:sz w:val="24"/>
                <w:szCs w:val="24"/>
                <w:highlight w:val="none"/>
                <w:u w:val="none"/>
                <w:vertAlign w:val="baseline"/>
                <w:lang w:eastAsia="zh-CN"/>
              </w:rPr>
              <w:t>单位</w:t>
            </w: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cs="宋体"/>
                <w:b w:val="0"/>
                <w:bCs w:val="0"/>
                <w:color w:val="auto"/>
                <w:sz w:val="24"/>
                <w:szCs w:val="24"/>
                <w:highlight w:val="none"/>
                <w:u w:val="none"/>
                <w:vertAlign w:val="baseline"/>
                <w:lang w:val="en-US" w:eastAsia="zh-CN"/>
              </w:rPr>
              <w:t>数量</w:t>
            </w: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单价（元）</w:t>
            </w:r>
          </w:p>
        </w:tc>
        <w:tc>
          <w:tcPr>
            <w:tcW w:w="1075"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总价（元）</w:t>
            </w:r>
          </w:p>
        </w:tc>
        <w:tc>
          <w:tcPr>
            <w:tcW w:w="7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57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1</w:t>
            </w:r>
          </w:p>
        </w:tc>
        <w:tc>
          <w:tcPr>
            <w:tcW w:w="7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93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2"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75"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7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7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val="en-US" w:eastAsia="zh-CN"/>
              </w:rPr>
              <w:t>2</w:t>
            </w:r>
          </w:p>
        </w:tc>
        <w:tc>
          <w:tcPr>
            <w:tcW w:w="7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93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2"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75"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7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57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7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93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cs="宋体"/>
                <w:b w:val="0"/>
                <w:bCs w:val="0"/>
                <w:color w:val="auto"/>
                <w:sz w:val="24"/>
                <w:szCs w:val="24"/>
                <w:highlight w:val="none"/>
                <w:u w:val="none"/>
                <w:vertAlign w:val="baseline"/>
                <w:lang w:val="en-US" w:eastAsia="zh-CN"/>
              </w:rPr>
              <w:t>......</w:t>
            </w:r>
          </w:p>
        </w:tc>
        <w:tc>
          <w:tcPr>
            <w:tcW w:w="812"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75"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7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370" w:hRule="atLeast"/>
          <w:jc w:val="center"/>
        </w:trPr>
        <w:tc>
          <w:tcPr>
            <w:tcW w:w="3217" w:type="dxa"/>
            <w:gridSpan w:val="3"/>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eastAsia="zh-CN"/>
              </w:rPr>
              <w:t>合计</w:t>
            </w:r>
          </w:p>
        </w:tc>
        <w:tc>
          <w:tcPr>
            <w:tcW w:w="81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75"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7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bl>
    <w:p>
      <w:pPr>
        <w:pStyle w:val="2"/>
        <w:ind w:left="0" w:leftChars="0" w:firstLine="0" w:firstLineChars="0"/>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2.15智慧体育</w:t>
      </w:r>
    </w:p>
    <w:tbl>
      <w:tblPr>
        <w:tblStyle w:val="99"/>
        <w:tblW w:w="91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
        <w:gridCol w:w="713"/>
        <w:gridCol w:w="1933"/>
        <w:gridCol w:w="811"/>
        <w:gridCol w:w="1"/>
        <w:gridCol w:w="838"/>
        <w:gridCol w:w="1"/>
        <w:gridCol w:w="838"/>
        <w:gridCol w:w="1"/>
        <w:gridCol w:w="838"/>
        <w:gridCol w:w="1"/>
        <w:gridCol w:w="838"/>
        <w:gridCol w:w="1"/>
        <w:gridCol w:w="1074"/>
        <w:gridCol w:w="1"/>
        <w:gridCol w:w="738"/>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57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序号</w:t>
            </w:r>
          </w:p>
        </w:tc>
        <w:tc>
          <w:tcPr>
            <w:tcW w:w="7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lang w:eastAsia="zh-CN"/>
              </w:rPr>
              <w:t>名称</w:t>
            </w:r>
          </w:p>
        </w:tc>
        <w:tc>
          <w:tcPr>
            <w:tcW w:w="193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技术参数</w:t>
            </w:r>
          </w:p>
        </w:tc>
        <w:tc>
          <w:tcPr>
            <w:tcW w:w="812"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品牌</w:t>
            </w: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规格型号</w:t>
            </w:r>
          </w:p>
        </w:tc>
        <w:tc>
          <w:tcPr>
            <w:tcW w:w="839" w:type="dxa"/>
            <w:gridSpan w:val="2"/>
            <w:vAlign w:val="center"/>
          </w:tcPr>
          <w:p>
            <w:pPr>
              <w:spacing w:line="360" w:lineRule="auto"/>
              <w:jc w:val="both"/>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cs="宋体"/>
                <w:b w:val="0"/>
                <w:bCs w:val="0"/>
                <w:color w:val="auto"/>
                <w:sz w:val="24"/>
                <w:szCs w:val="24"/>
                <w:highlight w:val="none"/>
                <w:u w:val="none"/>
                <w:vertAlign w:val="baseline"/>
                <w:lang w:eastAsia="zh-CN"/>
              </w:rPr>
              <w:t>单位</w:t>
            </w: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cs="宋体"/>
                <w:b w:val="0"/>
                <w:bCs w:val="0"/>
                <w:color w:val="auto"/>
                <w:sz w:val="24"/>
                <w:szCs w:val="24"/>
                <w:highlight w:val="none"/>
                <w:u w:val="none"/>
                <w:vertAlign w:val="baseline"/>
                <w:lang w:val="en-US" w:eastAsia="zh-CN"/>
              </w:rPr>
              <w:t>数量</w:t>
            </w: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单价（元）</w:t>
            </w:r>
          </w:p>
        </w:tc>
        <w:tc>
          <w:tcPr>
            <w:tcW w:w="1075"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总价（元）</w:t>
            </w:r>
          </w:p>
        </w:tc>
        <w:tc>
          <w:tcPr>
            <w:tcW w:w="7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57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1</w:t>
            </w:r>
          </w:p>
        </w:tc>
        <w:tc>
          <w:tcPr>
            <w:tcW w:w="7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93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2"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75"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7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7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val="en-US" w:eastAsia="zh-CN"/>
              </w:rPr>
              <w:t>2</w:t>
            </w:r>
          </w:p>
        </w:tc>
        <w:tc>
          <w:tcPr>
            <w:tcW w:w="7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93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2"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75"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7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57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7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93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cs="宋体"/>
                <w:b w:val="0"/>
                <w:bCs w:val="0"/>
                <w:color w:val="auto"/>
                <w:sz w:val="24"/>
                <w:szCs w:val="24"/>
                <w:highlight w:val="none"/>
                <w:u w:val="none"/>
                <w:vertAlign w:val="baseline"/>
                <w:lang w:val="en-US" w:eastAsia="zh-CN"/>
              </w:rPr>
              <w:t>......</w:t>
            </w:r>
          </w:p>
        </w:tc>
        <w:tc>
          <w:tcPr>
            <w:tcW w:w="812"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75"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7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370" w:hRule="atLeast"/>
          <w:jc w:val="center"/>
        </w:trPr>
        <w:tc>
          <w:tcPr>
            <w:tcW w:w="3217" w:type="dxa"/>
            <w:gridSpan w:val="3"/>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eastAsia="zh-CN"/>
              </w:rPr>
              <w:t>合计</w:t>
            </w:r>
          </w:p>
        </w:tc>
        <w:tc>
          <w:tcPr>
            <w:tcW w:w="81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75"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7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bl>
    <w:p>
      <w:pPr>
        <w:pStyle w:val="2"/>
        <w:ind w:left="0" w:leftChars="0" w:firstLine="0" w:firstLineChars="0"/>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 xml:space="preserve">2.16楼层智慧信息发布系统 </w:t>
      </w:r>
    </w:p>
    <w:tbl>
      <w:tblPr>
        <w:tblStyle w:val="99"/>
        <w:tblW w:w="91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
        <w:gridCol w:w="713"/>
        <w:gridCol w:w="1933"/>
        <w:gridCol w:w="811"/>
        <w:gridCol w:w="1"/>
        <w:gridCol w:w="838"/>
        <w:gridCol w:w="1"/>
        <w:gridCol w:w="838"/>
        <w:gridCol w:w="1"/>
        <w:gridCol w:w="838"/>
        <w:gridCol w:w="1"/>
        <w:gridCol w:w="838"/>
        <w:gridCol w:w="1"/>
        <w:gridCol w:w="1074"/>
        <w:gridCol w:w="1"/>
        <w:gridCol w:w="738"/>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57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序号</w:t>
            </w:r>
          </w:p>
        </w:tc>
        <w:tc>
          <w:tcPr>
            <w:tcW w:w="7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lang w:eastAsia="zh-CN"/>
              </w:rPr>
              <w:t>名称</w:t>
            </w:r>
          </w:p>
        </w:tc>
        <w:tc>
          <w:tcPr>
            <w:tcW w:w="193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技术参数</w:t>
            </w:r>
          </w:p>
        </w:tc>
        <w:tc>
          <w:tcPr>
            <w:tcW w:w="812"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品牌</w:t>
            </w: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规格型号</w:t>
            </w:r>
          </w:p>
        </w:tc>
        <w:tc>
          <w:tcPr>
            <w:tcW w:w="839" w:type="dxa"/>
            <w:gridSpan w:val="2"/>
            <w:vAlign w:val="center"/>
          </w:tcPr>
          <w:p>
            <w:pPr>
              <w:spacing w:line="360" w:lineRule="auto"/>
              <w:jc w:val="both"/>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cs="宋体"/>
                <w:b w:val="0"/>
                <w:bCs w:val="0"/>
                <w:color w:val="auto"/>
                <w:sz w:val="24"/>
                <w:szCs w:val="24"/>
                <w:highlight w:val="none"/>
                <w:u w:val="none"/>
                <w:vertAlign w:val="baseline"/>
                <w:lang w:eastAsia="zh-CN"/>
              </w:rPr>
              <w:t>单位</w:t>
            </w: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cs="宋体"/>
                <w:b w:val="0"/>
                <w:bCs w:val="0"/>
                <w:color w:val="auto"/>
                <w:sz w:val="24"/>
                <w:szCs w:val="24"/>
                <w:highlight w:val="none"/>
                <w:u w:val="none"/>
                <w:vertAlign w:val="baseline"/>
                <w:lang w:val="en-US" w:eastAsia="zh-CN"/>
              </w:rPr>
              <w:t>数量</w:t>
            </w: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单价（元）</w:t>
            </w:r>
          </w:p>
        </w:tc>
        <w:tc>
          <w:tcPr>
            <w:tcW w:w="1075"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总价（元）</w:t>
            </w:r>
          </w:p>
        </w:tc>
        <w:tc>
          <w:tcPr>
            <w:tcW w:w="7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57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1</w:t>
            </w:r>
          </w:p>
        </w:tc>
        <w:tc>
          <w:tcPr>
            <w:tcW w:w="7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93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2"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75"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7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7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val="en-US" w:eastAsia="zh-CN"/>
              </w:rPr>
              <w:t>2</w:t>
            </w:r>
          </w:p>
        </w:tc>
        <w:tc>
          <w:tcPr>
            <w:tcW w:w="7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93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2"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75"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7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57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7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93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cs="宋体"/>
                <w:b w:val="0"/>
                <w:bCs w:val="0"/>
                <w:color w:val="auto"/>
                <w:sz w:val="24"/>
                <w:szCs w:val="24"/>
                <w:highlight w:val="none"/>
                <w:u w:val="none"/>
                <w:vertAlign w:val="baseline"/>
                <w:lang w:val="en-US" w:eastAsia="zh-CN"/>
              </w:rPr>
              <w:t>......</w:t>
            </w:r>
          </w:p>
        </w:tc>
        <w:tc>
          <w:tcPr>
            <w:tcW w:w="812"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75"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7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370" w:hRule="atLeast"/>
          <w:jc w:val="center"/>
        </w:trPr>
        <w:tc>
          <w:tcPr>
            <w:tcW w:w="3217" w:type="dxa"/>
            <w:gridSpan w:val="3"/>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eastAsia="zh-CN"/>
              </w:rPr>
              <w:t>合计</w:t>
            </w:r>
          </w:p>
        </w:tc>
        <w:tc>
          <w:tcPr>
            <w:tcW w:w="81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75"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7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bl>
    <w:p>
      <w:pPr>
        <w:pStyle w:val="2"/>
        <w:ind w:left="0" w:leftChars="0" w:firstLine="0" w:firstLineChars="0"/>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2.17梯控系统</w:t>
      </w:r>
    </w:p>
    <w:tbl>
      <w:tblPr>
        <w:tblStyle w:val="99"/>
        <w:tblW w:w="91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
        <w:gridCol w:w="713"/>
        <w:gridCol w:w="1933"/>
        <w:gridCol w:w="811"/>
        <w:gridCol w:w="1"/>
        <w:gridCol w:w="838"/>
        <w:gridCol w:w="1"/>
        <w:gridCol w:w="838"/>
        <w:gridCol w:w="1"/>
        <w:gridCol w:w="838"/>
        <w:gridCol w:w="1"/>
        <w:gridCol w:w="838"/>
        <w:gridCol w:w="1"/>
        <w:gridCol w:w="1074"/>
        <w:gridCol w:w="1"/>
        <w:gridCol w:w="738"/>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57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序号</w:t>
            </w:r>
          </w:p>
        </w:tc>
        <w:tc>
          <w:tcPr>
            <w:tcW w:w="7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lang w:eastAsia="zh-CN"/>
              </w:rPr>
              <w:t>名称</w:t>
            </w:r>
          </w:p>
        </w:tc>
        <w:tc>
          <w:tcPr>
            <w:tcW w:w="193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技术参数</w:t>
            </w:r>
          </w:p>
        </w:tc>
        <w:tc>
          <w:tcPr>
            <w:tcW w:w="812"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品牌</w:t>
            </w: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规格型号</w:t>
            </w:r>
          </w:p>
        </w:tc>
        <w:tc>
          <w:tcPr>
            <w:tcW w:w="839" w:type="dxa"/>
            <w:gridSpan w:val="2"/>
            <w:vAlign w:val="center"/>
          </w:tcPr>
          <w:p>
            <w:pPr>
              <w:spacing w:line="360" w:lineRule="auto"/>
              <w:jc w:val="both"/>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cs="宋体"/>
                <w:b w:val="0"/>
                <w:bCs w:val="0"/>
                <w:color w:val="auto"/>
                <w:sz w:val="24"/>
                <w:szCs w:val="24"/>
                <w:highlight w:val="none"/>
                <w:u w:val="none"/>
                <w:vertAlign w:val="baseline"/>
                <w:lang w:eastAsia="zh-CN"/>
              </w:rPr>
              <w:t>单位</w:t>
            </w: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cs="宋体"/>
                <w:b w:val="0"/>
                <w:bCs w:val="0"/>
                <w:color w:val="auto"/>
                <w:sz w:val="24"/>
                <w:szCs w:val="24"/>
                <w:highlight w:val="none"/>
                <w:u w:val="none"/>
                <w:vertAlign w:val="baseline"/>
                <w:lang w:val="en-US" w:eastAsia="zh-CN"/>
              </w:rPr>
              <w:t>数量</w:t>
            </w: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单价（元）</w:t>
            </w:r>
          </w:p>
        </w:tc>
        <w:tc>
          <w:tcPr>
            <w:tcW w:w="1075"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总价（元）</w:t>
            </w:r>
          </w:p>
        </w:tc>
        <w:tc>
          <w:tcPr>
            <w:tcW w:w="7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57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1</w:t>
            </w:r>
          </w:p>
        </w:tc>
        <w:tc>
          <w:tcPr>
            <w:tcW w:w="7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93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2"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75"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7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7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val="en-US" w:eastAsia="zh-CN"/>
              </w:rPr>
              <w:t>2</w:t>
            </w:r>
          </w:p>
        </w:tc>
        <w:tc>
          <w:tcPr>
            <w:tcW w:w="7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93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2"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75"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7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57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7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93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cs="宋体"/>
                <w:b w:val="0"/>
                <w:bCs w:val="0"/>
                <w:color w:val="auto"/>
                <w:sz w:val="24"/>
                <w:szCs w:val="24"/>
                <w:highlight w:val="none"/>
                <w:u w:val="none"/>
                <w:vertAlign w:val="baseline"/>
                <w:lang w:val="en-US" w:eastAsia="zh-CN"/>
              </w:rPr>
              <w:t>......</w:t>
            </w:r>
          </w:p>
        </w:tc>
        <w:tc>
          <w:tcPr>
            <w:tcW w:w="812"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75"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7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370" w:hRule="atLeast"/>
          <w:jc w:val="center"/>
        </w:trPr>
        <w:tc>
          <w:tcPr>
            <w:tcW w:w="3217" w:type="dxa"/>
            <w:gridSpan w:val="3"/>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eastAsia="zh-CN"/>
              </w:rPr>
              <w:t>合计</w:t>
            </w:r>
          </w:p>
        </w:tc>
        <w:tc>
          <w:tcPr>
            <w:tcW w:w="81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75"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7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bl>
    <w:p>
      <w:pPr>
        <w:pStyle w:val="2"/>
        <w:ind w:left="0" w:leftChars="0" w:firstLine="0" w:firstLineChars="0"/>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 xml:space="preserve">2.18存储空间系统 </w:t>
      </w:r>
    </w:p>
    <w:tbl>
      <w:tblPr>
        <w:tblStyle w:val="99"/>
        <w:tblW w:w="91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
        <w:gridCol w:w="713"/>
        <w:gridCol w:w="1933"/>
        <w:gridCol w:w="811"/>
        <w:gridCol w:w="1"/>
        <w:gridCol w:w="838"/>
        <w:gridCol w:w="1"/>
        <w:gridCol w:w="838"/>
        <w:gridCol w:w="1"/>
        <w:gridCol w:w="838"/>
        <w:gridCol w:w="1"/>
        <w:gridCol w:w="838"/>
        <w:gridCol w:w="1"/>
        <w:gridCol w:w="1074"/>
        <w:gridCol w:w="1"/>
        <w:gridCol w:w="738"/>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57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序号</w:t>
            </w:r>
          </w:p>
        </w:tc>
        <w:tc>
          <w:tcPr>
            <w:tcW w:w="7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lang w:eastAsia="zh-CN"/>
              </w:rPr>
              <w:t>名称</w:t>
            </w:r>
          </w:p>
        </w:tc>
        <w:tc>
          <w:tcPr>
            <w:tcW w:w="193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技术参数</w:t>
            </w:r>
          </w:p>
        </w:tc>
        <w:tc>
          <w:tcPr>
            <w:tcW w:w="812"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品牌</w:t>
            </w: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规格型号</w:t>
            </w:r>
          </w:p>
        </w:tc>
        <w:tc>
          <w:tcPr>
            <w:tcW w:w="839" w:type="dxa"/>
            <w:gridSpan w:val="2"/>
            <w:vAlign w:val="center"/>
          </w:tcPr>
          <w:p>
            <w:pPr>
              <w:spacing w:line="360" w:lineRule="auto"/>
              <w:jc w:val="both"/>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cs="宋体"/>
                <w:b w:val="0"/>
                <w:bCs w:val="0"/>
                <w:color w:val="auto"/>
                <w:sz w:val="24"/>
                <w:szCs w:val="24"/>
                <w:highlight w:val="none"/>
                <w:u w:val="none"/>
                <w:vertAlign w:val="baseline"/>
                <w:lang w:eastAsia="zh-CN"/>
              </w:rPr>
              <w:t>单位</w:t>
            </w: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cs="宋体"/>
                <w:b w:val="0"/>
                <w:bCs w:val="0"/>
                <w:color w:val="auto"/>
                <w:sz w:val="24"/>
                <w:szCs w:val="24"/>
                <w:highlight w:val="none"/>
                <w:u w:val="none"/>
                <w:vertAlign w:val="baseline"/>
                <w:lang w:val="en-US" w:eastAsia="zh-CN"/>
              </w:rPr>
              <w:t>数量</w:t>
            </w: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单价（元）</w:t>
            </w:r>
          </w:p>
        </w:tc>
        <w:tc>
          <w:tcPr>
            <w:tcW w:w="1075"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总价（元）</w:t>
            </w:r>
          </w:p>
        </w:tc>
        <w:tc>
          <w:tcPr>
            <w:tcW w:w="7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57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1</w:t>
            </w:r>
          </w:p>
        </w:tc>
        <w:tc>
          <w:tcPr>
            <w:tcW w:w="7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93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2"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75"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7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7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val="en-US" w:eastAsia="zh-CN"/>
              </w:rPr>
              <w:t>2</w:t>
            </w:r>
          </w:p>
        </w:tc>
        <w:tc>
          <w:tcPr>
            <w:tcW w:w="7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93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2"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75"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7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57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7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93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cs="宋体"/>
                <w:b w:val="0"/>
                <w:bCs w:val="0"/>
                <w:color w:val="auto"/>
                <w:sz w:val="24"/>
                <w:szCs w:val="24"/>
                <w:highlight w:val="none"/>
                <w:u w:val="none"/>
                <w:vertAlign w:val="baseline"/>
                <w:lang w:val="en-US" w:eastAsia="zh-CN"/>
              </w:rPr>
              <w:t>......</w:t>
            </w:r>
          </w:p>
        </w:tc>
        <w:tc>
          <w:tcPr>
            <w:tcW w:w="812"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75"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7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370" w:hRule="atLeast"/>
          <w:jc w:val="center"/>
        </w:trPr>
        <w:tc>
          <w:tcPr>
            <w:tcW w:w="3217" w:type="dxa"/>
            <w:gridSpan w:val="3"/>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eastAsia="zh-CN"/>
              </w:rPr>
              <w:t>合计</w:t>
            </w:r>
          </w:p>
        </w:tc>
        <w:tc>
          <w:tcPr>
            <w:tcW w:w="81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75"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7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bl>
    <w:p>
      <w:pPr>
        <w:pStyle w:val="2"/>
        <w:ind w:left="0" w:leftChars="0" w:firstLine="0" w:firstLineChars="0"/>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2.19校园智慧管理平台</w:t>
      </w:r>
    </w:p>
    <w:tbl>
      <w:tblPr>
        <w:tblStyle w:val="99"/>
        <w:tblW w:w="91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
        <w:gridCol w:w="713"/>
        <w:gridCol w:w="1933"/>
        <w:gridCol w:w="811"/>
        <w:gridCol w:w="1"/>
        <w:gridCol w:w="838"/>
        <w:gridCol w:w="1"/>
        <w:gridCol w:w="838"/>
        <w:gridCol w:w="1"/>
        <w:gridCol w:w="838"/>
        <w:gridCol w:w="1"/>
        <w:gridCol w:w="838"/>
        <w:gridCol w:w="1"/>
        <w:gridCol w:w="1074"/>
        <w:gridCol w:w="1"/>
        <w:gridCol w:w="738"/>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57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序号</w:t>
            </w:r>
          </w:p>
        </w:tc>
        <w:tc>
          <w:tcPr>
            <w:tcW w:w="7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lang w:eastAsia="zh-CN"/>
              </w:rPr>
              <w:t>名称</w:t>
            </w:r>
          </w:p>
        </w:tc>
        <w:tc>
          <w:tcPr>
            <w:tcW w:w="193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技术参数</w:t>
            </w:r>
          </w:p>
        </w:tc>
        <w:tc>
          <w:tcPr>
            <w:tcW w:w="812"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品牌</w:t>
            </w: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规格型号</w:t>
            </w:r>
          </w:p>
        </w:tc>
        <w:tc>
          <w:tcPr>
            <w:tcW w:w="839" w:type="dxa"/>
            <w:gridSpan w:val="2"/>
            <w:vAlign w:val="center"/>
          </w:tcPr>
          <w:p>
            <w:pPr>
              <w:spacing w:line="360" w:lineRule="auto"/>
              <w:jc w:val="both"/>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cs="宋体"/>
                <w:b w:val="0"/>
                <w:bCs w:val="0"/>
                <w:color w:val="auto"/>
                <w:sz w:val="24"/>
                <w:szCs w:val="24"/>
                <w:highlight w:val="none"/>
                <w:u w:val="none"/>
                <w:vertAlign w:val="baseline"/>
                <w:lang w:eastAsia="zh-CN"/>
              </w:rPr>
              <w:t>单位</w:t>
            </w: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cs="宋体"/>
                <w:b w:val="0"/>
                <w:bCs w:val="0"/>
                <w:color w:val="auto"/>
                <w:sz w:val="24"/>
                <w:szCs w:val="24"/>
                <w:highlight w:val="none"/>
                <w:u w:val="none"/>
                <w:vertAlign w:val="baseline"/>
                <w:lang w:val="en-US" w:eastAsia="zh-CN"/>
              </w:rPr>
              <w:t>数量</w:t>
            </w: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单价（元）</w:t>
            </w:r>
          </w:p>
        </w:tc>
        <w:tc>
          <w:tcPr>
            <w:tcW w:w="1075"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总价（元）</w:t>
            </w:r>
          </w:p>
        </w:tc>
        <w:tc>
          <w:tcPr>
            <w:tcW w:w="7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57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1</w:t>
            </w:r>
          </w:p>
        </w:tc>
        <w:tc>
          <w:tcPr>
            <w:tcW w:w="7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93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2"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75"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7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7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val="en-US" w:eastAsia="zh-CN"/>
              </w:rPr>
              <w:t>2</w:t>
            </w:r>
          </w:p>
        </w:tc>
        <w:tc>
          <w:tcPr>
            <w:tcW w:w="7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93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2"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75"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7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57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7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93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cs="宋体"/>
                <w:b w:val="0"/>
                <w:bCs w:val="0"/>
                <w:color w:val="auto"/>
                <w:sz w:val="24"/>
                <w:szCs w:val="24"/>
                <w:highlight w:val="none"/>
                <w:u w:val="none"/>
                <w:vertAlign w:val="baseline"/>
                <w:lang w:val="en-US" w:eastAsia="zh-CN"/>
              </w:rPr>
              <w:t>......</w:t>
            </w:r>
          </w:p>
        </w:tc>
        <w:tc>
          <w:tcPr>
            <w:tcW w:w="812"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75"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7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370" w:hRule="atLeast"/>
          <w:jc w:val="center"/>
        </w:trPr>
        <w:tc>
          <w:tcPr>
            <w:tcW w:w="3217" w:type="dxa"/>
            <w:gridSpan w:val="3"/>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eastAsia="zh-CN"/>
              </w:rPr>
              <w:t>合计</w:t>
            </w:r>
          </w:p>
        </w:tc>
        <w:tc>
          <w:tcPr>
            <w:tcW w:w="81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75"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7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bl>
    <w:p>
      <w:pPr>
        <w:pStyle w:val="2"/>
        <w:ind w:left="0" w:leftChars="0" w:firstLine="0" w:firstLineChars="0"/>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2.20办公电脑、课桌椅</w:t>
      </w:r>
    </w:p>
    <w:tbl>
      <w:tblPr>
        <w:tblStyle w:val="99"/>
        <w:tblW w:w="91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
        <w:gridCol w:w="713"/>
        <w:gridCol w:w="1933"/>
        <w:gridCol w:w="811"/>
        <w:gridCol w:w="1"/>
        <w:gridCol w:w="838"/>
        <w:gridCol w:w="1"/>
        <w:gridCol w:w="838"/>
        <w:gridCol w:w="1"/>
        <w:gridCol w:w="838"/>
        <w:gridCol w:w="1"/>
        <w:gridCol w:w="838"/>
        <w:gridCol w:w="1"/>
        <w:gridCol w:w="1074"/>
        <w:gridCol w:w="1"/>
        <w:gridCol w:w="738"/>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57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序号</w:t>
            </w:r>
          </w:p>
        </w:tc>
        <w:tc>
          <w:tcPr>
            <w:tcW w:w="7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lang w:eastAsia="zh-CN"/>
              </w:rPr>
              <w:t>名称</w:t>
            </w:r>
          </w:p>
        </w:tc>
        <w:tc>
          <w:tcPr>
            <w:tcW w:w="193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技术参数</w:t>
            </w:r>
          </w:p>
        </w:tc>
        <w:tc>
          <w:tcPr>
            <w:tcW w:w="812"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品牌</w:t>
            </w: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规格型号</w:t>
            </w:r>
          </w:p>
        </w:tc>
        <w:tc>
          <w:tcPr>
            <w:tcW w:w="839" w:type="dxa"/>
            <w:gridSpan w:val="2"/>
            <w:vAlign w:val="center"/>
          </w:tcPr>
          <w:p>
            <w:pPr>
              <w:spacing w:line="360" w:lineRule="auto"/>
              <w:jc w:val="both"/>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cs="宋体"/>
                <w:b w:val="0"/>
                <w:bCs w:val="0"/>
                <w:color w:val="auto"/>
                <w:sz w:val="24"/>
                <w:szCs w:val="24"/>
                <w:highlight w:val="none"/>
                <w:u w:val="none"/>
                <w:vertAlign w:val="baseline"/>
                <w:lang w:eastAsia="zh-CN"/>
              </w:rPr>
              <w:t>单位</w:t>
            </w: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cs="宋体"/>
                <w:b w:val="0"/>
                <w:bCs w:val="0"/>
                <w:color w:val="auto"/>
                <w:sz w:val="24"/>
                <w:szCs w:val="24"/>
                <w:highlight w:val="none"/>
                <w:u w:val="none"/>
                <w:vertAlign w:val="baseline"/>
                <w:lang w:val="en-US" w:eastAsia="zh-CN"/>
              </w:rPr>
              <w:t>数量</w:t>
            </w: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单价（元）</w:t>
            </w:r>
          </w:p>
        </w:tc>
        <w:tc>
          <w:tcPr>
            <w:tcW w:w="1075"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总价（元）</w:t>
            </w:r>
          </w:p>
        </w:tc>
        <w:tc>
          <w:tcPr>
            <w:tcW w:w="7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57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1</w:t>
            </w:r>
          </w:p>
        </w:tc>
        <w:tc>
          <w:tcPr>
            <w:tcW w:w="7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93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2"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75"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7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7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val="en-US" w:eastAsia="zh-CN"/>
              </w:rPr>
              <w:t>2</w:t>
            </w:r>
          </w:p>
        </w:tc>
        <w:tc>
          <w:tcPr>
            <w:tcW w:w="7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93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2"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75"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7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57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7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93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cs="宋体"/>
                <w:b w:val="0"/>
                <w:bCs w:val="0"/>
                <w:color w:val="auto"/>
                <w:sz w:val="24"/>
                <w:szCs w:val="24"/>
                <w:highlight w:val="none"/>
                <w:u w:val="none"/>
                <w:vertAlign w:val="baseline"/>
                <w:lang w:val="en-US" w:eastAsia="zh-CN"/>
              </w:rPr>
              <w:t>......</w:t>
            </w:r>
          </w:p>
        </w:tc>
        <w:tc>
          <w:tcPr>
            <w:tcW w:w="812"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75"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7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370" w:hRule="atLeast"/>
          <w:jc w:val="center"/>
        </w:trPr>
        <w:tc>
          <w:tcPr>
            <w:tcW w:w="3217" w:type="dxa"/>
            <w:gridSpan w:val="3"/>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eastAsia="zh-CN"/>
              </w:rPr>
              <w:t>合计</w:t>
            </w:r>
          </w:p>
        </w:tc>
        <w:tc>
          <w:tcPr>
            <w:tcW w:w="81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75"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7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bl>
    <w:p>
      <w:pPr>
        <w:pStyle w:val="2"/>
        <w:ind w:left="0" w:leftChars="0" w:firstLine="0" w:firstLineChars="0"/>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2.21 RFID图书馆系统</w:t>
      </w:r>
    </w:p>
    <w:tbl>
      <w:tblPr>
        <w:tblStyle w:val="99"/>
        <w:tblW w:w="91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
        <w:gridCol w:w="713"/>
        <w:gridCol w:w="1933"/>
        <w:gridCol w:w="811"/>
        <w:gridCol w:w="1"/>
        <w:gridCol w:w="838"/>
        <w:gridCol w:w="1"/>
        <w:gridCol w:w="838"/>
        <w:gridCol w:w="1"/>
        <w:gridCol w:w="838"/>
        <w:gridCol w:w="1"/>
        <w:gridCol w:w="838"/>
        <w:gridCol w:w="1"/>
        <w:gridCol w:w="1074"/>
        <w:gridCol w:w="1"/>
        <w:gridCol w:w="738"/>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57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序号</w:t>
            </w:r>
          </w:p>
        </w:tc>
        <w:tc>
          <w:tcPr>
            <w:tcW w:w="7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lang w:eastAsia="zh-CN"/>
              </w:rPr>
              <w:t>名称</w:t>
            </w:r>
          </w:p>
        </w:tc>
        <w:tc>
          <w:tcPr>
            <w:tcW w:w="193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技术参数</w:t>
            </w:r>
          </w:p>
        </w:tc>
        <w:tc>
          <w:tcPr>
            <w:tcW w:w="812"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品牌</w:t>
            </w: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规格型号</w:t>
            </w:r>
          </w:p>
        </w:tc>
        <w:tc>
          <w:tcPr>
            <w:tcW w:w="839" w:type="dxa"/>
            <w:gridSpan w:val="2"/>
            <w:vAlign w:val="center"/>
          </w:tcPr>
          <w:p>
            <w:pPr>
              <w:spacing w:line="360" w:lineRule="auto"/>
              <w:jc w:val="both"/>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cs="宋体"/>
                <w:b w:val="0"/>
                <w:bCs w:val="0"/>
                <w:color w:val="auto"/>
                <w:sz w:val="24"/>
                <w:szCs w:val="24"/>
                <w:highlight w:val="none"/>
                <w:u w:val="none"/>
                <w:vertAlign w:val="baseline"/>
                <w:lang w:eastAsia="zh-CN"/>
              </w:rPr>
              <w:t>单位</w:t>
            </w: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cs="宋体"/>
                <w:b w:val="0"/>
                <w:bCs w:val="0"/>
                <w:color w:val="auto"/>
                <w:sz w:val="24"/>
                <w:szCs w:val="24"/>
                <w:highlight w:val="none"/>
                <w:u w:val="none"/>
                <w:vertAlign w:val="baseline"/>
                <w:lang w:val="en-US" w:eastAsia="zh-CN"/>
              </w:rPr>
              <w:t>数量</w:t>
            </w: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单价（元）</w:t>
            </w:r>
          </w:p>
        </w:tc>
        <w:tc>
          <w:tcPr>
            <w:tcW w:w="1075"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总价（元）</w:t>
            </w:r>
          </w:p>
        </w:tc>
        <w:tc>
          <w:tcPr>
            <w:tcW w:w="7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57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1</w:t>
            </w:r>
          </w:p>
        </w:tc>
        <w:tc>
          <w:tcPr>
            <w:tcW w:w="7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93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2"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75"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7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7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val="en-US" w:eastAsia="zh-CN"/>
              </w:rPr>
              <w:t>2</w:t>
            </w:r>
          </w:p>
        </w:tc>
        <w:tc>
          <w:tcPr>
            <w:tcW w:w="7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93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2"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75"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7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57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7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93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cs="宋体"/>
                <w:b w:val="0"/>
                <w:bCs w:val="0"/>
                <w:color w:val="auto"/>
                <w:sz w:val="24"/>
                <w:szCs w:val="24"/>
                <w:highlight w:val="none"/>
                <w:u w:val="none"/>
                <w:vertAlign w:val="baseline"/>
                <w:lang w:val="en-US" w:eastAsia="zh-CN"/>
              </w:rPr>
              <w:t>......</w:t>
            </w:r>
          </w:p>
        </w:tc>
        <w:tc>
          <w:tcPr>
            <w:tcW w:w="812"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75"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7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370" w:hRule="atLeast"/>
          <w:jc w:val="center"/>
        </w:trPr>
        <w:tc>
          <w:tcPr>
            <w:tcW w:w="3217" w:type="dxa"/>
            <w:gridSpan w:val="3"/>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eastAsia="zh-CN"/>
              </w:rPr>
              <w:t>合计</w:t>
            </w:r>
          </w:p>
        </w:tc>
        <w:tc>
          <w:tcPr>
            <w:tcW w:w="81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75"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7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bl>
    <w:p>
      <w:pPr>
        <w:pStyle w:val="2"/>
        <w:ind w:left="0" w:leftChars="0" w:firstLine="0" w:firstLineChars="0"/>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2.22 心理辅导教室</w:t>
      </w:r>
    </w:p>
    <w:tbl>
      <w:tblPr>
        <w:tblStyle w:val="99"/>
        <w:tblW w:w="91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
        <w:gridCol w:w="713"/>
        <w:gridCol w:w="1933"/>
        <w:gridCol w:w="811"/>
        <w:gridCol w:w="1"/>
        <w:gridCol w:w="838"/>
        <w:gridCol w:w="1"/>
        <w:gridCol w:w="838"/>
        <w:gridCol w:w="1"/>
        <w:gridCol w:w="838"/>
        <w:gridCol w:w="1"/>
        <w:gridCol w:w="838"/>
        <w:gridCol w:w="1"/>
        <w:gridCol w:w="1074"/>
        <w:gridCol w:w="1"/>
        <w:gridCol w:w="738"/>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57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序号</w:t>
            </w:r>
          </w:p>
        </w:tc>
        <w:tc>
          <w:tcPr>
            <w:tcW w:w="7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lang w:eastAsia="zh-CN"/>
              </w:rPr>
              <w:t>名称</w:t>
            </w:r>
          </w:p>
        </w:tc>
        <w:tc>
          <w:tcPr>
            <w:tcW w:w="193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技术参数</w:t>
            </w:r>
          </w:p>
        </w:tc>
        <w:tc>
          <w:tcPr>
            <w:tcW w:w="812"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品牌</w:t>
            </w: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规格型号</w:t>
            </w:r>
          </w:p>
        </w:tc>
        <w:tc>
          <w:tcPr>
            <w:tcW w:w="839" w:type="dxa"/>
            <w:gridSpan w:val="2"/>
            <w:vAlign w:val="center"/>
          </w:tcPr>
          <w:p>
            <w:pPr>
              <w:spacing w:line="360" w:lineRule="auto"/>
              <w:jc w:val="both"/>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cs="宋体"/>
                <w:b w:val="0"/>
                <w:bCs w:val="0"/>
                <w:color w:val="auto"/>
                <w:sz w:val="24"/>
                <w:szCs w:val="24"/>
                <w:highlight w:val="none"/>
                <w:u w:val="none"/>
                <w:vertAlign w:val="baseline"/>
                <w:lang w:eastAsia="zh-CN"/>
              </w:rPr>
              <w:t>单位</w:t>
            </w: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cs="宋体"/>
                <w:b w:val="0"/>
                <w:bCs w:val="0"/>
                <w:color w:val="auto"/>
                <w:sz w:val="24"/>
                <w:szCs w:val="24"/>
                <w:highlight w:val="none"/>
                <w:u w:val="none"/>
                <w:vertAlign w:val="baseline"/>
                <w:lang w:val="en-US" w:eastAsia="zh-CN"/>
              </w:rPr>
              <w:t>数量</w:t>
            </w: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单价（元）</w:t>
            </w:r>
          </w:p>
        </w:tc>
        <w:tc>
          <w:tcPr>
            <w:tcW w:w="1075"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总价（元）</w:t>
            </w:r>
          </w:p>
        </w:tc>
        <w:tc>
          <w:tcPr>
            <w:tcW w:w="7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57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1</w:t>
            </w:r>
          </w:p>
        </w:tc>
        <w:tc>
          <w:tcPr>
            <w:tcW w:w="7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93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2"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75"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7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7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val="en-US" w:eastAsia="zh-CN"/>
              </w:rPr>
              <w:t>2</w:t>
            </w:r>
          </w:p>
        </w:tc>
        <w:tc>
          <w:tcPr>
            <w:tcW w:w="7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93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2"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75"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7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57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7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93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cs="宋体"/>
                <w:b w:val="0"/>
                <w:bCs w:val="0"/>
                <w:color w:val="auto"/>
                <w:sz w:val="24"/>
                <w:szCs w:val="24"/>
                <w:highlight w:val="none"/>
                <w:u w:val="none"/>
                <w:vertAlign w:val="baseline"/>
                <w:lang w:val="en-US" w:eastAsia="zh-CN"/>
              </w:rPr>
              <w:t>......</w:t>
            </w:r>
          </w:p>
        </w:tc>
        <w:tc>
          <w:tcPr>
            <w:tcW w:w="812"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75"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7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370" w:hRule="atLeast"/>
          <w:jc w:val="center"/>
        </w:trPr>
        <w:tc>
          <w:tcPr>
            <w:tcW w:w="3217" w:type="dxa"/>
            <w:gridSpan w:val="3"/>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eastAsia="zh-CN"/>
              </w:rPr>
              <w:t>合计</w:t>
            </w:r>
          </w:p>
        </w:tc>
        <w:tc>
          <w:tcPr>
            <w:tcW w:w="81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75"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7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bl>
    <w:p>
      <w:pPr>
        <w:pStyle w:val="2"/>
        <w:ind w:left="0" w:leftChars="0" w:firstLine="0" w:firstLineChars="0"/>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2.23精准教学、智慧课堂</w:t>
      </w:r>
    </w:p>
    <w:tbl>
      <w:tblPr>
        <w:tblStyle w:val="99"/>
        <w:tblW w:w="91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
        <w:gridCol w:w="713"/>
        <w:gridCol w:w="1933"/>
        <w:gridCol w:w="811"/>
        <w:gridCol w:w="1"/>
        <w:gridCol w:w="838"/>
        <w:gridCol w:w="1"/>
        <w:gridCol w:w="838"/>
        <w:gridCol w:w="1"/>
        <w:gridCol w:w="838"/>
        <w:gridCol w:w="1"/>
        <w:gridCol w:w="838"/>
        <w:gridCol w:w="1"/>
        <w:gridCol w:w="1074"/>
        <w:gridCol w:w="1"/>
        <w:gridCol w:w="738"/>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57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序号</w:t>
            </w:r>
          </w:p>
        </w:tc>
        <w:tc>
          <w:tcPr>
            <w:tcW w:w="7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lang w:eastAsia="zh-CN"/>
              </w:rPr>
              <w:t>名称</w:t>
            </w:r>
          </w:p>
        </w:tc>
        <w:tc>
          <w:tcPr>
            <w:tcW w:w="193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技术参数</w:t>
            </w:r>
          </w:p>
        </w:tc>
        <w:tc>
          <w:tcPr>
            <w:tcW w:w="812"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品牌</w:t>
            </w: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规格型号</w:t>
            </w:r>
          </w:p>
        </w:tc>
        <w:tc>
          <w:tcPr>
            <w:tcW w:w="839" w:type="dxa"/>
            <w:gridSpan w:val="2"/>
            <w:vAlign w:val="center"/>
          </w:tcPr>
          <w:p>
            <w:pPr>
              <w:spacing w:line="360" w:lineRule="auto"/>
              <w:jc w:val="both"/>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cs="宋体"/>
                <w:b w:val="0"/>
                <w:bCs w:val="0"/>
                <w:color w:val="auto"/>
                <w:sz w:val="24"/>
                <w:szCs w:val="24"/>
                <w:highlight w:val="none"/>
                <w:u w:val="none"/>
                <w:vertAlign w:val="baseline"/>
                <w:lang w:eastAsia="zh-CN"/>
              </w:rPr>
              <w:t>单位</w:t>
            </w: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cs="宋体"/>
                <w:b w:val="0"/>
                <w:bCs w:val="0"/>
                <w:color w:val="auto"/>
                <w:sz w:val="24"/>
                <w:szCs w:val="24"/>
                <w:highlight w:val="none"/>
                <w:u w:val="none"/>
                <w:vertAlign w:val="baseline"/>
                <w:lang w:val="en-US" w:eastAsia="zh-CN"/>
              </w:rPr>
              <w:t>数量</w:t>
            </w: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单价（元）</w:t>
            </w:r>
          </w:p>
        </w:tc>
        <w:tc>
          <w:tcPr>
            <w:tcW w:w="1075"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总价（元）</w:t>
            </w:r>
          </w:p>
        </w:tc>
        <w:tc>
          <w:tcPr>
            <w:tcW w:w="7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57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1</w:t>
            </w:r>
          </w:p>
        </w:tc>
        <w:tc>
          <w:tcPr>
            <w:tcW w:w="7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93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2"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75"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7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7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val="en-US" w:eastAsia="zh-CN"/>
              </w:rPr>
              <w:t>2</w:t>
            </w:r>
          </w:p>
        </w:tc>
        <w:tc>
          <w:tcPr>
            <w:tcW w:w="7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93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2"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75"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7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57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7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93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cs="宋体"/>
                <w:b w:val="0"/>
                <w:bCs w:val="0"/>
                <w:color w:val="auto"/>
                <w:sz w:val="24"/>
                <w:szCs w:val="24"/>
                <w:highlight w:val="none"/>
                <w:u w:val="none"/>
                <w:vertAlign w:val="baseline"/>
                <w:lang w:val="en-US" w:eastAsia="zh-CN"/>
              </w:rPr>
              <w:t>......</w:t>
            </w:r>
          </w:p>
        </w:tc>
        <w:tc>
          <w:tcPr>
            <w:tcW w:w="812"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75"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7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370" w:hRule="atLeast"/>
          <w:jc w:val="center"/>
        </w:trPr>
        <w:tc>
          <w:tcPr>
            <w:tcW w:w="3217" w:type="dxa"/>
            <w:gridSpan w:val="3"/>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eastAsia="zh-CN"/>
              </w:rPr>
              <w:t>合计</w:t>
            </w:r>
          </w:p>
        </w:tc>
        <w:tc>
          <w:tcPr>
            <w:tcW w:w="81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75"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73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bl>
    <w:p>
      <w:pPr>
        <w:adjustRightInd w:val="0"/>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sz w:val="21"/>
          <w:szCs w:val="21"/>
          <w:highlight w:val="none"/>
          <w:lang w:val="en-US" w:eastAsia="zh-CN"/>
        </w:rPr>
        <w:t>注：1、</w:t>
      </w:r>
      <w:r>
        <w:rPr>
          <w:rFonts w:hint="eastAsia" w:ascii="宋体" w:hAnsi="宋体" w:eastAsia="宋体" w:cs="宋体"/>
          <w:color w:val="auto"/>
          <w:kern w:val="0"/>
          <w:sz w:val="24"/>
          <w:highlight w:val="none"/>
          <w:lang w:val="zh-CN"/>
        </w:rPr>
        <w:t>此报价明细表不得随意</w:t>
      </w:r>
      <w:r>
        <w:rPr>
          <w:rFonts w:hint="eastAsia" w:ascii="宋体" w:hAnsi="宋体" w:cs="宋体"/>
          <w:color w:val="auto"/>
          <w:kern w:val="0"/>
          <w:sz w:val="24"/>
          <w:highlight w:val="none"/>
          <w:lang w:val="zh-CN"/>
        </w:rPr>
        <w:t>删减内容，</w:t>
      </w:r>
      <w:r>
        <w:rPr>
          <w:rFonts w:hint="eastAsia" w:ascii="宋体" w:hAnsi="宋体" w:cs="宋体"/>
          <w:color w:val="auto"/>
          <w:kern w:val="0"/>
          <w:sz w:val="24"/>
          <w:highlight w:val="none"/>
          <w:lang w:val="zh-CN" w:eastAsia="zh-CN"/>
        </w:rPr>
        <w:t>行数</w:t>
      </w:r>
      <w:bookmarkStart w:id="98" w:name="_GoBack"/>
      <w:bookmarkEnd w:id="98"/>
      <w:r>
        <w:rPr>
          <w:rFonts w:hint="eastAsia" w:ascii="宋体" w:hAnsi="宋体" w:cs="宋体"/>
          <w:color w:val="auto"/>
          <w:kern w:val="0"/>
          <w:sz w:val="24"/>
          <w:highlight w:val="none"/>
          <w:lang w:val="zh-CN"/>
        </w:rPr>
        <w:t>可自行增减</w:t>
      </w:r>
      <w:r>
        <w:rPr>
          <w:rFonts w:hint="eastAsia" w:ascii="宋体" w:hAnsi="宋体" w:eastAsia="宋体" w:cs="宋体"/>
          <w:color w:val="auto"/>
          <w:kern w:val="0"/>
          <w:sz w:val="24"/>
          <w:highlight w:val="none"/>
          <w:lang w:val="zh-CN"/>
        </w:rPr>
        <w:t>，请按规定要求填报。</w:t>
      </w:r>
    </w:p>
    <w:p>
      <w:pPr>
        <w:adjustRightInd w:val="0"/>
        <w:snapToGrid w:val="0"/>
        <w:spacing w:line="360" w:lineRule="auto"/>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kern w:val="0"/>
          <w:sz w:val="24"/>
          <w:highlight w:val="none"/>
          <w:lang w:val="en-US" w:eastAsia="zh-CN"/>
        </w:rPr>
        <w:t>2、以上报价应与“开标一览表”中的“投标报价”相一致</w:t>
      </w:r>
      <w:r>
        <w:rPr>
          <w:rFonts w:hint="eastAsia" w:ascii="宋体" w:hAnsi="宋体" w:cs="宋体"/>
          <w:color w:val="auto"/>
          <w:kern w:val="0"/>
          <w:sz w:val="24"/>
          <w:highlight w:val="none"/>
          <w:lang w:val="en-US" w:eastAsia="zh-CN"/>
        </w:rPr>
        <w:t>；</w:t>
      </w:r>
      <w:r>
        <w:rPr>
          <w:rFonts w:hint="eastAsia" w:ascii="宋体" w:hAnsi="宋体" w:cs="宋体"/>
          <w:b/>
          <w:bCs/>
          <w:color w:val="auto"/>
          <w:kern w:val="0"/>
          <w:sz w:val="24"/>
          <w:highlight w:val="none"/>
          <w:lang w:val="en-US" w:eastAsia="zh-CN"/>
        </w:rPr>
        <w:t>总价=单价*数量</w:t>
      </w:r>
      <w:r>
        <w:rPr>
          <w:rFonts w:hint="eastAsia" w:ascii="宋体" w:hAnsi="宋体" w:eastAsia="宋体" w:cs="宋体"/>
          <w:color w:val="auto"/>
          <w:kern w:val="0"/>
          <w:sz w:val="24"/>
          <w:highlight w:val="none"/>
          <w:lang w:val="en-US" w:eastAsia="zh-CN"/>
        </w:rPr>
        <w:t>。</w:t>
      </w:r>
    </w:p>
    <w:p>
      <w:pPr>
        <w:pStyle w:val="607"/>
        <w:widowControl/>
        <w:spacing w:line="360" w:lineRule="auto"/>
        <w:ind w:right="112" w:rightChars="40" w:firstLine="450"/>
        <w:jc w:val="left"/>
        <w:rPr>
          <w:rFonts w:hint="eastAsia" w:ascii="宋体" w:hAnsi="宋体" w:eastAsia="宋体" w:cs="宋体"/>
          <w:color w:val="auto"/>
          <w:kern w:val="0"/>
          <w:sz w:val="24"/>
          <w:szCs w:val="20"/>
          <w:highlight w:val="none"/>
          <w:lang w:val="zh-CN" w:eastAsia="zh-CN" w:bidi="ar-SA"/>
        </w:rPr>
      </w:pPr>
      <w:r>
        <w:rPr>
          <w:rFonts w:hint="eastAsia" w:ascii="宋体" w:hAnsi="宋体" w:eastAsia="宋体" w:cs="宋体"/>
          <w:color w:val="auto"/>
          <w:kern w:val="0"/>
          <w:sz w:val="24"/>
          <w:szCs w:val="20"/>
          <w:highlight w:val="none"/>
          <w:lang w:val="en-US" w:eastAsia="zh-CN" w:bidi="ar-SA"/>
        </w:rPr>
        <w:t xml:space="preserve">3、以上报价包括本次所采购的需求调研、软件设计、系统开发、系统集成、测试、实施部署、硬件（货物）、硬件（货物）运输、安装、调试、人工费（包括工人工资、奖金、社保、工伤费、教育培训费、暂住费及处理一切伤亡事故等费用）、工具材料费、培训、维护、税费等所有费用。         </w:t>
      </w:r>
    </w:p>
    <w:p>
      <w:pPr>
        <w:kinsoku/>
        <w:overflowPunct/>
        <w:bidi w:val="0"/>
        <w:adjustRightInd w:val="0"/>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法定/授权代表：</w:t>
      </w:r>
      <w:r>
        <w:rPr>
          <w:rFonts w:hint="eastAsia" w:ascii="宋体" w:hAnsi="宋体" w:eastAsia="宋体" w:cs="宋体"/>
          <w:color w:val="auto"/>
          <w:kern w:val="0"/>
          <w:sz w:val="24"/>
          <w:highlight w:val="none"/>
          <w:u w:val="single"/>
          <w:lang w:val="zh-CN"/>
        </w:rPr>
        <w:t xml:space="preserve">（签字或盖章） </w:t>
      </w:r>
    </w:p>
    <w:p>
      <w:pPr>
        <w:kinsoku/>
        <w:overflowPunct/>
        <w:bidi w:val="0"/>
        <w:adjustRightInd w:val="0"/>
        <w:snapToGrid w:val="0"/>
        <w:spacing w:line="360" w:lineRule="auto"/>
        <w:rPr>
          <w:rFonts w:hint="eastAsia" w:ascii="宋体" w:hAnsi="宋体" w:eastAsia="宋体" w:cs="宋体"/>
          <w:color w:val="auto"/>
          <w:kern w:val="0"/>
          <w:sz w:val="24"/>
          <w:highlight w:val="none"/>
          <w:u w:val="single"/>
          <w:lang w:val="zh-CN"/>
        </w:rPr>
      </w:pPr>
      <w:r>
        <w:rPr>
          <w:rFonts w:hint="eastAsia" w:ascii="宋体" w:hAnsi="宋体" w:eastAsia="宋体" w:cs="宋体"/>
          <w:color w:val="auto"/>
          <w:kern w:val="0"/>
          <w:sz w:val="24"/>
          <w:highlight w:val="none"/>
          <w:lang w:val="zh-CN"/>
        </w:rPr>
        <w:t>供应商：</w:t>
      </w:r>
      <w:r>
        <w:rPr>
          <w:rFonts w:hint="eastAsia" w:ascii="宋体" w:hAnsi="宋体" w:eastAsia="宋体" w:cs="宋体"/>
          <w:color w:val="auto"/>
          <w:kern w:val="0"/>
          <w:sz w:val="24"/>
          <w:highlight w:val="none"/>
          <w:u w:val="single"/>
          <w:lang w:val="zh-CN"/>
        </w:rPr>
        <w:t xml:space="preserve">（全称加盖公章）       </w:t>
      </w:r>
    </w:p>
    <w:p>
      <w:pPr>
        <w:kinsoku/>
        <w:overflowPunct/>
        <w:bidi w:val="0"/>
        <w:adjustRightInd w:val="0"/>
        <w:snapToGrid w:val="0"/>
        <w:spacing w:line="360" w:lineRule="auto"/>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年</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u w:val="single"/>
        </w:rPr>
        <w:tab/>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日</w:t>
      </w:r>
    </w:p>
    <w:p>
      <w:pPr>
        <w:pStyle w:val="6"/>
        <w:spacing w:line="360" w:lineRule="auto"/>
        <w:ind w:left="0" w:firstLine="0"/>
        <w:rPr>
          <w:rFonts w:hint="eastAsia" w:ascii="宋体" w:hAnsi="宋体" w:eastAsia="宋体" w:cs="宋体"/>
          <w:color w:val="auto"/>
          <w:sz w:val="28"/>
          <w:highlight w:val="none"/>
        </w:rPr>
      </w:pPr>
      <w:r>
        <w:rPr>
          <w:rFonts w:hint="eastAsia" w:ascii="宋体" w:hAnsi="宋体" w:eastAsia="宋体" w:cs="宋体"/>
          <w:color w:val="auto"/>
          <w:sz w:val="28"/>
          <w:highlight w:val="none"/>
        </w:rPr>
        <w:t>投标文件封面</w:t>
      </w:r>
      <w:bookmarkEnd w:id="81"/>
      <w:bookmarkEnd w:id="82"/>
    </w:p>
    <w:p>
      <w:pPr>
        <w:tabs>
          <w:tab w:val="left" w:pos="4500"/>
        </w:tabs>
        <w:autoSpaceDE w:val="0"/>
        <w:autoSpaceDN w:val="0"/>
        <w:adjustRightInd w:val="0"/>
        <w:snapToGrid w:val="0"/>
        <w:spacing w:line="360" w:lineRule="auto"/>
        <w:jc w:val="center"/>
        <w:textAlignment w:val="bottom"/>
        <w:rPr>
          <w:rFonts w:hint="eastAsia" w:ascii="宋体" w:hAnsi="宋体" w:eastAsia="宋体" w:cs="宋体"/>
          <w:b/>
          <w:color w:val="auto"/>
          <w:sz w:val="44"/>
          <w:szCs w:val="44"/>
          <w:highlight w:val="none"/>
        </w:rPr>
      </w:pPr>
    </w:p>
    <w:p>
      <w:pPr>
        <w:tabs>
          <w:tab w:val="left" w:pos="4500"/>
        </w:tabs>
        <w:autoSpaceDE w:val="0"/>
        <w:autoSpaceDN w:val="0"/>
        <w:adjustRightInd w:val="0"/>
        <w:snapToGrid w:val="0"/>
        <w:spacing w:line="360" w:lineRule="auto"/>
        <w:jc w:val="center"/>
        <w:textAlignment w:val="bottom"/>
        <w:rPr>
          <w:rFonts w:hint="eastAsia" w:ascii="宋体" w:hAnsi="宋体" w:eastAsia="宋体" w:cs="宋体"/>
          <w:b/>
          <w:color w:val="auto"/>
          <w:sz w:val="44"/>
          <w:szCs w:val="44"/>
          <w:highlight w:val="none"/>
        </w:rPr>
      </w:pPr>
    </w:p>
    <w:p>
      <w:pPr>
        <w:tabs>
          <w:tab w:val="left" w:pos="4500"/>
        </w:tabs>
        <w:autoSpaceDE w:val="0"/>
        <w:autoSpaceDN w:val="0"/>
        <w:adjustRightInd w:val="0"/>
        <w:snapToGrid w:val="0"/>
        <w:spacing w:line="360" w:lineRule="auto"/>
        <w:jc w:val="center"/>
        <w:textAlignment w:val="bottom"/>
        <w:rPr>
          <w:rFonts w:hint="eastAsia" w:ascii="宋体" w:hAnsi="宋体" w:eastAsia="宋体" w:cs="宋体"/>
          <w:b/>
          <w:color w:val="auto"/>
          <w:sz w:val="44"/>
          <w:szCs w:val="44"/>
          <w:highlight w:val="none"/>
          <w:lang w:eastAsia="zh-CN"/>
        </w:rPr>
      </w:pPr>
      <w:r>
        <w:rPr>
          <w:rFonts w:hint="eastAsia" w:ascii="宋体" w:hAnsi="宋体" w:cs="宋体"/>
          <w:b/>
          <w:color w:val="auto"/>
          <w:sz w:val="36"/>
          <w:szCs w:val="36"/>
          <w:highlight w:val="none"/>
          <w:lang w:eastAsia="zh-CN"/>
        </w:rPr>
        <w:t>柯城区航埠新城K12学校建设项目——航埠新城初级中学校园智能化采购项目（第二次）</w:t>
      </w:r>
    </w:p>
    <w:p>
      <w:pPr>
        <w:spacing w:beforeLines="10" w:line="360" w:lineRule="auto"/>
        <w:jc w:val="center"/>
        <w:rPr>
          <w:rFonts w:hint="eastAsia" w:ascii="宋体" w:hAnsi="宋体" w:eastAsia="宋体" w:cs="宋体"/>
          <w:b/>
          <w:color w:val="auto"/>
          <w:sz w:val="32"/>
          <w:highlight w:val="none"/>
          <w:lang w:eastAsia="zh-CN"/>
        </w:rPr>
      </w:pPr>
      <w:r>
        <w:rPr>
          <w:rFonts w:hint="eastAsia" w:ascii="宋体" w:hAnsi="宋体" w:eastAsia="宋体" w:cs="宋体"/>
          <w:b/>
          <w:color w:val="auto"/>
          <w:sz w:val="32"/>
          <w:highlight w:val="none"/>
        </w:rPr>
        <w:t>项目编号：</w:t>
      </w:r>
      <w:r>
        <w:rPr>
          <w:rFonts w:hint="eastAsia" w:ascii="宋体" w:hAnsi="宋体" w:cs="宋体"/>
          <w:b/>
          <w:color w:val="auto"/>
          <w:sz w:val="32"/>
          <w:highlight w:val="none"/>
          <w:lang w:eastAsia="zh-CN"/>
        </w:rPr>
        <w:t>ZZCG2023107-1</w:t>
      </w:r>
    </w:p>
    <w:p>
      <w:pPr>
        <w:pStyle w:val="2"/>
        <w:spacing w:line="360" w:lineRule="auto"/>
        <w:ind w:left="560"/>
        <w:rPr>
          <w:rFonts w:hint="eastAsia" w:ascii="宋体" w:hAnsi="宋体" w:eastAsia="宋体" w:cs="宋体"/>
          <w:color w:val="auto"/>
          <w:highlight w:val="none"/>
        </w:rPr>
      </w:pPr>
    </w:p>
    <w:bookmarkEnd w:id="9"/>
    <w:bookmarkEnd w:id="10"/>
    <w:bookmarkEnd w:id="11"/>
    <w:bookmarkEnd w:id="12"/>
    <w:bookmarkEnd w:id="80"/>
    <w:p>
      <w:pPr>
        <w:adjustRightInd w:val="0"/>
        <w:snapToGrid w:val="0"/>
        <w:spacing w:line="360" w:lineRule="auto"/>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投</w:t>
      </w:r>
    </w:p>
    <w:p>
      <w:pPr>
        <w:spacing w:line="360" w:lineRule="auto"/>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标</w:t>
      </w:r>
    </w:p>
    <w:p>
      <w:pPr>
        <w:spacing w:line="360" w:lineRule="auto"/>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文</w:t>
      </w:r>
    </w:p>
    <w:p>
      <w:pPr>
        <w:spacing w:line="360" w:lineRule="auto"/>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件</w:t>
      </w:r>
    </w:p>
    <w:p>
      <w:pPr>
        <w:spacing w:line="360" w:lineRule="auto"/>
        <w:ind w:firstLine="960" w:firstLineChars="300"/>
        <w:rPr>
          <w:rFonts w:hint="eastAsia" w:ascii="宋体" w:hAnsi="宋体" w:eastAsia="宋体" w:cs="宋体"/>
          <w:color w:val="auto"/>
          <w:sz w:val="32"/>
          <w:highlight w:val="none"/>
        </w:rPr>
      </w:pPr>
    </w:p>
    <w:p>
      <w:pPr>
        <w:spacing w:line="360" w:lineRule="auto"/>
        <w:ind w:firstLine="960" w:firstLineChars="300"/>
        <w:rPr>
          <w:rFonts w:hint="eastAsia" w:ascii="宋体" w:hAnsi="宋体" w:eastAsia="宋体" w:cs="宋体"/>
          <w:color w:val="auto"/>
          <w:sz w:val="32"/>
          <w:highlight w:val="none"/>
        </w:rPr>
      </w:pPr>
      <w:r>
        <w:rPr>
          <w:rFonts w:hint="eastAsia" w:ascii="宋体" w:hAnsi="宋体" w:eastAsia="宋体" w:cs="宋体"/>
          <w:color w:val="auto"/>
          <w:sz w:val="32"/>
          <w:highlight w:val="none"/>
        </w:rPr>
        <w:t>投标人：（加盖公章）</w:t>
      </w:r>
    </w:p>
    <w:p>
      <w:pPr>
        <w:spacing w:line="360" w:lineRule="auto"/>
        <w:ind w:firstLine="960" w:firstLineChars="300"/>
        <w:rPr>
          <w:rFonts w:hint="eastAsia" w:ascii="宋体" w:hAnsi="宋体" w:eastAsia="宋体" w:cs="宋体"/>
          <w:color w:val="auto"/>
          <w:sz w:val="32"/>
          <w:highlight w:val="none"/>
        </w:rPr>
      </w:pPr>
      <w:r>
        <w:rPr>
          <w:rFonts w:hint="eastAsia" w:ascii="宋体" w:hAnsi="宋体" w:eastAsia="宋体" w:cs="宋体"/>
          <w:color w:val="auto"/>
          <w:sz w:val="32"/>
          <w:highlight w:val="none"/>
        </w:rPr>
        <w:t>地址：</w:t>
      </w:r>
    </w:p>
    <w:p>
      <w:pPr>
        <w:spacing w:line="360" w:lineRule="auto"/>
        <w:ind w:firstLine="960" w:firstLineChars="300"/>
        <w:rPr>
          <w:rFonts w:hint="eastAsia" w:ascii="宋体" w:hAnsi="宋体" w:eastAsia="宋体" w:cs="宋体"/>
          <w:color w:val="auto"/>
          <w:sz w:val="32"/>
          <w:highlight w:val="none"/>
          <w:u w:val="single"/>
        </w:rPr>
      </w:pPr>
      <w:r>
        <w:rPr>
          <w:rFonts w:hint="eastAsia" w:ascii="宋体" w:hAnsi="宋体" w:eastAsia="宋体" w:cs="宋体"/>
          <w:color w:val="auto"/>
          <w:sz w:val="32"/>
          <w:highlight w:val="none"/>
        </w:rPr>
        <w:t>日期：</w:t>
      </w:r>
    </w:p>
    <w:p>
      <w:pPr>
        <w:pageBreakBefore/>
        <w:adjustRightInd w:val="0"/>
        <w:snapToGrid w:val="0"/>
        <w:spacing w:line="360" w:lineRule="auto"/>
        <w:jc w:val="center"/>
        <w:outlineLvl w:val="0"/>
        <w:rPr>
          <w:rFonts w:hint="eastAsia" w:ascii="宋体" w:hAnsi="宋体" w:eastAsia="宋体" w:cs="宋体"/>
          <w:b/>
          <w:color w:val="auto"/>
          <w:sz w:val="36"/>
          <w:highlight w:val="none"/>
        </w:rPr>
      </w:pPr>
      <w:bookmarkStart w:id="97" w:name="_Toc15453"/>
      <w:r>
        <w:rPr>
          <w:rFonts w:hint="eastAsia" w:ascii="宋体" w:hAnsi="宋体" w:eastAsia="宋体" w:cs="宋体"/>
          <w:b/>
          <w:color w:val="auto"/>
          <w:sz w:val="36"/>
          <w:highlight w:val="none"/>
        </w:rPr>
        <w:t>第六部分  评分办法</w:t>
      </w:r>
      <w:bookmarkEnd w:id="97"/>
    </w:p>
    <w:p>
      <w:pPr>
        <w:pStyle w:val="5"/>
        <w:topLinePunct/>
        <w:adjustRightInd w:val="0"/>
        <w:snapToGrid w:val="0"/>
        <w:spacing w:line="360" w:lineRule="auto"/>
        <w:jc w:val="left"/>
        <w:rPr>
          <w:rStyle w:val="605"/>
          <w:rFonts w:hint="eastAsia" w:ascii="宋体" w:hAnsi="宋体" w:eastAsia="宋体" w:cs="宋体"/>
          <w:color w:val="auto"/>
          <w:sz w:val="24"/>
          <w:szCs w:val="24"/>
          <w:highlight w:val="none"/>
          <w:lang w:eastAsia="zh-CN"/>
        </w:rPr>
      </w:pPr>
      <w:r>
        <w:rPr>
          <w:rStyle w:val="605"/>
          <w:rFonts w:hint="eastAsia" w:ascii="宋体" w:hAnsi="宋体" w:eastAsia="宋体" w:cs="宋体"/>
          <w:color w:val="auto"/>
          <w:sz w:val="24"/>
          <w:szCs w:val="24"/>
          <w:highlight w:val="none"/>
        </w:rPr>
        <w:t>一、总则</w:t>
      </w:r>
    </w:p>
    <w:p>
      <w:pPr>
        <w:pStyle w:val="5"/>
        <w:topLinePunct/>
        <w:adjustRightInd w:val="0"/>
        <w:snapToGrid w:val="0"/>
        <w:spacing w:line="360" w:lineRule="auto"/>
        <w:jc w:val="left"/>
        <w:rPr>
          <w:rStyle w:val="605"/>
          <w:rFonts w:hint="eastAsia" w:ascii="宋体" w:hAnsi="宋体" w:eastAsia="宋体" w:cs="宋体"/>
          <w:b w:val="0"/>
          <w:color w:val="auto"/>
          <w:kern w:val="18"/>
          <w:sz w:val="24"/>
          <w:szCs w:val="24"/>
          <w:highlight w:val="none"/>
        </w:rPr>
      </w:pPr>
      <w:r>
        <w:rPr>
          <w:rStyle w:val="605"/>
          <w:rFonts w:hint="eastAsia" w:ascii="宋体" w:hAnsi="宋体" w:eastAsia="宋体" w:cs="宋体"/>
          <w:b w:val="0"/>
          <w:color w:val="auto"/>
          <w:sz w:val="24"/>
          <w:szCs w:val="24"/>
          <w:highlight w:val="none"/>
          <w:lang w:val="zh-TW"/>
        </w:rPr>
        <w:t>1</w:t>
      </w:r>
      <w:r>
        <w:rPr>
          <w:rStyle w:val="605"/>
          <w:rFonts w:hint="eastAsia" w:ascii="宋体" w:hAnsi="宋体" w:eastAsia="宋体" w:cs="宋体"/>
          <w:b w:val="0"/>
          <w:color w:val="auto"/>
          <w:sz w:val="24"/>
          <w:szCs w:val="24"/>
          <w:highlight w:val="none"/>
        </w:rPr>
        <w:t>、根据《中华人民共和国政府采购法》、《政府采购货物和服务招标投标管理办法》（财政部</w:t>
      </w:r>
      <w:r>
        <w:rPr>
          <w:rStyle w:val="605"/>
          <w:rFonts w:hint="eastAsia" w:ascii="宋体" w:hAnsi="宋体" w:eastAsia="宋体" w:cs="宋体"/>
          <w:b w:val="0"/>
          <w:color w:val="auto"/>
          <w:kern w:val="18"/>
          <w:sz w:val="24"/>
          <w:szCs w:val="24"/>
          <w:highlight w:val="none"/>
        </w:rPr>
        <w:t>第87号令）及相关法规的规定，结合采购项目特点制定本评标办法。</w:t>
      </w:r>
    </w:p>
    <w:p>
      <w:pPr>
        <w:pStyle w:val="5"/>
        <w:topLinePunct/>
        <w:adjustRightInd w:val="0"/>
        <w:snapToGrid w:val="0"/>
        <w:spacing w:line="360" w:lineRule="auto"/>
        <w:jc w:val="left"/>
        <w:rPr>
          <w:rStyle w:val="605"/>
          <w:rFonts w:hint="eastAsia" w:ascii="宋体" w:hAnsi="宋体" w:eastAsia="宋体" w:cs="宋体"/>
          <w:b w:val="0"/>
          <w:color w:val="auto"/>
          <w:sz w:val="24"/>
          <w:szCs w:val="24"/>
          <w:highlight w:val="none"/>
        </w:rPr>
      </w:pPr>
      <w:r>
        <w:rPr>
          <w:rStyle w:val="605"/>
          <w:rFonts w:hint="eastAsia" w:ascii="宋体" w:hAnsi="宋体" w:eastAsia="宋体" w:cs="宋体"/>
          <w:b w:val="0"/>
          <w:color w:val="auto"/>
          <w:sz w:val="24"/>
          <w:szCs w:val="24"/>
          <w:highlight w:val="none"/>
          <w:lang w:val="zh-TW"/>
        </w:rPr>
        <w:t>2</w:t>
      </w:r>
      <w:r>
        <w:rPr>
          <w:rStyle w:val="605"/>
          <w:rFonts w:hint="eastAsia" w:ascii="宋体" w:hAnsi="宋体" w:eastAsia="宋体" w:cs="宋体"/>
          <w:b w:val="0"/>
          <w:color w:val="auto"/>
          <w:sz w:val="24"/>
          <w:szCs w:val="24"/>
          <w:highlight w:val="none"/>
        </w:rPr>
        <w:t>、评标工作由采购代理机构负责组织，具体评标事务由评标委员会负责。</w:t>
      </w:r>
    </w:p>
    <w:p>
      <w:pPr>
        <w:pStyle w:val="5"/>
        <w:topLinePunct/>
        <w:adjustRightInd w:val="0"/>
        <w:snapToGrid w:val="0"/>
        <w:spacing w:line="360" w:lineRule="auto"/>
        <w:ind w:firstLine="240" w:firstLineChars="100"/>
        <w:jc w:val="left"/>
        <w:rPr>
          <w:rStyle w:val="605"/>
          <w:rFonts w:hint="eastAsia" w:ascii="宋体" w:hAnsi="宋体" w:eastAsia="宋体" w:cs="宋体"/>
          <w:b w:val="0"/>
          <w:color w:val="auto"/>
          <w:sz w:val="24"/>
          <w:szCs w:val="24"/>
          <w:highlight w:val="none"/>
        </w:rPr>
      </w:pPr>
      <w:r>
        <w:rPr>
          <w:rStyle w:val="605"/>
          <w:rFonts w:hint="eastAsia" w:ascii="宋体" w:hAnsi="宋体" w:eastAsia="宋体" w:cs="宋体"/>
          <w:b w:val="0"/>
          <w:color w:val="auto"/>
          <w:sz w:val="24"/>
          <w:szCs w:val="24"/>
          <w:highlight w:val="none"/>
        </w:rPr>
        <w:t>（1）评标委员会由</w:t>
      </w:r>
      <w:r>
        <w:rPr>
          <w:rStyle w:val="605"/>
          <w:rFonts w:hint="eastAsia" w:ascii="宋体" w:hAnsi="宋体" w:eastAsia="宋体" w:cs="宋体"/>
          <w:b w:val="0"/>
          <w:color w:val="auto"/>
          <w:sz w:val="24"/>
          <w:szCs w:val="24"/>
          <w:highlight w:val="none"/>
          <w:lang w:val="en-US" w:eastAsia="zh-CN"/>
        </w:rPr>
        <w:t>7</w:t>
      </w:r>
      <w:r>
        <w:rPr>
          <w:rStyle w:val="605"/>
          <w:rFonts w:hint="eastAsia" w:ascii="宋体" w:hAnsi="宋体" w:eastAsia="宋体" w:cs="宋体"/>
          <w:b w:val="0"/>
          <w:color w:val="auto"/>
          <w:sz w:val="24"/>
          <w:szCs w:val="24"/>
          <w:highlight w:val="none"/>
        </w:rPr>
        <w:t>人组成（由采购人代表和评标专家组成，采购人代表人数不得超过总评委人数的三分之一）。</w:t>
      </w:r>
    </w:p>
    <w:p>
      <w:pPr>
        <w:pStyle w:val="5"/>
        <w:topLinePunct/>
        <w:adjustRightInd w:val="0"/>
        <w:snapToGrid w:val="0"/>
        <w:spacing w:line="360" w:lineRule="auto"/>
        <w:ind w:left="244" w:leftChars="87"/>
        <w:jc w:val="left"/>
        <w:rPr>
          <w:rStyle w:val="605"/>
          <w:rFonts w:hint="eastAsia" w:ascii="宋体" w:hAnsi="宋体" w:eastAsia="宋体" w:cs="宋体"/>
          <w:b w:val="0"/>
          <w:color w:val="auto"/>
          <w:sz w:val="24"/>
          <w:szCs w:val="24"/>
          <w:highlight w:val="none"/>
        </w:rPr>
      </w:pPr>
      <w:r>
        <w:rPr>
          <w:rStyle w:val="605"/>
          <w:rFonts w:hint="eastAsia" w:ascii="宋体" w:hAnsi="宋体" w:eastAsia="宋体" w:cs="宋体"/>
          <w:b w:val="0"/>
          <w:color w:val="auto"/>
          <w:sz w:val="24"/>
          <w:szCs w:val="24"/>
          <w:highlight w:val="none"/>
        </w:rPr>
        <w:t>（2）评标专家确定方式：按相关规定从专家库中抽取。</w:t>
      </w:r>
    </w:p>
    <w:p>
      <w:pPr>
        <w:pStyle w:val="5"/>
        <w:topLinePunct/>
        <w:adjustRightInd w:val="0"/>
        <w:snapToGrid w:val="0"/>
        <w:spacing w:line="360" w:lineRule="auto"/>
        <w:ind w:left="4" w:hanging="4"/>
        <w:jc w:val="left"/>
        <w:rPr>
          <w:rStyle w:val="605"/>
          <w:rFonts w:hint="eastAsia" w:ascii="宋体" w:hAnsi="宋体" w:eastAsia="宋体" w:cs="宋体"/>
          <w:b w:val="0"/>
          <w:color w:val="auto"/>
          <w:sz w:val="24"/>
          <w:szCs w:val="24"/>
          <w:highlight w:val="none"/>
          <w:lang w:eastAsia="zh-CN"/>
        </w:rPr>
      </w:pPr>
      <w:r>
        <w:rPr>
          <w:rStyle w:val="605"/>
          <w:rFonts w:hint="eastAsia" w:ascii="宋体" w:hAnsi="宋体" w:eastAsia="宋体" w:cs="宋体"/>
          <w:b w:val="0"/>
          <w:color w:val="auto"/>
          <w:sz w:val="24"/>
          <w:szCs w:val="24"/>
          <w:highlight w:val="none"/>
          <w:lang w:val="zh-TW"/>
        </w:rPr>
        <w:t>3</w:t>
      </w:r>
      <w:r>
        <w:rPr>
          <w:rStyle w:val="605"/>
          <w:rFonts w:hint="eastAsia" w:ascii="宋体" w:hAnsi="宋体" w:eastAsia="宋体" w:cs="宋体"/>
          <w:b w:val="0"/>
          <w:color w:val="auto"/>
          <w:sz w:val="24"/>
          <w:szCs w:val="24"/>
          <w:highlight w:val="none"/>
        </w:rPr>
        <w:t>、评标工作应遵循公平、公正、科学及择优的原则，并以相同的评标程序和标准对待所有的投标人。</w:t>
      </w:r>
    </w:p>
    <w:p>
      <w:pPr>
        <w:pStyle w:val="5"/>
        <w:topLinePunct/>
        <w:adjustRightInd w:val="0"/>
        <w:snapToGrid w:val="0"/>
        <w:spacing w:line="360" w:lineRule="auto"/>
        <w:ind w:left="4" w:hanging="4"/>
        <w:jc w:val="left"/>
        <w:rPr>
          <w:rStyle w:val="605"/>
          <w:rFonts w:hint="eastAsia" w:ascii="宋体" w:hAnsi="宋体" w:eastAsia="宋体" w:cs="宋体"/>
          <w:b w:val="0"/>
          <w:color w:val="auto"/>
          <w:sz w:val="24"/>
          <w:szCs w:val="24"/>
          <w:highlight w:val="none"/>
          <w:lang w:eastAsia="zh-CN"/>
        </w:rPr>
      </w:pPr>
      <w:r>
        <w:rPr>
          <w:rStyle w:val="605"/>
          <w:rFonts w:hint="eastAsia" w:ascii="宋体" w:hAnsi="宋体" w:eastAsia="宋体" w:cs="宋体"/>
          <w:b w:val="0"/>
          <w:color w:val="auto"/>
          <w:sz w:val="24"/>
          <w:szCs w:val="24"/>
          <w:highlight w:val="none"/>
          <w:lang w:val="zh-TW"/>
        </w:rPr>
        <w:t>4</w:t>
      </w:r>
      <w:r>
        <w:rPr>
          <w:rStyle w:val="605"/>
          <w:rFonts w:hint="eastAsia" w:ascii="宋体" w:hAnsi="宋体" w:eastAsia="宋体" w:cs="宋体"/>
          <w:b w:val="0"/>
          <w:color w:val="auto"/>
          <w:sz w:val="24"/>
          <w:szCs w:val="24"/>
          <w:highlight w:val="none"/>
        </w:rPr>
        <w:t>、评标委员会按照采购项目文件规定的评标方法和标准进行评标，并独立履行下列职责：</w:t>
      </w:r>
    </w:p>
    <w:p>
      <w:pPr>
        <w:pStyle w:val="5"/>
        <w:topLinePunct/>
        <w:adjustRightInd w:val="0"/>
        <w:snapToGrid w:val="0"/>
        <w:spacing w:line="360" w:lineRule="auto"/>
        <w:ind w:left="4" w:hanging="4"/>
        <w:jc w:val="left"/>
        <w:rPr>
          <w:rStyle w:val="605"/>
          <w:rFonts w:hint="eastAsia" w:ascii="宋体" w:hAnsi="宋体" w:eastAsia="宋体" w:cs="宋体"/>
          <w:b w:val="0"/>
          <w:color w:val="auto"/>
          <w:sz w:val="24"/>
          <w:szCs w:val="24"/>
          <w:highlight w:val="none"/>
          <w:lang w:eastAsia="zh-CN"/>
        </w:rPr>
      </w:pPr>
      <w:r>
        <w:rPr>
          <w:rStyle w:val="605"/>
          <w:rFonts w:hint="eastAsia" w:ascii="宋体" w:hAnsi="宋体" w:eastAsia="宋体" w:cs="宋体"/>
          <w:b w:val="0"/>
          <w:color w:val="auto"/>
          <w:sz w:val="24"/>
          <w:szCs w:val="24"/>
          <w:highlight w:val="none"/>
        </w:rPr>
        <w:t xml:space="preserve"> （</w:t>
      </w:r>
      <w:r>
        <w:rPr>
          <w:rStyle w:val="605"/>
          <w:rFonts w:hint="eastAsia" w:ascii="宋体" w:hAnsi="宋体" w:eastAsia="宋体" w:cs="宋体"/>
          <w:b w:val="0"/>
          <w:color w:val="auto"/>
          <w:sz w:val="24"/>
          <w:szCs w:val="24"/>
          <w:highlight w:val="none"/>
          <w:lang w:val="zh-TW"/>
        </w:rPr>
        <w:t>1</w:t>
      </w:r>
      <w:r>
        <w:rPr>
          <w:rStyle w:val="605"/>
          <w:rFonts w:hint="eastAsia" w:ascii="宋体" w:hAnsi="宋体" w:eastAsia="宋体" w:cs="宋体"/>
          <w:b w:val="0"/>
          <w:color w:val="auto"/>
          <w:sz w:val="24"/>
          <w:szCs w:val="24"/>
          <w:highlight w:val="none"/>
        </w:rPr>
        <w:t>）审查投标文件是否符合招标文件要求，并作出评价；</w:t>
      </w:r>
    </w:p>
    <w:p>
      <w:pPr>
        <w:pStyle w:val="5"/>
        <w:topLinePunct/>
        <w:adjustRightInd w:val="0"/>
        <w:snapToGrid w:val="0"/>
        <w:spacing w:line="360" w:lineRule="auto"/>
        <w:ind w:left="4" w:hanging="4"/>
        <w:jc w:val="left"/>
        <w:rPr>
          <w:rStyle w:val="605"/>
          <w:rFonts w:hint="eastAsia" w:ascii="宋体" w:hAnsi="宋体" w:eastAsia="宋体" w:cs="宋体"/>
          <w:b w:val="0"/>
          <w:color w:val="auto"/>
          <w:sz w:val="24"/>
          <w:szCs w:val="24"/>
          <w:highlight w:val="none"/>
          <w:lang w:eastAsia="zh-CN"/>
        </w:rPr>
      </w:pPr>
      <w:r>
        <w:rPr>
          <w:rStyle w:val="605"/>
          <w:rFonts w:hint="eastAsia" w:ascii="宋体" w:hAnsi="宋体" w:eastAsia="宋体" w:cs="宋体"/>
          <w:b w:val="0"/>
          <w:color w:val="auto"/>
          <w:sz w:val="24"/>
          <w:szCs w:val="24"/>
          <w:highlight w:val="none"/>
        </w:rPr>
        <w:t xml:space="preserve"> （</w:t>
      </w:r>
      <w:r>
        <w:rPr>
          <w:rStyle w:val="605"/>
          <w:rFonts w:hint="eastAsia" w:ascii="宋体" w:hAnsi="宋体" w:eastAsia="宋体" w:cs="宋体"/>
          <w:b w:val="0"/>
          <w:color w:val="auto"/>
          <w:sz w:val="24"/>
          <w:szCs w:val="24"/>
          <w:highlight w:val="none"/>
          <w:lang w:val="zh-TW"/>
        </w:rPr>
        <w:t>2</w:t>
      </w:r>
      <w:r>
        <w:rPr>
          <w:rStyle w:val="605"/>
          <w:rFonts w:hint="eastAsia" w:ascii="宋体" w:hAnsi="宋体" w:eastAsia="宋体" w:cs="宋体"/>
          <w:b w:val="0"/>
          <w:color w:val="auto"/>
          <w:sz w:val="24"/>
          <w:szCs w:val="24"/>
          <w:highlight w:val="none"/>
        </w:rPr>
        <w:t>）要求投标投标人对投标文件有关事项作出解释或者澄清；</w:t>
      </w:r>
    </w:p>
    <w:p>
      <w:pPr>
        <w:pStyle w:val="5"/>
        <w:topLinePunct/>
        <w:adjustRightInd w:val="0"/>
        <w:snapToGrid w:val="0"/>
        <w:spacing w:line="360" w:lineRule="auto"/>
        <w:ind w:left="4" w:hanging="4"/>
        <w:jc w:val="left"/>
        <w:rPr>
          <w:rStyle w:val="605"/>
          <w:rFonts w:hint="eastAsia" w:ascii="宋体" w:hAnsi="宋体" w:eastAsia="宋体" w:cs="宋体"/>
          <w:b w:val="0"/>
          <w:color w:val="auto"/>
          <w:sz w:val="24"/>
          <w:szCs w:val="24"/>
          <w:highlight w:val="none"/>
          <w:lang w:eastAsia="zh-CN"/>
        </w:rPr>
      </w:pPr>
      <w:r>
        <w:rPr>
          <w:rStyle w:val="605"/>
          <w:rFonts w:hint="eastAsia" w:ascii="宋体" w:hAnsi="宋体" w:eastAsia="宋体" w:cs="宋体"/>
          <w:b w:val="0"/>
          <w:color w:val="auto"/>
          <w:sz w:val="24"/>
          <w:szCs w:val="24"/>
          <w:highlight w:val="none"/>
        </w:rPr>
        <w:t xml:space="preserve"> （</w:t>
      </w:r>
      <w:r>
        <w:rPr>
          <w:rStyle w:val="605"/>
          <w:rFonts w:hint="eastAsia" w:ascii="宋体" w:hAnsi="宋体" w:eastAsia="宋体" w:cs="宋体"/>
          <w:b w:val="0"/>
          <w:color w:val="auto"/>
          <w:sz w:val="24"/>
          <w:szCs w:val="24"/>
          <w:highlight w:val="none"/>
          <w:lang w:val="zh-TW"/>
        </w:rPr>
        <w:t>3</w:t>
      </w:r>
      <w:r>
        <w:rPr>
          <w:rStyle w:val="605"/>
          <w:rFonts w:hint="eastAsia" w:ascii="宋体" w:hAnsi="宋体" w:eastAsia="宋体" w:cs="宋体"/>
          <w:b w:val="0"/>
          <w:color w:val="auto"/>
          <w:sz w:val="24"/>
          <w:szCs w:val="24"/>
          <w:highlight w:val="none"/>
        </w:rPr>
        <w:t>）推荐中标候选人名单；</w:t>
      </w:r>
    </w:p>
    <w:p>
      <w:pPr>
        <w:pStyle w:val="5"/>
        <w:topLinePunct/>
        <w:adjustRightInd w:val="0"/>
        <w:snapToGrid w:val="0"/>
        <w:spacing w:line="360" w:lineRule="auto"/>
        <w:ind w:left="4" w:hanging="4"/>
        <w:jc w:val="left"/>
        <w:rPr>
          <w:rStyle w:val="605"/>
          <w:rFonts w:hint="eastAsia" w:ascii="宋体" w:hAnsi="宋体" w:eastAsia="宋体" w:cs="宋体"/>
          <w:b w:val="0"/>
          <w:color w:val="auto"/>
          <w:sz w:val="24"/>
          <w:szCs w:val="24"/>
          <w:highlight w:val="none"/>
          <w:lang w:eastAsia="zh-CN"/>
        </w:rPr>
      </w:pPr>
      <w:r>
        <w:rPr>
          <w:rStyle w:val="605"/>
          <w:rFonts w:hint="eastAsia" w:ascii="宋体" w:hAnsi="宋体" w:eastAsia="宋体" w:cs="宋体"/>
          <w:b w:val="0"/>
          <w:color w:val="auto"/>
          <w:sz w:val="24"/>
          <w:szCs w:val="24"/>
          <w:highlight w:val="none"/>
        </w:rPr>
        <w:t xml:space="preserve"> （</w:t>
      </w:r>
      <w:r>
        <w:rPr>
          <w:rStyle w:val="605"/>
          <w:rFonts w:hint="eastAsia" w:ascii="宋体" w:hAnsi="宋体" w:eastAsia="宋体" w:cs="宋体"/>
          <w:b w:val="0"/>
          <w:color w:val="auto"/>
          <w:sz w:val="24"/>
          <w:szCs w:val="24"/>
          <w:highlight w:val="none"/>
          <w:lang w:val="zh-TW"/>
        </w:rPr>
        <w:t>4</w:t>
      </w:r>
      <w:r>
        <w:rPr>
          <w:rStyle w:val="605"/>
          <w:rFonts w:hint="eastAsia" w:ascii="宋体" w:hAnsi="宋体" w:eastAsia="宋体" w:cs="宋体"/>
          <w:b w:val="0"/>
          <w:color w:val="auto"/>
          <w:sz w:val="24"/>
          <w:szCs w:val="24"/>
          <w:highlight w:val="none"/>
        </w:rPr>
        <w:t>）向采购代理机构或者有关部门报告非法干预评标工作的行为。</w:t>
      </w:r>
    </w:p>
    <w:p>
      <w:pPr>
        <w:pStyle w:val="5"/>
        <w:topLinePunct/>
        <w:adjustRightInd w:val="0"/>
        <w:snapToGrid w:val="0"/>
        <w:spacing w:line="360" w:lineRule="auto"/>
        <w:ind w:left="4" w:hanging="4"/>
        <w:jc w:val="left"/>
        <w:rPr>
          <w:rStyle w:val="605"/>
          <w:rFonts w:hint="eastAsia" w:ascii="宋体" w:hAnsi="宋体" w:eastAsia="宋体" w:cs="宋体"/>
          <w:color w:val="auto"/>
          <w:sz w:val="24"/>
          <w:szCs w:val="24"/>
          <w:highlight w:val="none"/>
          <w:lang w:eastAsia="zh-CN"/>
        </w:rPr>
      </w:pPr>
      <w:r>
        <w:rPr>
          <w:rStyle w:val="605"/>
          <w:rFonts w:hint="eastAsia" w:ascii="宋体" w:hAnsi="宋体" w:eastAsia="宋体" w:cs="宋体"/>
          <w:color w:val="auto"/>
          <w:sz w:val="24"/>
          <w:szCs w:val="24"/>
          <w:highlight w:val="none"/>
        </w:rPr>
        <w:t>二、评标程序</w:t>
      </w:r>
    </w:p>
    <w:p>
      <w:pPr>
        <w:pStyle w:val="5"/>
        <w:topLinePunct/>
        <w:adjustRightInd w:val="0"/>
        <w:snapToGrid w:val="0"/>
        <w:spacing w:line="360" w:lineRule="auto"/>
        <w:ind w:left="4" w:hanging="4"/>
        <w:jc w:val="left"/>
        <w:rPr>
          <w:rStyle w:val="605"/>
          <w:rFonts w:hint="eastAsia" w:ascii="宋体" w:hAnsi="宋体" w:eastAsia="宋体" w:cs="宋体"/>
          <w:b w:val="0"/>
          <w:color w:val="auto"/>
          <w:sz w:val="24"/>
          <w:szCs w:val="24"/>
          <w:highlight w:val="none"/>
          <w:lang w:eastAsia="zh-CN"/>
        </w:rPr>
      </w:pPr>
      <w:r>
        <w:rPr>
          <w:rStyle w:val="605"/>
          <w:rFonts w:hint="eastAsia" w:ascii="宋体" w:hAnsi="宋体" w:eastAsia="宋体" w:cs="宋体"/>
          <w:b w:val="0"/>
          <w:color w:val="auto"/>
          <w:sz w:val="24"/>
          <w:szCs w:val="24"/>
          <w:highlight w:val="none"/>
        </w:rPr>
        <w:t>根据《政府采购货物和服务招标投标管理办法》的规定，评标按照下列工作程序进行：</w:t>
      </w:r>
    </w:p>
    <w:p>
      <w:pPr>
        <w:pStyle w:val="5"/>
        <w:topLinePunct/>
        <w:adjustRightInd w:val="0"/>
        <w:snapToGrid w:val="0"/>
        <w:spacing w:line="360" w:lineRule="auto"/>
        <w:ind w:left="4" w:hanging="4"/>
        <w:jc w:val="left"/>
        <w:rPr>
          <w:rStyle w:val="605"/>
          <w:rFonts w:hint="eastAsia" w:ascii="宋体" w:hAnsi="宋体" w:eastAsia="宋体" w:cs="宋体"/>
          <w:b w:val="0"/>
          <w:color w:val="auto"/>
          <w:sz w:val="24"/>
          <w:szCs w:val="24"/>
          <w:highlight w:val="none"/>
          <w:lang w:val="zh-TW" w:eastAsia="zh-CN"/>
        </w:rPr>
      </w:pPr>
      <w:r>
        <w:rPr>
          <w:rStyle w:val="605"/>
          <w:rFonts w:hint="eastAsia" w:ascii="宋体" w:hAnsi="宋体" w:eastAsia="宋体" w:cs="宋体"/>
          <w:b w:val="0"/>
          <w:color w:val="auto"/>
          <w:sz w:val="24"/>
          <w:szCs w:val="24"/>
          <w:highlight w:val="none"/>
          <w:lang w:val="zh-TW"/>
        </w:rPr>
        <w:t>1、投标文件商务技术部分评审；</w:t>
      </w:r>
    </w:p>
    <w:p>
      <w:pPr>
        <w:pStyle w:val="5"/>
        <w:topLinePunct/>
        <w:adjustRightInd w:val="0"/>
        <w:snapToGrid w:val="0"/>
        <w:spacing w:line="360" w:lineRule="auto"/>
        <w:ind w:left="4" w:hanging="4"/>
        <w:jc w:val="left"/>
        <w:rPr>
          <w:rStyle w:val="605"/>
          <w:rFonts w:hint="eastAsia" w:ascii="宋体" w:hAnsi="宋体" w:eastAsia="宋体" w:cs="宋体"/>
          <w:b w:val="0"/>
          <w:color w:val="auto"/>
          <w:sz w:val="24"/>
          <w:szCs w:val="24"/>
          <w:highlight w:val="none"/>
          <w:lang w:val="zh-TW" w:eastAsia="zh-CN"/>
        </w:rPr>
      </w:pPr>
      <w:r>
        <w:rPr>
          <w:rStyle w:val="605"/>
          <w:rFonts w:hint="eastAsia" w:ascii="宋体" w:hAnsi="宋体" w:eastAsia="宋体" w:cs="宋体"/>
          <w:b w:val="0"/>
          <w:color w:val="auto"/>
          <w:sz w:val="24"/>
          <w:szCs w:val="24"/>
          <w:highlight w:val="none"/>
          <w:lang w:val="zh-TW"/>
        </w:rPr>
        <w:t>2、投标文件报价部分审查；</w:t>
      </w:r>
    </w:p>
    <w:p>
      <w:pPr>
        <w:pStyle w:val="5"/>
        <w:topLinePunct/>
        <w:adjustRightInd w:val="0"/>
        <w:snapToGrid w:val="0"/>
        <w:spacing w:line="360" w:lineRule="auto"/>
        <w:ind w:left="4" w:hanging="4"/>
        <w:jc w:val="left"/>
        <w:rPr>
          <w:rStyle w:val="605"/>
          <w:rFonts w:hint="eastAsia" w:ascii="宋体" w:hAnsi="宋体" w:eastAsia="宋体" w:cs="宋体"/>
          <w:b w:val="0"/>
          <w:color w:val="auto"/>
          <w:sz w:val="24"/>
          <w:szCs w:val="24"/>
          <w:highlight w:val="none"/>
          <w:lang w:val="zh-TW" w:eastAsia="zh-CN"/>
        </w:rPr>
      </w:pPr>
      <w:r>
        <w:rPr>
          <w:rStyle w:val="605"/>
          <w:rFonts w:hint="eastAsia" w:ascii="宋体" w:hAnsi="宋体" w:eastAsia="宋体" w:cs="宋体"/>
          <w:b w:val="0"/>
          <w:color w:val="auto"/>
          <w:sz w:val="24"/>
          <w:szCs w:val="24"/>
          <w:highlight w:val="none"/>
          <w:lang w:val="zh-TW"/>
        </w:rPr>
        <w:t>3、推荐中标候选人名单，编写评标报告。</w:t>
      </w:r>
    </w:p>
    <w:p>
      <w:pPr>
        <w:pStyle w:val="5"/>
        <w:topLinePunct/>
        <w:adjustRightInd w:val="0"/>
        <w:snapToGrid w:val="0"/>
        <w:spacing w:line="360" w:lineRule="auto"/>
        <w:ind w:left="4" w:hanging="4"/>
        <w:jc w:val="left"/>
        <w:rPr>
          <w:rStyle w:val="605"/>
          <w:rFonts w:hint="eastAsia" w:ascii="宋体" w:hAnsi="宋体" w:eastAsia="宋体" w:cs="宋体"/>
          <w:color w:val="auto"/>
          <w:sz w:val="24"/>
          <w:szCs w:val="24"/>
          <w:highlight w:val="none"/>
          <w:lang w:eastAsia="zh-CN"/>
        </w:rPr>
      </w:pPr>
      <w:r>
        <w:rPr>
          <w:rStyle w:val="605"/>
          <w:rFonts w:hint="eastAsia" w:ascii="宋体" w:hAnsi="宋体" w:eastAsia="宋体" w:cs="宋体"/>
          <w:color w:val="auto"/>
          <w:sz w:val="24"/>
          <w:szCs w:val="24"/>
          <w:highlight w:val="none"/>
        </w:rPr>
        <w:t>三、定标及定标程序</w:t>
      </w:r>
    </w:p>
    <w:p>
      <w:pPr>
        <w:pStyle w:val="5"/>
        <w:topLinePunct/>
        <w:adjustRightInd w:val="0"/>
        <w:snapToGrid w:val="0"/>
        <w:spacing w:line="360" w:lineRule="auto"/>
        <w:ind w:left="4" w:hanging="4"/>
        <w:jc w:val="left"/>
        <w:rPr>
          <w:rStyle w:val="605"/>
          <w:rFonts w:hint="eastAsia" w:ascii="宋体" w:hAnsi="宋体" w:eastAsia="宋体" w:cs="宋体"/>
          <w:b w:val="0"/>
          <w:color w:val="auto"/>
          <w:sz w:val="24"/>
          <w:szCs w:val="24"/>
          <w:highlight w:val="none"/>
          <w:lang w:val="zh-TW" w:eastAsia="zh-CN"/>
        </w:rPr>
      </w:pPr>
      <w:r>
        <w:rPr>
          <w:rStyle w:val="605"/>
          <w:rFonts w:hint="eastAsia" w:ascii="宋体" w:hAnsi="宋体" w:eastAsia="宋体" w:cs="宋体"/>
          <w:b w:val="0"/>
          <w:color w:val="auto"/>
          <w:sz w:val="24"/>
          <w:szCs w:val="24"/>
          <w:highlight w:val="none"/>
          <w:lang w:val="zh-TW"/>
        </w:rPr>
        <w:t>1、定标原则</w:t>
      </w:r>
    </w:p>
    <w:p>
      <w:pPr>
        <w:pStyle w:val="5"/>
        <w:topLinePunct/>
        <w:adjustRightInd w:val="0"/>
        <w:snapToGrid w:val="0"/>
        <w:spacing w:line="360" w:lineRule="auto"/>
        <w:ind w:left="4" w:hanging="4"/>
        <w:jc w:val="left"/>
        <w:rPr>
          <w:rStyle w:val="605"/>
          <w:rFonts w:hint="eastAsia" w:ascii="宋体" w:hAnsi="宋体" w:eastAsia="宋体" w:cs="宋体"/>
          <w:b w:val="0"/>
          <w:color w:val="auto"/>
          <w:sz w:val="24"/>
          <w:szCs w:val="24"/>
          <w:highlight w:val="none"/>
          <w:lang w:val="zh-TW" w:eastAsia="zh-CN"/>
        </w:rPr>
      </w:pPr>
      <w:r>
        <w:rPr>
          <w:rStyle w:val="605"/>
          <w:rFonts w:hint="eastAsia" w:ascii="宋体" w:hAnsi="宋体" w:eastAsia="宋体" w:cs="宋体"/>
          <w:b w:val="0"/>
          <w:color w:val="auto"/>
          <w:sz w:val="24"/>
          <w:szCs w:val="24"/>
          <w:highlight w:val="none"/>
          <w:lang w:val="zh-TW"/>
        </w:rPr>
        <w:t>根据评委会推荐的中标候选人名单，按顺序确定中标人。</w:t>
      </w:r>
    </w:p>
    <w:p>
      <w:pPr>
        <w:pStyle w:val="5"/>
        <w:topLinePunct/>
        <w:adjustRightInd w:val="0"/>
        <w:snapToGrid w:val="0"/>
        <w:spacing w:line="360" w:lineRule="auto"/>
        <w:ind w:left="4" w:hanging="4"/>
        <w:jc w:val="left"/>
        <w:rPr>
          <w:rStyle w:val="605"/>
          <w:rFonts w:hint="eastAsia" w:ascii="宋体" w:hAnsi="宋体" w:eastAsia="宋体" w:cs="宋体"/>
          <w:b w:val="0"/>
          <w:color w:val="auto"/>
          <w:sz w:val="24"/>
          <w:szCs w:val="24"/>
          <w:highlight w:val="none"/>
        </w:rPr>
      </w:pPr>
      <w:r>
        <w:rPr>
          <w:rStyle w:val="605"/>
          <w:rFonts w:hint="eastAsia" w:ascii="宋体" w:hAnsi="宋体" w:eastAsia="宋体" w:cs="宋体"/>
          <w:b w:val="0"/>
          <w:color w:val="auto"/>
          <w:sz w:val="24"/>
          <w:szCs w:val="24"/>
          <w:highlight w:val="none"/>
          <w:lang w:val="zh-TW"/>
        </w:rPr>
        <w:t>2、定标程序</w:t>
      </w:r>
    </w:p>
    <w:p>
      <w:pPr>
        <w:pStyle w:val="56"/>
        <w:spacing w:line="360" w:lineRule="auto"/>
        <w:ind w:firstLine="240" w:firstLineChars="100"/>
        <w:jc w:val="left"/>
        <w:rPr>
          <w:rStyle w:val="605"/>
          <w:rFonts w:hint="eastAsia" w:ascii="宋体" w:hAnsi="宋体" w:eastAsia="宋体" w:cs="宋体"/>
          <w:color w:val="auto"/>
          <w:sz w:val="24"/>
          <w:szCs w:val="24"/>
          <w:highlight w:val="none"/>
        </w:rPr>
      </w:pPr>
      <w:r>
        <w:rPr>
          <w:rStyle w:val="605"/>
          <w:rFonts w:hint="eastAsia" w:ascii="宋体" w:hAnsi="宋体" w:eastAsia="宋体" w:cs="宋体"/>
          <w:color w:val="auto"/>
          <w:sz w:val="24"/>
          <w:szCs w:val="24"/>
          <w:highlight w:val="none"/>
        </w:rPr>
        <w:t>（</w:t>
      </w:r>
      <w:r>
        <w:rPr>
          <w:rStyle w:val="605"/>
          <w:rFonts w:hint="eastAsia" w:ascii="宋体" w:hAnsi="宋体" w:eastAsia="宋体" w:cs="宋体"/>
          <w:color w:val="auto"/>
          <w:sz w:val="24"/>
          <w:szCs w:val="24"/>
          <w:highlight w:val="none"/>
          <w:lang w:val="zh-TW"/>
        </w:rPr>
        <w:t>1</w:t>
      </w:r>
      <w:r>
        <w:rPr>
          <w:rStyle w:val="605"/>
          <w:rFonts w:hint="eastAsia" w:ascii="宋体" w:hAnsi="宋体" w:eastAsia="宋体" w:cs="宋体"/>
          <w:color w:val="auto"/>
          <w:sz w:val="24"/>
          <w:szCs w:val="24"/>
          <w:highlight w:val="none"/>
        </w:rPr>
        <w:t>）评委会将评标情况写出书面评审报告，推荐中标候选人，并按照综合评分的高低排列顺序，确定中标人；如投标人综合得分相同的，报价低者为中标人。综合得分且报价相同的，商务部分指标优者为中标人；如综合得分、投标报价和商务技术中的商务部分得分均相同的，则抽签选取中标候选人。</w:t>
      </w:r>
    </w:p>
    <w:p>
      <w:pPr>
        <w:pStyle w:val="56"/>
        <w:spacing w:line="360" w:lineRule="auto"/>
        <w:ind w:firstLine="240" w:firstLineChars="100"/>
        <w:jc w:val="left"/>
        <w:rPr>
          <w:rStyle w:val="605"/>
          <w:rFonts w:hint="eastAsia" w:ascii="宋体" w:hAnsi="宋体" w:eastAsia="宋体" w:cs="宋体"/>
          <w:color w:val="auto"/>
          <w:sz w:val="24"/>
          <w:szCs w:val="24"/>
          <w:highlight w:val="none"/>
          <w:lang w:eastAsia="zh-CN"/>
        </w:rPr>
      </w:pPr>
      <w:r>
        <w:rPr>
          <w:rStyle w:val="605"/>
          <w:rFonts w:hint="eastAsia" w:ascii="宋体" w:hAnsi="宋体" w:eastAsia="宋体" w:cs="宋体"/>
          <w:color w:val="auto"/>
          <w:sz w:val="24"/>
          <w:szCs w:val="24"/>
          <w:highlight w:val="none"/>
          <w:lang w:eastAsia="zh-TW"/>
        </w:rPr>
        <w:t>（</w:t>
      </w:r>
      <w:r>
        <w:rPr>
          <w:rStyle w:val="605"/>
          <w:rFonts w:hint="eastAsia" w:ascii="宋体" w:hAnsi="宋体" w:eastAsia="宋体" w:cs="宋体"/>
          <w:color w:val="auto"/>
          <w:sz w:val="24"/>
          <w:szCs w:val="24"/>
          <w:highlight w:val="none"/>
          <w:lang w:val="zh-TW" w:eastAsia="zh-TW"/>
        </w:rPr>
        <w:t>2</w:t>
      </w:r>
      <w:r>
        <w:rPr>
          <w:rStyle w:val="605"/>
          <w:rFonts w:hint="eastAsia" w:ascii="宋体" w:hAnsi="宋体" w:eastAsia="宋体" w:cs="宋体"/>
          <w:color w:val="auto"/>
          <w:sz w:val="24"/>
          <w:szCs w:val="24"/>
          <w:highlight w:val="none"/>
          <w:lang w:eastAsia="zh-TW"/>
        </w:rPr>
        <w:t>）</w:t>
      </w:r>
      <w:r>
        <w:rPr>
          <w:rStyle w:val="605"/>
          <w:rFonts w:hint="eastAsia" w:ascii="宋体" w:hAnsi="宋体" w:eastAsia="宋体" w:cs="宋体"/>
          <w:color w:val="auto"/>
          <w:sz w:val="24"/>
          <w:szCs w:val="24"/>
          <w:highlight w:val="none"/>
        </w:rPr>
        <w:t>评定结果经采购人确定后，采购人在中标人确定之日起2个工作日内将以书面形式发出《中标通知书》，并在浙江政府采购网公告中标结果。</w:t>
      </w:r>
    </w:p>
    <w:p>
      <w:pPr>
        <w:pStyle w:val="56"/>
        <w:spacing w:line="360" w:lineRule="auto"/>
        <w:ind w:firstLine="240" w:firstLineChars="100"/>
        <w:jc w:val="left"/>
        <w:rPr>
          <w:rStyle w:val="605"/>
          <w:rFonts w:hint="eastAsia" w:ascii="宋体" w:hAnsi="宋体" w:eastAsia="宋体" w:cs="宋体"/>
          <w:color w:val="auto"/>
          <w:sz w:val="24"/>
          <w:szCs w:val="24"/>
          <w:highlight w:val="none"/>
        </w:rPr>
      </w:pPr>
      <w:r>
        <w:rPr>
          <w:rStyle w:val="605"/>
          <w:rFonts w:hint="eastAsia" w:ascii="宋体" w:hAnsi="宋体" w:eastAsia="宋体" w:cs="宋体"/>
          <w:color w:val="auto"/>
          <w:sz w:val="24"/>
          <w:szCs w:val="24"/>
          <w:highlight w:val="none"/>
        </w:rPr>
        <w:t xml:space="preserve"> （</w:t>
      </w:r>
      <w:r>
        <w:rPr>
          <w:rStyle w:val="605"/>
          <w:rFonts w:hint="eastAsia" w:ascii="宋体" w:hAnsi="宋体" w:eastAsia="宋体" w:cs="宋体"/>
          <w:color w:val="auto"/>
          <w:sz w:val="24"/>
          <w:szCs w:val="24"/>
          <w:highlight w:val="none"/>
          <w:lang w:val="zh-TW"/>
        </w:rPr>
        <w:t>3</w:t>
      </w:r>
      <w:r>
        <w:rPr>
          <w:rStyle w:val="605"/>
          <w:rFonts w:hint="eastAsia" w:ascii="宋体" w:hAnsi="宋体" w:eastAsia="宋体" w:cs="宋体"/>
          <w:color w:val="auto"/>
          <w:sz w:val="24"/>
          <w:szCs w:val="24"/>
          <w:highlight w:val="none"/>
        </w:rPr>
        <w:t>）采购代理机构不解释中标或落标原因，不退回投标文件和其他投标资料。</w:t>
      </w:r>
    </w:p>
    <w:p>
      <w:pPr>
        <w:pStyle w:val="56"/>
        <w:spacing w:line="360" w:lineRule="auto"/>
        <w:ind w:firstLine="0" w:firstLineChars="0"/>
        <w:jc w:val="left"/>
        <w:rPr>
          <w:rStyle w:val="605"/>
          <w:rFonts w:hint="eastAsia" w:ascii="宋体" w:hAnsi="宋体" w:eastAsia="宋体" w:cs="宋体"/>
          <w:b/>
          <w:color w:val="auto"/>
          <w:sz w:val="24"/>
          <w:szCs w:val="24"/>
          <w:highlight w:val="none"/>
        </w:rPr>
      </w:pPr>
      <w:r>
        <w:rPr>
          <w:rStyle w:val="605"/>
          <w:rFonts w:hint="eastAsia" w:ascii="宋体" w:hAnsi="宋体" w:eastAsia="宋体" w:cs="宋体"/>
          <w:b/>
          <w:color w:val="auto"/>
          <w:sz w:val="24"/>
          <w:szCs w:val="24"/>
          <w:highlight w:val="none"/>
        </w:rPr>
        <w:t>四、评标方法</w:t>
      </w:r>
    </w:p>
    <w:p>
      <w:pPr>
        <w:pStyle w:val="56"/>
        <w:spacing w:line="360" w:lineRule="auto"/>
        <w:ind w:firstLine="240" w:firstLineChars="100"/>
        <w:jc w:val="left"/>
        <w:rPr>
          <w:rStyle w:val="605"/>
          <w:rFonts w:hint="eastAsia" w:ascii="宋体" w:hAnsi="宋体" w:eastAsia="宋体" w:cs="宋体"/>
          <w:color w:val="auto"/>
          <w:sz w:val="24"/>
          <w:szCs w:val="24"/>
          <w:highlight w:val="none"/>
          <w:lang w:val="zh-TW" w:eastAsia="zh-CN"/>
        </w:rPr>
      </w:pPr>
      <w:r>
        <w:rPr>
          <w:rStyle w:val="605"/>
          <w:rFonts w:hint="eastAsia" w:ascii="宋体" w:hAnsi="宋体" w:eastAsia="宋体" w:cs="宋体"/>
          <w:color w:val="auto"/>
          <w:sz w:val="24"/>
          <w:szCs w:val="24"/>
          <w:highlight w:val="none"/>
          <w:lang w:val="zh-TW"/>
        </w:rPr>
        <w:t>1</w:t>
      </w:r>
      <w:r>
        <w:rPr>
          <w:rStyle w:val="605"/>
          <w:rFonts w:hint="eastAsia" w:ascii="宋体" w:hAnsi="宋体" w:eastAsia="宋体" w:cs="宋体"/>
          <w:color w:val="auto"/>
          <w:sz w:val="24"/>
          <w:szCs w:val="24"/>
          <w:highlight w:val="none"/>
        </w:rPr>
        <w:t>、本次评标采用综合评分法</w:t>
      </w:r>
      <w:r>
        <w:rPr>
          <w:rStyle w:val="605"/>
          <w:rFonts w:hint="eastAsia" w:ascii="宋体" w:hAnsi="宋体" w:eastAsia="宋体" w:cs="宋体"/>
          <w:color w:val="auto"/>
          <w:sz w:val="24"/>
          <w:szCs w:val="24"/>
          <w:highlight w:val="none"/>
          <w:lang w:eastAsia="zh-CN"/>
        </w:rPr>
        <w:t>，即在</w:t>
      </w:r>
      <w:r>
        <w:rPr>
          <w:rStyle w:val="605"/>
          <w:rFonts w:hint="eastAsia" w:ascii="宋体" w:hAnsi="宋体" w:eastAsia="宋体" w:cs="宋体"/>
          <w:color w:val="auto"/>
          <w:sz w:val="24"/>
          <w:szCs w:val="24"/>
          <w:highlight w:val="none"/>
          <w:lang w:val="en-US" w:eastAsia="zh-CN"/>
        </w:rPr>
        <w:t>投标</w:t>
      </w:r>
      <w:r>
        <w:rPr>
          <w:rStyle w:val="605"/>
          <w:rFonts w:hint="eastAsia" w:ascii="宋体" w:hAnsi="宋体" w:eastAsia="宋体" w:cs="宋体"/>
          <w:color w:val="auto"/>
          <w:sz w:val="24"/>
          <w:szCs w:val="24"/>
          <w:highlight w:val="none"/>
          <w:lang w:eastAsia="zh-CN"/>
        </w:rPr>
        <w:t>文件满足</w:t>
      </w:r>
      <w:r>
        <w:rPr>
          <w:rStyle w:val="605"/>
          <w:rFonts w:hint="eastAsia" w:ascii="宋体" w:hAnsi="宋体" w:eastAsia="宋体" w:cs="宋体"/>
          <w:color w:val="auto"/>
          <w:sz w:val="24"/>
          <w:szCs w:val="24"/>
          <w:highlight w:val="none"/>
          <w:lang w:val="en-US" w:eastAsia="zh-CN"/>
        </w:rPr>
        <w:t>招标</w:t>
      </w:r>
      <w:r>
        <w:rPr>
          <w:rStyle w:val="605"/>
          <w:rFonts w:hint="eastAsia" w:ascii="宋体" w:hAnsi="宋体" w:eastAsia="宋体" w:cs="宋体"/>
          <w:color w:val="auto"/>
          <w:sz w:val="24"/>
          <w:szCs w:val="24"/>
          <w:highlight w:val="none"/>
          <w:lang w:eastAsia="zh-CN"/>
        </w:rPr>
        <w:t>文件全部实质性要求的前提下，按照评审因素的量化指标评审得分从高到低的顺序推荐供应商为第一、第二、……</w:t>
      </w:r>
      <w:r>
        <w:rPr>
          <w:rStyle w:val="605"/>
          <w:rFonts w:hint="eastAsia" w:ascii="宋体" w:hAnsi="宋体" w:eastAsia="宋体" w:cs="宋体"/>
          <w:color w:val="auto"/>
          <w:sz w:val="24"/>
          <w:szCs w:val="24"/>
          <w:highlight w:val="none"/>
          <w:lang w:val="en-US" w:eastAsia="zh-CN"/>
        </w:rPr>
        <w:t>中标</w:t>
      </w:r>
      <w:r>
        <w:rPr>
          <w:rStyle w:val="605"/>
          <w:rFonts w:hint="eastAsia" w:ascii="宋体" w:hAnsi="宋体" w:eastAsia="宋体" w:cs="宋体"/>
          <w:color w:val="auto"/>
          <w:sz w:val="24"/>
          <w:szCs w:val="24"/>
          <w:highlight w:val="none"/>
          <w:lang w:eastAsia="zh-CN"/>
        </w:rPr>
        <w:t>候选人的</w:t>
      </w:r>
      <w:r>
        <w:rPr>
          <w:rStyle w:val="605"/>
          <w:rFonts w:hint="eastAsia" w:ascii="宋体" w:hAnsi="宋体" w:eastAsia="宋体" w:cs="宋体"/>
          <w:color w:val="auto"/>
          <w:sz w:val="24"/>
          <w:szCs w:val="24"/>
          <w:highlight w:val="none"/>
          <w:lang w:val="en-US" w:eastAsia="zh-CN"/>
        </w:rPr>
        <w:t>评标</w:t>
      </w:r>
      <w:r>
        <w:rPr>
          <w:rStyle w:val="605"/>
          <w:rFonts w:hint="eastAsia" w:ascii="宋体" w:hAnsi="宋体" w:eastAsia="宋体" w:cs="宋体"/>
          <w:color w:val="auto"/>
          <w:sz w:val="24"/>
          <w:szCs w:val="24"/>
          <w:highlight w:val="none"/>
          <w:lang w:eastAsia="zh-CN"/>
        </w:rPr>
        <w:t>办法。</w:t>
      </w:r>
    </w:p>
    <w:p>
      <w:pPr>
        <w:pStyle w:val="56"/>
        <w:spacing w:line="360" w:lineRule="auto"/>
        <w:ind w:firstLine="240" w:firstLineChars="100"/>
        <w:rPr>
          <w:rStyle w:val="605"/>
          <w:rFonts w:hint="eastAsia" w:ascii="宋体" w:hAnsi="宋体" w:eastAsia="宋体" w:cs="宋体"/>
          <w:color w:val="auto"/>
          <w:sz w:val="24"/>
          <w:szCs w:val="24"/>
          <w:highlight w:val="none"/>
        </w:rPr>
      </w:pPr>
      <w:r>
        <w:rPr>
          <w:rStyle w:val="605"/>
          <w:rFonts w:hint="eastAsia" w:ascii="宋体" w:hAnsi="宋体" w:eastAsia="宋体" w:cs="宋体"/>
          <w:color w:val="auto"/>
          <w:sz w:val="24"/>
          <w:szCs w:val="24"/>
          <w:highlight w:val="none"/>
          <w:lang w:val="zh-TW"/>
        </w:rPr>
        <w:t>2</w:t>
      </w:r>
      <w:r>
        <w:rPr>
          <w:rStyle w:val="605"/>
          <w:rFonts w:hint="eastAsia" w:ascii="宋体" w:hAnsi="宋体" w:eastAsia="宋体" w:cs="宋体"/>
          <w:color w:val="auto"/>
          <w:sz w:val="24"/>
          <w:szCs w:val="24"/>
          <w:highlight w:val="none"/>
        </w:rPr>
        <w:t>、本项目为商务技术分</w:t>
      </w:r>
      <w:r>
        <w:rPr>
          <w:rStyle w:val="605"/>
          <w:rFonts w:hint="eastAsia" w:ascii="宋体" w:hAnsi="宋体" w:eastAsia="宋体" w:cs="宋体"/>
          <w:color w:val="auto"/>
          <w:sz w:val="24"/>
          <w:szCs w:val="24"/>
          <w:highlight w:val="none"/>
          <w:lang w:val="en-US" w:eastAsia="zh-CN"/>
        </w:rPr>
        <w:t>70</w:t>
      </w:r>
      <w:r>
        <w:rPr>
          <w:rStyle w:val="605"/>
          <w:rFonts w:hint="eastAsia" w:ascii="宋体" w:hAnsi="宋体" w:eastAsia="宋体" w:cs="宋体"/>
          <w:color w:val="auto"/>
          <w:sz w:val="24"/>
          <w:szCs w:val="24"/>
          <w:highlight w:val="none"/>
        </w:rPr>
        <w:t>分和报价分</w:t>
      </w:r>
      <w:r>
        <w:rPr>
          <w:rStyle w:val="605"/>
          <w:rFonts w:hint="eastAsia" w:ascii="宋体" w:hAnsi="宋体" w:eastAsia="宋体" w:cs="宋体"/>
          <w:color w:val="auto"/>
          <w:sz w:val="24"/>
          <w:szCs w:val="24"/>
          <w:highlight w:val="none"/>
          <w:lang w:val="en-US" w:eastAsia="zh-CN"/>
        </w:rPr>
        <w:t>30分</w:t>
      </w:r>
      <w:r>
        <w:rPr>
          <w:rStyle w:val="605"/>
          <w:rFonts w:hint="eastAsia" w:ascii="宋体" w:hAnsi="宋体" w:eastAsia="宋体" w:cs="宋体"/>
          <w:color w:val="auto"/>
          <w:sz w:val="24"/>
          <w:szCs w:val="24"/>
          <w:highlight w:val="none"/>
        </w:rPr>
        <w:t>合计评分，满分为</w:t>
      </w:r>
      <w:r>
        <w:rPr>
          <w:rStyle w:val="605"/>
          <w:rFonts w:hint="eastAsia" w:ascii="宋体" w:hAnsi="宋体" w:eastAsia="宋体" w:cs="宋体"/>
          <w:color w:val="auto"/>
          <w:sz w:val="24"/>
          <w:szCs w:val="24"/>
          <w:highlight w:val="none"/>
          <w:lang w:val="zh-TW"/>
        </w:rPr>
        <w:t>100</w:t>
      </w:r>
      <w:r>
        <w:rPr>
          <w:rStyle w:val="605"/>
          <w:rFonts w:hint="eastAsia" w:ascii="宋体" w:hAnsi="宋体" w:eastAsia="宋体" w:cs="宋体"/>
          <w:color w:val="auto"/>
          <w:sz w:val="24"/>
          <w:szCs w:val="24"/>
          <w:highlight w:val="none"/>
        </w:rPr>
        <w:t>分。</w:t>
      </w:r>
    </w:p>
    <w:p>
      <w:pPr>
        <w:pStyle w:val="56"/>
        <w:keepNext/>
        <w:keepLines/>
        <w:adjustRightInd w:val="0"/>
        <w:snapToGrid w:val="0"/>
        <w:spacing w:line="360" w:lineRule="auto"/>
        <w:ind w:firstLine="0" w:firstLineChars="0"/>
        <w:jc w:val="left"/>
        <w:rPr>
          <w:rStyle w:val="605"/>
          <w:rFonts w:hint="eastAsia" w:ascii="宋体" w:hAnsi="宋体" w:eastAsia="宋体" w:cs="宋体"/>
          <w:bCs/>
          <w:color w:val="auto"/>
          <w:sz w:val="24"/>
          <w:szCs w:val="24"/>
          <w:highlight w:val="none"/>
        </w:rPr>
      </w:pPr>
      <w:r>
        <w:rPr>
          <w:rStyle w:val="605"/>
          <w:rFonts w:hint="eastAsia" w:ascii="宋体" w:hAnsi="宋体" w:eastAsia="宋体" w:cs="宋体"/>
          <w:b/>
          <w:color w:val="auto"/>
          <w:sz w:val="24"/>
          <w:szCs w:val="24"/>
          <w:highlight w:val="none"/>
        </w:rPr>
        <w:t>五、评标细则及标准</w:t>
      </w:r>
    </w:p>
    <w:p>
      <w:pPr>
        <w:snapToGrid w:val="0"/>
        <w:spacing w:line="360" w:lineRule="auto"/>
        <w:ind w:firstLine="241" w:firstLineChars="100"/>
        <w:rPr>
          <w:rStyle w:val="606"/>
          <w:rFonts w:hint="eastAsia" w:ascii="宋体" w:hAnsi="宋体" w:eastAsia="宋体" w:cs="宋体"/>
          <w:b/>
          <w:bCs/>
          <w:color w:val="auto"/>
          <w:sz w:val="24"/>
          <w:szCs w:val="24"/>
          <w:highlight w:val="none"/>
        </w:rPr>
      </w:pPr>
      <w:r>
        <w:rPr>
          <w:rStyle w:val="605"/>
          <w:rFonts w:hint="eastAsia" w:ascii="宋体" w:hAnsi="宋体" w:eastAsia="宋体" w:cs="宋体"/>
          <w:b/>
          <w:color w:val="auto"/>
          <w:sz w:val="24"/>
          <w:szCs w:val="24"/>
          <w:highlight w:val="none"/>
        </w:rPr>
        <w:t>1</w:t>
      </w:r>
      <w:r>
        <w:rPr>
          <w:rStyle w:val="606"/>
          <w:rFonts w:hint="eastAsia" w:ascii="宋体" w:hAnsi="宋体" w:eastAsia="宋体" w:cs="宋体"/>
          <w:b/>
          <w:bCs/>
          <w:color w:val="auto"/>
          <w:sz w:val="24"/>
          <w:szCs w:val="24"/>
          <w:highlight w:val="none"/>
        </w:rPr>
        <w:t>、在投标文件评审过程中，如果出现评标委员会成员意见不一致的情况，按照少数服从多数的原则确定。</w:t>
      </w:r>
    </w:p>
    <w:tbl>
      <w:tblPr>
        <w:tblStyle w:val="98"/>
        <w:tblW w:w="9835" w:type="dxa"/>
        <w:jc w:val="center"/>
        <w:tblInd w:w="0" w:type="dxa"/>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Layout w:type="fixed"/>
        <w:tblCellMar>
          <w:top w:w="0" w:type="dxa"/>
          <w:left w:w="108" w:type="dxa"/>
          <w:bottom w:w="0" w:type="dxa"/>
          <w:right w:w="108" w:type="dxa"/>
        </w:tblCellMar>
      </w:tblPr>
      <w:tblGrid>
        <w:gridCol w:w="1288"/>
        <w:gridCol w:w="7490"/>
        <w:gridCol w:w="1057"/>
      </w:tblGrid>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288" w:type="dxa"/>
            <w:tcBorders>
              <w:top w:val="single" w:color="auto" w:sz="4" w:space="0"/>
              <w:left w:val="single" w:color="auto" w:sz="4" w:space="0"/>
              <w:bottom w:val="single" w:color="auto" w:sz="4" w:space="0"/>
              <w:right w:val="single" w:color="auto" w:sz="4" w:space="0"/>
            </w:tcBorders>
            <w:shd w:val="clear" w:color="auto" w:fill="A6A6A6"/>
            <w:vAlign w:val="center"/>
          </w:tcPr>
          <w:p>
            <w:pPr>
              <w:widowControl w:val="0"/>
              <w:pBdr>
                <w:top w:val="none" w:color="auto" w:sz="0" w:space="0"/>
                <w:left w:val="none" w:color="auto" w:sz="0" w:space="0"/>
                <w:bottom w:val="none" w:color="auto" w:sz="0" w:space="0"/>
                <w:right w:val="none" w:color="auto" w:sz="0" w:space="0"/>
              </w:pBdr>
              <w:snapToGrid w:val="0"/>
              <w:spacing w:line="360" w:lineRule="auto"/>
              <w:jc w:val="center"/>
              <w:rPr>
                <w:rFonts w:hint="eastAsia" w:ascii="宋体" w:hAnsi="宋体" w:eastAsia="宋体" w:cs="宋体"/>
                <w:b/>
                <w:color w:val="auto"/>
                <w:kern w:val="2"/>
                <w:sz w:val="24"/>
                <w:szCs w:val="24"/>
                <w:highlight w:val="none"/>
                <w:lang w:eastAsia="zh-CN"/>
              </w:rPr>
            </w:pPr>
            <w:r>
              <w:rPr>
                <w:rFonts w:hint="eastAsia" w:ascii="宋体" w:hAnsi="宋体" w:eastAsia="宋体" w:cs="宋体"/>
                <w:b/>
                <w:color w:val="auto"/>
                <w:kern w:val="2"/>
                <w:sz w:val="24"/>
                <w:szCs w:val="24"/>
                <w:highlight w:val="none"/>
                <w:lang w:eastAsia="zh-CN"/>
              </w:rPr>
              <w:t>评分内容</w:t>
            </w:r>
          </w:p>
        </w:tc>
        <w:tc>
          <w:tcPr>
            <w:tcW w:w="7490" w:type="dxa"/>
            <w:tcBorders>
              <w:top w:val="single" w:color="auto" w:sz="4" w:space="0"/>
              <w:left w:val="single" w:color="auto" w:sz="4" w:space="0"/>
              <w:bottom w:val="single" w:color="auto" w:sz="4" w:space="0"/>
              <w:right w:val="single" w:color="auto" w:sz="4" w:space="0"/>
            </w:tcBorders>
            <w:shd w:val="clear" w:color="auto" w:fill="A6A6A6"/>
            <w:vAlign w:val="center"/>
          </w:tcPr>
          <w:p>
            <w:pPr>
              <w:widowControl w:val="0"/>
              <w:pBdr>
                <w:top w:val="none" w:color="auto" w:sz="0" w:space="0"/>
                <w:left w:val="none" w:color="auto" w:sz="0" w:space="0"/>
                <w:bottom w:val="none" w:color="auto" w:sz="0" w:space="0"/>
                <w:right w:val="none" w:color="auto" w:sz="0" w:space="0"/>
              </w:pBdr>
              <w:snapToGrid w:val="0"/>
              <w:spacing w:line="360" w:lineRule="auto"/>
              <w:jc w:val="center"/>
              <w:rPr>
                <w:rFonts w:hint="eastAsia" w:ascii="宋体" w:hAnsi="宋体" w:eastAsia="宋体" w:cs="宋体"/>
                <w:b/>
                <w:color w:val="auto"/>
                <w:kern w:val="2"/>
                <w:sz w:val="24"/>
                <w:szCs w:val="24"/>
                <w:highlight w:val="none"/>
                <w:lang w:eastAsia="zh-CN"/>
              </w:rPr>
            </w:pPr>
            <w:r>
              <w:rPr>
                <w:rFonts w:hint="eastAsia" w:ascii="宋体" w:hAnsi="宋体" w:eastAsia="宋体" w:cs="宋体"/>
                <w:b/>
                <w:color w:val="auto"/>
                <w:kern w:val="2"/>
                <w:sz w:val="24"/>
                <w:szCs w:val="24"/>
                <w:highlight w:val="none"/>
                <w:lang w:eastAsia="zh-CN"/>
              </w:rPr>
              <w:t>细则内容</w:t>
            </w:r>
          </w:p>
        </w:tc>
        <w:tc>
          <w:tcPr>
            <w:tcW w:w="1057" w:type="dxa"/>
            <w:tcBorders>
              <w:top w:val="single" w:color="auto" w:sz="4" w:space="0"/>
              <w:left w:val="single" w:color="auto" w:sz="4" w:space="0"/>
              <w:bottom w:val="single" w:color="auto" w:sz="4" w:space="0"/>
              <w:right w:val="single" w:color="auto" w:sz="4" w:space="0"/>
            </w:tcBorders>
            <w:shd w:val="clear" w:color="auto" w:fill="A6A6A6"/>
            <w:vAlign w:val="center"/>
          </w:tcPr>
          <w:p>
            <w:pPr>
              <w:widowControl w:val="0"/>
              <w:pBdr>
                <w:top w:val="none" w:color="auto" w:sz="0" w:space="0"/>
                <w:left w:val="none" w:color="auto" w:sz="0" w:space="0"/>
                <w:bottom w:val="none" w:color="auto" w:sz="0" w:space="0"/>
                <w:right w:val="none" w:color="auto" w:sz="0" w:space="0"/>
              </w:pBdr>
              <w:snapToGrid w:val="0"/>
              <w:spacing w:line="360" w:lineRule="auto"/>
              <w:jc w:val="center"/>
              <w:rPr>
                <w:rFonts w:hint="eastAsia" w:ascii="宋体" w:hAnsi="宋体" w:eastAsia="宋体" w:cs="宋体"/>
                <w:b/>
                <w:color w:val="auto"/>
                <w:kern w:val="2"/>
                <w:sz w:val="24"/>
                <w:szCs w:val="24"/>
                <w:highlight w:val="none"/>
                <w:lang w:eastAsia="zh-CN"/>
              </w:rPr>
            </w:pPr>
            <w:r>
              <w:rPr>
                <w:rFonts w:hint="eastAsia" w:ascii="宋体" w:hAnsi="宋体" w:eastAsia="宋体" w:cs="宋体"/>
                <w:b/>
                <w:color w:val="auto"/>
                <w:kern w:val="2"/>
                <w:sz w:val="24"/>
                <w:szCs w:val="24"/>
                <w:highlight w:val="none"/>
                <w:lang w:eastAsia="zh-CN"/>
              </w:rPr>
              <w:t>分值</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1288" w:type="dxa"/>
            <w:tcBorders>
              <w:top w:val="single" w:color="auto" w:sz="4" w:space="0"/>
              <w:left w:val="single" w:color="auto" w:sz="4" w:space="0"/>
              <w:bottom w:val="single" w:color="auto" w:sz="4" w:space="0"/>
              <w:right w:val="single" w:color="auto" w:sz="4" w:space="0"/>
            </w:tcBorders>
            <w:vAlign w:val="center"/>
          </w:tcPr>
          <w:p>
            <w:pPr>
              <w:widowControl w:val="0"/>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投标报价</w:t>
            </w:r>
          </w:p>
        </w:tc>
        <w:tc>
          <w:tcPr>
            <w:tcW w:w="7490" w:type="dxa"/>
            <w:tcBorders>
              <w:top w:val="single" w:color="auto" w:sz="4" w:space="0"/>
              <w:left w:val="single" w:color="auto" w:sz="4" w:space="0"/>
              <w:bottom w:val="single" w:color="auto" w:sz="4" w:space="0"/>
              <w:right w:val="single" w:color="auto" w:sz="4" w:space="0"/>
            </w:tcBorders>
            <w:vAlign w:val="center"/>
          </w:tcPr>
          <w:p>
            <w:pPr>
              <w:widowControl w:val="0"/>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rPr>
                <w:rFonts w:hint="eastAsia" w:ascii="宋体" w:hAnsi="宋体" w:eastAsia="宋体" w:cs="宋体"/>
                <w:color w:val="auto"/>
                <w:kern w:val="2"/>
                <w:sz w:val="24"/>
                <w:szCs w:val="24"/>
                <w:highlight w:val="none"/>
                <w:lang w:eastAsia="zh-CN"/>
              </w:rPr>
            </w:pPr>
            <w:r>
              <w:rPr>
                <w:rFonts w:hint="eastAsia" w:ascii="宋体" w:hAnsi="宋体" w:eastAsia="宋体" w:cs="宋体"/>
                <w:b/>
                <w:bCs/>
                <w:color w:val="auto"/>
                <w:kern w:val="2"/>
                <w:sz w:val="24"/>
                <w:szCs w:val="24"/>
                <w:highlight w:val="none"/>
                <w:u w:val="none"/>
                <w:lang w:val="en-US" w:eastAsia="zh-CN"/>
              </w:rPr>
              <w:t>投标人报价高于最高限价（单价最高限价）的作无效标处理，</w:t>
            </w:r>
            <w:r>
              <w:rPr>
                <w:rFonts w:hint="eastAsia" w:ascii="宋体" w:hAnsi="宋体" w:eastAsia="宋体" w:cs="宋体"/>
                <w:color w:val="auto"/>
                <w:kern w:val="2"/>
                <w:sz w:val="24"/>
                <w:szCs w:val="24"/>
                <w:highlight w:val="none"/>
                <w:lang w:eastAsia="zh-CN"/>
              </w:rPr>
              <w:t>评标基准价为满足评标要求且投标价格最低的投标报价，投标报价得分=(基准价／投标报价)×</w:t>
            </w:r>
            <w:r>
              <w:rPr>
                <w:rFonts w:hint="eastAsia" w:ascii="宋体" w:hAnsi="宋体" w:eastAsia="宋体" w:cs="宋体"/>
                <w:color w:val="auto"/>
                <w:kern w:val="2"/>
                <w:sz w:val="24"/>
                <w:szCs w:val="24"/>
                <w:highlight w:val="none"/>
                <w:lang w:val="en-US" w:eastAsia="zh-CN"/>
              </w:rPr>
              <w:t>30</w:t>
            </w:r>
            <w:r>
              <w:rPr>
                <w:rFonts w:hint="eastAsia" w:ascii="宋体" w:hAnsi="宋体" w:eastAsia="宋体" w:cs="宋体"/>
                <w:color w:val="auto"/>
                <w:kern w:val="2"/>
                <w:sz w:val="24"/>
                <w:szCs w:val="24"/>
                <w:highlight w:val="none"/>
                <w:lang w:eastAsia="zh-CN"/>
              </w:rPr>
              <w:t>，四舍五入，保留两位小数。报价高于预算价（最高限价、单价最高限价）的，为无效投标文件。</w:t>
            </w:r>
          </w:p>
          <w:p>
            <w:pPr>
              <w:widowControl w:val="0"/>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注：政策功能的评标价格扣除</w:t>
            </w:r>
          </w:p>
          <w:p>
            <w:pPr>
              <w:widowControl w:val="0"/>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（1）“评标价格”是指符合相关政策要求，按一定比例对投标报价进行政策功能的扣除后，仅用作价格分评分的价格（中标价及合同价仍以其投标报价为准）。</w:t>
            </w:r>
          </w:p>
          <w:p>
            <w:pPr>
              <w:widowControl w:val="0"/>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2）根据《浙江省财政厅关于进一步发挥政府采购政策功能全力推进经济稳进提质的通知》浙财采监【2022】3号规定，对符合财库〔2020〕46号的相关规定的小微企业的投标报价给予10%的扣除，用扣除后的价格参与评审（扣除后的价格仅作为价格分计算）。允许大中型企业向一家或者多家小微企业分包的政府采购货物或服务项目，对于分包承诺约定小微企业的合同份额占到合同总金额30%以上的，对大中型企业的报价给予</w:t>
            </w:r>
            <w:r>
              <w:rPr>
                <w:rFonts w:hint="eastAsia" w:ascii="宋体" w:hAnsi="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lang w:val="en-US" w:eastAsia="zh-CN"/>
              </w:rPr>
              <w:t>%</w:t>
            </w:r>
            <w:r>
              <w:rPr>
                <w:rFonts w:hint="eastAsia" w:ascii="宋体" w:hAnsi="宋体" w:eastAsia="宋体" w:cs="宋体"/>
                <w:color w:val="auto"/>
                <w:kern w:val="2"/>
                <w:sz w:val="24"/>
                <w:szCs w:val="24"/>
                <w:highlight w:val="none"/>
                <w:lang w:eastAsia="zh-CN"/>
              </w:rPr>
              <w:t>的扣除，用扣除后的价格参加评审（扣除后的价格仅作为价格分计算）。接受分包的小微企业与分包企业之间存在直接控股、管理关系的，不享受价格扣除优惠政策。中小企业参加政府采购活动，应当出具财库〔2020〕46号规定的《中小企业声明函》，否则不得享受相关中小企业扶持政策。</w:t>
            </w:r>
          </w:p>
          <w:p>
            <w:pPr>
              <w:widowControl w:val="0"/>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lang w:eastAsia="zh-CN"/>
              </w:rPr>
              <w:t>）根据《政府采购货物和服务招标投标管理办法》（财政部令第87号）第六十条之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val="0"/>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lang w:eastAsia="zh-CN"/>
              </w:rPr>
              <w:t>）如本采购项目有投标人的报价明显低于其他通过符合性审查投标人的报价，有可能影响产品质量或者不能诚信履约的，评标委员会应当要求该投标人在评标现场合理的时间内提供书面说明，必要时提交相关证明材料（包括但不限于：提供包含本次采购服务内容的合同、提供本次采购服务内容的报价测算清单等资料）。投标人如不能提供相关证明材料证明其报价合理性的，或未在评标现场合理的时间内提供相关证明材料的，评标委员会应当将其作为无效投标处理。</w:t>
            </w:r>
          </w:p>
          <w:p>
            <w:pPr>
              <w:widowControl w:val="0"/>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lang w:eastAsia="zh-CN"/>
              </w:rPr>
              <w:t>）根据〔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widowControl w:val="0"/>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6</w:t>
            </w:r>
            <w:r>
              <w:rPr>
                <w:rFonts w:hint="eastAsia" w:ascii="宋体" w:hAnsi="宋体" w:eastAsia="宋体" w:cs="宋体"/>
                <w:color w:val="auto"/>
                <w:kern w:val="2"/>
                <w:sz w:val="24"/>
                <w:szCs w:val="24"/>
                <w:highlight w:val="none"/>
                <w:lang w:eastAsia="zh-CN"/>
              </w:rPr>
              <w:t>）根据财库[2014]68号的相关规定，在政府采购活动中，监狱企业同视为小型、微型企业，享受评审中价格扣除政策。在投标文件中提供由省级以上监狱管理局、戒毒管理局（含新疆生产建设兵团）出具的属于监狱企业的证明文件（格式自拟）。</w:t>
            </w:r>
          </w:p>
          <w:p>
            <w:pPr>
              <w:widowControl w:val="0"/>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注：①未提供以上材料的，均不给予价格扣除；②中标人享受相关中小企业扶持政策或为残疾人福利性单位的，采购人或者其委托的采购代理机构应当随中标结果同时公告其《中小企业声明函》或《残疾人福利性单位声明函》，接受社会监督。投标人提供的《中小企业声明函》或《残疾人福利性单位声明函》与事实不符的，依照《政府采购法》第七十七条第一款的规定追究法律责任。</w:t>
            </w:r>
          </w:p>
        </w:tc>
        <w:tc>
          <w:tcPr>
            <w:tcW w:w="1057" w:type="dxa"/>
            <w:tcBorders>
              <w:top w:val="single" w:color="auto" w:sz="4" w:space="0"/>
              <w:left w:val="single" w:color="auto" w:sz="4" w:space="0"/>
              <w:bottom w:val="single" w:color="auto" w:sz="4" w:space="0"/>
              <w:right w:val="single" w:color="auto" w:sz="4" w:space="0"/>
            </w:tcBorders>
            <w:vAlign w:val="center"/>
          </w:tcPr>
          <w:p>
            <w:pPr>
              <w:widowControl w:val="0"/>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0-</w:t>
            </w:r>
            <w:r>
              <w:rPr>
                <w:rFonts w:hint="eastAsia" w:ascii="宋体" w:hAnsi="宋体" w:eastAsia="宋体" w:cs="宋体"/>
                <w:color w:val="auto"/>
                <w:kern w:val="2"/>
                <w:sz w:val="24"/>
                <w:szCs w:val="24"/>
                <w:highlight w:val="none"/>
                <w:lang w:val="en-US" w:eastAsia="zh-CN"/>
              </w:rPr>
              <w:t>30</w:t>
            </w:r>
            <w:r>
              <w:rPr>
                <w:rFonts w:hint="eastAsia" w:ascii="宋体" w:hAnsi="宋体" w:eastAsia="宋体" w:cs="宋体"/>
                <w:color w:val="auto"/>
                <w:kern w:val="2"/>
                <w:sz w:val="24"/>
                <w:szCs w:val="24"/>
                <w:highlight w:val="none"/>
                <w:lang w:eastAsia="zh-CN"/>
              </w:rPr>
              <w:t>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12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bidi="ar-SA"/>
              </w:rPr>
              <w:t>企业资信</w:t>
            </w:r>
          </w:p>
        </w:tc>
        <w:tc>
          <w:tcPr>
            <w:tcW w:w="7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360" w:lineRule="auto"/>
              <w:ind w:left="0" w:leftChars="0" w:right="0" w:righ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sz w:val="24"/>
                <w:szCs w:val="24"/>
                <w:highlight w:val="none"/>
                <w:lang w:val="en-US" w:eastAsia="zh-CN"/>
              </w:rPr>
              <w:t>投标人具有信息系统建设和服务能力等级证书（CS认证）的得1分，本项最高得1分，未提供不得分；</w:t>
            </w:r>
            <w:r>
              <w:rPr>
                <w:rFonts w:hint="eastAsia" w:ascii="宋体" w:hAnsi="宋体" w:eastAsia="宋体" w:cs="宋体"/>
                <w:color w:val="auto"/>
                <w:kern w:val="2"/>
                <w:sz w:val="24"/>
                <w:szCs w:val="24"/>
                <w:highlight w:val="none"/>
                <w:lang w:val="en-US" w:eastAsia="zh-CN" w:bidi="ar-SA"/>
              </w:rPr>
              <w:t xml:space="preserve">； </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360" w:lineRule="auto"/>
              <w:ind w:left="0" w:leftChars="0" w:right="0" w:righ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sz w:val="24"/>
                <w:szCs w:val="24"/>
                <w:highlight w:val="none"/>
              </w:rPr>
              <w:t>投标人具备信息安全服务资质（含安全集成、软件开发、安全运维）</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级及以上的得1分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本项最高得1分，未提供不得分</w:t>
            </w:r>
            <w:r>
              <w:rPr>
                <w:rFonts w:hint="eastAsia" w:ascii="宋体" w:hAnsi="宋体" w:eastAsia="宋体" w:cs="宋体"/>
                <w:color w:val="auto"/>
                <w:kern w:val="2"/>
                <w:sz w:val="24"/>
                <w:szCs w:val="24"/>
                <w:highlight w:val="none"/>
                <w:lang w:val="en-US" w:eastAsia="zh-CN" w:bidi="ar-SA"/>
              </w:rPr>
              <w:t>；</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360" w:lineRule="auto"/>
              <w:ind w:left="0" w:leftChars="0" w:right="0" w:righ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投标人具有信息技术服务标准符合性证书（ITSS认证）</w:t>
            </w:r>
            <w:r>
              <w:rPr>
                <w:rFonts w:hint="eastAsia" w:ascii="宋体" w:hAnsi="宋体" w:cs="宋体"/>
                <w:color w:val="auto"/>
                <w:kern w:val="2"/>
                <w:sz w:val="24"/>
                <w:szCs w:val="24"/>
                <w:highlight w:val="none"/>
                <w:lang w:val="en-US" w:eastAsia="zh-CN" w:bidi="ar-SA"/>
              </w:rPr>
              <w:t>的</w:t>
            </w:r>
            <w:r>
              <w:rPr>
                <w:rFonts w:hint="eastAsia" w:ascii="宋体" w:hAnsi="宋体" w:eastAsia="宋体" w:cs="宋体"/>
                <w:color w:val="auto"/>
                <w:kern w:val="2"/>
                <w:sz w:val="24"/>
                <w:szCs w:val="24"/>
                <w:highlight w:val="none"/>
                <w:lang w:val="en-US" w:eastAsia="zh-CN" w:bidi="ar-SA"/>
              </w:rPr>
              <w:t>得1分，本项最高得分为1分</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未提供不得分</w:t>
            </w:r>
            <w:r>
              <w:rPr>
                <w:rFonts w:hint="eastAsia" w:ascii="宋体" w:hAnsi="宋体" w:cs="宋体"/>
                <w:color w:val="auto"/>
                <w:kern w:val="2"/>
                <w:sz w:val="24"/>
                <w:szCs w:val="24"/>
                <w:highlight w:val="none"/>
                <w:lang w:val="en-US" w:eastAsia="zh-CN" w:bidi="ar-SA"/>
              </w:rPr>
              <w:t>。</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360" w:lineRule="auto"/>
              <w:ind w:left="0" w:leftChars="0" w:right="0" w:rightChars="0" w:firstLine="0" w:firstLineChars="0"/>
              <w:jc w:val="left"/>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b/>
                <w:bCs/>
                <w:color w:val="auto"/>
                <w:kern w:val="2"/>
                <w:sz w:val="24"/>
                <w:szCs w:val="24"/>
                <w:highlight w:val="none"/>
                <w:lang w:val="en-US" w:eastAsia="zh-CN" w:bidi="ar-SA"/>
              </w:rPr>
              <w:t>注：提供相关证书扫描件加盖公章编入商务技术投标文件中，否则不得分</w:t>
            </w:r>
            <w:r>
              <w:rPr>
                <w:rFonts w:hint="eastAsia" w:ascii="宋体" w:hAnsi="宋体" w:eastAsia="宋体" w:cs="宋体"/>
                <w:color w:val="auto"/>
                <w:kern w:val="2"/>
                <w:sz w:val="24"/>
                <w:szCs w:val="24"/>
                <w:highlight w:val="none"/>
                <w:lang w:val="en-US" w:eastAsia="zh-CN" w:bidi="ar-SA"/>
              </w:rPr>
              <w:t>。</w:t>
            </w:r>
          </w:p>
        </w:tc>
        <w:tc>
          <w:tcPr>
            <w:tcW w:w="10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bidi="ar-SA"/>
              </w:rPr>
              <w:t>0-</w:t>
            </w: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12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项目组</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bidi="ar-SA"/>
              </w:rPr>
              <w:t>成员</w:t>
            </w:r>
          </w:p>
        </w:tc>
        <w:tc>
          <w:tcPr>
            <w:tcW w:w="7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360" w:lineRule="auto"/>
              <w:ind w:left="0" w:leftChars="0" w:right="0" w:righ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拟派的项目经理具有信息系统项目管理师高级工程师及以上职称</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网络工程师</w:t>
            </w:r>
            <w:r>
              <w:rPr>
                <w:rFonts w:hint="eastAsia" w:ascii="宋体" w:hAnsi="宋体" w:cs="宋体"/>
                <w:color w:val="auto"/>
                <w:kern w:val="2"/>
                <w:sz w:val="24"/>
                <w:szCs w:val="24"/>
                <w:highlight w:val="none"/>
                <w:lang w:val="en-US" w:eastAsia="zh-CN" w:bidi="ar-SA"/>
              </w:rPr>
              <w:t>及以上职称的，每个</w:t>
            </w:r>
            <w:r>
              <w:rPr>
                <w:rFonts w:hint="eastAsia" w:ascii="宋体" w:hAnsi="宋体" w:eastAsia="宋体" w:cs="宋体"/>
                <w:color w:val="auto"/>
                <w:kern w:val="2"/>
                <w:sz w:val="24"/>
                <w:szCs w:val="24"/>
                <w:highlight w:val="none"/>
                <w:lang w:val="en-US" w:eastAsia="zh-CN" w:bidi="ar-SA"/>
              </w:rPr>
              <w:t>得</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分，</w:t>
            </w:r>
            <w:r>
              <w:rPr>
                <w:rFonts w:hint="eastAsia" w:ascii="宋体" w:hAnsi="宋体" w:cs="宋体"/>
                <w:color w:val="auto"/>
                <w:kern w:val="2"/>
                <w:sz w:val="24"/>
                <w:szCs w:val="24"/>
                <w:highlight w:val="none"/>
                <w:lang w:val="en-US" w:eastAsia="zh-CN" w:bidi="ar-SA"/>
              </w:rPr>
              <w:t>本项最高得2分</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未提供</w:t>
            </w:r>
            <w:r>
              <w:rPr>
                <w:rFonts w:hint="eastAsia" w:ascii="宋体" w:hAnsi="宋体" w:eastAsia="宋体" w:cs="宋体"/>
                <w:color w:val="auto"/>
                <w:kern w:val="2"/>
                <w:sz w:val="24"/>
                <w:szCs w:val="24"/>
                <w:highlight w:val="none"/>
                <w:lang w:val="en-US" w:eastAsia="zh-CN" w:bidi="ar-SA"/>
              </w:rPr>
              <w:t>不得分</w:t>
            </w:r>
            <w:r>
              <w:rPr>
                <w:rFonts w:hint="eastAsia" w:ascii="宋体" w:hAnsi="宋体" w:cs="宋体"/>
                <w:color w:val="auto"/>
                <w:kern w:val="2"/>
                <w:sz w:val="24"/>
                <w:szCs w:val="24"/>
                <w:highlight w:val="none"/>
                <w:lang w:val="en-US" w:eastAsia="zh-CN" w:bidi="ar-SA"/>
              </w:rPr>
              <w:t>；</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360" w:lineRule="auto"/>
              <w:ind w:left="0" w:leftChars="0" w:right="0" w:righ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sz w:val="24"/>
                <w:szCs w:val="24"/>
                <w:highlight w:val="none"/>
                <w:lang w:val="en-US" w:eastAsia="zh-CN"/>
              </w:rPr>
              <w:t>拟派的项目技术负责人（除项目经理）具有信息系统项目管理师高级工程师及以上职称或数据分析师高级工程师及以上职称或通信工程师及以上职称的得2分，本项最高得2分，未提供不得分；</w:t>
            </w:r>
          </w:p>
          <w:p>
            <w:pPr>
              <w:pStyle w:val="615"/>
              <w:numPr>
                <w:ilvl w:val="0"/>
                <w:numId w:val="0"/>
              </w:numPr>
              <w:spacing w:line="360" w:lineRule="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项目</w:t>
            </w:r>
            <w:r>
              <w:rPr>
                <w:rFonts w:hint="eastAsia" w:ascii="宋体" w:hAnsi="宋体" w:cs="宋体"/>
                <w:color w:val="auto"/>
                <w:kern w:val="0"/>
                <w:sz w:val="24"/>
                <w:szCs w:val="24"/>
                <w:highlight w:val="none"/>
                <w:lang w:val="en-US" w:eastAsia="zh-CN" w:bidi="ar-SA"/>
              </w:rPr>
              <w:t>维护人员</w:t>
            </w:r>
            <w:r>
              <w:rPr>
                <w:rFonts w:hint="eastAsia" w:ascii="宋体" w:hAnsi="宋体" w:eastAsia="宋体" w:cs="宋体"/>
                <w:color w:val="auto"/>
                <w:kern w:val="0"/>
                <w:sz w:val="24"/>
                <w:szCs w:val="24"/>
                <w:highlight w:val="none"/>
                <w:lang w:val="en-US" w:eastAsia="zh-CN" w:bidi="ar-SA"/>
              </w:rPr>
              <w:t>（除项目经理和技术负责人）具有ITSS服务项目经理</w:t>
            </w:r>
            <w:r>
              <w:rPr>
                <w:rFonts w:hint="eastAsia" w:ascii="宋体" w:hAnsi="宋体" w:cs="宋体"/>
                <w:color w:val="auto"/>
                <w:kern w:val="0"/>
                <w:sz w:val="24"/>
                <w:szCs w:val="24"/>
                <w:highlight w:val="none"/>
                <w:lang w:val="en-US" w:eastAsia="zh-CN" w:bidi="ar-SA"/>
              </w:rPr>
              <w:t>资质的得1分，</w:t>
            </w:r>
            <w:r>
              <w:rPr>
                <w:rFonts w:hint="eastAsia" w:ascii="宋体" w:hAnsi="宋体" w:cs="宋体"/>
                <w:color w:val="auto"/>
                <w:kern w:val="2"/>
                <w:sz w:val="24"/>
                <w:szCs w:val="24"/>
                <w:highlight w:val="none"/>
                <w:lang w:val="en-US" w:eastAsia="zh-CN" w:bidi="ar-SA"/>
              </w:rPr>
              <w:t>未提供</w:t>
            </w:r>
            <w:r>
              <w:rPr>
                <w:rFonts w:hint="eastAsia" w:ascii="宋体" w:hAnsi="宋体" w:cs="宋体"/>
                <w:color w:val="auto"/>
                <w:kern w:val="0"/>
                <w:sz w:val="24"/>
                <w:szCs w:val="24"/>
                <w:highlight w:val="none"/>
                <w:lang w:val="en-US" w:eastAsia="zh-CN" w:bidi="ar-SA"/>
              </w:rPr>
              <w:t>不得分</w:t>
            </w:r>
            <w:r>
              <w:rPr>
                <w:rFonts w:hint="eastAsia" w:ascii="宋体" w:hAnsi="宋体" w:eastAsia="宋体" w:cs="宋体"/>
                <w:color w:val="auto"/>
                <w:kern w:val="0"/>
                <w:sz w:val="24"/>
                <w:szCs w:val="24"/>
                <w:highlight w:val="none"/>
                <w:lang w:val="en-US" w:eastAsia="zh-CN" w:bidi="ar-SA"/>
              </w:rPr>
              <w:t>。</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360" w:lineRule="auto"/>
              <w:ind w:left="0" w:leftChars="0" w:right="0" w:rightChars="0" w:firstLine="0" w:firstLineChars="0"/>
              <w:jc w:val="left"/>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b/>
                <w:bCs/>
                <w:color w:val="auto"/>
                <w:kern w:val="2"/>
                <w:sz w:val="24"/>
                <w:szCs w:val="24"/>
                <w:highlight w:val="none"/>
                <w:lang w:val="en-US" w:eastAsia="zh-CN" w:bidi="ar-SA"/>
              </w:rPr>
              <w:t>注：提供相关人员证书扫描件及截止投标时间前近三个月的社保证明材料加盖公章，否则不得分。</w:t>
            </w:r>
          </w:p>
        </w:tc>
        <w:tc>
          <w:tcPr>
            <w:tcW w:w="10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bidi="ar-SA"/>
              </w:rPr>
              <w:t>0-</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12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bidi="ar-SA"/>
              </w:rPr>
              <w:t>案例</w:t>
            </w:r>
          </w:p>
        </w:tc>
        <w:tc>
          <w:tcPr>
            <w:tcW w:w="7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400" w:lineRule="exact"/>
              <w:ind w:left="0" w:leftChars="0" w:right="0" w:rightChars="0"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投标人提供自2021年1月1日以来（以合同签署日期为准）承担过类似业绩的,每个得1分，最高得</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分。</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360" w:lineRule="auto"/>
              <w:ind w:left="0" w:leftChars="0" w:right="0" w:rightChars="0" w:firstLine="0" w:firstLineChars="0"/>
              <w:jc w:val="left"/>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b/>
                <w:bCs/>
                <w:color w:val="auto"/>
                <w:kern w:val="2"/>
                <w:sz w:val="24"/>
                <w:szCs w:val="24"/>
                <w:highlight w:val="none"/>
                <w:lang w:val="en-US" w:eastAsia="zh-CN" w:bidi="ar-SA"/>
              </w:rPr>
              <w:t>注：提供中标通知书及合同扫描件加盖公章编入商务技术投标文件中，否则不得分。</w:t>
            </w:r>
          </w:p>
        </w:tc>
        <w:tc>
          <w:tcPr>
            <w:tcW w:w="10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bidi="ar-SA"/>
              </w:rPr>
              <w:t>0-</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产品基本性能参数响应程度</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auto"/>
              <w:rPr>
                <w:rFonts w:hint="eastAsia" w:ascii="宋体" w:hAnsi="宋体" w:eastAsia="宋体" w:cs="宋体"/>
                <w:color w:val="auto"/>
                <w:kern w:val="2"/>
                <w:sz w:val="24"/>
                <w:szCs w:val="24"/>
                <w:highlight w:val="none"/>
                <w:lang w:eastAsia="zh-CN"/>
              </w:rPr>
            </w:pPr>
          </w:p>
        </w:tc>
        <w:tc>
          <w:tcPr>
            <w:tcW w:w="74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360" w:lineRule="auto"/>
              <w:ind w:left="0" w:leftChars="0" w:right="0" w:righ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zh-CN"/>
              </w:rPr>
              <w:t>根据投标产品基本性能参数配置及提供的证明材料，是否符合招标文件的要求及符合程度进行评价，基本性能满足或高于要求得满分。</w:t>
            </w:r>
            <w:r>
              <w:rPr>
                <w:rFonts w:hint="eastAsia" w:ascii="宋体" w:hAnsi="宋体" w:eastAsia="宋体" w:cs="宋体"/>
                <w:color w:val="auto"/>
                <w:kern w:val="2"/>
                <w:sz w:val="24"/>
                <w:szCs w:val="24"/>
                <w:highlight w:val="none"/>
                <w:lang w:val="en-US" w:eastAsia="zh-CN" w:bidi="ar-SA"/>
              </w:rPr>
              <w:t>全部满足招标文件要求的得</w:t>
            </w:r>
            <w:r>
              <w:rPr>
                <w:rFonts w:hint="eastAsia" w:ascii="宋体" w:hAnsi="宋体" w:cs="宋体"/>
                <w:color w:val="auto"/>
                <w:kern w:val="2"/>
                <w:sz w:val="24"/>
                <w:szCs w:val="24"/>
                <w:highlight w:val="none"/>
                <w:lang w:val="en-US" w:eastAsia="zh-CN" w:bidi="ar-SA"/>
              </w:rPr>
              <w:t>16</w:t>
            </w:r>
            <w:r>
              <w:rPr>
                <w:rFonts w:hint="eastAsia" w:ascii="宋体" w:hAnsi="宋体" w:eastAsia="宋体" w:cs="宋体"/>
                <w:color w:val="auto"/>
                <w:kern w:val="2"/>
                <w:sz w:val="24"/>
                <w:szCs w:val="24"/>
                <w:highlight w:val="none"/>
                <w:lang w:val="en-US" w:eastAsia="zh-CN" w:bidi="ar-SA"/>
              </w:rPr>
              <w:t>分；打“★”参数为重要规格参数指标,如有负偏离每项扣</w:t>
            </w:r>
            <w:r>
              <w:rPr>
                <w:rFonts w:hint="eastAsia" w:ascii="宋体" w:hAnsi="宋体" w:cs="宋体"/>
                <w:color w:val="auto"/>
                <w:kern w:val="2"/>
                <w:sz w:val="24"/>
                <w:szCs w:val="24"/>
                <w:highlight w:val="none"/>
                <w:lang w:val="en-US" w:eastAsia="zh-CN" w:bidi="ar-SA"/>
              </w:rPr>
              <w:t>0.8</w:t>
            </w:r>
            <w:r>
              <w:rPr>
                <w:rFonts w:hint="eastAsia" w:ascii="宋体" w:hAnsi="宋体" w:eastAsia="宋体" w:cs="宋体"/>
                <w:color w:val="auto"/>
                <w:kern w:val="2"/>
                <w:sz w:val="24"/>
                <w:szCs w:val="24"/>
                <w:highlight w:val="none"/>
                <w:lang w:val="en-US" w:eastAsia="zh-CN" w:bidi="ar-SA"/>
              </w:rPr>
              <w:t>分；其它指标如有负偏离每项扣0.5分，扣完为止。</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360" w:lineRule="auto"/>
              <w:ind w:left="0" w:leftChars="0" w:right="0" w:rightChars="0" w:firstLine="0" w:firstLineChars="0"/>
              <w:jc w:val="left"/>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b/>
                <w:bCs/>
                <w:color w:val="auto"/>
                <w:kern w:val="2"/>
                <w:sz w:val="24"/>
                <w:szCs w:val="24"/>
                <w:highlight w:val="none"/>
                <w:lang w:val="en-US" w:eastAsia="zh-CN" w:bidi="ar-SA"/>
              </w:rPr>
              <w:t>证明材料：以“采购内容及要求”提供的相关证明材料为准；未提供的视为不满足。</w:t>
            </w:r>
          </w:p>
        </w:tc>
        <w:tc>
          <w:tcPr>
            <w:tcW w:w="10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bidi="ar-SA"/>
              </w:rPr>
              <w:t>0-</w:t>
            </w:r>
            <w:r>
              <w:rPr>
                <w:rFonts w:hint="eastAsia" w:ascii="宋体" w:hAnsi="宋体" w:cs="宋体"/>
                <w:color w:val="auto"/>
                <w:kern w:val="2"/>
                <w:sz w:val="24"/>
                <w:szCs w:val="24"/>
                <w:highlight w:val="none"/>
                <w:lang w:val="en-US" w:eastAsia="zh-CN" w:bidi="ar-SA"/>
              </w:rPr>
              <w:t>16</w:t>
            </w:r>
            <w:r>
              <w:rPr>
                <w:rFonts w:hint="eastAsia" w:ascii="宋体" w:hAnsi="宋体" w:eastAsia="宋体" w:cs="宋体"/>
                <w:color w:val="auto"/>
                <w:kern w:val="2"/>
                <w:sz w:val="24"/>
                <w:szCs w:val="24"/>
                <w:highlight w:val="none"/>
                <w:lang w:val="en-US" w:eastAsia="zh-CN" w:bidi="ar-SA"/>
              </w:rPr>
              <w:t>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1288" w:type="dxa"/>
            <w:vMerge w:val="restart"/>
            <w:tcBorders>
              <w:top w:val="single" w:color="auto" w:sz="4" w:space="0"/>
              <w:left w:val="single" w:color="auto" w:sz="4" w:space="0"/>
              <w:right w:val="single" w:color="auto" w:sz="4" w:space="0"/>
            </w:tcBorders>
            <w:vAlign w:val="center"/>
          </w:tcPr>
          <w:p>
            <w:pPr>
              <w:pStyle w:val="19"/>
              <w:spacing w:line="360" w:lineRule="auto"/>
              <w:ind w:left="0" w:leftChars="0" w:firstLine="0" w:firstLineChars="0"/>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0"/>
                <w:sz w:val="24"/>
                <w:szCs w:val="24"/>
                <w:highlight w:val="none"/>
                <w:lang w:bidi="ar"/>
              </w:rPr>
              <w:t>项目实施方案</w:t>
            </w:r>
          </w:p>
        </w:tc>
        <w:tc>
          <w:tcPr>
            <w:tcW w:w="74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0"/>
                <w:sz w:val="24"/>
                <w:szCs w:val="24"/>
                <w:highlight w:val="none"/>
                <w:lang w:bidi="ar"/>
              </w:rPr>
              <w:t>根据投标人项目整体实施方案内容是否齐全、结构完整、表述准确、条理清晰程度等，其科学性、合理性、可行性</w:t>
            </w:r>
            <w:r>
              <w:rPr>
                <w:rFonts w:hint="eastAsia" w:ascii="宋体" w:hAnsi="宋体" w:eastAsia="宋体" w:cs="宋体"/>
                <w:color w:val="auto"/>
                <w:sz w:val="24"/>
                <w:szCs w:val="24"/>
                <w:highlight w:val="none"/>
                <w:shd w:val="clear" w:color="auto" w:fill="FFFFFF"/>
                <w:lang w:val="zh-CN"/>
              </w:rPr>
              <w:t>等几个方面由评委进行打分。</w:t>
            </w:r>
          </w:p>
        </w:tc>
        <w:tc>
          <w:tcPr>
            <w:tcW w:w="105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0"/>
                <w:sz w:val="24"/>
                <w:szCs w:val="24"/>
                <w:highlight w:val="none"/>
                <w:lang w:bidi="ar"/>
              </w:rPr>
              <w:t>0-</w:t>
            </w:r>
            <w:r>
              <w:rPr>
                <w:rFonts w:hint="eastAsia" w:ascii="宋体" w:hAnsi="宋体" w:cs="宋体"/>
                <w:color w:val="auto"/>
                <w:kern w:val="0"/>
                <w:sz w:val="24"/>
                <w:szCs w:val="24"/>
                <w:highlight w:val="none"/>
                <w:lang w:val="en-US" w:eastAsia="zh-CN" w:bidi="ar"/>
              </w:rPr>
              <w:t>3</w:t>
            </w:r>
            <w:r>
              <w:rPr>
                <w:rFonts w:hint="eastAsia" w:ascii="宋体" w:hAnsi="宋体" w:eastAsia="宋体" w:cs="宋体"/>
                <w:b w:val="0"/>
                <w:bCs/>
                <w:color w:val="auto"/>
                <w:sz w:val="24"/>
                <w:szCs w:val="24"/>
                <w:highlight w:val="none"/>
                <w:lang w:val="en-US" w:eastAsia="zh-CN"/>
              </w:rPr>
              <w:t>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1288" w:type="dxa"/>
            <w:vMerge w:val="continue"/>
            <w:tcBorders>
              <w:left w:val="single" w:color="auto" w:sz="4" w:space="0"/>
              <w:right w:val="single" w:color="auto" w:sz="4" w:space="0"/>
            </w:tcBorders>
            <w:vAlign w:val="center"/>
          </w:tcPr>
          <w:p>
            <w:pPr>
              <w:pStyle w:val="19"/>
              <w:spacing w:line="360" w:lineRule="auto"/>
              <w:ind w:firstLine="240" w:firstLineChars="100"/>
              <w:rPr>
                <w:rFonts w:hint="eastAsia" w:ascii="宋体" w:hAnsi="宋体" w:eastAsia="宋体" w:cs="宋体"/>
                <w:color w:val="auto"/>
                <w:kern w:val="2"/>
                <w:sz w:val="24"/>
                <w:szCs w:val="24"/>
                <w:highlight w:val="none"/>
                <w:lang w:eastAsia="zh-CN"/>
              </w:rPr>
            </w:pPr>
          </w:p>
        </w:tc>
        <w:tc>
          <w:tcPr>
            <w:tcW w:w="74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0"/>
                <w:sz w:val="24"/>
                <w:szCs w:val="24"/>
                <w:highlight w:val="none"/>
                <w:lang w:bidi="ar"/>
              </w:rPr>
              <w:t>根据投标人提供的产品性能及配置方案的技术先进、经济合理、实用可靠</w:t>
            </w:r>
            <w:r>
              <w:rPr>
                <w:rFonts w:hint="eastAsia" w:ascii="宋体" w:hAnsi="宋体" w:eastAsia="宋体" w:cs="宋体"/>
                <w:color w:val="auto"/>
                <w:sz w:val="24"/>
                <w:szCs w:val="24"/>
                <w:highlight w:val="none"/>
                <w:shd w:val="clear" w:color="auto" w:fill="FFFFFF"/>
                <w:lang w:val="zh-CN"/>
              </w:rPr>
              <w:t>等几个方面由评委进行打分。</w:t>
            </w:r>
          </w:p>
        </w:tc>
        <w:tc>
          <w:tcPr>
            <w:tcW w:w="105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0"/>
                <w:sz w:val="24"/>
                <w:szCs w:val="24"/>
                <w:highlight w:val="none"/>
                <w:lang w:bidi="ar"/>
              </w:rPr>
              <w:t>0-</w:t>
            </w:r>
            <w:r>
              <w:rPr>
                <w:rFonts w:hint="eastAsia" w:ascii="宋体" w:hAnsi="宋体" w:cs="宋体"/>
                <w:color w:val="auto"/>
                <w:kern w:val="0"/>
                <w:sz w:val="24"/>
                <w:szCs w:val="24"/>
                <w:highlight w:val="none"/>
                <w:lang w:val="en-US" w:eastAsia="zh-CN" w:bidi="ar"/>
              </w:rPr>
              <w:t>2</w:t>
            </w:r>
            <w:r>
              <w:rPr>
                <w:rFonts w:hint="eastAsia" w:ascii="宋体" w:hAnsi="宋体" w:eastAsia="宋体" w:cs="宋体"/>
                <w:b w:val="0"/>
                <w:bCs/>
                <w:color w:val="auto"/>
                <w:sz w:val="24"/>
                <w:szCs w:val="24"/>
                <w:highlight w:val="none"/>
                <w:lang w:val="en-US" w:eastAsia="zh-CN"/>
              </w:rPr>
              <w:t>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1288" w:type="dxa"/>
            <w:vMerge w:val="continue"/>
            <w:tcBorders>
              <w:left w:val="single" w:color="auto" w:sz="4" w:space="0"/>
              <w:right w:val="single" w:color="auto" w:sz="4" w:space="0"/>
            </w:tcBorders>
            <w:vAlign w:val="center"/>
          </w:tcPr>
          <w:p>
            <w:pPr>
              <w:pStyle w:val="20"/>
              <w:spacing w:line="360" w:lineRule="auto"/>
              <w:rPr>
                <w:rFonts w:hint="eastAsia" w:ascii="宋体" w:hAnsi="宋体" w:eastAsia="宋体" w:cs="宋体"/>
                <w:color w:val="auto"/>
                <w:kern w:val="2"/>
                <w:sz w:val="24"/>
                <w:szCs w:val="24"/>
                <w:highlight w:val="none"/>
                <w:lang w:eastAsia="zh-CN"/>
              </w:rPr>
            </w:pPr>
          </w:p>
        </w:tc>
        <w:tc>
          <w:tcPr>
            <w:tcW w:w="74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0"/>
                <w:sz w:val="24"/>
                <w:szCs w:val="24"/>
                <w:highlight w:val="none"/>
                <w:lang w:bidi="ar"/>
              </w:rPr>
              <w:t>根据投标人提供的各项设备整体技术方案是否具有先进性、科学性</w:t>
            </w:r>
            <w:r>
              <w:rPr>
                <w:rFonts w:hint="eastAsia" w:ascii="宋体" w:hAnsi="宋体" w:eastAsia="宋体" w:cs="宋体"/>
                <w:color w:val="auto"/>
                <w:sz w:val="24"/>
                <w:szCs w:val="24"/>
                <w:highlight w:val="none"/>
                <w:shd w:val="clear" w:color="auto" w:fill="FFFFFF"/>
                <w:lang w:val="zh-CN"/>
              </w:rPr>
              <w:t>等几个方面由评委进行打分。</w:t>
            </w:r>
          </w:p>
        </w:tc>
        <w:tc>
          <w:tcPr>
            <w:tcW w:w="105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0"/>
                <w:sz w:val="24"/>
                <w:szCs w:val="24"/>
                <w:highlight w:val="none"/>
                <w:lang w:bidi="ar"/>
              </w:rPr>
              <w:t>0-</w:t>
            </w:r>
            <w:r>
              <w:rPr>
                <w:rFonts w:hint="eastAsia" w:ascii="宋体" w:hAnsi="宋体" w:cs="宋体"/>
                <w:color w:val="auto"/>
                <w:kern w:val="0"/>
                <w:sz w:val="24"/>
                <w:szCs w:val="24"/>
                <w:highlight w:val="none"/>
                <w:lang w:val="en-US" w:eastAsia="zh-CN" w:bidi="ar"/>
              </w:rPr>
              <w:t>2</w:t>
            </w:r>
            <w:r>
              <w:rPr>
                <w:rFonts w:hint="eastAsia" w:ascii="宋体" w:hAnsi="宋体" w:eastAsia="宋体" w:cs="宋体"/>
                <w:b w:val="0"/>
                <w:bCs/>
                <w:color w:val="auto"/>
                <w:sz w:val="24"/>
                <w:szCs w:val="24"/>
                <w:highlight w:val="none"/>
                <w:lang w:val="en-US" w:eastAsia="zh-CN"/>
              </w:rPr>
              <w:t>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1288" w:type="dxa"/>
            <w:vMerge w:val="continue"/>
            <w:tcBorders>
              <w:left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24"/>
                <w:szCs w:val="24"/>
                <w:highlight w:val="none"/>
                <w:lang w:eastAsia="zh-CN"/>
              </w:rPr>
            </w:pPr>
          </w:p>
        </w:tc>
        <w:tc>
          <w:tcPr>
            <w:tcW w:w="74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0"/>
                <w:sz w:val="24"/>
                <w:szCs w:val="24"/>
                <w:highlight w:val="none"/>
                <w:lang w:bidi="ar"/>
              </w:rPr>
              <w:t>根据投标人整体实施方案的人力保证及响应投入</w:t>
            </w:r>
            <w:r>
              <w:rPr>
                <w:rFonts w:hint="eastAsia" w:ascii="宋体" w:hAnsi="宋体" w:eastAsia="宋体" w:cs="宋体"/>
                <w:color w:val="auto"/>
                <w:sz w:val="24"/>
                <w:szCs w:val="24"/>
                <w:highlight w:val="none"/>
                <w:shd w:val="clear" w:color="auto" w:fill="FFFFFF"/>
                <w:lang w:val="zh-CN"/>
              </w:rPr>
              <w:t>等几个方面由评委进行打分。</w:t>
            </w:r>
          </w:p>
        </w:tc>
        <w:tc>
          <w:tcPr>
            <w:tcW w:w="105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0"/>
                <w:sz w:val="24"/>
                <w:szCs w:val="24"/>
                <w:highlight w:val="none"/>
                <w:lang w:bidi="ar"/>
              </w:rPr>
              <w:t>0-</w:t>
            </w:r>
            <w:r>
              <w:rPr>
                <w:rFonts w:hint="eastAsia" w:ascii="宋体" w:hAnsi="宋体" w:cs="宋体"/>
                <w:color w:val="auto"/>
                <w:kern w:val="0"/>
                <w:sz w:val="24"/>
                <w:szCs w:val="24"/>
                <w:highlight w:val="none"/>
                <w:lang w:val="en-US" w:eastAsia="zh-CN" w:bidi="ar"/>
              </w:rPr>
              <w:t>2</w:t>
            </w:r>
            <w:r>
              <w:rPr>
                <w:rFonts w:hint="eastAsia" w:ascii="宋体" w:hAnsi="宋体" w:eastAsia="宋体" w:cs="宋体"/>
                <w:b w:val="0"/>
                <w:bCs/>
                <w:color w:val="auto"/>
                <w:sz w:val="24"/>
                <w:szCs w:val="24"/>
                <w:highlight w:val="none"/>
                <w:lang w:val="en-US" w:eastAsia="zh-CN"/>
              </w:rPr>
              <w:t>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1288" w:type="dxa"/>
            <w:vMerge w:val="continue"/>
            <w:tcBorders>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24"/>
                <w:szCs w:val="24"/>
                <w:highlight w:val="none"/>
                <w:lang w:eastAsia="zh-CN"/>
              </w:rPr>
            </w:pPr>
          </w:p>
        </w:tc>
        <w:tc>
          <w:tcPr>
            <w:tcW w:w="74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val="en-US" w:eastAsia="zh-CN" w:bidi="ar"/>
              </w:rPr>
              <w:t>投标人可自行勘探现场，</w:t>
            </w:r>
            <w:r>
              <w:rPr>
                <w:rFonts w:hint="eastAsia" w:ascii="宋体" w:hAnsi="宋体" w:eastAsia="宋体" w:cs="宋体"/>
                <w:color w:val="auto"/>
                <w:kern w:val="0"/>
                <w:sz w:val="24"/>
                <w:szCs w:val="24"/>
                <w:highlight w:val="none"/>
                <w:lang w:val="zh-CN" w:eastAsia="zh-CN" w:bidi="ar"/>
              </w:rPr>
              <w:t>施工图纸根据实际环境设计图纸并提供详细点位布置图、走线图、</w:t>
            </w:r>
            <w:r>
              <w:rPr>
                <w:rFonts w:hint="eastAsia" w:ascii="宋体" w:hAnsi="宋体" w:eastAsia="宋体" w:cs="宋体"/>
                <w:color w:val="auto"/>
                <w:kern w:val="0"/>
                <w:sz w:val="24"/>
                <w:szCs w:val="24"/>
                <w:highlight w:val="none"/>
                <w:lang w:val="en-US" w:eastAsia="zh-CN" w:bidi="ar"/>
              </w:rPr>
              <w:t>拓扑图等，并对其</w:t>
            </w:r>
            <w:r>
              <w:rPr>
                <w:rFonts w:hint="eastAsia" w:ascii="宋体" w:hAnsi="宋体" w:eastAsia="宋体" w:cs="宋体"/>
                <w:color w:val="auto"/>
                <w:kern w:val="0"/>
                <w:sz w:val="24"/>
                <w:szCs w:val="24"/>
                <w:highlight w:val="none"/>
                <w:lang w:val="zh-CN" w:eastAsia="zh-CN" w:bidi="ar"/>
              </w:rPr>
              <w:t>完整性</w:t>
            </w:r>
            <w:r>
              <w:rPr>
                <w:rFonts w:hint="eastAsia" w:ascii="宋体" w:hAnsi="宋体" w:cs="宋体"/>
                <w:color w:val="auto"/>
                <w:kern w:val="0"/>
                <w:sz w:val="24"/>
                <w:szCs w:val="24"/>
                <w:highlight w:val="none"/>
                <w:lang w:val="zh-CN" w:eastAsia="zh-CN" w:bidi="ar"/>
              </w:rPr>
              <w:t>（</w:t>
            </w:r>
            <w:r>
              <w:rPr>
                <w:rFonts w:hint="eastAsia" w:ascii="宋体" w:hAnsi="宋体" w:cs="宋体"/>
                <w:color w:val="auto"/>
                <w:kern w:val="0"/>
                <w:sz w:val="24"/>
                <w:szCs w:val="24"/>
                <w:highlight w:val="none"/>
                <w:lang w:val="en-US" w:eastAsia="zh-CN" w:bidi="ar"/>
              </w:rPr>
              <w:t>0-3</w:t>
            </w:r>
            <w:r>
              <w:rPr>
                <w:rFonts w:hint="eastAsia" w:ascii="宋体" w:hAnsi="宋体" w:cs="宋体"/>
                <w:color w:val="auto"/>
                <w:kern w:val="0"/>
                <w:sz w:val="24"/>
                <w:szCs w:val="24"/>
                <w:highlight w:val="none"/>
                <w:lang w:val="zh-CN" w:eastAsia="zh-CN" w:bidi="ar"/>
              </w:rPr>
              <w:t>）</w:t>
            </w:r>
            <w:r>
              <w:rPr>
                <w:rFonts w:hint="eastAsia" w:ascii="宋体" w:hAnsi="宋体" w:eastAsia="宋体" w:cs="宋体"/>
                <w:color w:val="auto"/>
                <w:kern w:val="0"/>
                <w:sz w:val="24"/>
                <w:szCs w:val="24"/>
                <w:highlight w:val="none"/>
                <w:lang w:val="zh-CN" w:eastAsia="zh-CN" w:bidi="ar"/>
              </w:rPr>
              <w:t>、合理性</w:t>
            </w:r>
            <w:r>
              <w:rPr>
                <w:rFonts w:hint="eastAsia" w:ascii="宋体" w:hAnsi="宋体" w:cs="宋体"/>
                <w:color w:val="auto"/>
                <w:kern w:val="0"/>
                <w:sz w:val="24"/>
                <w:szCs w:val="24"/>
                <w:highlight w:val="none"/>
                <w:lang w:val="zh-CN" w:eastAsia="zh-CN" w:bidi="ar"/>
              </w:rPr>
              <w:t>（</w:t>
            </w:r>
            <w:r>
              <w:rPr>
                <w:rFonts w:hint="eastAsia" w:ascii="宋体" w:hAnsi="宋体" w:cs="宋体"/>
                <w:color w:val="auto"/>
                <w:kern w:val="0"/>
                <w:sz w:val="24"/>
                <w:szCs w:val="24"/>
                <w:highlight w:val="none"/>
                <w:lang w:val="en-US" w:eastAsia="zh-CN" w:bidi="ar"/>
              </w:rPr>
              <w:t>0-2</w:t>
            </w:r>
            <w:r>
              <w:rPr>
                <w:rFonts w:hint="eastAsia" w:ascii="宋体" w:hAnsi="宋体" w:cs="宋体"/>
                <w:color w:val="auto"/>
                <w:kern w:val="0"/>
                <w:sz w:val="24"/>
                <w:szCs w:val="24"/>
                <w:highlight w:val="none"/>
                <w:lang w:val="zh-CN" w:eastAsia="zh-CN" w:bidi="ar"/>
              </w:rPr>
              <w:t>）</w:t>
            </w:r>
            <w:r>
              <w:rPr>
                <w:rFonts w:hint="eastAsia" w:ascii="宋体" w:hAnsi="宋体" w:eastAsia="宋体" w:cs="宋体"/>
                <w:color w:val="auto"/>
                <w:kern w:val="0"/>
                <w:sz w:val="24"/>
                <w:szCs w:val="24"/>
                <w:highlight w:val="none"/>
                <w:lang w:val="zh-CN" w:eastAsia="zh-CN" w:bidi="ar"/>
              </w:rPr>
              <w:t>、科学性</w:t>
            </w:r>
            <w:r>
              <w:rPr>
                <w:rFonts w:hint="eastAsia" w:ascii="宋体" w:hAnsi="宋体" w:cs="宋体"/>
                <w:color w:val="auto"/>
                <w:kern w:val="0"/>
                <w:sz w:val="24"/>
                <w:szCs w:val="24"/>
                <w:highlight w:val="none"/>
                <w:lang w:val="zh-CN" w:eastAsia="zh-CN" w:bidi="ar"/>
              </w:rPr>
              <w:t>（</w:t>
            </w:r>
            <w:r>
              <w:rPr>
                <w:rFonts w:hint="eastAsia" w:ascii="宋体" w:hAnsi="宋体" w:cs="宋体"/>
                <w:color w:val="auto"/>
                <w:kern w:val="0"/>
                <w:sz w:val="24"/>
                <w:szCs w:val="24"/>
                <w:highlight w:val="none"/>
                <w:lang w:val="en-US" w:eastAsia="zh-CN" w:bidi="ar"/>
              </w:rPr>
              <w:t>0-2</w:t>
            </w:r>
            <w:r>
              <w:rPr>
                <w:rFonts w:hint="eastAsia" w:ascii="宋体" w:hAnsi="宋体" w:cs="宋体"/>
                <w:color w:val="auto"/>
                <w:kern w:val="0"/>
                <w:sz w:val="24"/>
                <w:szCs w:val="24"/>
                <w:highlight w:val="none"/>
                <w:lang w:val="zh-CN" w:eastAsia="zh-CN" w:bidi="ar"/>
              </w:rPr>
              <w:t>）</w:t>
            </w:r>
            <w:r>
              <w:rPr>
                <w:rFonts w:hint="eastAsia" w:ascii="宋体" w:hAnsi="宋体" w:eastAsia="宋体" w:cs="宋体"/>
                <w:color w:val="auto"/>
                <w:kern w:val="0"/>
                <w:sz w:val="24"/>
                <w:szCs w:val="24"/>
                <w:highlight w:val="none"/>
                <w:lang w:val="zh-CN" w:eastAsia="zh-CN" w:bidi="ar"/>
              </w:rPr>
              <w:t>、先进性</w:t>
            </w:r>
            <w:r>
              <w:rPr>
                <w:rFonts w:hint="eastAsia" w:ascii="宋体" w:hAnsi="宋体" w:cs="宋体"/>
                <w:color w:val="auto"/>
                <w:sz w:val="24"/>
                <w:szCs w:val="24"/>
                <w:highlight w:val="none"/>
                <w:shd w:val="clear" w:color="auto" w:fill="FFFFFF"/>
                <w:lang w:val="zh-CN"/>
              </w:rPr>
              <w:t>（</w:t>
            </w:r>
            <w:r>
              <w:rPr>
                <w:rFonts w:hint="eastAsia" w:ascii="宋体" w:hAnsi="宋体" w:cs="宋体"/>
                <w:color w:val="auto"/>
                <w:sz w:val="24"/>
                <w:szCs w:val="24"/>
                <w:highlight w:val="none"/>
                <w:shd w:val="clear" w:color="auto" w:fill="FFFFFF"/>
                <w:lang w:val="en-US" w:eastAsia="zh-CN"/>
              </w:rPr>
              <w:t>0-3</w:t>
            </w:r>
            <w:r>
              <w:rPr>
                <w:rFonts w:hint="eastAsia" w:ascii="宋体" w:hAnsi="宋体" w:cs="宋体"/>
                <w:color w:val="auto"/>
                <w:sz w:val="24"/>
                <w:szCs w:val="24"/>
                <w:highlight w:val="none"/>
                <w:shd w:val="clear" w:color="auto" w:fill="FFFFFF"/>
                <w:lang w:val="zh-CN"/>
              </w:rPr>
              <w:t>）等</w:t>
            </w:r>
            <w:r>
              <w:rPr>
                <w:rFonts w:hint="eastAsia" w:ascii="宋体" w:hAnsi="宋体" w:eastAsia="宋体" w:cs="宋体"/>
                <w:color w:val="auto"/>
                <w:sz w:val="24"/>
                <w:szCs w:val="24"/>
                <w:highlight w:val="none"/>
                <w:shd w:val="clear" w:color="auto" w:fill="FFFFFF"/>
                <w:lang w:val="zh-CN"/>
              </w:rPr>
              <w:t>几个方面由评委进行打分</w:t>
            </w:r>
            <w:r>
              <w:rPr>
                <w:rFonts w:hint="eastAsia" w:ascii="宋体" w:hAnsi="宋体" w:eastAsia="宋体" w:cs="宋体"/>
                <w:color w:val="auto"/>
                <w:kern w:val="0"/>
                <w:sz w:val="24"/>
                <w:szCs w:val="24"/>
                <w:highlight w:val="none"/>
                <w:lang w:val="zh-CN" w:eastAsia="zh-CN" w:bidi="ar"/>
              </w:rPr>
              <w:t>。</w:t>
            </w:r>
          </w:p>
        </w:tc>
        <w:tc>
          <w:tcPr>
            <w:tcW w:w="105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0-</w:t>
            </w:r>
            <w:r>
              <w:rPr>
                <w:rFonts w:hint="eastAsia" w:ascii="宋体" w:hAnsi="宋体" w:cs="宋体"/>
                <w:color w:val="auto"/>
                <w:kern w:val="0"/>
                <w:sz w:val="24"/>
                <w:szCs w:val="24"/>
                <w:highlight w:val="none"/>
                <w:lang w:val="en-US" w:eastAsia="zh-CN" w:bidi="ar"/>
              </w:rPr>
              <w:t>10</w:t>
            </w:r>
            <w:r>
              <w:rPr>
                <w:rFonts w:hint="eastAsia" w:ascii="宋体" w:hAnsi="宋体" w:eastAsia="宋体" w:cs="宋体"/>
                <w:color w:val="auto"/>
                <w:kern w:val="0"/>
                <w:sz w:val="24"/>
                <w:szCs w:val="24"/>
                <w:highlight w:val="none"/>
                <w:lang w:val="en-US" w:eastAsia="zh-CN" w:bidi="ar"/>
              </w:rPr>
              <w:t>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128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0"/>
                <w:sz w:val="24"/>
                <w:szCs w:val="24"/>
                <w:highlight w:val="none"/>
                <w:lang w:bidi="ar"/>
              </w:rPr>
              <w:t>安装调试</w:t>
            </w:r>
            <w:r>
              <w:rPr>
                <w:rFonts w:hint="eastAsia" w:ascii="宋体" w:hAnsi="宋体" w:eastAsia="宋体" w:cs="宋体"/>
                <w:color w:val="auto"/>
                <w:kern w:val="0"/>
                <w:sz w:val="24"/>
                <w:szCs w:val="24"/>
                <w:highlight w:val="none"/>
                <w:lang w:val="zh-CN" w:bidi="ar"/>
              </w:rPr>
              <w:t>方案</w:t>
            </w:r>
          </w:p>
        </w:tc>
        <w:tc>
          <w:tcPr>
            <w:tcW w:w="74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0"/>
                <w:sz w:val="24"/>
                <w:szCs w:val="24"/>
                <w:highlight w:val="none"/>
                <w:lang w:val="zh-CN" w:bidi="ar"/>
              </w:rPr>
              <w:t>根据投标人提供的安装调试方案的合理性、规范性、可操作性</w:t>
            </w:r>
            <w:r>
              <w:rPr>
                <w:rFonts w:hint="eastAsia" w:ascii="宋体" w:hAnsi="宋体" w:eastAsia="宋体" w:cs="宋体"/>
                <w:color w:val="auto"/>
                <w:sz w:val="24"/>
                <w:szCs w:val="24"/>
                <w:highlight w:val="none"/>
                <w:shd w:val="clear" w:color="auto" w:fill="FFFFFF"/>
                <w:lang w:val="zh-CN"/>
              </w:rPr>
              <w:t>等几个方面由评委进行打分。</w:t>
            </w:r>
          </w:p>
        </w:tc>
        <w:tc>
          <w:tcPr>
            <w:tcW w:w="105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0"/>
                <w:sz w:val="24"/>
                <w:szCs w:val="24"/>
                <w:highlight w:val="none"/>
                <w:lang w:bidi="ar"/>
              </w:rPr>
              <w:t>0-</w:t>
            </w: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b w:val="0"/>
                <w:bCs/>
                <w:color w:val="auto"/>
                <w:sz w:val="24"/>
                <w:szCs w:val="24"/>
                <w:highlight w:val="none"/>
                <w:lang w:val="en-US" w:eastAsia="zh-CN"/>
              </w:rPr>
              <w:t>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128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0"/>
                <w:sz w:val="24"/>
                <w:szCs w:val="24"/>
                <w:highlight w:val="none"/>
                <w:lang w:bidi="ar"/>
              </w:rPr>
              <w:t>验收</w:t>
            </w:r>
            <w:r>
              <w:rPr>
                <w:rFonts w:hint="eastAsia" w:ascii="宋体" w:hAnsi="宋体" w:eastAsia="宋体" w:cs="宋体"/>
                <w:color w:val="auto"/>
                <w:kern w:val="0"/>
                <w:sz w:val="24"/>
                <w:szCs w:val="24"/>
                <w:highlight w:val="none"/>
                <w:lang w:val="zh-CN" w:bidi="ar"/>
              </w:rPr>
              <w:t>方案</w:t>
            </w:r>
          </w:p>
        </w:tc>
        <w:tc>
          <w:tcPr>
            <w:tcW w:w="74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0"/>
                <w:sz w:val="24"/>
                <w:szCs w:val="24"/>
                <w:highlight w:val="none"/>
                <w:lang w:val="zh-CN" w:bidi="ar"/>
              </w:rPr>
              <w:t>根据投标人提供的验收方案的合理性、规范性、可操作性</w:t>
            </w:r>
            <w:r>
              <w:rPr>
                <w:rFonts w:hint="eastAsia" w:ascii="宋体" w:hAnsi="宋体" w:eastAsia="宋体" w:cs="宋体"/>
                <w:color w:val="auto"/>
                <w:sz w:val="24"/>
                <w:szCs w:val="24"/>
                <w:highlight w:val="none"/>
                <w:shd w:val="clear" w:color="auto" w:fill="FFFFFF"/>
                <w:lang w:val="zh-CN"/>
              </w:rPr>
              <w:t>等几个方面由评委进行打分。</w:t>
            </w:r>
          </w:p>
        </w:tc>
        <w:tc>
          <w:tcPr>
            <w:tcW w:w="105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0"/>
                <w:sz w:val="24"/>
                <w:szCs w:val="24"/>
                <w:highlight w:val="none"/>
                <w:lang w:bidi="ar"/>
              </w:rPr>
              <w:t>0-</w:t>
            </w: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b w:val="0"/>
                <w:bCs/>
                <w:color w:val="auto"/>
                <w:sz w:val="24"/>
                <w:szCs w:val="24"/>
                <w:highlight w:val="none"/>
                <w:lang w:val="en-US" w:eastAsia="zh-CN"/>
              </w:rPr>
              <w:t>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128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0"/>
                <w:sz w:val="24"/>
                <w:szCs w:val="24"/>
                <w:highlight w:val="none"/>
                <w:lang w:val="zh-CN" w:bidi="ar"/>
              </w:rPr>
              <w:t>培训方案</w:t>
            </w:r>
          </w:p>
        </w:tc>
        <w:tc>
          <w:tcPr>
            <w:tcW w:w="74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0"/>
                <w:sz w:val="24"/>
                <w:szCs w:val="24"/>
                <w:highlight w:val="none"/>
                <w:lang w:val="zh-CN" w:bidi="ar"/>
              </w:rPr>
              <w:t>根据投标人对采购单位操作人员及管理人员提供的培训计划方案，评委根据培训的内容、时间、频率</w:t>
            </w:r>
            <w:r>
              <w:rPr>
                <w:rFonts w:hint="eastAsia" w:ascii="宋体" w:hAnsi="宋体" w:eastAsia="宋体" w:cs="宋体"/>
                <w:color w:val="auto"/>
                <w:sz w:val="24"/>
                <w:szCs w:val="24"/>
                <w:highlight w:val="none"/>
                <w:shd w:val="clear" w:color="auto" w:fill="FFFFFF"/>
                <w:lang w:val="zh-CN"/>
              </w:rPr>
              <w:t>等几个方面由评委进行打分。</w:t>
            </w:r>
          </w:p>
        </w:tc>
        <w:tc>
          <w:tcPr>
            <w:tcW w:w="105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0"/>
                <w:sz w:val="24"/>
                <w:szCs w:val="24"/>
                <w:highlight w:val="none"/>
                <w:lang w:bidi="ar"/>
              </w:rPr>
              <w:t>0-</w:t>
            </w:r>
            <w:r>
              <w:rPr>
                <w:rFonts w:hint="eastAsia" w:ascii="宋体" w:hAnsi="宋体" w:cs="宋体"/>
                <w:color w:val="auto"/>
                <w:kern w:val="0"/>
                <w:sz w:val="24"/>
                <w:szCs w:val="24"/>
                <w:highlight w:val="none"/>
                <w:lang w:val="en-US" w:eastAsia="zh-CN" w:bidi="ar"/>
              </w:rPr>
              <w:t>2</w:t>
            </w:r>
            <w:r>
              <w:rPr>
                <w:rFonts w:hint="eastAsia" w:ascii="宋体" w:hAnsi="宋体" w:eastAsia="宋体" w:cs="宋体"/>
                <w:b w:val="0"/>
                <w:bCs/>
                <w:color w:val="auto"/>
                <w:sz w:val="24"/>
                <w:szCs w:val="24"/>
                <w:highlight w:val="none"/>
                <w:lang w:val="en-US" w:eastAsia="zh-CN"/>
              </w:rPr>
              <w:t>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128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0"/>
                <w:sz w:val="24"/>
                <w:szCs w:val="24"/>
                <w:highlight w:val="none"/>
                <w:lang w:bidi="ar"/>
              </w:rPr>
              <w:t>应急预案</w:t>
            </w:r>
          </w:p>
        </w:tc>
        <w:tc>
          <w:tcPr>
            <w:tcW w:w="74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0"/>
                <w:sz w:val="24"/>
                <w:szCs w:val="24"/>
                <w:highlight w:val="none"/>
                <w:lang w:bidi="ar"/>
              </w:rPr>
              <w:t>根据投标人提供的应急预案，突击保障、突发问题解决、应急的响应速度以及处理方案等的可靠性、合理性</w:t>
            </w:r>
            <w:r>
              <w:rPr>
                <w:rFonts w:hint="eastAsia" w:ascii="宋体" w:hAnsi="宋体" w:eastAsia="宋体" w:cs="宋体"/>
                <w:color w:val="auto"/>
                <w:sz w:val="24"/>
                <w:szCs w:val="24"/>
                <w:highlight w:val="none"/>
                <w:shd w:val="clear" w:color="auto" w:fill="FFFFFF"/>
                <w:lang w:val="zh-CN"/>
              </w:rPr>
              <w:t>等几个方面由评委进行打分。</w:t>
            </w:r>
          </w:p>
        </w:tc>
        <w:tc>
          <w:tcPr>
            <w:tcW w:w="105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0"/>
                <w:sz w:val="24"/>
                <w:szCs w:val="24"/>
                <w:highlight w:val="none"/>
                <w:lang w:bidi="ar"/>
              </w:rPr>
              <w:t>0-</w:t>
            </w: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b w:val="0"/>
                <w:bCs/>
                <w:color w:val="auto"/>
                <w:sz w:val="24"/>
                <w:szCs w:val="24"/>
                <w:highlight w:val="none"/>
                <w:lang w:val="en-US" w:eastAsia="zh-CN"/>
              </w:rPr>
              <w:t>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12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0"/>
                <w:sz w:val="24"/>
                <w:szCs w:val="24"/>
                <w:highlight w:val="none"/>
                <w:lang w:bidi="ar"/>
              </w:rPr>
              <w:t>服务承诺</w:t>
            </w:r>
          </w:p>
        </w:tc>
        <w:tc>
          <w:tcPr>
            <w:tcW w:w="74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0"/>
                <w:sz w:val="24"/>
                <w:szCs w:val="24"/>
                <w:highlight w:val="none"/>
                <w:lang w:bidi="ar"/>
              </w:rPr>
              <w:t>根据投标人提供的技术服务维护承诺、设备维护承诺、维护人员配备、维护响应时间及质量承诺等情况，以及提供的后续技术支持</w:t>
            </w:r>
            <w:r>
              <w:rPr>
                <w:rFonts w:hint="eastAsia" w:ascii="宋体" w:hAnsi="宋体" w:eastAsia="宋体" w:cs="宋体"/>
                <w:color w:val="auto"/>
                <w:sz w:val="24"/>
                <w:szCs w:val="24"/>
                <w:highlight w:val="none"/>
                <w:shd w:val="clear" w:color="auto" w:fill="FFFFFF"/>
                <w:lang w:val="zh-CN"/>
              </w:rPr>
              <w:t>等几个方面由评委进行打分。</w:t>
            </w:r>
          </w:p>
        </w:tc>
        <w:tc>
          <w:tcPr>
            <w:tcW w:w="105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0"/>
                <w:sz w:val="24"/>
                <w:szCs w:val="24"/>
                <w:highlight w:val="none"/>
                <w:lang w:bidi="ar"/>
              </w:rPr>
              <w:t>0-</w:t>
            </w:r>
            <w:r>
              <w:rPr>
                <w:rFonts w:hint="eastAsia" w:ascii="宋体" w:hAnsi="宋体" w:cs="宋体"/>
                <w:color w:val="auto"/>
                <w:kern w:val="0"/>
                <w:sz w:val="24"/>
                <w:szCs w:val="24"/>
                <w:highlight w:val="none"/>
                <w:lang w:val="en-US" w:eastAsia="zh-CN" w:bidi="ar"/>
              </w:rPr>
              <w:t>2</w:t>
            </w:r>
            <w:r>
              <w:rPr>
                <w:rFonts w:hint="eastAsia" w:ascii="宋体" w:hAnsi="宋体" w:eastAsia="宋体" w:cs="宋体"/>
                <w:b w:val="0"/>
                <w:bCs/>
                <w:color w:val="auto"/>
                <w:sz w:val="24"/>
                <w:szCs w:val="24"/>
                <w:highlight w:val="none"/>
                <w:lang w:val="en-US" w:eastAsia="zh-CN"/>
              </w:rPr>
              <w:t>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12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eastAsia="zh-CN" w:bidi="ar"/>
              </w:rPr>
              <w:t>质保期</w:t>
            </w:r>
          </w:p>
        </w:tc>
        <w:tc>
          <w:tcPr>
            <w:tcW w:w="74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eastAsia="zh-CN" w:bidi="ar"/>
              </w:rPr>
              <w:t>本项目基础质保期为</w:t>
            </w:r>
            <w:r>
              <w:rPr>
                <w:rFonts w:hint="eastAsia" w:ascii="宋体" w:hAnsi="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val="en-US" w:eastAsia="zh-CN" w:bidi="ar"/>
              </w:rPr>
              <w:t>年，在此基础上，每增加一年，得1分，本项最高得</w:t>
            </w:r>
            <w:r>
              <w:rPr>
                <w:rFonts w:hint="eastAsia" w:ascii="宋体" w:hAnsi="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val="en-US" w:eastAsia="zh-CN" w:bidi="ar"/>
              </w:rPr>
              <w:t>分</w:t>
            </w:r>
            <w:r>
              <w:rPr>
                <w:rFonts w:hint="eastAsia" w:ascii="宋体" w:hAnsi="宋体" w:cs="宋体"/>
                <w:color w:val="auto"/>
                <w:kern w:val="0"/>
                <w:sz w:val="24"/>
                <w:szCs w:val="24"/>
                <w:highlight w:val="none"/>
                <w:lang w:val="en-US" w:eastAsia="zh-CN" w:bidi="ar"/>
              </w:rPr>
              <w:t>。</w:t>
            </w:r>
          </w:p>
        </w:tc>
        <w:tc>
          <w:tcPr>
            <w:tcW w:w="105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0-</w:t>
            </w:r>
            <w:r>
              <w:rPr>
                <w:rFonts w:hint="eastAsia" w:ascii="宋体" w:hAnsi="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val="en-US" w:eastAsia="zh-CN" w:bidi="ar"/>
              </w:rPr>
              <w:t>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12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val="en-US" w:eastAsia="zh-CN" w:bidi="ar"/>
              </w:rPr>
              <w:t>主要产品功能演示</w:t>
            </w:r>
          </w:p>
        </w:tc>
        <w:tc>
          <w:tcPr>
            <w:tcW w:w="74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360" w:lineRule="auto"/>
              <w:ind w:left="0" w:leftChars="0" w:right="0" w:rightChars="0" w:firstLine="0" w:firstLineChars="0"/>
              <w:jc w:val="left"/>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评委</w:t>
            </w:r>
            <w:r>
              <w:rPr>
                <w:rFonts w:hint="eastAsia" w:ascii="宋体" w:hAnsi="宋体" w:cs="宋体"/>
                <w:color w:val="auto"/>
                <w:sz w:val="24"/>
                <w:szCs w:val="24"/>
                <w:highlight w:val="none"/>
              </w:rPr>
              <w:t>对投标人提供的</w:t>
            </w:r>
            <w:r>
              <w:rPr>
                <w:rFonts w:hint="eastAsia" w:ascii="宋体" w:hAnsi="宋体" w:eastAsia="宋体" w:cs="宋体"/>
                <w:color w:val="auto"/>
                <w:kern w:val="2"/>
                <w:sz w:val="24"/>
                <w:szCs w:val="24"/>
                <w:highlight w:val="none"/>
                <w:lang w:val="en-US" w:eastAsia="zh-CN" w:bidi="ar-SA"/>
              </w:rPr>
              <w:t>校园智慧管理平台</w:t>
            </w:r>
            <w:r>
              <w:rPr>
                <w:rFonts w:hint="eastAsia" w:ascii="宋体" w:hAnsi="宋体" w:cs="宋体"/>
                <w:color w:val="auto"/>
                <w:kern w:val="2"/>
                <w:sz w:val="24"/>
                <w:szCs w:val="24"/>
                <w:highlight w:val="none"/>
                <w:lang w:val="en-US" w:eastAsia="zh-CN" w:bidi="ar-SA"/>
              </w:rPr>
              <w:t>及智慧体育</w:t>
            </w:r>
            <w:r>
              <w:rPr>
                <w:rFonts w:hint="eastAsia" w:ascii="宋体" w:hAnsi="宋体" w:eastAsia="宋体" w:cs="宋体"/>
                <w:color w:val="auto"/>
                <w:kern w:val="2"/>
                <w:sz w:val="24"/>
                <w:szCs w:val="24"/>
                <w:highlight w:val="none"/>
                <w:lang w:val="en-US" w:eastAsia="zh-CN" w:bidi="ar-SA"/>
              </w:rPr>
              <w:t>演示</w:t>
            </w:r>
            <w:r>
              <w:rPr>
                <w:rFonts w:hint="eastAsia" w:ascii="宋体" w:hAnsi="宋体" w:cs="宋体"/>
                <w:color w:val="auto"/>
                <w:sz w:val="24"/>
                <w:szCs w:val="24"/>
                <w:highlight w:val="none"/>
              </w:rPr>
              <w:t>内容</w:t>
            </w:r>
            <w:r>
              <w:rPr>
                <w:rFonts w:hint="eastAsia" w:ascii="宋体" w:hAnsi="宋体" w:cs="宋体"/>
                <w:color w:val="auto"/>
                <w:sz w:val="24"/>
                <w:szCs w:val="24"/>
                <w:highlight w:val="none"/>
                <w:lang w:eastAsia="zh-CN"/>
              </w:rPr>
              <w:t>的完整性、可操作性、</w:t>
            </w:r>
            <w:r>
              <w:rPr>
                <w:rFonts w:hint="eastAsia" w:ascii="宋体" w:hAnsi="宋体" w:eastAsia="宋体" w:cs="宋体"/>
                <w:color w:val="auto"/>
                <w:kern w:val="0"/>
                <w:sz w:val="24"/>
                <w:szCs w:val="24"/>
                <w:highlight w:val="none"/>
                <w:lang w:val="zh-CN" w:eastAsia="zh-CN" w:bidi="ar"/>
              </w:rPr>
              <w:t>先进性等几个方面由评委进行打分</w:t>
            </w:r>
            <w:r>
              <w:rPr>
                <w:rFonts w:hint="eastAsia" w:ascii="宋体" w:hAnsi="宋体" w:cs="宋体"/>
                <w:color w:val="auto"/>
                <w:sz w:val="24"/>
                <w:szCs w:val="24"/>
                <w:highlight w:val="none"/>
                <w:lang w:eastAsia="zh-CN"/>
              </w:rPr>
              <w:t>：</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360" w:lineRule="auto"/>
              <w:ind w:left="0" w:leftChars="0" w:right="0" w:righ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智慧校园信息数据管理指挥中心软件：（</w:t>
            </w:r>
            <w:r>
              <w:rPr>
                <w:rFonts w:hint="eastAsia" w:ascii="宋体" w:hAnsi="宋体" w:cs="宋体"/>
                <w:color w:val="auto"/>
                <w:kern w:val="2"/>
                <w:sz w:val="24"/>
                <w:szCs w:val="24"/>
                <w:highlight w:val="none"/>
                <w:lang w:val="en-US" w:eastAsia="zh-CN" w:bidi="ar-SA"/>
              </w:rPr>
              <w:t>0-5分</w:t>
            </w:r>
            <w:r>
              <w:rPr>
                <w:rFonts w:hint="eastAsia" w:ascii="宋体" w:hAnsi="宋体" w:eastAsia="宋体" w:cs="宋体"/>
                <w:color w:val="auto"/>
                <w:kern w:val="2"/>
                <w:sz w:val="24"/>
                <w:szCs w:val="24"/>
                <w:highlight w:val="none"/>
                <w:lang w:val="en-US" w:eastAsia="zh-CN" w:bidi="ar-SA"/>
              </w:rPr>
              <w:t>）</w:t>
            </w:r>
          </w:p>
          <w:p>
            <w:pPr>
              <w:keepNext w:val="0"/>
              <w:keepLines w:val="0"/>
              <w:pageBreakBefore w:val="0"/>
              <w:widowControl w:val="0"/>
              <w:numPr>
                <w:ilvl w:val="-1"/>
                <w:numId w:val="0"/>
              </w:numPr>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360" w:lineRule="auto"/>
              <w:ind w:left="0" w:leftChars="0" w:right="0" w:righ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1.1 智慧校园应用总览：支持按九大中心架构分类显示各级应用，并支持第三方应用接入，对接九大中心各子系统后，可显示师生在校状态（包含到校、请假人数展示）、教室使用情况、校园人/车出入情况、当前访客人数，教室、后勤以及电子资源和课程应用情况。</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360" w:lineRule="auto"/>
              <w:ind w:left="0" w:leftChars="0" w:right="0" w:righ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1.2 物联网设备管理中心：支持对接各楼宇部署的远程管控、故障诊断系统、服务器管理、电视墙小屏管控等系统，可显示教室数量、故障率、使用情况以及检测报告，通过检测报告查看各教室设备运行状态，对紧急故障设备及时处理，可显示各服务器运行情况等详细信息，动态显示教室故障信息。支持管理控制电视墙小屏幕显示内容。</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360" w:lineRule="auto"/>
              <w:ind w:left="0" w:leftChars="0" w:right="0" w:righ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1.3 校园大数据中心：支持对接大数据中心系统，支持按师生主要活动大数据、学生成绩大数据、资源建设及应用大数据、信息化建设及使用大数据、校园安全大数据多个维度进行数据分析，并图形化展示。</w:t>
            </w:r>
          </w:p>
          <w:p>
            <w:pPr>
              <w:keepNext w:val="0"/>
              <w:keepLines w:val="0"/>
              <w:pageBreakBefore w:val="0"/>
              <w:widowControl w:val="0"/>
              <w:numPr>
                <w:ilvl w:val="-1"/>
                <w:numId w:val="0"/>
              </w:numPr>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360" w:lineRule="auto"/>
              <w:ind w:leftChars="0" w:firstLine="0" w:firstLineChars="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 数据资产管理：支持手动录入元数据、导入元数据、从数据源采集元数据，并可对元数据进行分组管理；支持数据按通用数据仓库结构（ODS、DWD、DWS、ADS）进行分层分主题存储，可根据元数据为每个主题数仓建立数据表结构，可新建、编辑、删除数据表,并选择是否按学期统一分表。</w:t>
            </w:r>
          </w:p>
          <w:p>
            <w:pPr>
              <w:keepNext w:val="0"/>
              <w:keepLines w:val="0"/>
              <w:pageBreakBefore w:val="0"/>
              <w:widowControl w:val="0"/>
              <w:numPr>
                <w:ilvl w:val="-1"/>
                <w:numId w:val="0"/>
              </w:numPr>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360" w:lineRule="auto"/>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2、校园教务（管理）软件</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0-5分</w:t>
            </w:r>
            <w:r>
              <w:rPr>
                <w:rFonts w:hint="eastAsia" w:ascii="宋体" w:hAnsi="宋体" w:eastAsia="宋体" w:cs="宋体"/>
                <w:color w:val="auto"/>
                <w:kern w:val="2"/>
                <w:sz w:val="24"/>
                <w:szCs w:val="24"/>
                <w:highlight w:val="none"/>
                <w:lang w:val="en-US" w:eastAsia="zh-CN" w:bidi="ar-SA"/>
              </w:rPr>
              <w:t>）</w:t>
            </w:r>
          </w:p>
          <w:p>
            <w:pPr>
              <w:keepNext w:val="0"/>
              <w:keepLines w:val="0"/>
              <w:pageBreakBefore w:val="0"/>
              <w:widowControl w:val="0"/>
              <w:numPr>
                <w:ilvl w:val="-1"/>
                <w:numId w:val="0"/>
              </w:numPr>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360" w:lineRule="auto"/>
              <w:ind w:firstLine="0" w:firstLineChars="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2.1 教学课表 ：支持管理员查看和管理学科信息，包括学科名称、开课年级、教研组长、设置上课节次、上课时间、课表信息、调课等，并可对课表进行导入、导出，可查看所有年级调课日志；支持对接智能选课系统，管理员可添加选课任务，给选课年级的学生设置选课任务。系统可根据自定义排课规则，合理对每个班级生成课表。</w:t>
            </w:r>
          </w:p>
          <w:p>
            <w:pPr>
              <w:keepNext w:val="0"/>
              <w:keepLines w:val="0"/>
              <w:pageBreakBefore w:val="0"/>
              <w:widowControl w:val="0"/>
              <w:numPr>
                <w:ilvl w:val="-1"/>
                <w:numId w:val="0"/>
              </w:numPr>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360" w:lineRule="auto"/>
              <w:ind w:firstLine="0" w:firstLineChars="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2.2 荣誉管理：支持管理员管理荣誉称号相关信息，如新增荣誉类别、设置荣誉名称和级别、授予教师荣誉称号、可查看荣誉称号授予详细信息，包括荣誉总数、个人荣誉次数以及按等级分类显示荣誉次数，可按学期对荣誉称号进行数据统计和展示。</w:t>
            </w:r>
          </w:p>
          <w:p>
            <w:pPr>
              <w:keepNext w:val="0"/>
              <w:keepLines w:val="0"/>
              <w:pageBreakBefore w:val="0"/>
              <w:widowControl w:val="0"/>
              <w:numPr>
                <w:ilvl w:val="-1"/>
                <w:numId w:val="0"/>
              </w:numPr>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360" w:lineRule="auto"/>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2.3 成绩管理：支持管理员根据学院、年级、专业、班级和学科联动查询学生成绩信息，可查看包括学科类型、学科性质、考核方式以及学分、绩点成绩；根据查询列表导出学生成绩。支持对成绩单进行设置，包括电子校徽、学校电子章以及教务电子章上传以及成绩单显示内容。</w:t>
            </w:r>
          </w:p>
          <w:p>
            <w:pPr>
              <w:keepNext w:val="0"/>
              <w:keepLines w:val="0"/>
              <w:pageBreakBefore w:val="0"/>
              <w:widowControl w:val="0"/>
              <w:numPr>
                <w:ilvl w:val="0"/>
                <w:numId w:val="13"/>
              </w:numPr>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360" w:lineRule="auto"/>
              <w:ind w:firstLine="0" w:firstLineChars="0"/>
              <w:jc w:val="left"/>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智慧体育：</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0-5分</w:t>
            </w:r>
            <w:r>
              <w:rPr>
                <w:rFonts w:hint="eastAsia" w:ascii="宋体" w:hAnsi="宋体" w:eastAsia="宋体" w:cs="宋体"/>
                <w:color w:val="auto"/>
                <w:kern w:val="2"/>
                <w:sz w:val="24"/>
                <w:szCs w:val="24"/>
                <w:highlight w:val="none"/>
                <w:lang w:val="en-US" w:eastAsia="zh-CN" w:bidi="ar-SA"/>
              </w:rPr>
              <w:t>）</w:t>
            </w:r>
          </w:p>
          <w:p>
            <w:pPr>
              <w:keepNext w:val="0"/>
              <w:keepLines w:val="0"/>
              <w:pageBreakBefore w:val="0"/>
              <w:widowControl w:val="0"/>
              <w:numPr>
                <w:ilvl w:val="-1"/>
                <w:numId w:val="0"/>
              </w:numPr>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360" w:lineRule="auto"/>
              <w:ind w:firstLine="0" w:firstLineChars="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3.1 学生通过看摄像头，自动识别学生人脸，显示学生个人运动档案：个人信息、体育综合评分、体育运动评分、本学期运动天数、身体形态、身体机能、运动能力图5个维度（力量、耐力、速度、柔韧、灵敏）、体质评定及运动处方，校长通过看摄像头，自动识别校长人脸，显示近一个月全校学生运动档案：总运动人次、跳绳排行榜、跳远排行榜、各项运动达标率、成绩统计、各项活跃度、优秀年级占比排名、日运动趋势图。</w:t>
            </w:r>
          </w:p>
          <w:p>
            <w:pPr>
              <w:keepNext w:val="0"/>
              <w:keepLines w:val="0"/>
              <w:pageBreakBefore w:val="0"/>
              <w:widowControl w:val="0"/>
              <w:numPr>
                <w:ilvl w:val="-1"/>
                <w:numId w:val="0"/>
              </w:numPr>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360" w:lineRule="auto"/>
              <w:ind w:firstLine="0" w:firstLineChars="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3.2 手机APP</w:t>
            </w:r>
          </w:p>
          <w:p>
            <w:pPr>
              <w:keepNext w:val="0"/>
              <w:keepLines w:val="0"/>
              <w:pageBreakBefore w:val="0"/>
              <w:widowControl w:val="0"/>
              <w:numPr>
                <w:ilvl w:val="-1"/>
                <w:numId w:val="0"/>
              </w:numPr>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360" w:lineRule="auto"/>
              <w:ind w:firstLine="0" w:firstLineChars="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支持老师通过APP布置的单日、周期体育作业；学生家庭体育作业打卡提交，与校端APP数据同步，学生在家通过APP对着手机或者平板摄像头完成作业，老师可查看学生完成作业情况。</w:t>
            </w:r>
          </w:p>
          <w:p>
            <w:pPr>
              <w:keepNext w:val="0"/>
              <w:keepLines w:val="0"/>
              <w:pageBreakBefore w:val="0"/>
              <w:widowControl w:val="0"/>
              <w:numPr>
                <w:ilvl w:val="-1"/>
                <w:numId w:val="0"/>
              </w:numPr>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360" w:lineRule="auto"/>
              <w:ind w:firstLine="0" w:firstLineChars="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学生在家对着手机摄像头或者平板摄像头进行跳绳、开合跳、高抬腿、深蹲等运动，视频 AI可以自动识别动作并进行计数，运动完成后，系统会生成运动报告，方便学生和家长进行查看。</w:t>
            </w:r>
          </w:p>
          <w:p>
            <w:pPr>
              <w:keepNext w:val="0"/>
              <w:keepLines w:val="0"/>
              <w:pageBreakBefore w:val="0"/>
              <w:widowControl w:val="0"/>
              <w:numPr>
                <w:ilvl w:val="-1"/>
                <w:numId w:val="0"/>
              </w:numPr>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360" w:lineRule="auto"/>
              <w:ind w:firstLine="0" w:firstLineChars="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3.3 运动过程中应可实现人脸识别、身份信息匹配，支持基于视频实现立定跳远测距，自动识别踩线、单脚起跳、垫步跳、出界等犯规提示、成绩实时交互，支持手机移动端投屏，逐帧回放、慢速回放等控制，支持在大屏端回放显示。</w:t>
            </w:r>
          </w:p>
          <w:p>
            <w:pPr>
              <w:keepNext w:val="0"/>
              <w:keepLines w:val="0"/>
              <w:pageBreakBefore w:val="0"/>
              <w:widowControl w:val="0"/>
              <w:numPr>
                <w:ilvl w:val="-1"/>
                <w:numId w:val="0"/>
              </w:numPr>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360" w:lineRule="auto"/>
              <w:ind w:firstLine="0" w:firstLineChars="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3.4 在1个摄像头下，可支持3人运动同时计时计数，运动过程中实现人脸识别、身份信息匹配，支持前端大屏仰卧起坐过程数据实时显示，支持前端大屏结束后的计数呈现。支持动作不规范(顶胯、未抱头、未触膝)违规不计数，记录并显示违规个数。</w:t>
            </w:r>
          </w:p>
          <w:p>
            <w:pPr>
              <w:widowControl/>
              <w:spacing w:line="360" w:lineRule="auto"/>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b/>
                <w:bCs/>
                <w:color w:val="auto"/>
                <w:kern w:val="2"/>
                <w:sz w:val="24"/>
                <w:szCs w:val="24"/>
                <w:highlight w:val="none"/>
                <w:lang w:val="en-US" w:eastAsia="zh-CN" w:bidi="ar-SA"/>
              </w:rPr>
              <w:t>注：</w:t>
            </w:r>
            <w:r>
              <w:rPr>
                <w:rFonts w:hint="eastAsia" w:ascii="宋体" w:hAnsi="宋体"/>
                <w:b/>
                <w:color w:val="auto"/>
                <w:sz w:val="24"/>
                <w:szCs w:val="24"/>
                <w:highlight w:val="none"/>
              </w:rPr>
              <w:t>演示环节投标人需提供影像、视频解说等电子资料，存储介质（U盘）密封完整，并标记单位名称、项目名称和项目编号，于投标截止时间前递交（建议顺丰邮寄形式）给招标代理机构（地址：衢州市九华北大道509号2#楼二单元九楼。)，不演示不得分。</w:t>
            </w:r>
          </w:p>
        </w:tc>
        <w:tc>
          <w:tcPr>
            <w:tcW w:w="105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0-</w:t>
            </w:r>
            <w:r>
              <w:rPr>
                <w:rFonts w:hint="eastAsia" w:ascii="宋体" w:hAnsi="宋体" w:cs="宋体"/>
                <w:color w:val="auto"/>
                <w:kern w:val="0"/>
                <w:sz w:val="24"/>
                <w:szCs w:val="24"/>
                <w:highlight w:val="none"/>
                <w:lang w:val="en-US" w:eastAsia="zh-CN" w:bidi="ar"/>
              </w:rPr>
              <w:t>15</w:t>
            </w:r>
            <w:r>
              <w:rPr>
                <w:rFonts w:hint="eastAsia" w:ascii="宋体" w:hAnsi="宋体" w:eastAsia="宋体" w:cs="宋体"/>
                <w:color w:val="auto"/>
                <w:kern w:val="0"/>
                <w:sz w:val="24"/>
                <w:szCs w:val="24"/>
                <w:highlight w:val="none"/>
                <w:lang w:val="en-US" w:eastAsia="zh-CN" w:bidi="ar"/>
              </w:rPr>
              <w:t>分</w:t>
            </w:r>
          </w:p>
        </w:tc>
      </w:tr>
    </w:tbl>
    <w:p>
      <w:pPr>
        <w:pStyle w:val="56"/>
        <w:spacing w:line="360" w:lineRule="auto"/>
        <w:ind w:firstLine="0" w:firstLineChars="0"/>
        <w:rPr>
          <w:rStyle w:val="605"/>
          <w:rFonts w:hint="eastAsia" w:ascii="宋体" w:hAnsi="宋体" w:eastAsia="宋体" w:cs="宋体"/>
          <w:color w:val="auto"/>
          <w:sz w:val="24"/>
          <w:szCs w:val="24"/>
          <w:highlight w:val="none"/>
          <w:lang w:val="zh-TW"/>
        </w:rPr>
      </w:pPr>
      <w:r>
        <w:rPr>
          <w:rStyle w:val="605"/>
          <w:rFonts w:hint="eastAsia" w:ascii="宋体" w:hAnsi="宋体" w:eastAsia="宋体" w:cs="宋体"/>
          <w:color w:val="auto"/>
          <w:sz w:val="24"/>
          <w:szCs w:val="24"/>
          <w:highlight w:val="none"/>
          <w:lang w:val="zh-TW"/>
        </w:rPr>
        <w:t>（1）</w:t>
      </w:r>
      <w:r>
        <w:rPr>
          <w:rStyle w:val="605"/>
          <w:rFonts w:hint="eastAsia" w:ascii="宋体" w:hAnsi="宋体" w:eastAsia="宋体" w:cs="宋体"/>
          <w:color w:val="auto"/>
          <w:sz w:val="24"/>
          <w:szCs w:val="24"/>
          <w:highlight w:val="none"/>
          <w:lang w:val="zh-TW" w:eastAsia="zh-TW"/>
        </w:rPr>
        <w:t>评标委员会根据表格，对各投标单位的商务技术标进行书面审核和评论后，由各专家独立</w:t>
      </w:r>
      <w:r>
        <w:rPr>
          <w:rStyle w:val="605"/>
          <w:rFonts w:hint="eastAsia" w:ascii="宋体" w:hAnsi="宋体" w:eastAsia="宋体" w:cs="宋体"/>
          <w:color w:val="auto"/>
          <w:sz w:val="24"/>
          <w:szCs w:val="24"/>
          <w:highlight w:val="none"/>
        </w:rPr>
        <w:t>评</w:t>
      </w:r>
      <w:r>
        <w:rPr>
          <w:rStyle w:val="605"/>
          <w:rFonts w:hint="eastAsia" w:ascii="宋体" w:hAnsi="宋体" w:eastAsia="宋体" w:cs="宋体"/>
          <w:color w:val="auto"/>
          <w:sz w:val="24"/>
          <w:szCs w:val="24"/>
          <w:highlight w:val="none"/>
          <w:lang w:val="zh-TW" w:eastAsia="zh-TW"/>
        </w:rPr>
        <w:t>分，打分时保留小数</w:t>
      </w:r>
      <w:r>
        <w:rPr>
          <w:rStyle w:val="605"/>
          <w:rFonts w:hint="eastAsia" w:ascii="宋体" w:hAnsi="宋体" w:eastAsia="宋体" w:cs="宋体"/>
          <w:color w:val="auto"/>
          <w:sz w:val="24"/>
          <w:szCs w:val="24"/>
          <w:highlight w:val="none"/>
          <w:lang w:val="zh-TW"/>
        </w:rPr>
        <w:t>1</w:t>
      </w:r>
      <w:r>
        <w:rPr>
          <w:rStyle w:val="605"/>
          <w:rFonts w:hint="eastAsia" w:ascii="宋体" w:hAnsi="宋体" w:eastAsia="宋体" w:cs="宋体"/>
          <w:color w:val="auto"/>
          <w:sz w:val="24"/>
          <w:szCs w:val="24"/>
          <w:highlight w:val="none"/>
          <w:lang w:val="zh-TW" w:eastAsia="zh-TW"/>
        </w:rPr>
        <w:t>位，每人一份评分表，并签名。在统计得分时，如果发现某一单项评分超过评分细则规定的分值范围，则该张评分表无效。投标人商务技术的最终得分为评标专家组成员的有效评分的算术平均值。计算时保留小数</w:t>
      </w:r>
      <w:r>
        <w:rPr>
          <w:rStyle w:val="605"/>
          <w:rFonts w:hint="eastAsia" w:ascii="宋体" w:hAnsi="宋体" w:eastAsia="宋体" w:cs="宋体"/>
          <w:color w:val="auto"/>
          <w:sz w:val="24"/>
          <w:szCs w:val="24"/>
          <w:highlight w:val="none"/>
          <w:lang w:val="zh-TW"/>
        </w:rPr>
        <w:t>2</w:t>
      </w:r>
      <w:r>
        <w:rPr>
          <w:rStyle w:val="605"/>
          <w:rFonts w:hint="eastAsia" w:ascii="宋体" w:hAnsi="宋体" w:eastAsia="宋体" w:cs="宋体"/>
          <w:color w:val="auto"/>
          <w:sz w:val="24"/>
          <w:szCs w:val="24"/>
          <w:highlight w:val="none"/>
          <w:lang w:val="zh-TW" w:eastAsia="zh-TW"/>
        </w:rPr>
        <w:t>位</w:t>
      </w:r>
      <w:r>
        <w:rPr>
          <w:rStyle w:val="605"/>
          <w:rFonts w:hint="eastAsia" w:ascii="宋体" w:hAnsi="宋体" w:eastAsia="宋体" w:cs="宋体"/>
          <w:color w:val="auto"/>
          <w:sz w:val="24"/>
          <w:szCs w:val="24"/>
          <w:highlight w:val="none"/>
          <w:lang w:val="zh-TW"/>
        </w:rPr>
        <w:t>。</w:t>
      </w:r>
    </w:p>
    <w:p>
      <w:pPr>
        <w:pStyle w:val="56"/>
        <w:spacing w:line="360" w:lineRule="auto"/>
        <w:ind w:firstLine="240" w:firstLineChars="100"/>
        <w:rPr>
          <w:rStyle w:val="605"/>
          <w:rFonts w:hint="eastAsia" w:ascii="宋体" w:hAnsi="宋体" w:eastAsia="宋体" w:cs="宋体"/>
          <w:color w:val="auto"/>
          <w:sz w:val="24"/>
          <w:szCs w:val="24"/>
          <w:highlight w:val="none"/>
          <w:lang w:val="zh-TW"/>
        </w:rPr>
      </w:pPr>
      <w:r>
        <w:rPr>
          <w:rStyle w:val="605"/>
          <w:rFonts w:hint="eastAsia" w:ascii="宋体" w:hAnsi="宋体" w:eastAsia="宋体" w:cs="宋体"/>
          <w:color w:val="auto"/>
          <w:sz w:val="24"/>
          <w:szCs w:val="24"/>
          <w:highlight w:val="none"/>
          <w:lang w:val="zh-TW"/>
        </w:rPr>
        <w:t>（2）</w:t>
      </w:r>
      <w:r>
        <w:rPr>
          <w:rStyle w:val="605"/>
          <w:rFonts w:hint="eastAsia" w:ascii="宋体" w:hAnsi="宋体" w:eastAsia="宋体" w:cs="宋体"/>
          <w:color w:val="auto"/>
          <w:sz w:val="24"/>
          <w:szCs w:val="24"/>
          <w:highlight w:val="none"/>
          <w:lang w:val="zh-TW" w:eastAsia="zh-TW"/>
        </w:rPr>
        <w:t>评标委员会全体人员对评分细则和投标文件，充分讨论后，按少数服从多数的原则集体统一评分。</w:t>
      </w:r>
    </w:p>
    <w:p>
      <w:pPr>
        <w:pStyle w:val="584"/>
        <w:spacing w:line="360" w:lineRule="auto"/>
        <w:ind w:firstLine="240" w:firstLineChars="100"/>
        <w:rPr>
          <w:rStyle w:val="606"/>
          <w:rFonts w:hint="eastAsia" w:ascii="宋体" w:hAnsi="宋体" w:eastAsia="宋体" w:cs="宋体"/>
          <w:b/>
          <w:bCs/>
          <w:color w:val="auto"/>
          <w:szCs w:val="24"/>
          <w:highlight w:val="none"/>
        </w:rPr>
      </w:pPr>
      <w:r>
        <w:rPr>
          <w:rStyle w:val="605"/>
          <w:rFonts w:hint="eastAsia" w:ascii="宋体" w:hAnsi="宋体" w:eastAsia="宋体" w:cs="宋体"/>
          <w:color w:val="auto"/>
          <w:szCs w:val="24"/>
          <w:highlight w:val="none"/>
          <w:lang w:val="zh-TW"/>
        </w:rPr>
        <w:t>（3）</w:t>
      </w:r>
      <w:r>
        <w:rPr>
          <w:rStyle w:val="605"/>
          <w:rFonts w:hint="eastAsia" w:ascii="宋体" w:hAnsi="宋体" w:eastAsia="宋体" w:cs="宋体"/>
          <w:color w:val="auto"/>
          <w:szCs w:val="24"/>
          <w:highlight w:val="none"/>
          <w:lang w:val="zh-TW" w:eastAsia="zh-TW"/>
        </w:rPr>
        <w:t>分析总报价及各个分项报价是否合理、报价范围是否完整、有否重大错漏项。如评标委员会一致认为最低投标报价或某些分项明显不合理，有降低质量、不能诚信履约的可能时，评标委员会有权通知投标方限期进行解释。如投标方未在规定期限内做出解释，或所作解释不合理，经评标委员会取得一致意见后，可确定该投标为无效报价。</w:t>
      </w:r>
    </w:p>
    <w:p>
      <w:pPr>
        <w:pStyle w:val="56"/>
        <w:spacing w:line="360" w:lineRule="auto"/>
        <w:ind w:firstLine="241" w:firstLineChars="100"/>
        <w:rPr>
          <w:rStyle w:val="606"/>
          <w:rFonts w:hint="eastAsia" w:ascii="宋体" w:hAnsi="宋体" w:eastAsia="宋体" w:cs="宋体"/>
          <w:b/>
          <w:bCs/>
          <w:color w:val="auto"/>
          <w:sz w:val="24"/>
          <w:szCs w:val="24"/>
          <w:highlight w:val="none"/>
          <w:lang w:val="zh-TW" w:eastAsia="zh-TW"/>
        </w:rPr>
      </w:pPr>
      <w:r>
        <w:rPr>
          <w:rStyle w:val="606"/>
          <w:rFonts w:hint="eastAsia" w:ascii="宋体" w:hAnsi="宋体" w:eastAsia="宋体" w:cs="宋体"/>
          <w:b/>
          <w:bCs/>
          <w:color w:val="auto"/>
          <w:sz w:val="24"/>
          <w:szCs w:val="24"/>
          <w:highlight w:val="none"/>
          <w:lang w:val="zh-TW" w:eastAsia="zh-TW"/>
        </w:rPr>
        <w:t>评标委员会将推荐综合评分最高的投标者为中标候选人。</w:t>
      </w:r>
    </w:p>
    <w:p>
      <w:pPr>
        <w:pStyle w:val="56"/>
        <w:spacing w:line="360" w:lineRule="auto"/>
        <w:ind w:firstLine="0" w:firstLineChars="0"/>
        <w:jc w:val="left"/>
        <w:rPr>
          <w:rStyle w:val="605"/>
          <w:rFonts w:hint="eastAsia" w:ascii="宋体" w:hAnsi="宋体" w:eastAsia="宋体" w:cs="宋体"/>
          <w:b/>
          <w:color w:val="auto"/>
          <w:sz w:val="24"/>
          <w:szCs w:val="24"/>
          <w:highlight w:val="none"/>
          <w:lang w:val="zh-CN"/>
        </w:rPr>
      </w:pPr>
      <w:r>
        <w:rPr>
          <w:rStyle w:val="605"/>
          <w:rFonts w:hint="eastAsia" w:ascii="宋体" w:hAnsi="宋体" w:eastAsia="宋体" w:cs="宋体"/>
          <w:b/>
          <w:color w:val="auto"/>
          <w:sz w:val="24"/>
          <w:szCs w:val="24"/>
          <w:highlight w:val="none"/>
          <w:lang w:val="zh-CN"/>
        </w:rPr>
        <w:t>六、开评标程序</w:t>
      </w:r>
    </w:p>
    <w:p>
      <w:pPr>
        <w:pStyle w:val="584"/>
        <w:spacing w:line="360" w:lineRule="auto"/>
        <w:ind w:firstLine="422"/>
        <w:rPr>
          <w:rStyle w:val="605"/>
          <w:rFonts w:hint="eastAsia" w:ascii="宋体" w:hAnsi="宋体" w:eastAsia="宋体" w:cs="宋体"/>
          <w:color w:val="auto"/>
          <w:szCs w:val="24"/>
          <w:highlight w:val="none"/>
          <w:lang w:val="zh-CN"/>
        </w:rPr>
      </w:pPr>
      <w:r>
        <w:rPr>
          <w:rStyle w:val="605"/>
          <w:rFonts w:hint="eastAsia" w:ascii="宋体" w:hAnsi="宋体" w:eastAsia="宋体" w:cs="宋体"/>
          <w:color w:val="auto"/>
          <w:szCs w:val="24"/>
          <w:highlight w:val="none"/>
        </w:rPr>
        <w:t>1、</w:t>
      </w:r>
      <w:r>
        <w:rPr>
          <w:rStyle w:val="605"/>
          <w:rFonts w:hint="eastAsia" w:ascii="宋体" w:hAnsi="宋体" w:eastAsia="宋体" w:cs="宋体"/>
          <w:color w:val="auto"/>
          <w:szCs w:val="24"/>
          <w:highlight w:val="none"/>
          <w:lang w:val="zh-TW"/>
        </w:rPr>
        <w:t>工作人员宣布投标截止时间，截止时间以国家授时中心标准时间为准，宣布招标会议开始。</w:t>
      </w:r>
    </w:p>
    <w:p>
      <w:pPr>
        <w:pStyle w:val="584"/>
        <w:spacing w:line="360" w:lineRule="auto"/>
        <w:ind w:firstLine="422"/>
        <w:rPr>
          <w:rStyle w:val="605"/>
          <w:rFonts w:hint="eastAsia" w:ascii="宋体" w:hAnsi="宋体" w:eastAsia="宋体" w:cs="宋体"/>
          <w:color w:val="auto"/>
          <w:szCs w:val="24"/>
          <w:highlight w:val="none"/>
          <w:lang w:val="zh-TW"/>
        </w:rPr>
      </w:pPr>
      <w:r>
        <w:rPr>
          <w:rStyle w:val="605"/>
          <w:rFonts w:hint="eastAsia" w:ascii="宋体" w:hAnsi="宋体" w:eastAsia="宋体" w:cs="宋体"/>
          <w:color w:val="auto"/>
          <w:szCs w:val="24"/>
          <w:highlight w:val="none"/>
        </w:rPr>
        <w:t>2、</w:t>
      </w:r>
      <w:r>
        <w:rPr>
          <w:rStyle w:val="605"/>
          <w:rFonts w:hint="eastAsia" w:ascii="宋体" w:hAnsi="宋体" w:eastAsia="宋体" w:cs="宋体"/>
          <w:color w:val="auto"/>
          <w:szCs w:val="24"/>
          <w:highlight w:val="none"/>
          <w:lang w:val="zh-TW"/>
        </w:rPr>
        <w:t>工作人员确认投标人法定代表人（负责人）或授权委托代理人资格、投标文件递交等情况。</w:t>
      </w:r>
    </w:p>
    <w:p>
      <w:pPr>
        <w:pStyle w:val="584"/>
        <w:spacing w:line="360" w:lineRule="auto"/>
        <w:ind w:firstLine="422"/>
        <w:rPr>
          <w:rStyle w:val="605"/>
          <w:rFonts w:hint="eastAsia" w:ascii="宋体" w:hAnsi="宋体" w:eastAsia="宋体" w:cs="宋体"/>
          <w:color w:val="auto"/>
          <w:szCs w:val="24"/>
          <w:highlight w:val="none"/>
          <w:lang w:val="zh-TW"/>
        </w:rPr>
      </w:pPr>
      <w:r>
        <w:rPr>
          <w:rStyle w:val="605"/>
          <w:rFonts w:hint="eastAsia" w:ascii="宋体" w:hAnsi="宋体" w:eastAsia="宋体" w:cs="宋体"/>
          <w:color w:val="auto"/>
          <w:szCs w:val="24"/>
          <w:highlight w:val="none"/>
        </w:rPr>
        <w:t>3、</w:t>
      </w:r>
      <w:r>
        <w:rPr>
          <w:rStyle w:val="605"/>
          <w:rFonts w:hint="eastAsia" w:ascii="宋体" w:hAnsi="宋体" w:eastAsia="宋体" w:cs="宋体"/>
          <w:color w:val="auto"/>
          <w:szCs w:val="24"/>
          <w:highlight w:val="none"/>
          <w:lang w:val="zh-TW"/>
        </w:rPr>
        <w:t>本项目原则上采用政采云电子招投标开标及评审程序，但有下情形之一的，按以下情况处理：</w:t>
      </w:r>
    </w:p>
    <w:p>
      <w:pPr>
        <w:pStyle w:val="584"/>
        <w:spacing w:line="360" w:lineRule="auto"/>
        <w:ind w:firstLine="422"/>
        <w:rPr>
          <w:rStyle w:val="605"/>
          <w:rFonts w:hint="eastAsia" w:ascii="宋体" w:hAnsi="宋体" w:eastAsia="宋体" w:cs="宋体"/>
          <w:color w:val="auto"/>
          <w:szCs w:val="24"/>
          <w:highlight w:val="none"/>
          <w:lang w:val="zh-TW"/>
        </w:rPr>
      </w:pPr>
      <w:r>
        <w:rPr>
          <w:rStyle w:val="605"/>
          <w:rFonts w:hint="eastAsia" w:ascii="宋体" w:hAnsi="宋体" w:eastAsia="宋体" w:cs="宋体"/>
          <w:color w:val="auto"/>
          <w:szCs w:val="24"/>
          <w:highlight w:val="none"/>
          <w:lang w:val="zh-TW"/>
        </w:rPr>
        <w:t>若投标人的电子投标文件在规定时间内无法解密或解密失败，工作人员将开启该投标人递交的电子备份投标文件，以完成开标。</w:t>
      </w:r>
    </w:p>
    <w:p>
      <w:pPr>
        <w:pStyle w:val="584"/>
        <w:spacing w:line="360" w:lineRule="auto"/>
        <w:ind w:firstLine="422"/>
        <w:rPr>
          <w:rStyle w:val="605"/>
          <w:rFonts w:hint="eastAsia" w:ascii="宋体" w:hAnsi="宋体" w:eastAsia="宋体" w:cs="宋体"/>
          <w:color w:val="auto"/>
          <w:szCs w:val="24"/>
          <w:highlight w:val="none"/>
          <w:lang w:val="zh-TW"/>
        </w:rPr>
      </w:pPr>
      <w:r>
        <w:rPr>
          <w:rStyle w:val="605"/>
          <w:rFonts w:hint="eastAsia" w:ascii="宋体" w:hAnsi="宋体" w:eastAsia="宋体" w:cs="宋体"/>
          <w:color w:val="auto"/>
          <w:szCs w:val="24"/>
          <w:highlight w:val="none"/>
        </w:rPr>
        <w:t>4、</w:t>
      </w:r>
      <w:r>
        <w:rPr>
          <w:rStyle w:val="605"/>
          <w:rFonts w:hint="eastAsia" w:ascii="宋体" w:hAnsi="宋体" w:eastAsia="宋体" w:cs="宋体"/>
          <w:color w:val="auto"/>
          <w:szCs w:val="24"/>
          <w:highlight w:val="none"/>
          <w:lang w:val="zh-TW"/>
        </w:rPr>
        <w:t>电子投标开标及评审程序</w:t>
      </w:r>
    </w:p>
    <w:p>
      <w:pPr>
        <w:pStyle w:val="584"/>
        <w:spacing w:line="360" w:lineRule="auto"/>
        <w:ind w:firstLine="422"/>
        <w:rPr>
          <w:rStyle w:val="605"/>
          <w:rFonts w:hint="eastAsia" w:ascii="宋体" w:hAnsi="宋体" w:eastAsia="宋体" w:cs="宋体"/>
          <w:color w:val="auto"/>
          <w:szCs w:val="24"/>
          <w:highlight w:val="none"/>
          <w:lang w:val="zh-TW"/>
        </w:rPr>
      </w:pPr>
      <w:r>
        <w:rPr>
          <w:rStyle w:val="605"/>
          <w:rFonts w:hint="eastAsia" w:ascii="宋体" w:hAnsi="宋体" w:eastAsia="宋体" w:cs="宋体"/>
          <w:color w:val="auto"/>
          <w:szCs w:val="24"/>
          <w:highlight w:val="none"/>
          <w:lang w:val="zh-TW"/>
        </w:rPr>
        <w:t>（1）投标截止时间后，投标人登录政采云平台，用“项目采购-开标评标”功能对电子投标文件进行在线解密。在线解密电子投标文件时间为开标时间起半个小时内。</w:t>
      </w:r>
    </w:p>
    <w:p>
      <w:pPr>
        <w:pStyle w:val="584"/>
        <w:spacing w:line="360" w:lineRule="auto"/>
        <w:ind w:firstLine="422"/>
        <w:rPr>
          <w:rStyle w:val="605"/>
          <w:rFonts w:hint="eastAsia" w:ascii="宋体" w:hAnsi="宋体" w:eastAsia="宋体" w:cs="宋体"/>
          <w:color w:val="auto"/>
          <w:szCs w:val="24"/>
          <w:highlight w:val="none"/>
          <w:lang w:val="zh-TW"/>
        </w:rPr>
      </w:pPr>
      <w:r>
        <w:rPr>
          <w:rStyle w:val="605"/>
          <w:rFonts w:hint="eastAsia" w:ascii="宋体" w:hAnsi="宋体" w:eastAsia="宋体" w:cs="宋体"/>
          <w:color w:val="auto"/>
          <w:szCs w:val="24"/>
          <w:highlight w:val="none"/>
          <w:lang w:val="zh-TW"/>
        </w:rPr>
        <w:t>（2）评标委员会对商务技术文件进行评审；</w:t>
      </w:r>
    </w:p>
    <w:p>
      <w:pPr>
        <w:pStyle w:val="584"/>
        <w:spacing w:line="360" w:lineRule="auto"/>
        <w:ind w:firstLine="422"/>
        <w:rPr>
          <w:rStyle w:val="605"/>
          <w:rFonts w:hint="eastAsia" w:ascii="宋体" w:hAnsi="宋体" w:eastAsia="宋体" w:cs="宋体"/>
          <w:color w:val="auto"/>
          <w:szCs w:val="24"/>
          <w:highlight w:val="none"/>
          <w:lang w:val="zh-TW"/>
        </w:rPr>
      </w:pPr>
      <w:r>
        <w:rPr>
          <w:rStyle w:val="605"/>
          <w:rFonts w:hint="eastAsia" w:ascii="宋体" w:hAnsi="宋体" w:eastAsia="宋体" w:cs="宋体"/>
          <w:color w:val="auto"/>
          <w:szCs w:val="24"/>
          <w:highlight w:val="none"/>
          <w:lang w:val="zh-TW"/>
        </w:rPr>
        <w:t>（3）在系统上商务技术</w:t>
      </w:r>
      <w:r>
        <w:rPr>
          <w:rStyle w:val="605"/>
          <w:rFonts w:hint="eastAsia" w:ascii="宋体" w:hAnsi="宋体" w:eastAsia="宋体" w:cs="宋体"/>
          <w:color w:val="auto"/>
          <w:szCs w:val="24"/>
          <w:highlight w:val="none"/>
        </w:rPr>
        <w:t>文件</w:t>
      </w:r>
      <w:r>
        <w:rPr>
          <w:rStyle w:val="605"/>
          <w:rFonts w:hint="eastAsia" w:ascii="宋体" w:hAnsi="宋体" w:eastAsia="宋体" w:cs="宋体"/>
          <w:color w:val="auto"/>
          <w:szCs w:val="24"/>
          <w:highlight w:val="none"/>
          <w:lang w:val="zh-TW"/>
        </w:rPr>
        <w:t>评审结果；</w:t>
      </w:r>
    </w:p>
    <w:p>
      <w:pPr>
        <w:pStyle w:val="584"/>
        <w:spacing w:line="360" w:lineRule="auto"/>
        <w:ind w:firstLine="422"/>
        <w:rPr>
          <w:rStyle w:val="605"/>
          <w:rFonts w:hint="eastAsia" w:ascii="宋体" w:hAnsi="宋体" w:eastAsia="宋体" w:cs="宋体"/>
          <w:color w:val="auto"/>
          <w:szCs w:val="24"/>
          <w:highlight w:val="none"/>
          <w:lang w:val="zh-TW"/>
        </w:rPr>
      </w:pPr>
      <w:r>
        <w:rPr>
          <w:rStyle w:val="605"/>
          <w:rFonts w:hint="eastAsia" w:ascii="宋体" w:hAnsi="宋体" w:eastAsia="宋体" w:cs="宋体"/>
          <w:color w:val="auto"/>
          <w:szCs w:val="24"/>
          <w:highlight w:val="none"/>
          <w:lang w:val="zh-TW"/>
        </w:rPr>
        <w:t>（4）在系统上公开报价开标情况；</w:t>
      </w:r>
    </w:p>
    <w:p>
      <w:pPr>
        <w:pStyle w:val="584"/>
        <w:spacing w:line="360" w:lineRule="auto"/>
        <w:ind w:firstLine="422"/>
        <w:rPr>
          <w:rStyle w:val="605"/>
          <w:rFonts w:hint="eastAsia" w:ascii="宋体" w:hAnsi="宋体" w:eastAsia="宋体" w:cs="宋体"/>
          <w:color w:val="auto"/>
          <w:szCs w:val="24"/>
          <w:highlight w:val="none"/>
          <w:lang w:val="zh-TW"/>
        </w:rPr>
      </w:pPr>
      <w:r>
        <w:rPr>
          <w:rStyle w:val="605"/>
          <w:rFonts w:hint="eastAsia" w:ascii="宋体" w:hAnsi="宋体" w:eastAsia="宋体" w:cs="宋体"/>
          <w:color w:val="auto"/>
          <w:szCs w:val="24"/>
          <w:highlight w:val="none"/>
          <w:lang w:val="zh-TW"/>
        </w:rPr>
        <w:t>（5）评标委员会对报价情况进行评审；</w:t>
      </w:r>
    </w:p>
    <w:p>
      <w:pPr>
        <w:pStyle w:val="584"/>
        <w:spacing w:line="360" w:lineRule="auto"/>
        <w:ind w:firstLine="422"/>
        <w:rPr>
          <w:rStyle w:val="605"/>
          <w:rFonts w:hint="eastAsia" w:ascii="宋体" w:hAnsi="宋体" w:eastAsia="宋体" w:cs="宋体"/>
          <w:color w:val="auto"/>
          <w:szCs w:val="24"/>
          <w:highlight w:val="none"/>
          <w:lang w:val="zh-TW"/>
        </w:rPr>
      </w:pPr>
      <w:r>
        <w:rPr>
          <w:rStyle w:val="605"/>
          <w:rFonts w:hint="eastAsia" w:ascii="宋体" w:hAnsi="宋体" w:eastAsia="宋体" w:cs="宋体"/>
          <w:color w:val="auto"/>
          <w:szCs w:val="24"/>
          <w:highlight w:val="none"/>
          <w:lang w:val="zh-TW"/>
        </w:rPr>
        <w:t>（6）在系统上公布评审结果。</w:t>
      </w:r>
    </w:p>
    <w:p>
      <w:pPr>
        <w:pStyle w:val="584"/>
        <w:spacing w:line="360" w:lineRule="auto"/>
        <w:ind w:firstLine="422"/>
        <w:rPr>
          <w:rStyle w:val="605"/>
          <w:rFonts w:hint="eastAsia" w:ascii="宋体" w:hAnsi="宋体" w:eastAsia="宋体" w:cs="宋体"/>
          <w:color w:val="auto"/>
          <w:szCs w:val="24"/>
          <w:highlight w:val="none"/>
          <w:lang w:val="zh-TW"/>
        </w:rPr>
      </w:pPr>
      <w:r>
        <w:rPr>
          <w:rStyle w:val="605"/>
          <w:rFonts w:hint="eastAsia" w:ascii="宋体" w:hAnsi="宋体" w:eastAsia="宋体" w:cs="宋体"/>
          <w:color w:val="auto"/>
          <w:szCs w:val="24"/>
          <w:highlight w:val="none"/>
          <w:lang w:val="zh-TW"/>
        </w:rPr>
        <w:t>特别说明：政采云公司如对电子化开标及评审程序有调整的，按调整后的程序操作。</w:t>
      </w:r>
    </w:p>
    <w:p>
      <w:pPr>
        <w:pStyle w:val="584"/>
        <w:spacing w:line="360" w:lineRule="auto"/>
        <w:ind w:firstLine="422"/>
        <w:rPr>
          <w:rFonts w:hint="eastAsia" w:ascii="宋体" w:hAnsi="宋体" w:eastAsia="宋体" w:cs="宋体"/>
          <w:color w:val="auto"/>
          <w:szCs w:val="24"/>
          <w:highlight w:val="none"/>
        </w:rPr>
      </w:pPr>
      <w:r>
        <w:rPr>
          <w:rStyle w:val="605"/>
          <w:rFonts w:hint="eastAsia" w:ascii="宋体" w:hAnsi="宋体" w:eastAsia="宋体" w:cs="宋体"/>
          <w:color w:val="auto"/>
          <w:szCs w:val="24"/>
          <w:highlight w:val="none"/>
        </w:rPr>
        <w:t>5</w:t>
      </w:r>
      <w:r>
        <w:rPr>
          <w:rStyle w:val="605"/>
          <w:rFonts w:hint="eastAsia" w:ascii="宋体" w:hAnsi="宋体" w:eastAsia="宋体" w:cs="宋体"/>
          <w:color w:val="auto"/>
          <w:szCs w:val="24"/>
          <w:highlight w:val="none"/>
          <w:lang w:val="zh-TW"/>
        </w:rPr>
        <w:t>.开标会结束。</w:t>
      </w:r>
    </w:p>
    <w:sectPr>
      <w:pgSz w:w="11906" w:h="16838"/>
      <w:pgMar w:top="1440" w:right="1440" w:bottom="1440" w:left="1440" w:header="851" w:footer="851" w:gutter="0"/>
      <w:pgNumType w:fmt="decimal"/>
      <w:cols w:space="720" w:num="1"/>
      <w:titlePg/>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Arial Unicode MS">
    <w:altName w:val="宋体"/>
    <w:panose1 w:val="020B0604020202020204"/>
    <w:charset w:val="86"/>
    <w:family w:val="auto"/>
    <w:pitch w:val="default"/>
    <w:sig w:usb0="00000000" w:usb1="00000000" w:usb2="0000003F" w:usb3="00000000" w:csb0="603F01FF" w:csb1="FFFF0000"/>
  </w:font>
  <w:font w:name="Microsoft YaHei UI">
    <w:altName w:val="宋体"/>
    <w:panose1 w:val="020B0503020204020204"/>
    <w:charset w:val="86"/>
    <w:family w:val="swiss"/>
    <w:pitch w:val="default"/>
    <w:sig w:usb0="00000000" w:usb1="00000000"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HYKai U3HK">
    <w:altName w:val="MingLiU-ExtB"/>
    <w:panose1 w:val="00000000000000000000"/>
    <w:charset w:val="88"/>
    <w:family w:val="modern"/>
    <w:pitch w:val="default"/>
    <w:sig w:usb0="00000000" w:usb1="00000000" w:usb2="00000010" w:usb3="00000000" w:csb0="0010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华文楷体">
    <w:altName w:val="宋体"/>
    <w:panose1 w:val="02010600040101010101"/>
    <w:charset w:val="86"/>
    <w:family w:val="auto"/>
    <w:pitch w:val="default"/>
    <w:sig w:usb0="00000000" w:usb1="00000000" w:usb2="00000000" w:usb3="00000000" w:csb0="0004009F" w:csb1="DFD70000"/>
  </w:font>
  <w:font w:name="华文细黑">
    <w:altName w:val="微软雅黑"/>
    <w:panose1 w:val="02010600040101010101"/>
    <w:charset w:val="86"/>
    <w:family w:val="auto"/>
    <w:pitch w:val="default"/>
    <w:sig w:usb0="00000000" w:usb1="00000000" w:usb2="00000000" w:usb3="00000000" w:csb0="0004009F" w:csb1="DFD70000"/>
  </w:font>
  <w:font w:name="???|CS?o｡ﾀ?">
    <w:altName w:val="MS PGothic"/>
    <w:panose1 w:val="00000000000000000000"/>
    <w:charset w:val="80"/>
    <w:family w:val="modern"/>
    <w:pitch w:val="default"/>
    <w:sig w:usb0="00000000" w:usb1="00000000" w:usb2="00000010" w:usb3="00000000" w:csb0="00020000" w:csb1="00000000"/>
  </w:font>
  <w:font w:name="华文仿宋">
    <w:altName w:val="仿宋"/>
    <w:panose1 w:val="02010600040101010101"/>
    <w:charset w:val="86"/>
    <w:family w:val="auto"/>
    <w:pitch w:val="default"/>
    <w:sig w:usb0="00000000" w:usb1="00000000" w:usb2="00000000" w:usb3="00000000" w:csb0="0004009F" w:csb1="DFD70000"/>
  </w:font>
  <w:font w:name="ヒラギノ角ゴ Pro W3">
    <w:altName w:val="MS Gothic"/>
    <w:panose1 w:val="00000000000000000000"/>
    <w:charset w:val="80"/>
    <w:family w:val="auto"/>
    <w:pitch w:val="default"/>
    <w:sig w:usb0="00000000" w:usb1="00000000" w:usb2="00000012" w:usb3="00000000" w:csb0="0002000D" w:csb1="00000000"/>
  </w:font>
  <w:font w:name="??_GB2312">
    <w:altName w:val="Times New Roman"/>
    <w:panose1 w:val="00000000000000000000"/>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0" w:csb1="00000000"/>
  </w:font>
  <w:font w:name="MingLiU-ExtB">
    <w:panose1 w:val="02020500000000000000"/>
    <w:charset w:val="88"/>
    <w:family w:val="auto"/>
    <w:pitch w:val="default"/>
    <w:sig w:usb0="8000002F" w:usb1="02000008" w:usb2="00000000" w:usb3="00000000" w:csb0="00100001" w:csb1="00000000"/>
  </w:font>
  <w:font w:name="MS Gothic">
    <w:panose1 w:val="020B0609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MS PGothic">
    <w:panose1 w:val="020B0600070205080204"/>
    <w:charset w:val="80"/>
    <w:family w:val="auto"/>
    <w:pitch w:val="default"/>
    <w:sig w:usb0="E00002FF" w:usb1="6AC7FDFB" w:usb2="00000012" w:usb3="00000000" w:csb0="4002009F" w:csb1="DFD70000"/>
  </w:font>
  <w:font w:name="Arial">
    <w:panose1 w:val="020B0604020202020204"/>
    <w:charset w:val="00"/>
    <w:family w:val="auto"/>
    <w:pitch w:val="default"/>
    <w:sig w:usb0="E0002AFF" w:usb1="C0007843" w:usb2="00000009" w:usb3="00000000" w:csb0="400001FF" w:csb1="FFFF0000"/>
  </w:font>
  <w:font w:name="PMingLiU">
    <w:panose1 w:val="02020500000000000000"/>
    <w:charset w:val="88"/>
    <w:family w:val="auto"/>
    <w:pitch w:val="default"/>
    <w:sig w:usb0="A00002FF" w:usb1="28CFFCFA" w:usb2="00000016" w:usb3="00000000" w:csb0="00100001" w:csb1="00000000"/>
  </w:font>
  <w:font w:name="新宋体">
    <w:panose1 w:val="02010609030101010101"/>
    <w:charset w:val="86"/>
    <w:family w:val="auto"/>
    <w:pitch w:val="default"/>
    <w:sig w:usb0="00000003" w:usb1="288F0000" w:usb2="00000006" w:usb3="00000000" w:csb0="00040001" w:csb1="00000000"/>
  </w:font>
  <w:font w:name="Arial (W1)">
    <w:altName w:val="Arial"/>
    <w:panose1 w:val="00000000000000000000"/>
    <w:charset w:val="00"/>
    <w:family w:val="auto"/>
    <w:pitch w:val="default"/>
    <w:sig w:usb0="00000000" w:usb1="00000000" w:usb2="00000009" w:usb3="00000000" w:csb0="000001FF" w:csb1="00000000"/>
  </w:font>
  <w:font w:name="Courier New">
    <w:panose1 w:val="02070309020205020404"/>
    <w:charset w:val="00"/>
    <w:family w:val="modern"/>
    <w:pitch w:val="default"/>
    <w:sig w:usb0="E0002AFF" w:usb1="C0007843" w:usb2="00000009" w:usb3="00000000" w:csb0="400001FF" w:csb1="FFFF0000"/>
  </w:font>
  <w:font w:name="Microsoft Sans Serif">
    <w:panose1 w:val="020B0604020202020204"/>
    <w:charset w:val="00"/>
    <w:family w:val="swiss"/>
    <w:pitch w:val="default"/>
    <w:sig w:usb0="E1002AFF" w:usb1="C0000002" w:usb2="00000008" w:usb3="00000000" w:csb0="200101FF" w:csb1="20280000"/>
  </w:font>
  <w:font w:name="System">
    <w:altName w:val="宋体"/>
    <w:panose1 w:val="00000000000000000000"/>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Univers">
    <w:altName w:val="Segoe Print"/>
    <w:panose1 w:val="020B0603020202030204"/>
    <w:charset w:val="00"/>
    <w:family w:val="swiss"/>
    <w:pitch w:val="default"/>
    <w:sig w:usb0="00000000" w:usb1="00000000" w:usb2="00000000" w:usb3="00000000" w:csb0="00000001" w:csb1="00000000"/>
  </w:font>
  <w:font w:name="Garamond">
    <w:altName w:val="PMingLiU"/>
    <w:panose1 w:val="02020404030301010803"/>
    <w:charset w:val="00"/>
    <w:family w:val="roman"/>
    <w:pitch w:val="default"/>
    <w:sig w:usb0="00000000" w:usb1="00000000" w:usb2="00000000" w:usb3="00000000" w:csb0="0000009F" w:csb1="DFD70000"/>
  </w:font>
  <w:font w:name="Book Antiqua">
    <w:altName w:val="Segoe Print"/>
    <w:panose1 w:val="02040602050305030304"/>
    <w:charset w:val="00"/>
    <w:family w:val="roman"/>
    <w:pitch w:val="default"/>
    <w:sig w:usb0="00000000" w:usb1="00000000" w:usb2="00000000" w:usb3="00000000" w:csb0="2000009F" w:csb1="DFD70000"/>
  </w:font>
  <w:font w:name="FuturaA Bk BT">
    <w:altName w:val="Arial"/>
    <w:panose1 w:val="00000000000000000000"/>
    <w:charset w:val="00"/>
    <w:family w:val="swiss"/>
    <w:pitch w:val="default"/>
    <w:sig w:usb0="00000000" w:usb1="00000000" w:usb2="00000000" w:usb3="00000000" w:csb0="0000001B" w:csb1="00000000"/>
  </w:font>
  <w:font w:name="??">
    <w:altName w:val="Times New Roman"/>
    <w:panose1 w:val="00000000000000000000"/>
    <w:charset w:val="00"/>
    <w:family w:val="modern"/>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方正艺黑简体">
    <w:altName w:val="黑体"/>
    <w:panose1 w:val="03000509000000000000"/>
    <w:charset w:val="86"/>
    <w:family w:val="script"/>
    <w:pitch w:val="default"/>
    <w:sig w:usb0="00000000" w:usb1="00000000" w:usb2="00000000" w:usb3="00000000" w:csb0="00040000" w:csb1="00000000"/>
  </w:font>
  <w:font w:name="方正美黑简体">
    <w:altName w:val="黑体"/>
    <w:panose1 w:val="00000000000000000000"/>
    <w:charset w:val="86"/>
    <w:family w:val="script"/>
    <w:pitch w:val="default"/>
    <w:sig w:usb0="00000000" w:usb1="00000000" w:usb2="00000010" w:usb3="00000000" w:csb0="00040000" w:csb1="00000000"/>
  </w:font>
  <w:font w:name="方正小标宋简体">
    <w:altName w:val="微软雅黑"/>
    <w:panose1 w:val="02010601030101010101"/>
    <w:charset w:val="86"/>
    <w:family w:val="script"/>
    <w:pitch w:val="default"/>
    <w:sig w:usb0="00000000" w:usb1="0000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Malgun Gothic">
    <w:panose1 w:val="020B0503020000020004"/>
    <w:charset w:val="81"/>
    <w:family w:val="auto"/>
    <w:pitch w:val="default"/>
    <w:sig w:usb0="900002AF" w:usb1="01D77CFB" w:usb2="00000012" w:usb3="00000000" w:csb0="00080001" w:csb1="00000000"/>
  </w:font>
  <w:font w:name="MS UI Gothic">
    <w:panose1 w:val="020B0600070205080204"/>
    <w:charset w:val="80"/>
    <w:family w:val="swiss"/>
    <w:pitch w:val="default"/>
    <w:sig w:usb0="E00002FF" w:usb1="6AC7FDFB" w:usb2="00000012" w:usb3="00000000" w:csb0="4002009F" w:csb1="DFD70000"/>
  </w:font>
  <w:font w:name="ヒラギノ角ゴ Pro W3">
    <w:altName w:val="微软雅黑"/>
    <w:panose1 w:val="00000000000000000000"/>
    <w:charset w:val="00"/>
    <w:family w:val="roman"/>
    <w:pitch w:val="default"/>
    <w:sig w:usb0="00000000" w:usb1="00000000" w:usb2="00000000" w:usb3="00000000" w:csb0="00040001" w:csb1="00000000"/>
  </w:font>
  <w:font w:name="Helvetica Neue">
    <w:altName w:val="Times New Roman"/>
    <w:panose1 w:val="02000503000000020004"/>
    <w:charset w:val="00"/>
    <w:family w:val="auto"/>
    <w:pitch w:val="default"/>
    <w:sig w:usb0="00000000" w:usb1="00000000" w:usb2="00000010" w:usb3="00000000" w:csb0="00000000" w:csb1="00000000"/>
  </w:font>
  <w:font w:name="@幼圆">
    <w:altName w:val="宋体"/>
    <w:panose1 w:val="02010509060101010101"/>
    <w:charset w:val="86"/>
    <w:family w:val="modern"/>
    <w:pitch w:val="default"/>
    <w:sig w:usb0="00000000" w:usb1="00000000" w:usb2="00000000" w:usb3="00000000" w:csb0="00040000" w:csb1="00000000"/>
  </w:font>
  <w:font w:name="serif">
    <w:altName w:val="Segoe Print"/>
    <w:panose1 w:val="00000000000000000000"/>
    <w:charset w:val="00"/>
    <w:family w:val="auto"/>
    <w:pitch w:val="default"/>
    <w:sig w:usb0="00000000" w:usb1="00000000" w:usb2="00000000" w:usb3="00000000" w:csb0="00000001" w:csb1="00000000"/>
  </w:font>
  <w:font w:name="MingLiU">
    <w:panose1 w:val="02020509000000000000"/>
    <w:charset w:val="88"/>
    <w:family w:val="auto"/>
    <w:pitch w:val="default"/>
    <w:sig w:usb0="A00002FF" w:usb1="28CFFCFA" w:usb2="00000016" w:usb3="00000000" w:csb0="00100001" w:csb1="00000000"/>
  </w:font>
  <w:font w:name="MS Mincho">
    <w:panose1 w:val="02020609040205080304"/>
    <w:charset w:val="80"/>
    <w:family w:val="auto"/>
    <w:pitch w:val="default"/>
    <w:sig w:usb0="E00002FF" w:usb1="6AC7FDFB" w:usb2="00000012" w:usb3="00000000" w:csb0="4002009F" w:csb1="DFD70000"/>
  </w:font>
  <w:font w:name="_x000B__x000C_">
    <w:altName w:val="Times New Roman"/>
    <w:panose1 w:val="00000000000000000000"/>
    <w:charset w:val="00"/>
    <w:family w:val="roman"/>
    <w:pitch w:val="default"/>
    <w:sig w:usb0="00000000" w:usb1="00000000" w:usb2="00000000" w:usb3="00000000" w:csb0="00040001" w:csb1="00000000"/>
  </w:font>
  <w:font w:name="Plotter">
    <w:altName w:val="Tahoma"/>
    <w:panose1 w:val="00000000000000000000"/>
    <w:charset w:val="00"/>
    <w:family w:val="decorative"/>
    <w:pitch w:val="default"/>
    <w:sig w:usb0="00000000" w:usb1="00000000" w:usb2="81608000" w:usb3="00000000" w:csb0="816376A8" w:csb1="BFF7D17E"/>
  </w:font>
  <w:font w:name="Arial Narrow">
    <w:altName w:val="Arial"/>
    <w:panose1 w:val="020B0606020202030204"/>
    <w:charset w:val="00"/>
    <w:family w:val="swiss"/>
    <w:pitch w:val="default"/>
    <w:sig w:usb0="00000000" w:usb1="00000000" w:usb2="00000000" w:usb3="00000000" w:csb0="2000009F" w:csb1="DFD70000"/>
  </w:font>
  <w:font w:name="中圆体">
    <w:altName w:val="宋体"/>
    <w:panose1 w:val="00000000000000000000"/>
    <w:charset w:val="86"/>
    <w:family w:val="modern"/>
    <w:pitch w:val="default"/>
    <w:sig w:usb0="00000000" w:usb1="00000000" w:usb2="00000010" w:usb3="00000000" w:csb0="00040000" w:csb1="00000000"/>
  </w:font>
  <w:font w:name="Trebuchet MS">
    <w:panose1 w:val="020B0603020202020204"/>
    <w:charset w:val="00"/>
    <w:family w:val="auto"/>
    <w:pitch w:val="default"/>
    <w:sig w:usb0="00000287" w:usb1="00000003" w:usb2="00000000" w:usb3="00000000" w:csb0="2000009F" w:csb1="00000000"/>
  </w:font>
  <w:font w:name="Arial MT">
    <w:altName w:val="Arial"/>
    <w:panose1 w:val="00000000000000000000"/>
    <w:charset w:val="00"/>
    <w:family w:val="swiss"/>
    <w:pitch w:val="default"/>
    <w:sig w:usb0="00000000" w:usb1="00000000" w:usb2="00000000" w:usb3="00000000" w:csb0="00000001" w:csb1="00000000"/>
  </w:font>
  <w:font w:name="Century">
    <w:altName w:val="Nyala"/>
    <w:panose1 w:val="02040604050505020304"/>
    <w:charset w:val="00"/>
    <w:family w:val="roman"/>
    <w:pitch w:val="default"/>
    <w:sig w:usb0="00000000" w:usb1="00000000" w:usb2="00000000" w:usb3="00000000" w:csb0="2000009F" w:csb1="DFD70000"/>
  </w:font>
  <w:font w:name="Yu Gothic UI">
    <w:altName w:val="Meiryo UI"/>
    <w:panose1 w:val="020B0500000000000000"/>
    <w:charset w:val="80"/>
    <w:family w:val="auto"/>
    <w:pitch w:val="default"/>
    <w:sig w:usb0="00000000" w:usb1="00000000" w:usb2="00000016" w:usb3="00000000" w:csb0="2002009F" w:csb1="00000000"/>
  </w:font>
  <w:font w:name="B Frutiger Bold">
    <w:altName w:val="Arial"/>
    <w:panose1 w:val="00000000000000000000"/>
    <w:charset w:val="00"/>
    <w:family w:val="swiss"/>
    <w:pitch w:val="default"/>
    <w:sig w:usb0="00000000" w:usb1="00000000" w:usb2="00000000" w:usb3="00000000" w:csb0="00000001" w:csb1="00000000"/>
  </w:font>
  <w:font w:name="Nyala">
    <w:panose1 w:val="02000504070300020003"/>
    <w:charset w:val="00"/>
    <w:family w:val="auto"/>
    <w:pitch w:val="default"/>
    <w:sig w:usb0="A000006F" w:usb1="00000000" w:usb2="00000800" w:usb3="00000000" w:csb0="00000093" w:csb1="00000000"/>
  </w:font>
  <w:font w:name="Meiryo UI">
    <w:panose1 w:val="020B0604030504040204"/>
    <w:charset w:val="80"/>
    <w:family w:val="auto"/>
    <w:pitch w:val="default"/>
    <w:sig w:usb0="E10102FF" w:usb1="EAC7FFFF" w:usb2="00010012" w:usb3="00000000" w:csb0="6002009F" w:csb1="DFD70000"/>
  </w:font>
  <w:font w:name="仿宋_GB2312">
    <w:altName w:val="仿宋"/>
    <w:panose1 w:val="00000000000000000000"/>
    <w:charset w:val="00"/>
    <w:family w:val="auto"/>
    <w:pitch w:val="default"/>
    <w:sig w:usb0="00000000" w:usb1="00000000" w:usb2="00000000" w:usb3="00000000" w:csb0="00000000" w:csb1="00000000"/>
  </w:font>
  <w:font w:name="AdobeFangsongStd-Regular">
    <w:altName w:val="Times New Roman"/>
    <w:panose1 w:val="00000000000000000000"/>
    <w:charset w:val="00"/>
    <w:family w:val="roman"/>
    <w:pitch w:val="default"/>
    <w:sig w:usb0="00000000" w:usb1="00000000" w:usb2="00000000" w:usb3="00000000" w:csb0="00000001" w:csb1="00000000"/>
  </w:font>
  <w:font w:name="Segoe UI Emoji">
    <w:altName w:val="Segoe UI"/>
    <w:panose1 w:val="00000000000000000000"/>
    <w:charset w:val="00"/>
    <w:family w:val="swiss"/>
    <w:pitch w:val="default"/>
    <w:sig w:usb0="00000000" w:usb1="00000000" w:usb2="00000000" w:usb3="00000000" w:csb0="00000001" w:csb1="00000000"/>
  </w:font>
  <w:font w:name="Segoe UI">
    <w:panose1 w:val="020B0502040204020203"/>
    <w:charset w:val="00"/>
    <w:family w:val="auto"/>
    <w:pitch w:val="default"/>
    <w:sig w:usb0="E10022FF" w:usb1="C000E47F" w:usb2="00000029" w:usb3="00000000" w:csb0="200001DF" w:csb1="20000000"/>
  </w:font>
  <w:font w:name="长城仿宋">
    <w:altName w:val="黑体"/>
    <w:panose1 w:val="00000000000000000000"/>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华文新魏">
    <w:altName w:val="宋体"/>
    <w:panose1 w:val="02010800040101010101"/>
    <w:charset w:val="86"/>
    <w:family w:val="auto"/>
    <w:pitch w:val="default"/>
    <w:sig w:usb0="00000000" w:usb1="00000000" w:usb2="00000000" w:usb3="00000000" w:csb0="00040000" w:csb1="00000000"/>
  </w:font>
  <w:font w:name="MingLiU_HKSCS">
    <w:panose1 w:val="02020500000000000000"/>
    <w:charset w:val="88"/>
    <w:family w:val="roman"/>
    <w:pitch w:val="default"/>
    <w:sig w:usb0="A00002FF" w:usb1="38CFFCFA" w:usb2="00000016" w:usb3="00000000" w:csb0="00100001" w:csb1="00000000"/>
  </w:font>
  <w:font w:name="金山简魏碑">
    <w:altName w:val="宋体"/>
    <w:panose1 w:val="00000000000000000000"/>
    <w:charset w:val="86"/>
    <w:family w:val="modern"/>
    <w:pitch w:val="default"/>
    <w:sig w:usb0="00000000" w:usb1="00000000" w:usb2="0000001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Arial Unicode MS">
    <w:altName w:val="Arial"/>
    <w:panose1 w:val="020B0604020202020204"/>
    <w:charset w:val="80"/>
    <w:family w:val="swiss"/>
    <w:pitch w:val="default"/>
    <w:sig w:usb0="00000000" w:usb1="00000000" w:usb2="0000003F" w:usb3="00000000" w:csb0="603F01FF" w:csb1="FFFF0000"/>
  </w:font>
  <w:font w:name="方正黑体_GBK">
    <w:altName w:val="微软雅黑"/>
    <w:panose1 w:val="02000000000000000000"/>
    <w:charset w:val="86"/>
    <w:family w:val="auto"/>
    <w:pitch w:val="default"/>
    <w:sig w:usb0="00000000" w:usb1="00000000" w:usb2="00000000" w:usb3="00000000" w:csb0="00040000" w:csb1="00000000"/>
  </w:font>
  <w:font w:name="Arial">
    <w:panose1 w:val="020B0604020202020204"/>
    <w:charset w:val="80"/>
    <w:family w:val="swiss"/>
    <w:pitch w:val="default"/>
    <w:sig w:usb0="E0002AFF" w:usb1="C0007843" w:usb2="00000009" w:usb3="00000000" w:csb0="400001FF" w:csb1="FFFF0000"/>
  </w:font>
  <w:font w:name="Corbel">
    <w:panose1 w:val="020B0503020204020204"/>
    <w:charset w:val="00"/>
    <w:family w:val="auto"/>
    <w:pitch w:val="default"/>
    <w:sig w:usb0="A00002EF" w:usb1="4000A44B"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汉仪书宋二KW">
    <w:altName w:val="宋体"/>
    <w:panose1 w:val="00020600040101010101"/>
    <w:charset w:val="86"/>
    <w:family w:val="auto"/>
    <w:pitch w:val="default"/>
    <w:sig w:usb0="00000000" w:usb1="00000000" w:usb2="00000000" w:usb3="00000000" w:csb0="00160000" w:csb1="00000000"/>
  </w:font>
  <w:font w:name="Hiragino Sans GB W3">
    <w:altName w:val="宋体"/>
    <w:panose1 w:val="020B0300000000000000"/>
    <w:charset w:val="86"/>
    <w:family w:val="auto"/>
    <w:pitch w:val="default"/>
    <w:sig w:usb0="00000000" w:usb1="00000000" w:usb2="00000000" w:usb3="00000000" w:csb0="00160000" w:csb1="00000000"/>
  </w:font>
  <w:font w:name="Lucida Sans Unicode">
    <w:panose1 w:val="020B0602030504020204"/>
    <w:charset w:val="00"/>
    <w:family w:val="auto"/>
    <w:pitch w:val="default"/>
    <w:sig w:usb0="80001AFF" w:usb1="0000396B" w:usb2="00000000" w:usb3="00000000" w:csb0="200000BF" w:csb1="D7F70000"/>
  </w:font>
  <w:font w:name="Arial Unicode MS">
    <w:altName w:val="Arial"/>
    <w:panose1 w:val="020B0604020202020204"/>
    <w:charset w:val="00"/>
    <w:family w:val="roman"/>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00" w:usb3="00000000" w:csb0="00040000" w:csb1="00000000"/>
  </w:font>
  <w:font w:name="Latha">
    <w:panose1 w:val="020B0604020202020204"/>
    <w:charset w:val="00"/>
    <w:family w:val="swiss"/>
    <w:pitch w:val="default"/>
    <w:sig w:usb0="00100003"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FHLHE E+ Futura Bk">
    <w:altName w:val="宋体"/>
    <w:panose1 w:val="00000000000000000000"/>
    <w:charset w:val="86"/>
    <w:family w:val="swiss"/>
    <w:pitch w:val="default"/>
    <w:sig w:usb0="00000000" w:usb1="00000000" w:usb2="0000001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Sans Serif">
    <w:altName w:val="Vrinda"/>
    <w:panose1 w:val="020B0500000000000000"/>
    <w:charset w:val="00"/>
    <w:family w:val="swiss"/>
    <w:pitch w:val="default"/>
    <w:sig w:usb0="00000000" w:usb1="00000000" w:usb2="00000000" w:usb3="00000000" w:csb0="00000001" w:csb1="00000000"/>
  </w:font>
  <w:font w:name="Vrinda">
    <w:panose1 w:val="020B0502040204020203"/>
    <w:charset w:val="00"/>
    <w:family w:val="auto"/>
    <w:pitch w:val="default"/>
    <w:sig w:usb0="00010003" w:usb1="00000000" w:usb2="00000000" w:usb3="00000000" w:csb0="00000001" w:csb1="00000000"/>
  </w:font>
  <w:font w:name="Malgun Gothic">
    <w:panose1 w:val="020B0503020000020004"/>
    <w:charset w:val="86"/>
    <w:family w:val="auto"/>
    <w:pitch w:val="default"/>
    <w:sig w:usb0="900002AF" w:usb1="01D77CFB" w:usb2="00000012" w:usb3="00000000" w:csb0="00080001" w:csb1="00000000"/>
  </w:font>
  <w:font w:name="RomanS">
    <w:altName w:val="Vrinda"/>
    <w:panose1 w:val="02000400000000000000"/>
    <w:charset w:val="00"/>
    <w:family w:val="auto"/>
    <w:pitch w:val="default"/>
    <w:sig w:usb0="00000000" w:usb1="00000000" w:usb2="00000000" w:usb3="00000000" w:csb0="000001FF" w:csb1="00000000"/>
  </w:font>
  <w:font w:name="CIDFont+F2">
    <w:altName w:val="宋体"/>
    <w:panose1 w:val="00000000000000000000"/>
    <w:charset w:val="86"/>
    <w:family w:val="auto"/>
    <w:pitch w:val="default"/>
    <w:sig w:usb0="00000000" w:usb1="00000000" w:usb2="00000000" w:usb3="00000000" w:csb0="00040000" w:csb1="00000000"/>
  </w:font>
  <w:font w:name="CIDFont+F4">
    <w:altName w:val="宋体"/>
    <w:panose1 w:val="00000000000000000000"/>
    <w:charset w:val="86"/>
    <w:family w:val="auto"/>
    <w:pitch w:val="default"/>
    <w:sig w:usb0="00000000" w:usb1="00000000" w:usb2="00000000" w:usb3="00000000" w:csb0="00040000" w:csb1="00000000"/>
  </w:font>
  <w:font w:name="Adobe 仿宋 Std R">
    <w:altName w:val="仿宋"/>
    <w:panose1 w:val="02020400000000000000"/>
    <w:charset w:val="86"/>
    <w:family w:val="roman"/>
    <w:pitch w:val="default"/>
    <w:sig w:usb0="00000000" w:usb1="00000000" w:usb2="00000016" w:usb3="00000000" w:csb0="00060007" w:csb1="00000000"/>
  </w:font>
  <w:font w:name="Adobe 明體 Std L">
    <w:altName w:val="PMingLiU-ExtB"/>
    <w:panose1 w:val="02020300000000000000"/>
    <w:charset w:val="88"/>
    <w:family w:val="auto"/>
    <w:pitch w:val="default"/>
    <w:sig w:usb0="00000000" w:usb1="00000000" w:usb2="00000016" w:usb3="00000000" w:csb0="00120005" w:csb1="00000000"/>
  </w:font>
  <w:font w:name="HakusyuSousyo_kk">
    <w:altName w:val="MS UI Gothic"/>
    <w:panose1 w:val="02000609000000000000"/>
    <w:charset w:val="80"/>
    <w:family w:val="auto"/>
    <w:pitch w:val="default"/>
    <w:sig w:usb0="00000000" w:usb1="00000000" w:usb2="00000010" w:usb3="00000000" w:csb0="4002009F" w:csb1="DFD70000"/>
  </w:font>
  <w:font w:name="PMingLiU-ExtB">
    <w:panose1 w:val="02020500000000000000"/>
    <w:charset w:val="88"/>
    <w:family w:val="auto"/>
    <w:pitch w:val="default"/>
    <w:sig w:usb0="8000002F" w:usb1="02000008" w:usb2="00000000" w:usb3="00000000" w:csb0="00100001" w:csb1="00000000"/>
  </w:font>
  <w:font w:name="Cambria Math">
    <w:panose1 w:val="02040503050406030204"/>
    <w:charset w:val="00"/>
    <w:family w:val="auto"/>
    <w:pitch w:val="default"/>
    <w:sig w:usb0="E00002FF" w:usb1="420024FF" w:usb2="00000000" w:usb3="00000000" w:csb0="2000019F" w:csb1="00000000"/>
  </w:font>
  <w:font w:name="HP Simplified Hans Light">
    <w:altName w:val="宋体"/>
    <w:panose1 w:val="00000000000000000000"/>
    <w:charset w:val="86"/>
    <w:family w:val="swiss"/>
    <w:pitch w:val="default"/>
    <w:sig w:usb0="00000000" w:usb1="00000000" w:usb2="00000010" w:usb3="00000000" w:csb0="00040000" w:csb1="00000000"/>
  </w:font>
  <w:font w:name="文鼎小标宋简">
    <w:altName w:val="Times New Roman"/>
    <w:panose1 w:val="02020603050405020304"/>
    <w:charset w:val="00"/>
    <w:family w:val="roman"/>
    <w:pitch w:val="default"/>
    <w:sig w:usb0="00000000" w:usb1="00000000" w:usb2="00000000" w:usb3="00000000" w:csb0="000001FF" w:csb1="00000000"/>
  </w:font>
  <w:font w:name="font-weight : 700">
    <w:altName w:val="微软雅黑"/>
    <w:panose1 w:val="00000000000000000000"/>
    <w:charset w:val="00"/>
    <w:family w:val="auto"/>
    <w:pitch w:val="default"/>
    <w:sig w:usb0="00000000" w:usb1="00000000" w:usb2="00000000" w:usb3="00000000" w:csb0="00040001" w:csb1="00000000"/>
  </w:font>
  <w:font w:name="Georgia">
    <w:panose1 w:val="02040502050405020303"/>
    <w:charset w:val="00"/>
    <w:family w:val="roman"/>
    <w:pitch w:val="default"/>
    <w:sig w:usb0="00000287" w:usb1="00000000" w:usb2="00000000" w:usb3="00000000" w:csb0="2000009F" w:csb1="00000000"/>
  </w:font>
  <w:font w:name="KaiTi_GB2312">
    <w:altName w:val="楷体"/>
    <w:panose1 w:val="02010609060101010101"/>
    <w:charset w:val="86"/>
    <w:family w:val="modern"/>
    <w:pitch w:val="default"/>
    <w:sig w:usb0="00000000" w:usb1="00000000" w:usb2="00000016" w:usb3="00000000" w:csb0="00040001" w:csb1="00000000"/>
  </w:font>
  <w:font w:name="等线">
    <w:altName w:val="微软雅黑"/>
    <w:panose1 w:val="02010600030101010101"/>
    <w:charset w:val="00"/>
    <w:family w:val="auto"/>
    <w:pitch w:val="default"/>
    <w:sig w:usb0="00000000" w:usb1="00000000" w:usb2="00000016" w:usb3="00000000" w:csb0="0004000F" w:csb1="00000000"/>
  </w:font>
  <w:font w:name="FangSong_GB2312">
    <w:altName w:val="仿宋"/>
    <w:panose1 w:val="02010609030101010101"/>
    <w:charset w:val="86"/>
    <w:family w:val="roman"/>
    <w:pitch w:val="default"/>
    <w:sig w:usb0="00000000" w:usb1="00000000" w:usb2="00000000" w:usb3="00000000" w:csb0="00040000" w:csb1="00000000"/>
  </w:font>
  <w:font w:name="方正书宋简体">
    <w:altName w:val="宋体"/>
    <w:panose1 w:val="00000000000000000000"/>
    <w:charset w:val="86"/>
    <w:family w:val="auto"/>
    <w:pitch w:val="default"/>
    <w:sig w:usb0="00000000" w:usb1="00000000" w:usb2="0000001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方正仿宋简体">
    <w:altName w:val="微软雅黑"/>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59"/>
                          </w:pPr>
                          <w:r>
                            <w:rPr>
                              <w:rFonts w:hint="eastAsia"/>
                            </w:rPr>
                            <w:fldChar w:fldCharType="begin"/>
                          </w:r>
                          <w:r>
                            <w:rPr>
                              <w:rFonts w:hint="eastAsia"/>
                            </w:rPr>
                            <w:instrText xml:space="preserve"> PAGE  \* MERGEFORMAT </w:instrText>
                          </w:r>
                          <w:r>
                            <w:rPr>
                              <w:rFonts w:hint="eastAsia"/>
                            </w:rPr>
                            <w:fldChar w:fldCharType="separate"/>
                          </w:r>
                          <w:r>
                            <w:t>24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Kc1bQVAgAAFQQAAA4AAAAAAAAA&#10;AQAgAAAAHwEAAGRycy9lMm9Eb2MueG1sUEsFBgAAAAAGAAYAWQEAAKYFAAAAAA==&#10;">
              <v:fill on="f" focussize="0,0"/>
              <v:stroke on="f" weight="0.5pt"/>
              <v:imagedata o:title=""/>
              <o:lock v:ext="edit" aspectratio="f"/>
              <v:textbox inset="0mm,0mm,0mm,0mm" style="mso-fit-shape-to-text:t;">
                <w:txbxContent>
                  <w:p>
                    <w:pPr>
                      <w:pStyle w:val="59"/>
                    </w:pPr>
                    <w:r>
                      <w:rPr>
                        <w:rFonts w:hint="eastAsia"/>
                      </w:rPr>
                      <w:fldChar w:fldCharType="begin"/>
                    </w:r>
                    <w:r>
                      <w:rPr>
                        <w:rFonts w:hint="eastAsia"/>
                      </w:rPr>
                      <w:instrText xml:space="preserve"> PAGE  \* MERGEFORMAT </w:instrText>
                    </w:r>
                    <w:r>
                      <w:rPr>
                        <w:rFonts w:hint="eastAsia"/>
                      </w:rPr>
                      <w:fldChar w:fldCharType="separate"/>
                    </w:r>
                    <w:r>
                      <w:t>24</w:t>
                    </w:r>
                    <w:r>
                      <w:rPr>
                        <w:rFonts w:hint="eastAsia"/>
                      </w:rPr>
                      <w:fldChar w:fldCharType="end"/>
                    </w:r>
                  </w:p>
                </w:txbxContent>
              </v:textbox>
            </v:shape>
          </w:pict>
        </mc:Fallback>
      </mc:AlternateContent>
    </w:r>
  </w:p>
  <w:p>
    <w:pPr>
      <w:pStyle w:val="5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framePr w:wrap="around" w:vAnchor="text" w:hAnchor="margin" w:xAlign="center" w:y="1"/>
      <w:rPr>
        <w:rStyle w:val="92"/>
      </w:rPr>
    </w:pPr>
    <w:r>
      <w:fldChar w:fldCharType="begin"/>
    </w:r>
    <w:r>
      <w:rPr>
        <w:rStyle w:val="92"/>
      </w:rPr>
      <w:instrText xml:space="preserve">PAGE  </w:instrText>
    </w:r>
    <w:r>
      <w:fldChar w:fldCharType="separate"/>
    </w:r>
    <w:r>
      <w:rPr>
        <w:rStyle w:val="92"/>
      </w:rPr>
      <w:t>1</w:t>
    </w:r>
    <w:r>
      <w:fldChar w:fldCharType="end"/>
    </w:r>
  </w:p>
  <w:p>
    <w:pPr>
      <w:pStyle w:val="59"/>
    </w:pPr>
  </w:p>
  <w:p/>
  <w:p/>
  <w:p/>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59"/>
                          </w:pP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AQ5FbsFgIAABUEAAAOAAAAAAAA&#10;AAEAIAAAAB8BAABkcnMvZTJvRG9jLnhtbFBLBQYAAAAABgAGAFkBAACnBQAAAAA=&#10;">
              <v:fill on="f" focussize="0,0"/>
              <v:stroke on="f" weight="0.5pt"/>
              <v:imagedata o:title=""/>
              <o:lock v:ext="edit" aspectratio="f"/>
              <v:textbox inset="0mm,0mm,0mm,0mm" style="mso-fit-shape-to-text:t;">
                <w:txbxContent>
                  <w:p>
                    <w:pPr>
                      <w:pStyle w:val="59"/>
                    </w:pP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spacing w:before="120" w:after="120"/>
      <w:ind w:firstLine="422"/>
      <w:jc w:val="center"/>
      <w:rPr>
        <w:b/>
        <w:color w:val="984806"/>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59"/>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BPia+8FgIAABUEAAAOAAAAAAAA&#10;AAEAIAAAAB8BAABkcnMvZTJvRG9jLnhtbFBLBQYAAAAABgAGAFkBAACnBQAAAAA=&#10;">
              <v:fill on="f" focussize="0,0"/>
              <v:stroke on="f" weight="0.5pt"/>
              <v:imagedata o:title=""/>
              <o:lock v:ext="edit" aspectratio="f"/>
              <v:textbox inset="0mm,0mm,0mm,0mm" style="mso-fit-shape-to-text:t;">
                <w:txbxContent>
                  <w:p>
                    <w:pPr>
                      <w:pStyle w:val="59"/>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59"/>
                          </w:pPr>
                          <w:r>
                            <w:rPr>
                              <w:rFonts w:hint="eastAsia"/>
                            </w:rPr>
                            <w:fldChar w:fldCharType="begin"/>
                          </w:r>
                          <w:r>
                            <w:rPr>
                              <w:rFonts w:hint="eastAsia"/>
                            </w:rPr>
                            <w:instrText xml:space="preserve"> PAGE  \* MERGEFORMAT </w:instrText>
                          </w:r>
                          <w:r>
                            <w:rPr>
                              <w:rFonts w:hint="eastAsia"/>
                            </w:rPr>
                            <w:fldChar w:fldCharType="separate"/>
                          </w:r>
                          <w:r>
                            <w:t>57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t4qQ0VAgAAFQQAAA4AAAAAAAAA&#10;AQAgAAAAHwEAAGRycy9lMm9Eb2MueG1sUEsFBgAAAAAGAAYAWQEAAKYFAAAAAA==&#10;">
              <v:fill on="f" focussize="0,0"/>
              <v:stroke on="f" weight="0.5pt"/>
              <v:imagedata o:title=""/>
              <o:lock v:ext="edit" aspectratio="f"/>
              <v:textbox inset="0mm,0mm,0mm,0mm" style="mso-fit-shape-to-text:t;">
                <w:txbxContent>
                  <w:p>
                    <w:pPr>
                      <w:pStyle w:val="59"/>
                    </w:pPr>
                    <w:r>
                      <w:rPr>
                        <w:rFonts w:hint="eastAsia"/>
                      </w:rPr>
                      <w:fldChar w:fldCharType="begin"/>
                    </w:r>
                    <w:r>
                      <w:rPr>
                        <w:rFonts w:hint="eastAsia"/>
                      </w:rPr>
                      <w:instrText xml:space="preserve"> PAGE  \* MERGEFORMAT </w:instrText>
                    </w:r>
                    <w:r>
                      <w:rPr>
                        <w:rFonts w:hint="eastAsia"/>
                      </w:rPr>
                      <w:fldChar w:fldCharType="separate"/>
                    </w:r>
                    <w:r>
                      <w:t>57</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59"/>
                          </w:pPr>
                          <w:r>
                            <w:rPr>
                              <w:rFonts w:hint="eastAsia"/>
                            </w:rPr>
                            <w:fldChar w:fldCharType="begin"/>
                          </w:r>
                          <w:r>
                            <w:rPr>
                              <w:rFonts w:hint="eastAsia"/>
                            </w:rPr>
                            <w:instrText xml:space="preserve"> PAGE  \* MERGEFORMAT </w:instrText>
                          </w:r>
                          <w:r>
                            <w:rPr>
                              <w:rFonts w:hint="eastAsia"/>
                            </w:rPr>
                            <w:fldChar w:fldCharType="separate"/>
                          </w:r>
                          <w:r>
                            <w:t>47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59"/>
                    </w:pPr>
                    <w:r>
                      <w:rPr>
                        <w:rFonts w:hint="eastAsia"/>
                      </w:rPr>
                      <w:fldChar w:fldCharType="begin"/>
                    </w:r>
                    <w:r>
                      <w:rPr>
                        <w:rFonts w:hint="eastAsia"/>
                      </w:rPr>
                      <w:instrText xml:space="preserve"> PAGE  \* MERGEFORMAT </w:instrText>
                    </w:r>
                    <w:r>
                      <w:rPr>
                        <w:rFonts w:hint="eastAsia"/>
                      </w:rPr>
                      <w:fldChar w:fldCharType="separate"/>
                    </w:r>
                    <w:r>
                      <w:t>47</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E843D9"/>
    <w:multiLevelType w:val="singleLevel"/>
    <w:tmpl w:val="8FE843D9"/>
    <w:lvl w:ilvl="0" w:tentative="0">
      <w:start w:val="1"/>
      <w:numFmt w:val="decimal"/>
      <w:suff w:val="nothing"/>
      <w:lvlText w:val="%1、"/>
      <w:lvlJc w:val="left"/>
    </w:lvl>
  </w:abstractNum>
  <w:abstractNum w:abstractNumId="1">
    <w:nsid w:val="945515A3"/>
    <w:multiLevelType w:val="singleLevel"/>
    <w:tmpl w:val="945515A3"/>
    <w:lvl w:ilvl="0" w:tentative="0">
      <w:start w:val="1"/>
      <w:numFmt w:val="decimal"/>
      <w:suff w:val="nothing"/>
      <w:lvlText w:val="%1、"/>
      <w:lvlJc w:val="left"/>
    </w:lvl>
  </w:abstractNum>
  <w:abstractNum w:abstractNumId="2">
    <w:nsid w:val="99C78FC4"/>
    <w:multiLevelType w:val="singleLevel"/>
    <w:tmpl w:val="99C78FC4"/>
    <w:lvl w:ilvl="0" w:tentative="0">
      <w:start w:val="3"/>
      <w:numFmt w:val="chineseCounting"/>
      <w:suff w:val="space"/>
      <w:lvlText w:val="第%1部分"/>
      <w:lvlJc w:val="left"/>
      <w:rPr>
        <w:rFonts w:hint="eastAsia"/>
      </w:rPr>
    </w:lvl>
  </w:abstractNum>
  <w:abstractNum w:abstractNumId="3">
    <w:nsid w:val="C5CF6DD0"/>
    <w:multiLevelType w:val="singleLevel"/>
    <w:tmpl w:val="C5CF6DD0"/>
    <w:lvl w:ilvl="0" w:tentative="0">
      <w:start w:val="1"/>
      <w:numFmt w:val="decimal"/>
      <w:lvlText w:val="%1."/>
      <w:lvlJc w:val="left"/>
      <w:pPr>
        <w:tabs>
          <w:tab w:val="left" w:pos="312"/>
        </w:tabs>
      </w:pPr>
    </w:lvl>
  </w:abstractNum>
  <w:abstractNum w:abstractNumId="4">
    <w:nsid w:val="CF092B84"/>
    <w:multiLevelType w:val="singleLevel"/>
    <w:tmpl w:val="CF092B84"/>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abstractNum>
  <w:abstractNum w:abstractNumId="5">
    <w:nsid w:val="D211EB50"/>
    <w:multiLevelType w:val="singleLevel"/>
    <w:tmpl w:val="D211EB50"/>
    <w:lvl w:ilvl="0" w:tentative="0">
      <w:start w:val="3"/>
      <w:numFmt w:val="decimal"/>
      <w:suff w:val="nothing"/>
      <w:lvlText w:val="%1、"/>
      <w:lvlJc w:val="left"/>
    </w:lvl>
  </w:abstractNum>
  <w:abstractNum w:abstractNumId="6">
    <w:nsid w:val="2FF86FF6"/>
    <w:multiLevelType w:val="multilevel"/>
    <w:tmpl w:val="2FF86FF6"/>
    <w:lvl w:ilvl="0" w:tentative="0">
      <w:start w:val="1"/>
      <w:numFmt w:val="decimal"/>
      <w:lvlText w:val="%1"/>
      <w:lvlJc w:val="left"/>
      <w:pPr>
        <w:tabs>
          <w:tab w:val="left" w:pos="0"/>
        </w:tabs>
        <w:ind w:left="425" w:hanging="425"/>
      </w:pPr>
      <w:rPr>
        <w:rFonts w:hint="eastAsia"/>
      </w:rPr>
    </w:lvl>
    <w:lvl w:ilvl="1" w:tentative="0">
      <w:start w:val="1"/>
      <w:numFmt w:val="decimal"/>
      <w:lvlText w:val="%1.%2"/>
      <w:lvlJc w:val="left"/>
      <w:pPr>
        <w:tabs>
          <w:tab w:val="left" w:pos="0"/>
        </w:tabs>
        <w:ind w:left="567" w:hanging="567"/>
      </w:pPr>
      <w:rPr>
        <w:rFonts w:hint="eastAsia"/>
      </w:rPr>
    </w:lvl>
    <w:lvl w:ilvl="2" w:tentative="0">
      <w:start w:val="1"/>
      <w:numFmt w:val="decimal"/>
      <w:pStyle w:val="608"/>
      <w:lvlText w:val="%1.%2.%3"/>
      <w:lvlJc w:val="left"/>
      <w:pPr>
        <w:tabs>
          <w:tab w:val="left" w:pos="142"/>
        </w:tabs>
        <w:ind w:left="851" w:hanging="851"/>
      </w:pPr>
      <w:rPr>
        <w:rFonts w:hint="eastAsia"/>
      </w:rPr>
    </w:lvl>
    <w:lvl w:ilvl="3" w:tentative="0">
      <w:start w:val="1"/>
      <w:numFmt w:val="decimal"/>
      <w:lvlText w:val="%1.%2.%3.%4"/>
      <w:lvlJc w:val="left"/>
      <w:pPr>
        <w:tabs>
          <w:tab w:val="left" w:pos="0"/>
        </w:tabs>
        <w:ind w:left="851" w:hanging="851"/>
      </w:pPr>
      <w:rPr>
        <w:rFonts w:hint="eastAsia"/>
      </w:rPr>
    </w:lvl>
    <w:lvl w:ilvl="4" w:tentative="0">
      <w:start w:val="1"/>
      <w:numFmt w:val="decimal"/>
      <w:lvlText w:val="%1.%2.%3.%4.%5"/>
      <w:lvlJc w:val="left"/>
      <w:pPr>
        <w:tabs>
          <w:tab w:val="left" w:pos="0"/>
        </w:tabs>
        <w:ind w:left="992" w:hanging="992"/>
      </w:pPr>
      <w:rPr>
        <w:rFonts w:hint="eastAsia"/>
      </w:rPr>
    </w:lvl>
    <w:lvl w:ilvl="5" w:tentative="0">
      <w:start w:val="1"/>
      <w:numFmt w:val="decimal"/>
      <w:lvlText w:val="%1.%2.%3.%4.%5.%6"/>
      <w:lvlJc w:val="left"/>
      <w:pPr>
        <w:tabs>
          <w:tab w:val="left" w:pos="0"/>
        </w:tabs>
        <w:ind w:left="1134" w:hanging="1134"/>
      </w:pPr>
      <w:rPr>
        <w:rFonts w:hint="eastAsia"/>
      </w:rPr>
    </w:lvl>
    <w:lvl w:ilvl="6" w:tentative="0">
      <w:start w:val="1"/>
      <w:numFmt w:val="decimal"/>
      <w:lvlText w:val="%1.%2.%3.%4.%5.%6.%7"/>
      <w:lvlJc w:val="left"/>
      <w:pPr>
        <w:tabs>
          <w:tab w:val="left" w:pos="0"/>
        </w:tabs>
        <w:ind w:left="1276" w:hanging="1276"/>
      </w:pPr>
      <w:rPr>
        <w:rFonts w:hint="eastAsia"/>
      </w:rPr>
    </w:lvl>
    <w:lvl w:ilvl="7" w:tentative="0">
      <w:start w:val="1"/>
      <w:numFmt w:val="decimal"/>
      <w:lvlText w:val="%1.%2.%3.%4.%5.%6.%7.%8"/>
      <w:lvlJc w:val="left"/>
      <w:pPr>
        <w:tabs>
          <w:tab w:val="left" w:pos="0"/>
        </w:tabs>
        <w:ind w:left="1418" w:hanging="1418"/>
      </w:pPr>
      <w:rPr>
        <w:rFonts w:hint="eastAsia"/>
      </w:rPr>
    </w:lvl>
    <w:lvl w:ilvl="8" w:tentative="0">
      <w:start w:val="1"/>
      <w:numFmt w:val="decimal"/>
      <w:lvlText w:val="%1.%2.%3.%4.%5.%6.%7.%8.%9"/>
      <w:lvlJc w:val="left"/>
      <w:pPr>
        <w:tabs>
          <w:tab w:val="left" w:pos="0"/>
        </w:tabs>
        <w:ind w:left="1559" w:hanging="1559"/>
      </w:pPr>
      <w:rPr>
        <w:rFonts w:hint="eastAsia"/>
      </w:rPr>
    </w:lvl>
  </w:abstractNum>
  <w:abstractNum w:abstractNumId="7">
    <w:nsid w:val="62288080"/>
    <w:multiLevelType w:val="singleLevel"/>
    <w:tmpl w:val="62288080"/>
    <w:lvl w:ilvl="0" w:tentative="0">
      <w:start w:val="1"/>
      <w:numFmt w:val="chineseCounting"/>
      <w:suff w:val="nothing"/>
      <w:lvlText w:val="%1、"/>
      <w:lvlJc w:val="left"/>
    </w:lvl>
  </w:abstractNum>
  <w:abstractNum w:abstractNumId="8">
    <w:nsid w:val="622880F5"/>
    <w:multiLevelType w:val="singleLevel"/>
    <w:tmpl w:val="622880F5"/>
    <w:lvl w:ilvl="0" w:tentative="0">
      <w:start w:val="5"/>
      <w:numFmt w:val="chineseCounting"/>
      <w:suff w:val="nothing"/>
      <w:lvlText w:val="%1、"/>
      <w:lvlJc w:val="left"/>
    </w:lvl>
  </w:abstractNum>
  <w:abstractNum w:abstractNumId="9">
    <w:nsid w:val="62C53F01"/>
    <w:multiLevelType w:val="singleLevel"/>
    <w:tmpl w:val="62C53F01"/>
    <w:lvl w:ilvl="0" w:tentative="0">
      <w:start w:val="3"/>
      <w:numFmt w:val="decimal"/>
      <w:suff w:val="nothing"/>
      <w:lvlText w:val="%1、"/>
      <w:lvlJc w:val="left"/>
    </w:lvl>
  </w:abstractNum>
  <w:abstractNum w:abstractNumId="10">
    <w:nsid w:val="65A758B4"/>
    <w:multiLevelType w:val="singleLevel"/>
    <w:tmpl w:val="65A758B4"/>
    <w:lvl w:ilvl="0" w:tentative="0">
      <w:start w:val="1"/>
      <w:numFmt w:val="chineseCounting"/>
      <w:suff w:val="nothing"/>
      <w:lvlText w:val="%1、"/>
      <w:lvlJc w:val="left"/>
    </w:lvl>
  </w:abstractNum>
  <w:abstractNum w:abstractNumId="11">
    <w:nsid w:val="65DC4F7F"/>
    <w:multiLevelType w:val="singleLevel"/>
    <w:tmpl w:val="65DC4F7F"/>
    <w:lvl w:ilvl="0" w:tentative="0">
      <w:start w:val="1"/>
      <w:numFmt w:val="chineseCounting"/>
      <w:suff w:val="nothing"/>
      <w:lvlText w:val="%1、"/>
      <w:lvlJc w:val="left"/>
    </w:lvl>
  </w:abstractNum>
  <w:abstractNum w:abstractNumId="12">
    <w:nsid w:val="7D3F9519"/>
    <w:multiLevelType w:val="singleLevel"/>
    <w:tmpl w:val="7D3F9519"/>
    <w:lvl w:ilvl="0" w:tentative="0">
      <w:start w:val="1"/>
      <w:numFmt w:val="decimal"/>
      <w:lvlText w:val="%1."/>
      <w:lvlJc w:val="left"/>
      <w:pPr>
        <w:tabs>
          <w:tab w:val="left" w:pos="312"/>
        </w:tabs>
      </w:pPr>
    </w:lvl>
  </w:abstractNum>
  <w:num w:numId="1">
    <w:abstractNumId w:val="6"/>
  </w:num>
  <w:num w:numId="2">
    <w:abstractNumId w:val="2"/>
  </w:num>
  <w:num w:numId="3">
    <w:abstractNumId w:val="10"/>
  </w:num>
  <w:num w:numId="4">
    <w:abstractNumId w:val="1"/>
  </w:num>
  <w:num w:numId="5">
    <w:abstractNumId w:val="0"/>
  </w:num>
  <w:num w:numId="6">
    <w:abstractNumId w:val="12"/>
  </w:num>
  <w:num w:numId="7">
    <w:abstractNumId w:val="3"/>
  </w:num>
  <w:num w:numId="8">
    <w:abstractNumId w:val="7"/>
  </w:num>
  <w:num w:numId="9">
    <w:abstractNumId w:val="9"/>
  </w:num>
  <w:num w:numId="10">
    <w:abstractNumId w:val="8"/>
  </w:num>
  <w:num w:numId="11">
    <w:abstractNumId w:val="4"/>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ODQ2N2UxMjU3NGEyMzgwZDEwMjgzNjI0ODhmM2IifQ=="/>
  </w:docVars>
  <w:rsids>
    <w:rsidRoot w:val="007A5D82"/>
    <w:rsid w:val="00027E82"/>
    <w:rsid w:val="00046B9C"/>
    <w:rsid w:val="000B2DD3"/>
    <w:rsid w:val="000B6D1D"/>
    <w:rsid w:val="000C5583"/>
    <w:rsid w:val="000D1422"/>
    <w:rsid w:val="00105D0F"/>
    <w:rsid w:val="0013265A"/>
    <w:rsid w:val="0015040C"/>
    <w:rsid w:val="001679F1"/>
    <w:rsid w:val="00197A15"/>
    <w:rsid w:val="001A0CD4"/>
    <w:rsid w:val="001B2290"/>
    <w:rsid w:val="002131C9"/>
    <w:rsid w:val="002272AD"/>
    <w:rsid w:val="00243D83"/>
    <w:rsid w:val="0025204E"/>
    <w:rsid w:val="002903B8"/>
    <w:rsid w:val="0034556A"/>
    <w:rsid w:val="003A42CB"/>
    <w:rsid w:val="003C646A"/>
    <w:rsid w:val="00406FB1"/>
    <w:rsid w:val="00415500"/>
    <w:rsid w:val="00430F02"/>
    <w:rsid w:val="00483399"/>
    <w:rsid w:val="0048446F"/>
    <w:rsid w:val="005016A3"/>
    <w:rsid w:val="00515780"/>
    <w:rsid w:val="00553F2B"/>
    <w:rsid w:val="00560C55"/>
    <w:rsid w:val="005770C6"/>
    <w:rsid w:val="00592201"/>
    <w:rsid w:val="005D5A89"/>
    <w:rsid w:val="00620CEE"/>
    <w:rsid w:val="006475F9"/>
    <w:rsid w:val="006557B5"/>
    <w:rsid w:val="0067025D"/>
    <w:rsid w:val="006D68BC"/>
    <w:rsid w:val="006F7EC8"/>
    <w:rsid w:val="007221E1"/>
    <w:rsid w:val="007506F2"/>
    <w:rsid w:val="00785368"/>
    <w:rsid w:val="0079676D"/>
    <w:rsid w:val="007A5D82"/>
    <w:rsid w:val="007C3852"/>
    <w:rsid w:val="00806165"/>
    <w:rsid w:val="00842EA4"/>
    <w:rsid w:val="008618A5"/>
    <w:rsid w:val="0088327D"/>
    <w:rsid w:val="008B6D38"/>
    <w:rsid w:val="008D4084"/>
    <w:rsid w:val="0090511E"/>
    <w:rsid w:val="009175E9"/>
    <w:rsid w:val="00965F66"/>
    <w:rsid w:val="009D3545"/>
    <w:rsid w:val="009F125B"/>
    <w:rsid w:val="00A30AEF"/>
    <w:rsid w:val="00A74250"/>
    <w:rsid w:val="00AE44FE"/>
    <w:rsid w:val="00B1163D"/>
    <w:rsid w:val="00B2721C"/>
    <w:rsid w:val="00B34A9D"/>
    <w:rsid w:val="00B52669"/>
    <w:rsid w:val="00B63531"/>
    <w:rsid w:val="00B648EC"/>
    <w:rsid w:val="00C23D3C"/>
    <w:rsid w:val="00C36099"/>
    <w:rsid w:val="00C40E2E"/>
    <w:rsid w:val="00C83E71"/>
    <w:rsid w:val="00C94444"/>
    <w:rsid w:val="00CB7716"/>
    <w:rsid w:val="00D2567D"/>
    <w:rsid w:val="00D7121C"/>
    <w:rsid w:val="00D93836"/>
    <w:rsid w:val="00DC0A28"/>
    <w:rsid w:val="00E20DA8"/>
    <w:rsid w:val="00EB2895"/>
    <w:rsid w:val="00EC7558"/>
    <w:rsid w:val="00F02364"/>
    <w:rsid w:val="00F41063"/>
    <w:rsid w:val="00FC5D2D"/>
    <w:rsid w:val="01003DD1"/>
    <w:rsid w:val="01004F70"/>
    <w:rsid w:val="01042A45"/>
    <w:rsid w:val="012C316A"/>
    <w:rsid w:val="01381777"/>
    <w:rsid w:val="015C2FCB"/>
    <w:rsid w:val="01A65DF4"/>
    <w:rsid w:val="01B72B46"/>
    <w:rsid w:val="01BA02E3"/>
    <w:rsid w:val="01E6334D"/>
    <w:rsid w:val="02184760"/>
    <w:rsid w:val="02190262"/>
    <w:rsid w:val="021C52BB"/>
    <w:rsid w:val="027D6231"/>
    <w:rsid w:val="02DE09FE"/>
    <w:rsid w:val="02DF38B4"/>
    <w:rsid w:val="02E54A61"/>
    <w:rsid w:val="02E56249"/>
    <w:rsid w:val="033860BA"/>
    <w:rsid w:val="03633CD3"/>
    <w:rsid w:val="036A67E9"/>
    <w:rsid w:val="036F5EE2"/>
    <w:rsid w:val="03734A4F"/>
    <w:rsid w:val="038F59C3"/>
    <w:rsid w:val="03CF0B3B"/>
    <w:rsid w:val="03D44D6F"/>
    <w:rsid w:val="03F31257"/>
    <w:rsid w:val="03FF0432"/>
    <w:rsid w:val="04397539"/>
    <w:rsid w:val="04671DFA"/>
    <w:rsid w:val="04686B29"/>
    <w:rsid w:val="046B21BE"/>
    <w:rsid w:val="0498268D"/>
    <w:rsid w:val="04C10BB3"/>
    <w:rsid w:val="04C163B9"/>
    <w:rsid w:val="04EF50A9"/>
    <w:rsid w:val="052C4DCB"/>
    <w:rsid w:val="05363B99"/>
    <w:rsid w:val="055A008C"/>
    <w:rsid w:val="05C207CA"/>
    <w:rsid w:val="05F06A58"/>
    <w:rsid w:val="06665843"/>
    <w:rsid w:val="06820DE5"/>
    <w:rsid w:val="069B56D4"/>
    <w:rsid w:val="0790503C"/>
    <w:rsid w:val="081150E7"/>
    <w:rsid w:val="081D0794"/>
    <w:rsid w:val="085146E0"/>
    <w:rsid w:val="085B3EDF"/>
    <w:rsid w:val="0932201A"/>
    <w:rsid w:val="09566E78"/>
    <w:rsid w:val="09A71194"/>
    <w:rsid w:val="09BA5289"/>
    <w:rsid w:val="09D603F5"/>
    <w:rsid w:val="09E468E4"/>
    <w:rsid w:val="09E76A8C"/>
    <w:rsid w:val="0A043AE0"/>
    <w:rsid w:val="0A600618"/>
    <w:rsid w:val="0A7D1467"/>
    <w:rsid w:val="0AC65DDF"/>
    <w:rsid w:val="0B281C6E"/>
    <w:rsid w:val="0B5A14A8"/>
    <w:rsid w:val="0B650788"/>
    <w:rsid w:val="0B766D6C"/>
    <w:rsid w:val="0B767141"/>
    <w:rsid w:val="0BDA5C33"/>
    <w:rsid w:val="0C2225E9"/>
    <w:rsid w:val="0C363399"/>
    <w:rsid w:val="0C5950F7"/>
    <w:rsid w:val="0C6C455B"/>
    <w:rsid w:val="0CE4136C"/>
    <w:rsid w:val="0D1029E5"/>
    <w:rsid w:val="0D3B615F"/>
    <w:rsid w:val="0D4542E3"/>
    <w:rsid w:val="0DBB1D88"/>
    <w:rsid w:val="0DD42258"/>
    <w:rsid w:val="0DDD00BB"/>
    <w:rsid w:val="0E1C3A54"/>
    <w:rsid w:val="0E445115"/>
    <w:rsid w:val="0E494EC0"/>
    <w:rsid w:val="0E966A05"/>
    <w:rsid w:val="0EFD50C8"/>
    <w:rsid w:val="0F3A4FCB"/>
    <w:rsid w:val="0F4D3080"/>
    <w:rsid w:val="0F5949C8"/>
    <w:rsid w:val="0F652F15"/>
    <w:rsid w:val="0FA85FC4"/>
    <w:rsid w:val="0FD27515"/>
    <w:rsid w:val="107E3BF9"/>
    <w:rsid w:val="10F422EA"/>
    <w:rsid w:val="112763AB"/>
    <w:rsid w:val="115B26A5"/>
    <w:rsid w:val="11BF42F9"/>
    <w:rsid w:val="11E17447"/>
    <w:rsid w:val="11F77BE4"/>
    <w:rsid w:val="12687032"/>
    <w:rsid w:val="12816125"/>
    <w:rsid w:val="12A43D08"/>
    <w:rsid w:val="13032C12"/>
    <w:rsid w:val="131268CF"/>
    <w:rsid w:val="134C4167"/>
    <w:rsid w:val="1389399F"/>
    <w:rsid w:val="139C51D7"/>
    <w:rsid w:val="13A21648"/>
    <w:rsid w:val="14443AA9"/>
    <w:rsid w:val="144A6A8A"/>
    <w:rsid w:val="144C3DE9"/>
    <w:rsid w:val="14565D1F"/>
    <w:rsid w:val="145E7E3E"/>
    <w:rsid w:val="14636AC6"/>
    <w:rsid w:val="14BD4117"/>
    <w:rsid w:val="14F403A2"/>
    <w:rsid w:val="150429F6"/>
    <w:rsid w:val="15143693"/>
    <w:rsid w:val="15156A19"/>
    <w:rsid w:val="151F57A4"/>
    <w:rsid w:val="154C57EA"/>
    <w:rsid w:val="155101B8"/>
    <w:rsid w:val="1553187A"/>
    <w:rsid w:val="158C29BB"/>
    <w:rsid w:val="15B63652"/>
    <w:rsid w:val="160217CC"/>
    <w:rsid w:val="162A4E0B"/>
    <w:rsid w:val="16476028"/>
    <w:rsid w:val="165C7130"/>
    <w:rsid w:val="16711D88"/>
    <w:rsid w:val="167E32A8"/>
    <w:rsid w:val="16CA0A72"/>
    <w:rsid w:val="1706320E"/>
    <w:rsid w:val="170E0B6C"/>
    <w:rsid w:val="172534A5"/>
    <w:rsid w:val="174C36C7"/>
    <w:rsid w:val="177B2B4C"/>
    <w:rsid w:val="17B046A1"/>
    <w:rsid w:val="17B55C28"/>
    <w:rsid w:val="183C2F48"/>
    <w:rsid w:val="18611F96"/>
    <w:rsid w:val="18C53DB7"/>
    <w:rsid w:val="18D864C9"/>
    <w:rsid w:val="18F10C39"/>
    <w:rsid w:val="192E3DB6"/>
    <w:rsid w:val="19311658"/>
    <w:rsid w:val="198F4E4D"/>
    <w:rsid w:val="19A468A3"/>
    <w:rsid w:val="1A225DEB"/>
    <w:rsid w:val="1A37629E"/>
    <w:rsid w:val="1A405CC1"/>
    <w:rsid w:val="1A6C77D2"/>
    <w:rsid w:val="1AA56983"/>
    <w:rsid w:val="1AD5258D"/>
    <w:rsid w:val="1B177D44"/>
    <w:rsid w:val="1B2707D2"/>
    <w:rsid w:val="1BD21DA5"/>
    <w:rsid w:val="1C0D2A34"/>
    <w:rsid w:val="1C2F63A6"/>
    <w:rsid w:val="1C401FC8"/>
    <w:rsid w:val="1C411AC8"/>
    <w:rsid w:val="1CF63048"/>
    <w:rsid w:val="1CFD2715"/>
    <w:rsid w:val="1D484FDF"/>
    <w:rsid w:val="1D6C6D8F"/>
    <w:rsid w:val="1D9D1EFF"/>
    <w:rsid w:val="1DC2453B"/>
    <w:rsid w:val="1DD4732B"/>
    <w:rsid w:val="1DE04259"/>
    <w:rsid w:val="1E267991"/>
    <w:rsid w:val="1E522E75"/>
    <w:rsid w:val="1E791310"/>
    <w:rsid w:val="1E8F07AF"/>
    <w:rsid w:val="1E925FBC"/>
    <w:rsid w:val="1EBC4265"/>
    <w:rsid w:val="1EC754CE"/>
    <w:rsid w:val="1ECC1EF8"/>
    <w:rsid w:val="1EE447BD"/>
    <w:rsid w:val="1F0075A3"/>
    <w:rsid w:val="1F287668"/>
    <w:rsid w:val="1F610BAB"/>
    <w:rsid w:val="1F6902B8"/>
    <w:rsid w:val="1F7223F2"/>
    <w:rsid w:val="1F9D1565"/>
    <w:rsid w:val="1FB97B4C"/>
    <w:rsid w:val="1FBB5136"/>
    <w:rsid w:val="1FE03397"/>
    <w:rsid w:val="1FE13255"/>
    <w:rsid w:val="1FE93F02"/>
    <w:rsid w:val="1FF92C37"/>
    <w:rsid w:val="2015719B"/>
    <w:rsid w:val="201C3760"/>
    <w:rsid w:val="20225537"/>
    <w:rsid w:val="20910557"/>
    <w:rsid w:val="21276A6F"/>
    <w:rsid w:val="212A476B"/>
    <w:rsid w:val="213A6C22"/>
    <w:rsid w:val="218A4771"/>
    <w:rsid w:val="21AD093E"/>
    <w:rsid w:val="21BF3755"/>
    <w:rsid w:val="21F3360A"/>
    <w:rsid w:val="22111A44"/>
    <w:rsid w:val="22121362"/>
    <w:rsid w:val="2229612C"/>
    <w:rsid w:val="22444193"/>
    <w:rsid w:val="224A2FB0"/>
    <w:rsid w:val="225D6473"/>
    <w:rsid w:val="227C4AC7"/>
    <w:rsid w:val="228B3F1C"/>
    <w:rsid w:val="22DA7665"/>
    <w:rsid w:val="22F55525"/>
    <w:rsid w:val="230C520F"/>
    <w:rsid w:val="231623AF"/>
    <w:rsid w:val="233C68B2"/>
    <w:rsid w:val="23547B1A"/>
    <w:rsid w:val="235B3AAC"/>
    <w:rsid w:val="237301B7"/>
    <w:rsid w:val="23BD2C90"/>
    <w:rsid w:val="2405014E"/>
    <w:rsid w:val="241F5C00"/>
    <w:rsid w:val="24A64F12"/>
    <w:rsid w:val="24C774FF"/>
    <w:rsid w:val="24F377B9"/>
    <w:rsid w:val="25A55E9D"/>
    <w:rsid w:val="25B06736"/>
    <w:rsid w:val="25EC4DBB"/>
    <w:rsid w:val="262B36B8"/>
    <w:rsid w:val="26BD0BA8"/>
    <w:rsid w:val="27264F7F"/>
    <w:rsid w:val="272877FD"/>
    <w:rsid w:val="27354819"/>
    <w:rsid w:val="27363C48"/>
    <w:rsid w:val="277321E7"/>
    <w:rsid w:val="27793626"/>
    <w:rsid w:val="279D027C"/>
    <w:rsid w:val="27E03436"/>
    <w:rsid w:val="27F14C68"/>
    <w:rsid w:val="282A161C"/>
    <w:rsid w:val="28321BDA"/>
    <w:rsid w:val="284D1F02"/>
    <w:rsid w:val="289917EE"/>
    <w:rsid w:val="28A649CC"/>
    <w:rsid w:val="292068C7"/>
    <w:rsid w:val="299F7069"/>
    <w:rsid w:val="2A2C7628"/>
    <w:rsid w:val="2A336DA5"/>
    <w:rsid w:val="2A3740FB"/>
    <w:rsid w:val="2A843FC8"/>
    <w:rsid w:val="2AA00D36"/>
    <w:rsid w:val="2ABE7036"/>
    <w:rsid w:val="2AFF75DD"/>
    <w:rsid w:val="2B031F1B"/>
    <w:rsid w:val="2B1320CD"/>
    <w:rsid w:val="2B486B34"/>
    <w:rsid w:val="2B7A5CC9"/>
    <w:rsid w:val="2B903093"/>
    <w:rsid w:val="2C504932"/>
    <w:rsid w:val="2C577E1C"/>
    <w:rsid w:val="2C96539F"/>
    <w:rsid w:val="2D602BCE"/>
    <w:rsid w:val="2D615380"/>
    <w:rsid w:val="2D903831"/>
    <w:rsid w:val="2D92178D"/>
    <w:rsid w:val="2DB25E25"/>
    <w:rsid w:val="2DC53A39"/>
    <w:rsid w:val="2E294C83"/>
    <w:rsid w:val="2E3A52C6"/>
    <w:rsid w:val="2E49166F"/>
    <w:rsid w:val="2E8E354E"/>
    <w:rsid w:val="2EB105FB"/>
    <w:rsid w:val="2EC75D1E"/>
    <w:rsid w:val="2EE12F13"/>
    <w:rsid w:val="2F096EF5"/>
    <w:rsid w:val="2F0D288D"/>
    <w:rsid w:val="2F24593B"/>
    <w:rsid w:val="2F5E78CC"/>
    <w:rsid w:val="2F621D71"/>
    <w:rsid w:val="2F7E0653"/>
    <w:rsid w:val="2FEB3886"/>
    <w:rsid w:val="30332958"/>
    <w:rsid w:val="309519F2"/>
    <w:rsid w:val="30B92739"/>
    <w:rsid w:val="315020C3"/>
    <w:rsid w:val="317007D2"/>
    <w:rsid w:val="31794D2A"/>
    <w:rsid w:val="31F62A16"/>
    <w:rsid w:val="32097CAD"/>
    <w:rsid w:val="32391A49"/>
    <w:rsid w:val="327C0979"/>
    <w:rsid w:val="328E2A4F"/>
    <w:rsid w:val="32BB112B"/>
    <w:rsid w:val="32C61B81"/>
    <w:rsid w:val="32D60B95"/>
    <w:rsid w:val="32D86D2B"/>
    <w:rsid w:val="32DE3CC1"/>
    <w:rsid w:val="334D72DC"/>
    <w:rsid w:val="33824DCA"/>
    <w:rsid w:val="33A12D8D"/>
    <w:rsid w:val="33DB1549"/>
    <w:rsid w:val="34240224"/>
    <w:rsid w:val="34542E95"/>
    <w:rsid w:val="345E782A"/>
    <w:rsid w:val="34754B05"/>
    <w:rsid w:val="34815DE6"/>
    <w:rsid w:val="349F71E0"/>
    <w:rsid w:val="34A03024"/>
    <w:rsid w:val="34AD7AE6"/>
    <w:rsid w:val="356D3AA3"/>
    <w:rsid w:val="356D435C"/>
    <w:rsid w:val="35711D74"/>
    <w:rsid w:val="357154EC"/>
    <w:rsid w:val="357D03ED"/>
    <w:rsid w:val="36114DDC"/>
    <w:rsid w:val="363303E8"/>
    <w:rsid w:val="36627BEC"/>
    <w:rsid w:val="366B1629"/>
    <w:rsid w:val="36855DEE"/>
    <w:rsid w:val="368B1519"/>
    <w:rsid w:val="369E781D"/>
    <w:rsid w:val="36C53441"/>
    <w:rsid w:val="36CE0DA1"/>
    <w:rsid w:val="374B09B8"/>
    <w:rsid w:val="376D6564"/>
    <w:rsid w:val="378B4599"/>
    <w:rsid w:val="37972F4E"/>
    <w:rsid w:val="379F36E7"/>
    <w:rsid w:val="37AB1912"/>
    <w:rsid w:val="37BF2CB4"/>
    <w:rsid w:val="37C9791E"/>
    <w:rsid w:val="37F048C1"/>
    <w:rsid w:val="37F91904"/>
    <w:rsid w:val="382F2CAC"/>
    <w:rsid w:val="386D4A46"/>
    <w:rsid w:val="387B3805"/>
    <w:rsid w:val="389542AD"/>
    <w:rsid w:val="38B54819"/>
    <w:rsid w:val="391B4AFB"/>
    <w:rsid w:val="39242483"/>
    <w:rsid w:val="39423639"/>
    <w:rsid w:val="39757F86"/>
    <w:rsid w:val="39A477F1"/>
    <w:rsid w:val="39B76D4C"/>
    <w:rsid w:val="39B95FCA"/>
    <w:rsid w:val="39E17362"/>
    <w:rsid w:val="3A53158B"/>
    <w:rsid w:val="3AA9443D"/>
    <w:rsid w:val="3AB61FBB"/>
    <w:rsid w:val="3AF04C32"/>
    <w:rsid w:val="3AFD35FA"/>
    <w:rsid w:val="3B0F6106"/>
    <w:rsid w:val="3B4E64A1"/>
    <w:rsid w:val="3B9D3D54"/>
    <w:rsid w:val="3C4408F4"/>
    <w:rsid w:val="3C5B0694"/>
    <w:rsid w:val="3C8C255A"/>
    <w:rsid w:val="3C920D8B"/>
    <w:rsid w:val="3CA718C5"/>
    <w:rsid w:val="3CB5498F"/>
    <w:rsid w:val="3CC006BA"/>
    <w:rsid w:val="3CF10DD5"/>
    <w:rsid w:val="3D477A56"/>
    <w:rsid w:val="3E2D48C4"/>
    <w:rsid w:val="3E34058B"/>
    <w:rsid w:val="3E7650A0"/>
    <w:rsid w:val="3ED66473"/>
    <w:rsid w:val="3F165706"/>
    <w:rsid w:val="3F54675C"/>
    <w:rsid w:val="3F7074B3"/>
    <w:rsid w:val="3F8600DA"/>
    <w:rsid w:val="3F8666D2"/>
    <w:rsid w:val="3FAE48C4"/>
    <w:rsid w:val="3FD4438B"/>
    <w:rsid w:val="3FF54A78"/>
    <w:rsid w:val="406F0DE2"/>
    <w:rsid w:val="40723FE9"/>
    <w:rsid w:val="409B073F"/>
    <w:rsid w:val="40C23245"/>
    <w:rsid w:val="40C30669"/>
    <w:rsid w:val="40D35982"/>
    <w:rsid w:val="41192D2C"/>
    <w:rsid w:val="411C7E79"/>
    <w:rsid w:val="412424B0"/>
    <w:rsid w:val="41390A03"/>
    <w:rsid w:val="41AC0C1A"/>
    <w:rsid w:val="41E0587A"/>
    <w:rsid w:val="41FF4189"/>
    <w:rsid w:val="42024047"/>
    <w:rsid w:val="42321B16"/>
    <w:rsid w:val="426068B8"/>
    <w:rsid w:val="427C635A"/>
    <w:rsid w:val="42B84451"/>
    <w:rsid w:val="42CD28C1"/>
    <w:rsid w:val="42E3153F"/>
    <w:rsid w:val="42E3195D"/>
    <w:rsid w:val="42F015E7"/>
    <w:rsid w:val="42FA6F27"/>
    <w:rsid w:val="43024664"/>
    <w:rsid w:val="43177EA8"/>
    <w:rsid w:val="433A6389"/>
    <w:rsid w:val="43EA2850"/>
    <w:rsid w:val="44240B8B"/>
    <w:rsid w:val="44F05816"/>
    <w:rsid w:val="45022F36"/>
    <w:rsid w:val="45187E32"/>
    <w:rsid w:val="451D594D"/>
    <w:rsid w:val="452B46AF"/>
    <w:rsid w:val="455A7AB1"/>
    <w:rsid w:val="45732F05"/>
    <w:rsid w:val="457930F8"/>
    <w:rsid w:val="45E64482"/>
    <w:rsid w:val="4609730F"/>
    <w:rsid w:val="463E2805"/>
    <w:rsid w:val="465B1968"/>
    <w:rsid w:val="468A4ADE"/>
    <w:rsid w:val="46A4073F"/>
    <w:rsid w:val="46D16B66"/>
    <w:rsid w:val="47516713"/>
    <w:rsid w:val="479A298D"/>
    <w:rsid w:val="48301F75"/>
    <w:rsid w:val="48361AEE"/>
    <w:rsid w:val="486C3613"/>
    <w:rsid w:val="48980810"/>
    <w:rsid w:val="49135F1A"/>
    <w:rsid w:val="49880ACB"/>
    <w:rsid w:val="499C4714"/>
    <w:rsid w:val="49A23E49"/>
    <w:rsid w:val="49FA0856"/>
    <w:rsid w:val="4A09321E"/>
    <w:rsid w:val="4A2870DE"/>
    <w:rsid w:val="4A831B46"/>
    <w:rsid w:val="4AA545E3"/>
    <w:rsid w:val="4AAF7D0C"/>
    <w:rsid w:val="4ABC3B25"/>
    <w:rsid w:val="4ADC0803"/>
    <w:rsid w:val="4AE95D9F"/>
    <w:rsid w:val="4B2E7A87"/>
    <w:rsid w:val="4B8E3B2C"/>
    <w:rsid w:val="4C105D82"/>
    <w:rsid w:val="4C3323E3"/>
    <w:rsid w:val="4C85432A"/>
    <w:rsid w:val="4CBA08DB"/>
    <w:rsid w:val="4CE15C22"/>
    <w:rsid w:val="4CEB3B72"/>
    <w:rsid w:val="4CFB33DC"/>
    <w:rsid w:val="4D8E6102"/>
    <w:rsid w:val="4E662E38"/>
    <w:rsid w:val="4E8F268D"/>
    <w:rsid w:val="4ED0381C"/>
    <w:rsid w:val="4ED669EF"/>
    <w:rsid w:val="4EDE2257"/>
    <w:rsid w:val="4F510271"/>
    <w:rsid w:val="4FA31835"/>
    <w:rsid w:val="4FDE4355"/>
    <w:rsid w:val="4FE832EC"/>
    <w:rsid w:val="502D6515"/>
    <w:rsid w:val="503D1053"/>
    <w:rsid w:val="503E7050"/>
    <w:rsid w:val="50641E3E"/>
    <w:rsid w:val="50674AE0"/>
    <w:rsid w:val="50A117BE"/>
    <w:rsid w:val="50B75B0D"/>
    <w:rsid w:val="50B87E39"/>
    <w:rsid w:val="50C41EFA"/>
    <w:rsid w:val="50EF0431"/>
    <w:rsid w:val="51067C16"/>
    <w:rsid w:val="51094E52"/>
    <w:rsid w:val="51677FFB"/>
    <w:rsid w:val="519025B4"/>
    <w:rsid w:val="5210157E"/>
    <w:rsid w:val="52AB2F1D"/>
    <w:rsid w:val="52B34825"/>
    <w:rsid w:val="52D61E20"/>
    <w:rsid w:val="53191560"/>
    <w:rsid w:val="53343103"/>
    <w:rsid w:val="535A6B32"/>
    <w:rsid w:val="53C10AF6"/>
    <w:rsid w:val="53D0192A"/>
    <w:rsid w:val="544E2776"/>
    <w:rsid w:val="545A05A8"/>
    <w:rsid w:val="546968B5"/>
    <w:rsid w:val="54735CB1"/>
    <w:rsid w:val="548D280D"/>
    <w:rsid w:val="54C149BE"/>
    <w:rsid w:val="54E91AE2"/>
    <w:rsid w:val="552A44B7"/>
    <w:rsid w:val="555F7CF5"/>
    <w:rsid w:val="556029B6"/>
    <w:rsid w:val="55B25162"/>
    <w:rsid w:val="55BE7F35"/>
    <w:rsid w:val="55C5181C"/>
    <w:rsid w:val="55CB4221"/>
    <w:rsid w:val="55CB446E"/>
    <w:rsid w:val="55F80DBB"/>
    <w:rsid w:val="561F5F66"/>
    <w:rsid w:val="563C0BA4"/>
    <w:rsid w:val="563D5649"/>
    <w:rsid w:val="564F52B5"/>
    <w:rsid w:val="56575D72"/>
    <w:rsid w:val="567278AC"/>
    <w:rsid w:val="56B76DA6"/>
    <w:rsid w:val="57991577"/>
    <w:rsid w:val="57B917F9"/>
    <w:rsid w:val="57C20040"/>
    <w:rsid w:val="58065319"/>
    <w:rsid w:val="58155571"/>
    <w:rsid w:val="58545D58"/>
    <w:rsid w:val="586830F4"/>
    <w:rsid w:val="587E559A"/>
    <w:rsid w:val="588D5442"/>
    <w:rsid w:val="59382542"/>
    <w:rsid w:val="593B1EE8"/>
    <w:rsid w:val="59502101"/>
    <w:rsid w:val="597520FE"/>
    <w:rsid w:val="59B54E21"/>
    <w:rsid w:val="5A9B1B7A"/>
    <w:rsid w:val="5AA42772"/>
    <w:rsid w:val="5AEF5A4A"/>
    <w:rsid w:val="5B33357C"/>
    <w:rsid w:val="5B853179"/>
    <w:rsid w:val="5BDC1059"/>
    <w:rsid w:val="5BF71CA4"/>
    <w:rsid w:val="5C0A3D39"/>
    <w:rsid w:val="5C19185A"/>
    <w:rsid w:val="5CC72378"/>
    <w:rsid w:val="5CCA22F2"/>
    <w:rsid w:val="5CFD4ADF"/>
    <w:rsid w:val="5D456B0D"/>
    <w:rsid w:val="5D936D12"/>
    <w:rsid w:val="5DDD798A"/>
    <w:rsid w:val="5E1A4E69"/>
    <w:rsid w:val="5E5E5638"/>
    <w:rsid w:val="5EE42431"/>
    <w:rsid w:val="5EEE77EF"/>
    <w:rsid w:val="5F2823FC"/>
    <w:rsid w:val="5FC21371"/>
    <w:rsid w:val="5FC67C3B"/>
    <w:rsid w:val="5FF25F38"/>
    <w:rsid w:val="602A2E39"/>
    <w:rsid w:val="60661F80"/>
    <w:rsid w:val="60CF3AFF"/>
    <w:rsid w:val="60CF41EB"/>
    <w:rsid w:val="60DF5C27"/>
    <w:rsid w:val="614271A6"/>
    <w:rsid w:val="6193127D"/>
    <w:rsid w:val="61BD1581"/>
    <w:rsid w:val="61E867EA"/>
    <w:rsid w:val="625F4095"/>
    <w:rsid w:val="62832EDB"/>
    <w:rsid w:val="630B1BD9"/>
    <w:rsid w:val="63242FB0"/>
    <w:rsid w:val="636E7DA4"/>
    <w:rsid w:val="637E6437"/>
    <w:rsid w:val="638368F7"/>
    <w:rsid w:val="640E3680"/>
    <w:rsid w:val="646F0600"/>
    <w:rsid w:val="646F6749"/>
    <w:rsid w:val="649C3091"/>
    <w:rsid w:val="64A24566"/>
    <w:rsid w:val="64AB2B5D"/>
    <w:rsid w:val="64D442D4"/>
    <w:rsid w:val="65125147"/>
    <w:rsid w:val="653F112F"/>
    <w:rsid w:val="656C63B9"/>
    <w:rsid w:val="6583704A"/>
    <w:rsid w:val="658E7B9D"/>
    <w:rsid w:val="65A65C82"/>
    <w:rsid w:val="65C911DC"/>
    <w:rsid w:val="662D1D86"/>
    <w:rsid w:val="66B536BD"/>
    <w:rsid w:val="66CC197D"/>
    <w:rsid w:val="67131E53"/>
    <w:rsid w:val="672F6B54"/>
    <w:rsid w:val="682B22EE"/>
    <w:rsid w:val="685B309C"/>
    <w:rsid w:val="69AE1A07"/>
    <w:rsid w:val="69D01F99"/>
    <w:rsid w:val="69EA5439"/>
    <w:rsid w:val="6A6A33E9"/>
    <w:rsid w:val="6ACD44A8"/>
    <w:rsid w:val="6AD4703F"/>
    <w:rsid w:val="6B0B3A0B"/>
    <w:rsid w:val="6B405FEF"/>
    <w:rsid w:val="6BD743DB"/>
    <w:rsid w:val="6BFC2211"/>
    <w:rsid w:val="6C0E4184"/>
    <w:rsid w:val="6C19510B"/>
    <w:rsid w:val="6C485D24"/>
    <w:rsid w:val="6C807EDD"/>
    <w:rsid w:val="6C9C230B"/>
    <w:rsid w:val="6CA11C06"/>
    <w:rsid w:val="6CDC0CE6"/>
    <w:rsid w:val="6D067C9B"/>
    <w:rsid w:val="6D0D4301"/>
    <w:rsid w:val="6D2D2497"/>
    <w:rsid w:val="6D42480E"/>
    <w:rsid w:val="6D536C55"/>
    <w:rsid w:val="6E5D49D8"/>
    <w:rsid w:val="6E6D131F"/>
    <w:rsid w:val="6E835010"/>
    <w:rsid w:val="6F3215C9"/>
    <w:rsid w:val="6F974153"/>
    <w:rsid w:val="6FE37C6B"/>
    <w:rsid w:val="702029BA"/>
    <w:rsid w:val="70371DD9"/>
    <w:rsid w:val="70BA14A8"/>
    <w:rsid w:val="70C921F2"/>
    <w:rsid w:val="7112453D"/>
    <w:rsid w:val="71C33A22"/>
    <w:rsid w:val="71F03C99"/>
    <w:rsid w:val="721B3B48"/>
    <w:rsid w:val="72275FDD"/>
    <w:rsid w:val="728C3623"/>
    <w:rsid w:val="732F616C"/>
    <w:rsid w:val="733D75DC"/>
    <w:rsid w:val="73823F10"/>
    <w:rsid w:val="73976045"/>
    <w:rsid w:val="73A43391"/>
    <w:rsid w:val="73B0197F"/>
    <w:rsid w:val="73BD2EB2"/>
    <w:rsid w:val="73F07597"/>
    <w:rsid w:val="73F3727F"/>
    <w:rsid w:val="73FA0380"/>
    <w:rsid w:val="746C62BC"/>
    <w:rsid w:val="747B0053"/>
    <w:rsid w:val="74870E3C"/>
    <w:rsid w:val="74E97240"/>
    <w:rsid w:val="74FA7BD4"/>
    <w:rsid w:val="751F371C"/>
    <w:rsid w:val="75954DD4"/>
    <w:rsid w:val="76066442"/>
    <w:rsid w:val="761B3B0C"/>
    <w:rsid w:val="76544CB4"/>
    <w:rsid w:val="76AD1320"/>
    <w:rsid w:val="76F731DD"/>
    <w:rsid w:val="76FF6454"/>
    <w:rsid w:val="770E647C"/>
    <w:rsid w:val="776738F9"/>
    <w:rsid w:val="77881CF5"/>
    <w:rsid w:val="778E784F"/>
    <w:rsid w:val="77C0368D"/>
    <w:rsid w:val="78184C7D"/>
    <w:rsid w:val="781C5BB5"/>
    <w:rsid w:val="78612B19"/>
    <w:rsid w:val="787A3EB4"/>
    <w:rsid w:val="78884A7C"/>
    <w:rsid w:val="78A47622"/>
    <w:rsid w:val="78CB7988"/>
    <w:rsid w:val="79003002"/>
    <w:rsid w:val="79157285"/>
    <w:rsid w:val="79200641"/>
    <w:rsid w:val="792A20C4"/>
    <w:rsid w:val="798745EF"/>
    <w:rsid w:val="79A230AA"/>
    <w:rsid w:val="79B1652A"/>
    <w:rsid w:val="79B629D2"/>
    <w:rsid w:val="79C647EF"/>
    <w:rsid w:val="79D363E5"/>
    <w:rsid w:val="7A6F05F4"/>
    <w:rsid w:val="7B0121A5"/>
    <w:rsid w:val="7B1F40FF"/>
    <w:rsid w:val="7B6846A3"/>
    <w:rsid w:val="7B6F78EF"/>
    <w:rsid w:val="7C5A41C6"/>
    <w:rsid w:val="7C652BAE"/>
    <w:rsid w:val="7C7D065F"/>
    <w:rsid w:val="7CAE403E"/>
    <w:rsid w:val="7CC76FCA"/>
    <w:rsid w:val="7D6C678E"/>
    <w:rsid w:val="7D9728AB"/>
    <w:rsid w:val="7DC47350"/>
    <w:rsid w:val="7DD40C4D"/>
    <w:rsid w:val="7DE215DB"/>
    <w:rsid w:val="7DFD7EB4"/>
    <w:rsid w:val="7E26375B"/>
    <w:rsid w:val="7E3A1606"/>
    <w:rsid w:val="7E5C0B09"/>
    <w:rsid w:val="7E6B06DF"/>
    <w:rsid w:val="7E704415"/>
    <w:rsid w:val="7ED805DE"/>
    <w:rsid w:val="7EE57C91"/>
    <w:rsid w:val="7F4E4B22"/>
    <w:rsid w:val="7F577F3D"/>
    <w:rsid w:val="7FAE21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semiHidden="0" w:name="Default Paragraph Font"/>
    <w:lsdException w:qFormat="1"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5">
    <w:name w:val="heading 1"/>
    <w:basedOn w:val="1"/>
    <w:next w:val="1"/>
    <w:link w:val="103"/>
    <w:qFormat/>
    <w:uiPriority w:val="9"/>
    <w:pPr>
      <w:keepNext/>
      <w:widowControl/>
      <w:spacing w:line="360" w:lineRule="auto"/>
      <w:jc w:val="center"/>
      <w:outlineLvl w:val="0"/>
    </w:pPr>
    <w:rPr>
      <w:rFonts w:ascii="黑体"/>
      <w:b/>
      <w:kern w:val="0"/>
      <w:sz w:val="32"/>
    </w:rPr>
  </w:style>
  <w:style w:type="paragraph" w:styleId="6">
    <w:name w:val="heading 2"/>
    <w:basedOn w:val="1"/>
    <w:next w:val="1"/>
    <w:link w:val="182"/>
    <w:qFormat/>
    <w:uiPriority w:val="0"/>
    <w:pPr>
      <w:keepNext/>
      <w:keepLines/>
      <w:tabs>
        <w:tab w:val="left" w:pos="706"/>
        <w:tab w:val="left" w:pos="1110"/>
      </w:tabs>
      <w:spacing w:line="360" w:lineRule="auto"/>
      <w:ind w:left="106" w:firstLine="454"/>
      <w:outlineLvl w:val="1"/>
    </w:pPr>
    <w:rPr>
      <w:rFonts w:eastAsia="黑体"/>
      <w:b/>
      <w:sz w:val="21"/>
    </w:rPr>
  </w:style>
  <w:style w:type="paragraph" w:styleId="7">
    <w:name w:val="heading 3"/>
    <w:basedOn w:val="1"/>
    <w:next w:val="1"/>
    <w:link w:val="105"/>
    <w:qFormat/>
    <w:uiPriority w:val="0"/>
    <w:pPr>
      <w:keepNext/>
      <w:keepLines/>
      <w:widowControl/>
      <w:tabs>
        <w:tab w:val="left" w:pos="720"/>
      </w:tabs>
      <w:spacing w:before="120" w:after="120" w:line="360" w:lineRule="auto"/>
      <w:ind w:left="720" w:hanging="720"/>
      <w:jc w:val="center"/>
      <w:outlineLvl w:val="2"/>
    </w:pPr>
    <w:rPr>
      <w:b/>
      <w:kern w:val="0"/>
      <w:sz w:val="32"/>
    </w:rPr>
  </w:style>
  <w:style w:type="paragraph" w:styleId="8">
    <w:name w:val="heading 4"/>
    <w:basedOn w:val="1"/>
    <w:next w:val="1"/>
    <w:link w:val="106"/>
    <w:qFormat/>
    <w:uiPriority w:val="0"/>
    <w:pPr>
      <w:tabs>
        <w:tab w:val="left" w:pos="720"/>
      </w:tabs>
      <w:spacing w:before="280" w:after="290" w:line="372" w:lineRule="auto"/>
      <w:outlineLvl w:val="3"/>
    </w:pPr>
    <w:rPr>
      <w:rFonts w:ascii="Arial" w:hAnsi="Arial" w:eastAsia="黑体"/>
    </w:rPr>
  </w:style>
  <w:style w:type="paragraph" w:styleId="9">
    <w:name w:val="heading 5"/>
    <w:basedOn w:val="1"/>
    <w:next w:val="10"/>
    <w:link w:val="107"/>
    <w:qFormat/>
    <w:uiPriority w:val="0"/>
    <w:pPr>
      <w:keepNext/>
      <w:keepLines/>
      <w:spacing w:before="280" w:after="290" w:line="372" w:lineRule="auto"/>
      <w:outlineLvl w:val="4"/>
    </w:pPr>
    <w:rPr>
      <w:b/>
    </w:rPr>
  </w:style>
  <w:style w:type="paragraph" w:styleId="11">
    <w:name w:val="heading 6"/>
    <w:basedOn w:val="1"/>
    <w:next w:val="1"/>
    <w:link w:val="108"/>
    <w:qFormat/>
    <w:uiPriority w:val="0"/>
    <w:pPr>
      <w:keepNext/>
      <w:keepLines/>
      <w:widowControl/>
      <w:tabs>
        <w:tab w:val="left" w:pos="1440"/>
      </w:tabs>
      <w:spacing w:before="240" w:after="64" w:line="317" w:lineRule="auto"/>
      <w:ind w:left="1152" w:hanging="1152"/>
      <w:jc w:val="left"/>
      <w:outlineLvl w:val="5"/>
    </w:pPr>
    <w:rPr>
      <w:rFonts w:ascii="Arial" w:hAnsi="Arial" w:eastAsia="黑体"/>
      <w:b/>
      <w:kern w:val="0"/>
      <w:sz w:val="24"/>
    </w:rPr>
  </w:style>
  <w:style w:type="paragraph" w:styleId="12">
    <w:name w:val="heading 7"/>
    <w:basedOn w:val="1"/>
    <w:next w:val="1"/>
    <w:link w:val="109"/>
    <w:qFormat/>
    <w:uiPriority w:val="0"/>
    <w:pPr>
      <w:keepNext/>
      <w:keepLines/>
      <w:widowControl/>
      <w:tabs>
        <w:tab w:val="left" w:pos="2520"/>
      </w:tabs>
      <w:spacing w:before="240" w:after="64" w:line="317" w:lineRule="auto"/>
      <w:ind w:left="1296" w:hanging="1296"/>
      <w:jc w:val="left"/>
      <w:outlineLvl w:val="6"/>
    </w:pPr>
    <w:rPr>
      <w:b/>
      <w:kern w:val="0"/>
      <w:sz w:val="24"/>
    </w:rPr>
  </w:style>
  <w:style w:type="paragraph" w:styleId="13">
    <w:name w:val="heading 8"/>
    <w:basedOn w:val="1"/>
    <w:next w:val="1"/>
    <w:link w:val="110"/>
    <w:qFormat/>
    <w:uiPriority w:val="0"/>
    <w:pPr>
      <w:keepNext/>
      <w:keepLines/>
      <w:widowControl/>
      <w:tabs>
        <w:tab w:val="left" w:pos="1440"/>
      </w:tabs>
      <w:spacing w:before="240" w:after="64" w:line="317" w:lineRule="auto"/>
      <w:ind w:left="1440" w:hanging="1440"/>
      <w:jc w:val="left"/>
      <w:outlineLvl w:val="7"/>
    </w:pPr>
    <w:rPr>
      <w:rFonts w:ascii="Arial" w:hAnsi="Arial" w:eastAsia="黑体"/>
      <w:kern w:val="0"/>
      <w:sz w:val="24"/>
    </w:rPr>
  </w:style>
  <w:style w:type="paragraph" w:styleId="14">
    <w:name w:val="heading 9"/>
    <w:basedOn w:val="1"/>
    <w:next w:val="1"/>
    <w:link w:val="111"/>
    <w:qFormat/>
    <w:uiPriority w:val="0"/>
    <w:pPr>
      <w:keepNext/>
      <w:keepLines/>
      <w:widowControl/>
      <w:tabs>
        <w:tab w:val="left" w:pos="1584"/>
      </w:tabs>
      <w:spacing w:before="240" w:after="64" w:line="317" w:lineRule="auto"/>
      <w:ind w:left="1584" w:hanging="1584"/>
      <w:jc w:val="left"/>
      <w:outlineLvl w:val="8"/>
    </w:pPr>
    <w:rPr>
      <w:rFonts w:ascii="Arial" w:hAnsi="Arial" w:eastAsia="黑体"/>
      <w:kern w:val="0"/>
      <w:sz w:val="21"/>
    </w:rPr>
  </w:style>
  <w:style w:type="character" w:default="1" w:styleId="89">
    <w:name w:val="Default Paragraph Font"/>
    <w:unhideWhenUsed/>
    <w:qFormat/>
    <w:uiPriority w:val="1"/>
  </w:style>
  <w:style w:type="table" w:default="1" w:styleId="98">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4"/>
    <w:link w:val="338"/>
    <w:qFormat/>
    <w:uiPriority w:val="0"/>
    <w:pPr>
      <w:ind w:firstLine="420" w:firstLineChars="200"/>
    </w:pPr>
    <w:rPr>
      <w:rFonts w:ascii="等线" w:hAnsi="等线" w:eastAsia="等线" w:cstheme="minorBidi"/>
      <w:sz w:val="21"/>
      <w:szCs w:val="22"/>
    </w:rPr>
  </w:style>
  <w:style w:type="paragraph" w:styleId="3">
    <w:name w:val="Body Text Indent"/>
    <w:basedOn w:val="1"/>
    <w:next w:val="1"/>
    <w:link w:val="112"/>
    <w:unhideWhenUsed/>
    <w:qFormat/>
    <w:uiPriority w:val="0"/>
    <w:pPr>
      <w:spacing w:after="120"/>
      <w:ind w:left="420" w:leftChars="200"/>
    </w:pPr>
  </w:style>
  <w:style w:type="paragraph" w:customStyle="1" w:styleId="4">
    <w:name w:val="文章正文"/>
    <w:basedOn w:val="1"/>
    <w:qFormat/>
    <w:uiPriority w:val="0"/>
    <w:pPr>
      <w:spacing w:line="360" w:lineRule="auto"/>
      <w:ind w:firstLine="200" w:firstLineChars="200"/>
    </w:pPr>
    <w:rPr>
      <w:sz w:val="24"/>
      <w:szCs w:val="24"/>
    </w:rPr>
  </w:style>
  <w:style w:type="paragraph" w:styleId="10">
    <w:name w:val="Normal Indent"/>
    <w:basedOn w:val="1"/>
    <w:next w:val="3"/>
    <w:link w:val="302"/>
    <w:qFormat/>
    <w:uiPriority w:val="0"/>
    <w:pPr>
      <w:widowControl/>
      <w:ind w:firstLine="420"/>
      <w:jc w:val="left"/>
    </w:pPr>
    <w:rPr>
      <w:rFonts w:asciiTheme="minorHAnsi" w:hAnsiTheme="minorHAnsi" w:cstheme="minorBidi"/>
      <w:sz w:val="24"/>
      <w:szCs w:val="22"/>
    </w:rPr>
  </w:style>
  <w:style w:type="paragraph" w:styleId="15">
    <w:name w:val="List 3"/>
    <w:basedOn w:val="1"/>
    <w:qFormat/>
    <w:uiPriority w:val="0"/>
    <w:pPr>
      <w:ind w:left="100" w:leftChars="400" w:hanging="200" w:hangingChars="200"/>
    </w:pPr>
    <w:rPr>
      <w:sz w:val="21"/>
    </w:rPr>
  </w:style>
  <w:style w:type="paragraph" w:styleId="16">
    <w:name w:val="annotation subject"/>
    <w:basedOn w:val="17"/>
    <w:next w:val="17"/>
    <w:link w:val="350"/>
    <w:qFormat/>
    <w:uiPriority w:val="0"/>
    <w:rPr>
      <w:rFonts w:asciiTheme="minorHAnsi" w:hAnsiTheme="minorHAnsi" w:eastAsiaTheme="minorEastAsia" w:cstheme="minorBidi"/>
      <w:b/>
      <w:sz w:val="21"/>
      <w:szCs w:val="22"/>
    </w:rPr>
  </w:style>
  <w:style w:type="paragraph" w:styleId="17">
    <w:name w:val="annotation text"/>
    <w:basedOn w:val="1"/>
    <w:link w:val="118"/>
    <w:unhideWhenUsed/>
    <w:qFormat/>
    <w:uiPriority w:val="0"/>
    <w:pPr>
      <w:jc w:val="left"/>
    </w:pPr>
  </w:style>
  <w:style w:type="paragraph" w:styleId="18">
    <w:name w:val="toc 7"/>
    <w:basedOn w:val="1"/>
    <w:next w:val="1"/>
    <w:qFormat/>
    <w:uiPriority w:val="0"/>
    <w:pPr>
      <w:ind w:left="1680"/>
      <w:jc w:val="left"/>
    </w:pPr>
    <w:rPr>
      <w:sz w:val="18"/>
    </w:rPr>
  </w:style>
  <w:style w:type="paragraph" w:styleId="19">
    <w:name w:val="Body Text First Indent"/>
    <w:basedOn w:val="20"/>
    <w:next w:val="1"/>
    <w:link w:val="337"/>
    <w:qFormat/>
    <w:uiPriority w:val="0"/>
    <w:pPr>
      <w:ind w:firstLine="420" w:firstLineChars="100"/>
    </w:pPr>
    <w:rPr>
      <w:rFonts w:ascii="等线" w:hAnsi="等线" w:eastAsia="等线" w:cstheme="minorBidi"/>
      <w:sz w:val="21"/>
      <w:szCs w:val="22"/>
    </w:rPr>
  </w:style>
  <w:style w:type="paragraph" w:styleId="20">
    <w:name w:val="Body Text"/>
    <w:basedOn w:val="1"/>
    <w:next w:val="19"/>
    <w:link w:val="114"/>
    <w:unhideWhenUsed/>
    <w:qFormat/>
    <w:uiPriority w:val="0"/>
    <w:pPr>
      <w:spacing w:after="120"/>
    </w:pPr>
  </w:style>
  <w:style w:type="paragraph" w:styleId="21">
    <w:name w:val="List Number 2"/>
    <w:basedOn w:val="1"/>
    <w:qFormat/>
    <w:uiPriority w:val="0"/>
    <w:pPr>
      <w:tabs>
        <w:tab w:val="left" w:pos="0"/>
      </w:tabs>
      <w:ind w:left="1146" w:hanging="720"/>
    </w:pPr>
    <w:rPr>
      <w:sz w:val="21"/>
    </w:rPr>
  </w:style>
  <w:style w:type="paragraph" w:styleId="22">
    <w:name w:val="table of authorities"/>
    <w:basedOn w:val="1"/>
    <w:next w:val="1"/>
    <w:qFormat/>
    <w:uiPriority w:val="0"/>
    <w:pPr>
      <w:ind w:left="420" w:leftChars="200"/>
    </w:pPr>
    <w:rPr>
      <w:sz w:val="21"/>
    </w:rPr>
  </w:style>
  <w:style w:type="paragraph" w:styleId="23">
    <w:name w:val="macro"/>
    <w:link w:val="33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heme="minorEastAsia" w:cstheme="minorBidi"/>
      <w:kern w:val="2"/>
      <w:sz w:val="24"/>
      <w:szCs w:val="22"/>
      <w:lang w:val="en-US" w:eastAsia="zh-CN" w:bidi="ar-SA"/>
    </w:rPr>
  </w:style>
  <w:style w:type="paragraph" w:styleId="24">
    <w:name w:val="Note Heading"/>
    <w:basedOn w:val="1"/>
    <w:next w:val="1"/>
    <w:link w:val="331"/>
    <w:qFormat/>
    <w:uiPriority w:val="0"/>
    <w:pPr>
      <w:jc w:val="center"/>
    </w:pPr>
    <w:rPr>
      <w:rFonts w:asciiTheme="minorHAnsi" w:hAnsiTheme="minorHAnsi" w:eastAsiaTheme="minorEastAsia" w:cstheme="minorBidi"/>
      <w:sz w:val="21"/>
      <w:szCs w:val="22"/>
    </w:rPr>
  </w:style>
  <w:style w:type="paragraph" w:styleId="25">
    <w:name w:val="List Bullet 4"/>
    <w:basedOn w:val="1"/>
    <w:qFormat/>
    <w:uiPriority w:val="0"/>
    <w:pPr>
      <w:tabs>
        <w:tab w:val="left" w:pos="1620"/>
      </w:tabs>
      <w:ind w:left="1620" w:hanging="360"/>
    </w:pPr>
    <w:rPr>
      <w:sz w:val="21"/>
    </w:rPr>
  </w:style>
  <w:style w:type="paragraph" w:styleId="26">
    <w:name w:val="index 8"/>
    <w:basedOn w:val="1"/>
    <w:next w:val="1"/>
    <w:qFormat/>
    <w:uiPriority w:val="0"/>
    <w:pPr>
      <w:ind w:left="1400" w:leftChars="1400"/>
    </w:pPr>
    <w:rPr>
      <w:sz w:val="21"/>
    </w:rPr>
  </w:style>
  <w:style w:type="paragraph" w:styleId="27">
    <w:name w:val="E-mail Signature"/>
    <w:basedOn w:val="1"/>
    <w:link w:val="325"/>
    <w:qFormat/>
    <w:uiPriority w:val="0"/>
    <w:rPr>
      <w:rFonts w:asciiTheme="minorHAnsi" w:hAnsiTheme="minorHAnsi" w:eastAsiaTheme="minorEastAsia" w:cstheme="minorBidi"/>
      <w:sz w:val="21"/>
      <w:szCs w:val="22"/>
    </w:rPr>
  </w:style>
  <w:style w:type="paragraph" w:styleId="28">
    <w:name w:val="List Number"/>
    <w:basedOn w:val="1"/>
    <w:qFormat/>
    <w:uiPriority w:val="0"/>
    <w:pPr>
      <w:tabs>
        <w:tab w:val="left" w:pos="360"/>
      </w:tabs>
      <w:ind w:left="360" w:hanging="360"/>
    </w:pPr>
    <w:rPr>
      <w:sz w:val="21"/>
    </w:rPr>
  </w:style>
  <w:style w:type="paragraph" w:styleId="29">
    <w:name w:val="caption"/>
    <w:basedOn w:val="1"/>
    <w:next w:val="1"/>
    <w:qFormat/>
    <w:uiPriority w:val="0"/>
    <w:rPr>
      <w:rFonts w:ascii="Arial" w:hAnsi="Arial" w:eastAsia="黑体"/>
      <w:sz w:val="20"/>
    </w:rPr>
  </w:style>
  <w:style w:type="paragraph" w:styleId="30">
    <w:name w:val="index 5"/>
    <w:basedOn w:val="1"/>
    <w:next w:val="1"/>
    <w:qFormat/>
    <w:uiPriority w:val="0"/>
    <w:pPr>
      <w:ind w:left="800" w:leftChars="800"/>
    </w:pPr>
    <w:rPr>
      <w:sz w:val="21"/>
    </w:rPr>
  </w:style>
  <w:style w:type="paragraph" w:styleId="31">
    <w:name w:val="List Bullet"/>
    <w:basedOn w:val="1"/>
    <w:qFormat/>
    <w:uiPriority w:val="0"/>
    <w:pPr>
      <w:tabs>
        <w:tab w:val="left" w:pos="735"/>
      </w:tabs>
      <w:ind w:left="735"/>
    </w:pPr>
    <w:rPr>
      <w:sz w:val="21"/>
    </w:rPr>
  </w:style>
  <w:style w:type="paragraph" w:styleId="32">
    <w:name w:val="envelope address"/>
    <w:basedOn w:val="1"/>
    <w:qFormat/>
    <w:uiPriority w:val="0"/>
    <w:pPr>
      <w:snapToGrid w:val="0"/>
      <w:ind w:left="100" w:leftChars="1400"/>
    </w:pPr>
    <w:rPr>
      <w:rFonts w:ascii="Arial" w:hAnsi="Arial"/>
      <w:sz w:val="24"/>
    </w:rPr>
  </w:style>
  <w:style w:type="paragraph" w:styleId="33">
    <w:name w:val="Document Map"/>
    <w:basedOn w:val="1"/>
    <w:link w:val="333"/>
    <w:qFormat/>
    <w:uiPriority w:val="0"/>
    <w:pPr>
      <w:shd w:val="clear" w:color="auto" w:fill="000080"/>
    </w:pPr>
    <w:rPr>
      <w:rFonts w:asciiTheme="minorHAnsi" w:hAnsiTheme="minorHAnsi" w:eastAsiaTheme="minorEastAsia" w:cstheme="minorBidi"/>
      <w:szCs w:val="22"/>
      <w:shd w:val="clear" w:color="auto" w:fill="000080"/>
    </w:rPr>
  </w:style>
  <w:style w:type="paragraph" w:styleId="34">
    <w:name w:val="toa heading"/>
    <w:basedOn w:val="1"/>
    <w:next w:val="1"/>
    <w:qFormat/>
    <w:uiPriority w:val="0"/>
    <w:pPr>
      <w:spacing w:before="120"/>
    </w:pPr>
    <w:rPr>
      <w:rFonts w:ascii="Arial" w:hAnsi="Arial"/>
      <w:sz w:val="24"/>
    </w:rPr>
  </w:style>
  <w:style w:type="paragraph" w:styleId="35">
    <w:name w:val="index 6"/>
    <w:basedOn w:val="1"/>
    <w:next w:val="1"/>
    <w:qFormat/>
    <w:uiPriority w:val="0"/>
    <w:pPr>
      <w:ind w:left="1000" w:leftChars="1000"/>
    </w:pPr>
    <w:rPr>
      <w:sz w:val="21"/>
    </w:rPr>
  </w:style>
  <w:style w:type="paragraph" w:styleId="36">
    <w:name w:val="Salutation"/>
    <w:basedOn w:val="1"/>
    <w:next w:val="1"/>
    <w:link w:val="341"/>
    <w:qFormat/>
    <w:uiPriority w:val="0"/>
    <w:rPr>
      <w:rFonts w:ascii="宋体" w:hAnsiTheme="minorHAnsi" w:eastAsiaTheme="minorEastAsia" w:cstheme="minorBidi"/>
      <w:szCs w:val="22"/>
    </w:rPr>
  </w:style>
  <w:style w:type="paragraph" w:styleId="37">
    <w:name w:val="Body Text 3"/>
    <w:basedOn w:val="1"/>
    <w:link w:val="345"/>
    <w:qFormat/>
    <w:uiPriority w:val="0"/>
    <w:pPr>
      <w:spacing w:after="120"/>
    </w:pPr>
    <w:rPr>
      <w:rFonts w:asciiTheme="minorHAnsi" w:hAnsiTheme="minorHAnsi" w:eastAsiaTheme="minorEastAsia" w:cstheme="minorBidi"/>
      <w:sz w:val="16"/>
      <w:szCs w:val="22"/>
    </w:rPr>
  </w:style>
  <w:style w:type="paragraph" w:styleId="38">
    <w:name w:val="Closing"/>
    <w:basedOn w:val="1"/>
    <w:link w:val="330"/>
    <w:qFormat/>
    <w:uiPriority w:val="0"/>
    <w:pPr>
      <w:ind w:left="100" w:leftChars="2100"/>
    </w:pPr>
    <w:rPr>
      <w:rFonts w:asciiTheme="minorHAnsi" w:hAnsiTheme="minorHAnsi" w:eastAsiaTheme="minorEastAsia" w:cstheme="minorBidi"/>
      <w:sz w:val="21"/>
      <w:szCs w:val="22"/>
    </w:rPr>
  </w:style>
  <w:style w:type="paragraph" w:styleId="39">
    <w:name w:val="List Bullet 3"/>
    <w:basedOn w:val="1"/>
    <w:qFormat/>
    <w:uiPriority w:val="0"/>
    <w:pPr>
      <w:tabs>
        <w:tab w:val="left" w:pos="1200"/>
      </w:tabs>
      <w:ind w:left="1200" w:hanging="360"/>
    </w:pPr>
    <w:rPr>
      <w:sz w:val="21"/>
    </w:rPr>
  </w:style>
  <w:style w:type="paragraph" w:styleId="40">
    <w:name w:val="List Number 3"/>
    <w:basedOn w:val="1"/>
    <w:qFormat/>
    <w:uiPriority w:val="0"/>
    <w:pPr>
      <w:tabs>
        <w:tab w:val="left" w:pos="1200"/>
      </w:tabs>
      <w:ind w:left="1200" w:hanging="360"/>
    </w:pPr>
    <w:rPr>
      <w:sz w:val="21"/>
    </w:rPr>
  </w:style>
  <w:style w:type="paragraph" w:styleId="41">
    <w:name w:val="List 2"/>
    <w:basedOn w:val="1"/>
    <w:qFormat/>
    <w:uiPriority w:val="0"/>
    <w:pPr>
      <w:ind w:left="100" w:leftChars="200" w:hanging="200" w:hangingChars="200"/>
    </w:pPr>
    <w:rPr>
      <w:sz w:val="21"/>
    </w:rPr>
  </w:style>
  <w:style w:type="paragraph" w:styleId="42">
    <w:name w:val="List Continue"/>
    <w:basedOn w:val="1"/>
    <w:qFormat/>
    <w:uiPriority w:val="0"/>
    <w:pPr>
      <w:spacing w:after="120"/>
      <w:ind w:left="420" w:leftChars="200"/>
    </w:pPr>
    <w:rPr>
      <w:sz w:val="21"/>
    </w:rPr>
  </w:style>
  <w:style w:type="paragraph" w:styleId="43">
    <w:name w:val="Block Text"/>
    <w:basedOn w:val="1"/>
    <w:qFormat/>
    <w:uiPriority w:val="0"/>
    <w:pPr>
      <w:spacing w:line="240" w:lineRule="exact"/>
      <w:ind w:left="475" w:leftChars="240" w:right="292" w:rightChars="292" w:firstLine="473"/>
    </w:pPr>
    <w:rPr>
      <w:rFonts w:ascii="宋体" w:hAnsi="宋体"/>
      <w:spacing w:val="-6"/>
      <w:sz w:val="21"/>
    </w:rPr>
  </w:style>
  <w:style w:type="paragraph" w:styleId="44">
    <w:name w:val="List Bullet 2"/>
    <w:basedOn w:val="1"/>
    <w:qFormat/>
    <w:uiPriority w:val="0"/>
    <w:pPr>
      <w:tabs>
        <w:tab w:val="left" w:pos="780"/>
      </w:tabs>
      <w:ind w:left="780" w:hanging="360"/>
    </w:pPr>
    <w:rPr>
      <w:sz w:val="21"/>
    </w:rPr>
  </w:style>
  <w:style w:type="paragraph" w:styleId="45">
    <w:name w:val="HTML Address"/>
    <w:basedOn w:val="1"/>
    <w:link w:val="336"/>
    <w:qFormat/>
    <w:uiPriority w:val="0"/>
    <w:rPr>
      <w:rFonts w:asciiTheme="minorHAnsi" w:hAnsiTheme="minorHAnsi" w:eastAsiaTheme="minorEastAsia" w:cstheme="minorBidi"/>
      <w:i/>
      <w:sz w:val="21"/>
      <w:szCs w:val="22"/>
    </w:rPr>
  </w:style>
  <w:style w:type="paragraph" w:styleId="46">
    <w:name w:val="index 4"/>
    <w:basedOn w:val="1"/>
    <w:next w:val="1"/>
    <w:qFormat/>
    <w:uiPriority w:val="0"/>
    <w:pPr>
      <w:ind w:left="600" w:leftChars="600"/>
    </w:pPr>
    <w:rPr>
      <w:sz w:val="21"/>
    </w:rPr>
  </w:style>
  <w:style w:type="paragraph" w:styleId="47">
    <w:name w:val="toc 5"/>
    <w:basedOn w:val="1"/>
    <w:next w:val="1"/>
    <w:qFormat/>
    <w:uiPriority w:val="0"/>
    <w:pPr>
      <w:ind w:left="1120"/>
      <w:jc w:val="left"/>
    </w:pPr>
    <w:rPr>
      <w:sz w:val="18"/>
    </w:rPr>
  </w:style>
  <w:style w:type="paragraph" w:styleId="48">
    <w:name w:val="toc 3"/>
    <w:basedOn w:val="1"/>
    <w:next w:val="1"/>
    <w:qFormat/>
    <w:uiPriority w:val="0"/>
    <w:pPr>
      <w:ind w:left="560"/>
      <w:jc w:val="left"/>
    </w:pPr>
    <w:rPr>
      <w:i/>
      <w:sz w:val="20"/>
    </w:rPr>
  </w:style>
  <w:style w:type="paragraph" w:styleId="49">
    <w:name w:val="Plain Text"/>
    <w:basedOn w:val="1"/>
    <w:next w:val="50"/>
    <w:link w:val="329"/>
    <w:qFormat/>
    <w:uiPriority w:val="0"/>
    <w:rPr>
      <w:rFonts w:ascii="宋体" w:hAnsi="Courier New" w:cstheme="minorBidi"/>
      <w:sz w:val="21"/>
      <w:szCs w:val="22"/>
    </w:rPr>
  </w:style>
  <w:style w:type="paragraph" w:styleId="50">
    <w:name w:val="Balloon Text"/>
    <w:basedOn w:val="1"/>
    <w:next w:val="1"/>
    <w:link w:val="340"/>
    <w:qFormat/>
    <w:uiPriority w:val="99"/>
    <w:rPr>
      <w:rFonts w:asciiTheme="minorHAnsi" w:hAnsiTheme="minorHAnsi" w:eastAsiaTheme="minorEastAsia" w:cstheme="minorBidi"/>
      <w:sz w:val="18"/>
      <w:szCs w:val="22"/>
    </w:rPr>
  </w:style>
  <w:style w:type="paragraph" w:styleId="51">
    <w:name w:val="List Bullet 5"/>
    <w:basedOn w:val="1"/>
    <w:qFormat/>
    <w:uiPriority w:val="0"/>
    <w:pPr>
      <w:tabs>
        <w:tab w:val="left" w:pos="2040"/>
      </w:tabs>
      <w:ind w:left="2040" w:hanging="360"/>
    </w:pPr>
    <w:rPr>
      <w:sz w:val="21"/>
    </w:rPr>
  </w:style>
  <w:style w:type="paragraph" w:styleId="52">
    <w:name w:val="List Number 4"/>
    <w:basedOn w:val="1"/>
    <w:qFormat/>
    <w:uiPriority w:val="0"/>
    <w:pPr>
      <w:tabs>
        <w:tab w:val="left" w:pos="1620"/>
      </w:tabs>
      <w:ind w:left="1620" w:hanging="360"/>
    </w:pPr>
    <w:rPr>
      <w:sz w:val="21"/>
    </w:rPr>
  </w:style>
  <w:style w:type="paragraph" w:styleId="53">
    <w:name w:val="toc 8"/>
    <w:basedOn w:val="1"/>
    <w:next w:val="1"/>
    <w:qFormat/>
    <w:uiPriority w:val="0"/>
    <w:pPr>
      <w:ind w:left="1960"/>
      <w:jc w:val="left"/>
    </w:pPr>
    <w:rPr>
      <w:sz w:val="18"/>
    </w:rPr>
  </w:style>
  <w:style w:type="paragraph" w:styleId="54">
    <w:name w:val="index 3"/>
    <w:basedOn w:val="1"/>
    <w:next w:val="1"/>
    <w:qFormat/>
    <w:uiPriority w:val="0"/>
    <w:pPr>
      <w:ind w:left="400" w:leftChars="400"/>
    </w:pPr>
    <w:rPr>
      <w:sz w:val="21"/>
    </w:rPr>
  </w:style>
  <w:style w:type="paragraph" w:styleId="55">
    <w:name w:val="Date"/>
    <w:basedOn w:val="1"/>
    <w:next w:val="1"/>
    <w:link w:val="328"/>
    <w:qFormat/>
    <w:uiPriority w:val="0"/>
    <w:pPr>
      <w:adjustRightInd w:val="0"/>
      <w:jc w:val="right"/>
      <w:textAlignment w:val="baseline"/>
    </w:pPr>
    <w:rPr>
      <w:rFonts w:eastAsia="仿宋_GB2312" w:asciiTheme="minorHAnsi" w:hAnsiTheme="minorHAnsi" w:cstheme="minorBidi"/>
      <w:b/>
      <w:szCs w:val="22"/>
    </w:rPr>
  </w:style>
  <w:style w:type="paragraph" w:styleId="56">
    <w:name w:val="Body Text Indent 2"/>
    <w:basedOn w:val="1"/>
    <w:link w:val="332"/>
    <w:qFormat/>
    <w:uiPriority w:val="0"/>
    <w:pPr>
      <w:spacing w:line="520" w:lineRule="exact"/>
      <w:ind w:firstLine="848" w:firstLineChars="303"/>
    </w:pPr>
    <w:rPr>
      <w:rFonts w:ascii="黑体" w:eastAsia="黑体" w:hAnsiTheme="minorHAnsi" w:cstheme="minorBidi"/>
      <w:szCs w:val="22"/>
    </w:rPr>
  </w:style>
  <w:style w:type="paragraph" w:styleId="57">
    <w:name w:val="endnote text"/>
    <w:basedOn w:val="1"/>
    <w:link w:val="324"/>
    <w:qFormat/>
    <w:uiPriority w:val="0"/>
    <w:pPr>
      <w:snapToGrid w:val="0"/>
    </w:pPr>
    <w:rPr>
      <w:rFonts w:asciiTheme="minorHAnsi" w:hAnsiTheme="minorHAnsi" w:eastAsiaTheme="minorEastAsia" w:cstheme="minorBidi"/>
      <w:sz w:val="21"/>
      <w:szCs w:val="22"/>
    </w:rPr>
  </w:style>
  <w:style w:type="paragraph" w:styleId="58">
    <w:name w:val="List Continue 5"/>
    <w:basedOn w:val="1"/>
    <w:qFormat/>
    <w:uiPriority w:val="0"/>
    <w:pPr>
      <w:spacing w:after="120"/>
      <w:ind w:left="2100" w:leftChars="1000"/>
    </w:pPr>
    <w:rPr>
      <w:sz w:val="21"/>
    </w:rPr>
  </w:style>
  <w:style w:type="paragraph" w:styleId="59">
    <w:name w:val="footer"/>
    <w:basedOn w:val="1"/>
    <w:link w:val="102"/>
    <w:unhideWhenUsed/>
    <w:qFormat/>
    <w:uiPriority w:val="99"/>
    <w:pPr>
      <w:tabs>
        <w:tab w:val="center" w:pos="4153"/>
        <w:tab w:val="right" w:pos="8306"/>
      </w:tabs>
      <w:snapToGrid w:val="0"/>
      <w:jc w:val="left"/>
    </w:pPr>
    <w:rPr>
      <w:sz w:val="18"/>
      <w:szCs w:val="18"/>
    </w:rPr>
  </w:style>
  <w:style w:type="paragraph" w:styleId="60">
    <w:name w:val="envelope return"/>
    <w:basedOn w:val="1"/>
    <w:qFormat/>
    <w:uiPriority w:val="0"/>
    <w:pPr>
      <w:snapToGrid w:val="0"/>
    </w:pPr>
    <w:rPr>
      <w:rFonts w:ascii="Arial" w:hAnsi="Arial"/>
      <w:sz w:val="21"/>
    </w:rPr>
  </w:style>
  <w:style w:type="paragraph" w:styleId="61">
    <w:name w:val="header"/>
    <w:basedOn w:val="1"/>
    <w:link w:val="101"/>
    <w:unhideWhenUsed/>
    <w:qFormat/>
    <w:uiPriority w:val="0"/>
    <w:pPr>
      <w:pBdr>
        <w:bottom w:val="single" w:color="auto" w:sz="6" w:space="1"/>
      </w:pBdr>
      <w:tabs>
        <w:tab w:val="center" w:pos="4153"/>
        <w:tab w:val="right" w:pos="8306"/>
      </w:tabs>
      <w:snapToGrid w:val="0"/>
      <w:jc w:val="center"/>
    </w:pPr>
    <w:rPr>
      <w:sz w:val="18"/>
      <w:szCs w:val="18"/>
    </w:rPr>
  </w:style>
  <w:style w:type="paragraph" w:styleId="62">
    <w:name w:val="Signature"/>
    <w:basedOn w:val="1"/>
    <w:link w:val="344"/>
    <w:qFormat/>
    <w:uiPriority w:val="0"/>
    <w:pPr>
      <w:ind w:left="100" w:leftChars="2100"/>
    </w:pPr>
    <w:rPr>
      <w:rFonts w:asciiTheme="minorHAnsi" w:hAnsiTheme="minorHAnsi" w:eastAsiaTheme="minorEastAsia" w:cstheme="minorBidi"/>
      <w:sz w:val="21"/>
      <w:szCs w:val="22"/>
    </w:rPr>
  </w:style>
  <w:style w:type="paragraph" w:styleId="63">
    <w:name w:val="toc 1"/>
    <w:basedOn w:val="1"/>
    <w:next w:val="1"/>
    <w:qFormat/>
    <w:uiPriority w:val="39"/>
    <w:pPr>
      <w:tabs>
        <w:tab w:val="right" w:leader="dot" w:pos="8364"/>
      </w:tabs>
      <w:spacing w:before="120" w:after="120" w:line="360" w:lineRule="auto"/>
      <w:jc w:val="left"/>
    </w:pPr>
    <w:rPr>
      <w:b/>
      <w:caps/>
      <w:sz w:val="20"/>
    </w:rPr>
  </w:style>
  <w:style w:type="paragraph" w:styleId="64">
    <w:name w:val="List Continue 4"/>
    <w:basedOn w:val="1"/>
    <w:qFormat/>
    <w:uiPriority w:val="0"/>
    <w:pPr>
      <w:spacing w:after="120"/>
      <w:ind w:left="1680" w:leftChars="800"/>
    </w:pPr>
    <w:rPr>
      <w:sz w:val="21"/>
    </w:rPr>
  </w:style>
  <w:style w:type="paragraph" w:styleId="65">
    <w:name w:val="toc 4"/>
    <w:basedOn w:val="1"/>
    <w:next w:val="1"/>
    <w:qFormat/>
    <w:uiPriority w:val="0"/>
    <w:pPr>
      <w:ind w:left="840"/>
      <w:jc w:val="left"/>
    </w:pPr>
    <w:rPr>
      <w:sz w:val="18"/>
    </w:rPr>
  </w:style>
  <w:style w:type="paragraph" w:styleId="66">
    <w:name w:val="index heading"/>
    <w:basedOn w:val="1"/>
    <w:next w:val="67"/>
    <w:qFormat/>
    <w:uiPriority w:val="0"/>
    <w:rPr>
      <w:rFonts w:ascii="Arial" w:hAnsi="Arial"/>
      <w:b/>
      <w:sz w:val="21"/>
    </w:rPr>
  </w:style>
  <w:style w:type="paragraph" w:styleId="67">
    <w:name w:val="index 1"/>
    <w:basedOn w:val="1"/>
    <w:next w:val="1"/>
    <w:unhideWhenUsed/>
    <w:qFormat/>
    <w:uiPriority w:val="0"/>
  </w:style>
  <w:style w:type="paragraph" w:styleId="68">
    <w:name w:val="Subtitle"/>
    <w:basedOn w:val="1"/>
    <w:next w:val="1"/>
    <w:link w:val="346"/>
    <w:qFormat/>
    <w:uiPriority w:val="0"/>
    <w:pPr>
      <w:spacing w:before="240" w:after="60" w:line="312" w:lineRule="auto"/>
      <w:jc w:val="center"/>
      <w:outlineLvl w:val="1"/>
    </w:pPr>
    <w:rPr>
      <w:rFonts w:ascii="Cambria" w:hAnsi="Cambria" w:eastAsiaTheme="minorEastAsia" w:cstheme="minorBidi"/>
      <w:b/>
      <w:kern w:val="28"/>
      <w:sz w:val="32"/>
      <w:szCs w:val="22"/>
    </w:rPr>
  </w:style>
  <w:style w:type="paragraph" w:styleId="69">
    <w:name w:val="List Number 5"/>
    <w:basedOn w:val="1"/>
    <w:qFormat/>
    <w:uiPriority w:val="0"/>
    <w:pPr>
      <w:tabs>
        <w:tab w:val="left" w:pos="2040"/>
      </w:tabs>
      <w:ind w:left="2040" w:hanging="360"/>
    </w:pPr>
    <w:rPr>
      <w:sz w:val="21"/>
    </w:rPr>
  </w:style>
  <w:style w:type="paragraph" w:styleId="70">
    <w:name w:val="List"/>
    <w:basedOn w:val="1"/>
    <w:qFormat/>
    <w:uiPriority w:val="0"/>
    <w:pPr>
      <w:ind w:left="200" w:hanging="200" w:hangingChars="200"/>
    </w:pPr>
    <w:rPr>
      <w:sz w:val="21"/>
    </w:rPr>
  </w:style>
  <w:style w:type="paragraph" w:styleId="71">
    <w:name w:val="footnote text"/>
    <w:basedOn w:val="1"/>
    <w:link w:val="347"/>
    <w:qFormat/>
    <w:uiPriority w:val="0"/>
    <w:pPr>
      <w:snapToGrid w:val="0"/>
      <w:jc w:val="left"/>
    </w:pPr>
    <w:rPr>
      <w:rFonts w:asciiTheme="minorHAnsi" w:hAnsiTheme="minorHAnsi" w:eastAsiaTheme="minorEastAsia" w:cstheme="minorBidi"/>
      <w:sz w:val="18"/>
      <w:szCs w:val="22"/>
    </w:rPr>
  </w:style>
  <w:style w:type="paragraph" w:styleId="72">
    <w:name w:val="toc 6"/>
    <w:basedOn w:val="1"/>
    <w:next w:val="1"/>
    <w:qFormat/>
    <w:uiPriority w:val="0"/>
    <w:pPr>
      <w:ind w:left="1400"/>
      <w:jc w:val="left"/>
    </w:pPr>
    <w:rPr>
      <w:sz w:val="18"/>
    </w:rPr>
  </w:style>
  <w:style w:type="paragraph" w:styleId="73">
    <w:name w:val="List 5"/>
    <w:basedOn w:val="1"/>
    <w:qFormat/>
    <w:uiPriority w:val="0"/>
    <w:pPr>
      <w:ind w:left="100" w:leftChars="800" w:hanging="200" w:hangingChars="200"/>
    </w:pPr>
    <w:rPr>
      <w:sz w:val="21"/>
    </w:rPr>
  </w:style>
  <w:style w:type="paragraph" w:styleId="74">
    <w:name w:val="Body Text Indent 3"/>
    <w:basedOn w:val="1"/>
    <w:link w:val="343"/>
    <w:qFormat/>
    <w:uiPriority w:val="0"/>
    <w:pPr>
      <w:spacing w:line="520" w:lineRule="exact"/>
      <w:ind w:firstLine="547"/>
    </w:pPr>
    <w:rPr>
      <w:rFonts w:asciiTheme="minorHAnsi" w:hAnsiTheme="minorHAnsi" w:eastAsiaTheme="minorEastAsia" w:cstheme="minorBidi"/>
      <w:szCs w:val="22"/>
    </w:rPr>
  </w:style>
  <w:style w:type="paragraph" w:styleId="75">
    <w:name w:val="index 7"/>
    <w:basedOn w:val="1"/>
    <w:next w:val="1"/>
    <w:qFormat/>
    <w:uiPriority w:val="0"/>
    <w:pPr>
      <w:ind w:left="1200" w:leftChars="1200"/>
    </w:pPr>
    <w:rPr>
      <w:sz w:val="21"/>
    </w:rPr>
  </w:style>
  <w:style w:type="paragraph" w:styleId="76">
    <w:name w:val="index 9"/>
    <w:basedOn w:val="1"/>
    <w:next w:val="1"/>
    <w:qFormat/>
    <w:uiPriority w:val="0"/>
    <w:pPr>
      <w:ind w:left="1600" w:leftChars="1600"/>
    </w:pPr>
    <w:rPr>
      <w:sz w:val="21"/>
    </w:rPr>
  </w:style>
  <w:style w:type="paragraph" w:styleId="77">
    <w:name w:val="table of figures"/>
    <w:basedOn w:val="1"/>
    <w:next w:val="1"/>
    <w:qFormat/>
    <w:uiPriority w:val="0"/>
    <w:pPr>
      <w:ind w:left="560" w:hanging="560"/>
      <w:jc w:val="left"/>
    </w:pPr>
    <w:rPr>
      <w:smallCaps/>
      <w:sz w:val="20"/>
    </w:rPr>
  </w:style>
  <w:style w:type="paragraph" w:styleId="78">
    <w:name w:val="toc 2"/>
    <w:basedOn w:val="1"/>
    <w:next w:val="1"/>
    <w:qFormat/>
    <w:uiPriority w:val="39"/>
    <w:pPr>
      <w:tabs>
        <w:tab w:val="right" w:leader="dot" w:pos="8364"/>
      </w:tabs>
      <w:spacing w:line="360" w:lineRule="auto"/>
      <w:ind w:left="280"/>
      <w:jc w:val="left"/>
    </w:pPr>
    <w:rPr>
      <w:rFonts w:ascii="仿宋" w:hAnsi="仿宋" w:eastAsia="仿宋"/>
      <w:b/>
      <w:smallCaps/>
      <w:sz w:val="24"/>
    </w:rPr>
  </w:style>
  <w:style w:type="paragraph" w:styleId="79">
    <w:name w:val="toc 9"/>
    <w:basedOn w:val="1"/>
    <w:next w:val="1"/>
    <w:qFormat/>
    <w:uiPriority w:val="0"/>
    <w:pPr>
      <w:ind w:left="2240"/>
      <w:jc w:val="left"/>
    </w:pPr>
    <w:rPr>
      <w:sz w:val="18"/>
    </w:rPr>
  </w:style>
  <w:style w:type="paragraph" w:styleId="80">
    <w:name w:val="Body Text 2"/>
    <w:basedOn w:val="1"/>
    <w:link w:val="326"/>
    <w:qFormat/>
    <w:uiPriority w:val="0"/>
    <w:pPr>
      <w:spacing w:after="120" w:line="480" w:lineRule="auto"/>
    </w:pPr>
    <w:rPr>
      <w:rFonts w:asciiTheme="minorHAnsi" w:hAnsiTheme="minorHAnsi" w:eastAsiaTheme="minorEastAsia" w:cstheme="minorBidi"/>
      <w:sz w:val="21"/>
      <w:szCs w:val="22"/>
    </w:rPr>
  </w:style>
  <w:style w:type="paragraph" w:styleId="81">
    <w:name w:val="List 4"/>
    <w:basedOn w:val="1"/>
    <w:qFormat/>
    <w:uiPriority w:val="0"/>
    <w:pPr>
      <w:ind w:left="100" w:leftChars="600" w:hanging="200" w:hangingChars="200"/>
    </w:pPr>
    <w:rPr>
      <w:sz w:val="21"/>
    </w:rPr>
  </w:style>
  <w:style w:type="paragraph" w:styleId="82">
    <w:name w:val="List Continue 2"/>
    <w:basedOn w:val="1"/>
    <w:qFormat/>
    <w:uiPriority w:val="0"/>
    <w:pPr>
      <w:spacing w:after="120"/>
      <w:ind w:left="840" w:leftChars="400"/>
    </w:pPr>
    <w:rPr>
      <w:sz w:val="21"/>
    </w:rPr>
  </w:style>
  <w:style w:type="paragraph" w:styleId="83">
    <w:name w:val="Message Header"/>
    <w:basedOn w:val="1"/>
    <w:link w:val="348"/>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eastAsiaTheme="minorEastAsia" w:cstheme="minorBidi"/>
      <w:sz w:val="24"/>
      <w:szCs w:val="22"/>
      <w:shd w:val="pct20" w:color="auto" w:fill="auto"/>
    </w:rPr>
  </w:style>
  <w:style w:type="paragraph" w:styleId="84">
    <w:name w:val="HTML Preformatted"/>
    <w:basedOn w:val="1"/>
    <w:link w:val="34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theme="minorBidi"/>
      <w:sz w:val="21"/>
      <w:szCs w:val="22"/>
    </w:rPr>
  </w:style>
  <w:style w:type="paragraph" w:styleId="85">
    <w:name w:val="Normal (Web)"/>
    <w:basedOn w:val="1"/>
    <w:qFormat/>
    <w:uiPriority w:val="99"/>
    <w:pPr>
      <w:widowControl/>
      <w:spacing w:before="100" w:beforeAutospacing="1" w:after="100" w:afterAutospacing="1"/>
      <w:jc w:val="left"/>
    </w:pPr>
    <w:rPr>
      <w:rFonts w:ascii="宋体" w:hAnsi="宋体"/>
      <w:kern w:val="0"/>
      <w:sz w:val="24"/>
    </w:rPr>
  </w:style>
  <w:style w:type="paragraph" w:styleId="86">
    <w:name w:val="List Continue 3"/>
    <w:basedOn w:val="1"/>
    <w:qFormat/>
    <w:uiPriority w:val="0"/>
    <w:pPr>
      <w:spacing w:after="120"/>
      <w:ind w:left="1260" w:leftChars="600"/>
    </w:pPr>
    <w:rPr>
      <w:sz w:val="21"/>
    </w:rPr>
  </w:style>
  <w:style w:type="paragraph" w:styleId="87">
    <w:name w:val="index 2"/>
    <w:basedOn w:val="1"/>
    <w:next w:val="1"/>
    <w:qFormat/>
    <w:uiPriority w:val="0"/>
    <w:pPr>
      <w:ind w:left="200" w:leftChars="200"/>
    </w:pPr>
    <w:rPr>
      <w:sz w:val="21"/>
    </w:rPr>
  </w:style>
  <w:style w:type="paragraph" w:styleId="88">
    <w:name w:val="Title"/>
    <w:basedOn w:val="1"/>
    <w:next w:val="1"/>
    <w:link w:val="339"/>
    <w:qFormat/>
    <w:uiPriority w:val="0"/>
    <w:pPr>
      <w:widowControl/>
      <w:overflowPunct w:val="0"/>
      <w:autoSpaceDE w:val="0"/>
      <w:autoSpaceDN w:val="0"/>
      <w:adjustRightInd w:val="0"/>
      <w:jc w:val="center"/>
      <w:textAlignment w:val="baseline"/>
    </w:pPr>
    <w:rPr>
      <w:rFonts w:asciiTheme="minorHAnsi" w:hAnsiTheme="minorHAnsi" w:eastAsiaTheme="minorEastAsia" w:cstheme="minorBidi"/>
      <w:b/>
      <w:sz w:val="24"/>
      <w:szCs w:val="22"/>
      <w:lang w:val="en-GB"/>
    </w:rPr>
  </w:style>
  <w:style w:type="character" w:styleId="90">
    <w:name w:val="Strong"/>
    <w:qFormat/>
    <w:uiPriority w:val="22"/>
    <w:rPr>
      <w:b/>
    </w:rPr>
  </w:style>
  <w:style w:type="character" w:styleId="91">
    <w:name w:val="endnote reference"/>
    <w:qFormat/>
    <w:uiPriority w:val="0"/>
    <w:rPr>
      <w:vertAlign w:val="superscript"/>
    </w:rPr>
  </w:style>
  <w:style w:type="character" w:styleId="92">
    <w:name w:val="page number"/>
    <w:basedOn w:val="89"/>
    <w:qFormat/>
    <w:uiPriority w:val="0"/>
  </w:style>
  <w:style w:type="character" w:styleId="93">
    <w:name w:val="FollowedHyperlink"/>
    <w:qFormat/>
    <w:uiPriority w:val="0"/>
    <w:rPr>
      <w:color w:val="800080"/>
      <w:u w:val="single"/>
    </w:rPr>
  </w:style>
  <w:style w:type="character" w:styleId="94">
    <w:name w:val="Emphasis"/>
    <w:qFormat/>
    <w:uiPriority w:val="0"/>
    <w:rPr>
      <w:color w:val="CC0000"/>
    </w:rPr>
  </w:style>
  <w:style w:type="character" w:styleId="95">
    <w:name w:val="Hyperlink"/>
    <w:qFormat/>
    <w:uiPriority w:val="99"/>
    <w:rPr>
      <w:color w:val="0000FF"/>
      <w:u w:val="single"/>
    </w:rPr>
  </w:style>
  <w:style w:type="character" w:styleId="96">
    <w:name w:val="annotation reference"/>
    <w:qFormat/>
    <w:uiPriority w:val="0"/>
    <w:rPr>
      <w:sz w:val="21"/>
    </w:rPr>
  </w:style>
  <w:style w:type="character" w:styleId="97">
    <w:name w:val="footnote reference"/>
    <w:qFormat/>
    <w:uiPriority w:val="0"/>
    <w:rPr>
      <w:vertAlign w:val="superscript"/>
    </w:rPr>
  </w:style>
  <w:style w:type="table" w:styleId="99">
    <w:name w:val="Table Grid"/>
    <w:basedOn w:val="9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100">
    <w:name w:val="表格文字"/>
    <w:basedOn w:val="1"/>
    <w:next w:val="20"/>
    <w:qFormat/>
    <w:uiPriority w:val="0"/>
    <w:pPr>
      <w:adjustRightInd w:val="0"/>
      <w:spacing w:line="420" w:lineRule="atLeast"/>
      <w:textAlignment w:val="baseline"/>
    </w:pPr>
    <w:rPr>
      <w:kern w:val="0"/>
      <w:sz w:val="21"/>
    </w:rPr>
  </w:style>
  <w:style w:type="character" w:customStyle="1" w:styleId="101">
    <w:name w:val="页眉 Char"/>
    <w:basedOn w:val="89"/>
    <w:link w:val="61"/>
    <w:qFormat/>
    <w:uiPriority w:val="99"/>
    <w:rPr>
      <w:sz w:val="18"/>
      <w:szCs w:val="18"/>
    </w:rPr>
  </w:style>
  <w:style w:type="character" w:customStyle="1" w:styleId="102">
    <w:name w:val="页脚 Char"/>
    <w:basedOn w:val="89"/>
    <w:link w:val="59"/>
    <w:qFormat/>
    <w:uiPriority w:val="99"/>
    <w:rPr>
      <w:sz w:val="18"/>
      <w:szCs w:val="18"/>
    </w:rPr>
  </w:style>
  <w:style w:type="character" w:customStyle="1" w:styleId="103">
    <w:name w:val="标题 1 Char"/>
    <w:basedOn w:val="89"/>
    <w:link w:val="5"/>
    <w:qFormat/>
    <w:uiPriority w:val="9"/>
    <w:rPr>
      <w:rFonts w:ascii="黑体" w:hAnsi="Calibri" w:eastAsia="宋体" w:cs="Times New Roman"/>
      <w:b/>
      <w:kern w:val="0"/>
      <w:sz w:val="32"/>
      <w:szCs w:val="20"/>
    </w:rPr>
  </w:style>
  <w:style w:type="character" w:customStyle="1" w:styleId="104">
    <w:name w:val="标题 2 Char"/>
    <w:basedOn w:val="89"/>
    <w:qFormat/>
    <w:uiPriority w:val="0"/>
    <w:rPr>
      <w:rFonts w:asciiTheme="majorHAnsi" w:hAnsiTheme="majorHAnsi" w:eastAsiaTheme="majorEastAsia" w:cstheme="majorBidi"/>
      <w:b/>
      <w:bCs/>
      <w:sz w:val="32"/>
      <w:szCs w:val="32"/>
    </w:rPr>
  </w:style>
  <w:style w:type="character" w:customStyle="1" w:styleId="105">
    <w:name w:val="标题 3 Char"/>
    <w:basedOn w:val="89"/>
    <w:link w:val="7"/>
    <w:qFormat/>
    <w:uiPriority w:val="0"/>
    <w:rPr>
      <w:rFonts w:ascii="Calibri" w:hAnsi="Calibri" w:eastAsia="宋体" w:cs="Times New Roman"/>
      <w:b/>
      <w:kern w:val="0"/>
      <w:sz w:val="32"/>
      <w:szCs w:val="20"/>
    </w:rPr>
  </w:style>
  <w:style w:type="character" w:customStyle="1" w:styleId="106">
    <w:name w:val="标题 4 Char"/>
    <w:basedOn w:val="89"/>
    <w:link w:val="8"/>
    <w:qFormat/>
    <w:uiPriority w:val="0"/>
    <w:rPr>
      <w:rFonts w:ascii="Arial" w:hAnsi="Arial" w:eastAsia="黑体" w:cs="Times New Roman"/>
      <w:b/>
      <w:sz w:val="28"/>
      <w:szCs w:val="20"/>
    </w:rPr>
  </w:style>
  <w:style w:type="character" w:customStyle="1" w:styleId="107">
    <w:name w:val="标题 5 Char"/>
    <w:basedOn w:val="89"/>
    <w:link w:val="9"/>
    <w:qFormat/>
    <w:uiPriority w:val="0"/>
    <w:rPr>
      <w:rFonts w:ascii="Calibri" w:hAnsi="Calibri" w:eastAsia="宋体" w:cs="Times New Roman"/>
      <w:b/>
      <w:sz w:val="28"/>
      <w:szCs w:val="20"/>
    </w:rPr>
  </w:style>
  <w:style w:type="character" w:customStyle="1" w:styleId="108">
    <w:name w:val="标题 6 Char"/>
    <w:basedOn w:val="89"/>
    <w:link w:val="11"/>
    <w:qFormat/>
    <w:uiPriority w:val="0"/>
    <w:rPr>
      <w:rFonts w:ascii="Arial" w:hAnsi="Arial" w:eastAsia="黑体" w:cs="Times New Roman"/>
      <w:b/>
      <w:kern w:val="0"/>
      <w:sz w:val="24"/>
      <w:szCs w:val="20"/>
    </w:rPr>
  </w:style>
  <w:style w:type="character" w:customStyle="1" w:styleId="109">
    <w:name w:val="标题 7 Char"/>
    <w:basedOn w:val="89"/>
    <w:link w:val="12"/>
    <w:qFormat/>
    <w:uiPriority w:val="0"/>
    <w:rPr>
      <w:rFonts w:ascii="Calibri" w:hAnsi="Calibri" w:eastAsia="宋体" w:cs="Times New Roman"/>
      <w:b/>
      <w:kern w:val="0"/>
      <w:sz w:val="24"/>
      <w:szCs w:val="20"/>
    </w:rPr>
  </w:style>
  <w:style w:type="character" w:customStyle="1" w:styleId="110">
    <w:name w:val="标题 8 Char"/>
    <w:basedOn w:val="89"/>
    <w:link w:val="13"/>
    <w:qFormat/>
    <w:uiPriority w:val="0"/>
    <w:rPr>
      <w:rFonts w:ascii="Arial" w:hAnsi="Arial" w:eastAsia="黑体" w:cs="Times New Roman"/>
      <w:kern w:val="0"/>
      <w:sz w:val="24"/>
      <w:szCs w:val="20"/>
    </w:rPr>
  </w:style>
  <w:style w:type="character" w:customStyle="1" w:styleId="111">
    <w:name w:val="标题 9 Char"/>
    <w:basedOn w:val="89"/>
    <w:link w:val="14"/>
    <w:qFormat/>
    <w:uiPriority w:val="0"/>
    <w:rPr>
      <w:rFonts w:ascii="Arial" w:hAnsi="Arial" w:eastAsia="黑体" w:cs="Times New Roman"/>
      <w:kern w:val="0"/>
      <w:szCs w:val="20"/>
    </w:rPr>
  </w:style>
  <w:style w:type="character" w:customStyle="1" w:styleId="112">
    <w:name w:val="正文文本缩进 Char"/>
    <w:basedOn w:val="89"/>
    <w:link w:val="3"/>
    <w:qFormat/>
    <w:uiPriority w:val="0"/>
    <w:rPr>
      <w:rFonts w:ascii="Calibri" w:hAnsi="Calibri" w:eastAsia="宋体" w:cs="Times New Roman"/>
      <w:sz w:val="28"/>
      <w:szCs w:val="20"/>
    </w:rPr>
  </w:style>
  <w:style w:type="character" w:customStyle="1" w:styleId="113">
    <w:name w:val="正文首行缩进 2 Char"/>
    <w:basedOn w:val="112"/>
    <w:qFormat/>
    <w:uiPriority w:val="0"/>
    <w:rPr>
      <w:rFonts w:ascii="Calibri" w:hAnsi="Calibri" w:eastAsia="宋体" w:cs="Times New Roman"/>
      <w:sz w:val="28"/>
      <w:szCs w:val="20"/>
    </w:rPr>
  </w:style>
  <w:style w:type="character" w:customStyle="1" w:styleId="114">
    <w:name w:val="正文文本 Char"/>
    <w:basedOn w:val="89"/>
    <w:link w:val="20"/>
    <w:qFormat/>
    <w:uiPriority w:val="0"/>
    <w:rPr>
      <w:rFonts w:ascii="Calibri" w:hAnsi="Calibri" w:eastAsia="宋体" w:cs="Times New Roman"/>
      <w:sz w:val="28"/>
      <w:szCs w:val="20"/>
    </w:rPr>
  </w:style>
  <w:style w:type="character" w:customStyle="1" w:styleId="115">
    <w:name w:val="正文首行缩进 Char"/>
    <w:basedOn w:val="114"/>
    <w:link w:val="116"/>
    <w:qFormat/>
    <w:uiPriority w:val="0"/>
    <w:rPr>
      <w:rFonts w:ascii="Calibri" w:hAnsi="Calibri" w:eastAsia="宋体" w:cs="Times New Roman"/>
      <w:sz w:val="28"/>
      <w:szCs w:val="20"/>
    </w:rPr>
  </w:style>
  <w:style w:type="paragraph" w:customStyle="1" w:styleId="116">
    <w:name w:val="正文首行缩进1"/>
    <w:basedOn w:val="20"/>
    <w:link w:val="115"/>
    <w:qFormat/>
    <w:uiPriority w:val="0"/>
    <w:pPr>
      <w:spacing w:after="0"/>
      <w:ind w:firstLine="420" w:firstLineChars="100"/>
    </w:pPr>
  </w:style>
  <w:style w:type="character" w:customStyle="1" w:styleId="117">
    <w:name w:val="标题 Char"/>
    <w:basedOn w:val="89"/>
    <w:qFormat/>
    <w:uiPriority w:val="0"/>
    <w:rPr>
      <w:rFonts w:eastAsia="宋体" w:asciiTheme="majorHAnsi" w:hAnsiTheme="majorHAnsi" w:cstheme="majorBidi"/>
      <w:b/>
      <w:bCs/>
      <w:sz w:val="32"/>
      <w:szCs w:val="32"/>
    </w:rPr>
  </w:style>
  <w:style w:type="character" w:customStyle="1" w:styleId="118">
    <w:name w:val="批注文字 Char"/>
    <w:basedOn w:val="89"/>
    <w:link w:val="17"/>
    <w:qFormat/>
    <w:uiPriority w:val="0"/>
    <w:rPr>
      <w:rFonts w:ascii="Calibri" w:hAnsi="Calibri" w:eastAsia="宋体" w:cs="Times New Roman"/>
      <w:sz w:val="28"/>
      <w:szCs w:val="20"/>
    </w:rPr>
  </w:style>
  <w:style w:type="character" w:customStyle="1" w:styleId="119">
    <w:name w:val="批注主题 Char"/>
    <w:basedOn w:val="118"/>
    <w:link w:val="120"/>
    <w:qFormat/>
    <w:uiPriority w:val="0"/>
    <w:rPr>
      <w:rFonts w:ascii="Calibri" w:hAnsi="Calibri" w:eastAsia="宋体" w:cs="Times New Roman"/>
      <w:b/>
      <w:bCs/>
      <w:sz w:val="28"/>
      <w:szCs w:val="20"/>
    </w:rPr>
  </w:style>
  <w:style w:type="paragraph" w:customStyle="1" w:styleId="120">
    <w:name w:val="批注主题1"/>
    <w:basedOn w:val="17"/>
    <w:next w:val="17"/>
    <w:link w:val="119"/>
    <w:qFormat/>
    <w:uiPriority w:val="0"/>
    <w:rPr>
      <w:b/>
      <w:bCs/>
    </w:rPr>
  </w:style>
  <w:style w:type="character" w:customStyle="1" w:styleId="121">
    <w:name w:val="宏文本 Char"/>
    <w:basedOn w:val="89"/>
    <w:qFormat/>
    <w:uiPriority w:val="0"/>
    <w:rPr>
      <w:rFonts w:ascii="Courier New" w:hAnsi="Courier New" w:eastAsia="宋体" w:cs="Courier New"/>
      <w:sz w:val="24"/>
      <w:szCs w:val="24"/>
    </w:rPr>
  </w:style>
  <w:style w:type="character" w:customStyle="1" w:styleId="122">
    <w:name w:val="注释标题 Char"/>
    <w:basedOn w:val="89"/>
    <w:qFormat/>
    <w:uiPriority w:val="0"/>
    <w:rPr>
      <w:rFonts w:ascii="Calibri" w:hAnsi="Calibri" w:eastAsia="宋体" w:cs="Times New Roman"/>
      <w:sz w:val="28"/>
      <w:szCs w:val="20"/>
    </w:rPr>
  </w:style>
  <w:style w:type="character" w:customStyle="1" w:styleId="123">
    <w:name w:val="电子邮件签名 Char"/>
    <w:basedOn w:val="89"/>
    <w:qFormat/>
    <w:uiPriority w:val="0"/>
    <w:rPr>
      <w:rFonts w:ascii="Calibri" w:hAnsi="Calibri" w:eastAsia="宋体" w:cs="Times New Roman"/>
      <w:sz w:val="28"/>
      <w:szCs w:val="20"/>
    </w:rPr>
  </w:style>
  <w:style w:type="character" w:customStyle="1" w:styleId="124">
    <w:name w:val="文档结构图 Char"/>
    <w:basedOn w:val="89"/>
    <w:qFormat/>
    <w:uiPriority w:val="0"/>
    <w:rPr>
      <w:rFonts w:ascii="宋体" w:hAnsi="Calibri" w:eastAsia="宋体" w:cs="Times New Roman"/>
      <w:sz w:val="18"/>
      <w:szCs w:val="18"/>
    </w:rPr>
  </w:style>
  <w:style w:type="character" w:customStyle="1" w:styleId="125">
    <w:name w:val="称呼 Char"/>
    <w:basedOn w:val="89"/>
    <w:qFormat/>
    <w:uiPriority w:val="0"/>
    <w:rPr>
      <w:rFonts w:ascii="Calibri" w:hAnsi="Calibri" w:eastAsia="宋体" w:cs="Times New Roman"/>
      <w:sz w:val="28"/>
      <w:szCs w:val="20"/>
    </w:rPr>
  </w:style>
  <w:style w:type="character" w:customStyle="1" w:styleId="126">
    <w:name w:val="正文文本 3 Char"/>
    <w:basedOn w:val="89"/>
    <w:qFormat/>
    <w:uiPriority w:val="0"/>
    <w:rPr>
      <w:rFonts w:ascii="Calibri" w:hAnsi="Calibri" w:eastAsia="宋体" w:cs="Times New Roman"/>
      <w:sz w:val="16"/>
      <w:szCs w:val="16"/>
    </w:rPr>
  </w:style>
  <w:style w:type="character" w:customStyle="1" w:styleId="127">
    <w:name w:val="结束语 Char"/>
    <w:basedOn w:val="89"/>
    <w:qFormat/>
    <w:uiPriority w:val="0"/>
    <w:rPr>
      <w:rFonts w:ascii="Calibri" w:hAnsi="Calibri" w:eastAsia="宋体" w:cs="Times New Roman"/>
      <w:sz w:val="28"/>
      <w:szCs w:val="20"/>
    </w:rPr>
  </w:style>
  <w:style w:type="character" w:customStyle="1" w:styleId="128">
    <w:name w:val="HTML 地址 Char"/>
    <w:basedOn w:val="89"/>
    <w:qFormat/>
    <w:uiPriority w:val="0"/>
    <w:rPr>
      <w:rFonts w:ascii="Calibri" w:hAnsi="Calibri" w:eastAsia="宋体" w:cs="Times New Roman"/>
      <w:i/>
      <w:iCs/>
      <w:sz w:val="28"/>
      <w:szCs w:val="20"/>
    </w:rPr>
  </w:style>
  <w:style w:type="character" w:customStyle="1" w:styleId="129">
    <w:name w:val="纯文本 Char"/>
    <w:basedOn w:val="89"/>
    <w:qFormat/>
    <w:uiPriority w:val="0"/>
    <w:rPr>
      <w:rFonts w:ascii="宋体" w:hAnsi="Courier New" w:eastAsia="宋体" w:cs="Courier New"/>
      <w:szCs w:val="21"/>
    </w:rPr>
  </w:style>
  <w:style w:type="character" w:customStyle="1" w:styleId="130">
    <w:name w:val="日期 Char"/>
    <w:basedOn w:val="89"/>
    <w:qFormat/>
    <w:uiPriority w:val="0"/>
    <w:rPr>
      <w:rFonts w:ascii="Calibri" w:hAnsi="Calibri" w:eastAsia="宋体" w:cs="Times New Roman"/>
      <w:sz w:val="28"/>
      <w:szCs w:val="20"/>
    </w:rPr>
  </w:style>
  <w:style w:type="character" w:customStyle="1" w:styleId="131">
    <w:name w:val="正文文本缩进 2 Char"/>
    <w:basedOn w:val="89"/>
    <w:link w:val="132"/>
    <w:qFormat/>
    <w:uiPriority w:val="0"/>
    <w:rPr>
      <w:rFonts w:ascii="Calibri" w:hAnsi="Calibri" w:eastAsia="宋体" w:cs="Times New Roman"/>
      <w:sz w:val="28"/>
      <w:szCs w:val="20"/>
    </w:rPr>
  </w:style>
  <w:style w:type="paragraph" w:customStyle="1" w:styleId="132">
    <w:name w:val="正文文本缩进 22"/>
    <w:basedOn w:val="1"/>
    <w:link w:val="131"/>
    <w:qFormat/>
    <w:uiPriority w:val="0"/>
    <w:pPr>
      <w:adjustRightInd w:val="0"/>
      <w:spacing w:line="400" w:lineRule="atLeast"/>
      <w:ind w:firstLine="540"/>
      <w:textAlignment w:val="baseline"/>
    </w:pPr>
  </w:style>
  <w:style w:type="character" w:customStyle="1" w:styleId="133">
    <w:name w:val="尾注文本 Char"/>
    <w:basedOn w:val="89"/>
    <w:qFormat/>
    <w:uiPriority w:val="0"/>
    <w:rPr>
      <w:rFonts w:ascii="Calibri" w:hAnsi="Calibri" w:eastAsia="宋体" w:cs="Times New Roman"/>
      <w:sz w:val="28"/>
      <w:szCs w:val="20"/>
    </w:rPr>
  </w:style>
  <w:style w:type="character" w:customStyle="1" w:styleId="134">
    <w:name w:val="批注框文本 Char"/>
    <w:basedOn w:val="89"/>
    <w:qFormat/>
    <w:uiPriority w:val="99"/>
    <w:rPr>
      <w:rFonts w:ascii="Calibri" w:hAnsi="Calibri" w:eastAsia="宋体" w:cs="Times New Roman"/>
      <w:sz w:val="18"/>
      <w:szCs w:val="18"/>
    </w:rPr>
  </w:style>
  <w:style w:type="character" w:customStyle="1" w:styleId="135">
    <w:name w:val="签名 Char"/>
    <w:basedOn w:val="89"/>
    <w:qFormat/>
    <w:uiPriority w:val="0"/>
    <w:rPr>
      <w:rFonts w:ascii="Calibri" w:hAnsi="Calibri" w:eastAsia="宋体" w:cs="Times New Roman"/>
      <w:sz w:val="28"/>
      <w:szCs w:val="20"/>
    </w:rPr>
  </w:style>
  <w:style w:type="character" w:customStyle="1" w:styleId="136">
    <w:name w:val="副标题 Char"/>
    <w:basedOn w:val="89"/>
    <w:qFormat/>
    <w:uiPriority w:val="0"/>
    <w:rPr>
      <w:rFonts w:eastAsia="宋体" w:asciiTheme="majorHAnsi" w:hAnsiTheme="majorHAnsi" w:cstheme="majorBidi"/>
      <w:b/>
      <w:bCs/>
      <w:kern w:val="28"/>
      <w:sz w:val="32"/>
      <w:szCs w:val="32"/>
    </w:rPr>
  </w:style>
  <w:style w:type="character" w:customStyle="1" w:styleId="137">
    <w:name w:val="脚注文本 Char"/>
    <w:basedOn w:val="89"/>
    <w:qFormat/>
    <w:uiPriority w:val="0"/>
    <w:rPr>
      <w:rFonts w:ascii="Calibri" w:hAnsi="Calibri" w:eastAsia="宋体" w:cs="Times New Roman"/>
      <w:sz w:val="18"/>
      <w:szCs w:val="18"/>
    </w:rPr>
  </w:style>
  <w:style w:type="character" w:customStyle="1" w:styleId="138">
    <w:name w:val="正文文本缩进 3 Char"/>
    <w:basedOn w:val="89"/>
    <w:link w:val="139"/>
    <w:qFormat/>
    <w:uiPriority w:val="0"/>
    <w:rPr>
      <w:rFonts w:ascii="Calibri" w:hAnsi="Calibri" w:eastAsia="宋体" w:cs="Times New Roman"/>
      <w:sz w:val="16"/>
      <w:szCs w:val="16"/>
    </w:rPr>
  </w:style>
  <w:style w:type="paragraph" w:customStyle="1" w:styleId="139">
    <w:name w:val="正文文本缩进 31"/>
    <w:basedOn w:val="1"/>
    <w:link w:val="138"/>
    <w:qFormat/>
    <w:uiPriority w:val="0"/>
    <w:pPr>
      <w:spacing w:line="360" w:lineRule="auto"/>
      <w:ind w:firstLine="490" w:firstLineChars="204"/>
    </w:pPr>
    <w:rPr>
      <w:sz w:val="16"/>
      <w:szCs w:val="16"/>
    </w:rPr>
  </w:style>
  <w:style w:type="character" w:customStyle="1" w:styleId="140">
    <w:name w:val="正文文本 2 Char"/>
    <w:basedOn w:val="89"/>
    <w:link w:val="141"/>
    <w:qFormat/>
    <w:uiPriority w:val="0"/>
    <w:rPr>
      <w:rFonts w:ascii="Calibri" w:hAnsi="Calibri" w:eastAsia="宋体" w:cs="Times New Roman"/>
      <w:sz w:val="28"/>
      <w:szCs w:val="20"/>
    </w:rPr>
  </w:style>
  <w:style w:type="paragraph" w:customStyle="1" w:styleId="141">
    <w:name w:val="正文文本 22"/>
    <w:basedOn w:val="1"/>
    <w:link w:val="140"/>
    <w:qFormat/>
    <w:uiPriority w:val="0"/>
    <w:pPr>
      <w:adjustRightInd w:val="0"/>
      <w:ind w:firstLine="510"/>
      <w:jc w:val="left"/>
      <w:textAlignment w:val="baseline"/>
    </w:pPr>
  </w:style>
  <w:style w:type="character" w:customStyle="1" w:styleId="142">
    <w:name w:val="信息标题 Char"/>
    <w:basedOn w:val="89"/>
    <w:qFormat/>
    <w:uiPriority w:val="0"/>
    <w:rPr>
      <w:rFonts w:asciiTheme="majorHAnsi" w:hAnsiTheme="majorHAnsi" w:eastAsiaTheme="majorEastAsia" w:cstheme="majorBidi"/>
      <w:sz w:val="24"/>
      <w:szCs w:val="24"/>
      <w:shd w:val="pct20" w:color="auto" w:fill="auto"/>
    </w:rPr>
  </w:style>
  <w:style w:type="character" w:customStyle="1" w:styleId="143">
    <w:name w:val="HTML 预设格式 Char"/>
    <w:basedOn w:val="89"/>
    <w:link w:val="144"/>
    <w:qFormat/>
    <w:uiPriority w:val="0"/>
    <w:rPr>
      <w:rFonts w:ascii="Courier New" w:hAnsi="Courier New" w:eastAsia="宋体" w:cs="Courier New"/>
      <w:sz w:val="20"/>
      <w:szCs w:val="20"/>
    </w:rPr>
  </w:style>
  <w:style w:type="paragraph" w:customStyle="1" w:styleId="144">
    <w:name w:val="HTML 预设格式1"/>
    <w:basedOn w:val="1"/>
    <w:link w:val="143"/>
    <w:qFormat/>
    <w:uiPriority w:val="0"/>
    <w:rPr>
      <w:rFonts w:ascii="Courier New" w:hAnsi="Courier New" w:cs="Courier New"/>
      <w:sz w:val="20"/>
    </w:rPr>
  </w:style>
  <w:style w:type="character" w:customStyle="1" w:styleId="145">
    <w:name w:val="bemq"/>
    <w:qFormat/>
    <w:uiPriority w:val="0"/>
  </w:style>
  <w:style w:type="character" w:customStyle="1" w:styleId="146">
    <w:name w:val="标题 Char3"/>
    <w:qFormat/>
    <w:uiPriority w:val="0"/>
    <w:rPr>
      <w:b/>
      <w:sz w:val="24"/>
      <w:lang w:val="en-GB"/>
    </w:rPr>
  </w:style>
  <w:style w:type="character" w:customStyle="1" w:styleId="147">
    <w:name w:val="HTML 打字机1"/>
    <w:qFormat/>
    <w:uiPriority w:val="0"/>
    <w:rPr>
      <w:rFonts w:ascii="Courier New" w:hAnsi="Courier New"/>
      <w:sz w:val="20"/>
    </w:rPr>
  </w:style>
  <w:style w:type="character" w:customStyle="1" w:styleId="148">
    <w:name w:val="样式1 Char Char"/>
    <w:link w:val="149"/>
    <w:qFormat/>
    <w:uiPriority w:val="0"/>
    <w:rPr>
      <w:rFonts w:ascii="黑体"/>
      <w:b/>
      <w:sz w:val="32"/>
    </w:rPr>
  </w:style>
  <w:style w:type="paragraph" w:customStyle="1" w:styleId="149">
    <w:name w:val="样式1"/>
    <w:basedOn w:val="5"/>
    <w:link w:val="148"/>
    <w:qFormat/>
    <w:uiPriority w:val="0"/>
    <w:pPr>
      <w:tabs>
        <w:tab w:val="left" w:pos="-839"/>
      </w:tabs>
      <w:ind w:left="1320" w:hanging="1320"/>
    </w:pPr>
    <w:rPr>
      <w:rFonts w:hAnsiTheme="minorHAnsi" w:eastAsiaTheme="minorEastAsia" w:cstheme="minorBidi"/>
      <w:kern w:val="2"/>
      <w:szCs w:val="22"/>
    </w:rPr>
  </w:style>
  <w:style w:type="character" w:customStyle="1" w:styleId="150">
    <w:name w:val="日期 Char1"/>
    <w:qFormat/>
    <w:uiPriority w:val="0"/>
    <w:rPr>
      <w:rFonts w:ascii="Times New Roman" w:hAnsi="Times New Roman" w:eastAsia="宋体"/>
    </w:rPr>
  </w:style>
  <w:style w:type="character" w:customStyle="1" w:styleId="151">
    <w:name w:val="标题 9 字符"/>
    <w:qFormat/>
    <w:uiPriority w:val="0"/>
    <w:rPr>
      <w:rFonts w:ascii="等线 Light" w:hAnsi="等线 Light" w:eastAsia="等线 Light"/>
      <w:kern w:val="2"/>
      <w:sz w:val="21"/>
    </w:rPr>
  </w:style>
  <w:style w:type="character" w:customStyle="1" w:styleId="152">
    <w:name w:val="标题 3 Char Char Char"/>
    <w:qFormat/>
    <w:uiPriority w:val="0"/>
    <w:rPr>
      <w:rFonts w:eastAsia="宋体"/>
      <w:b/>
      <w:kern w:val="2"/>
      <w:sz w:val="32"/>
      <w:lang w:val="en-US" w:eastAsia="zh-CN"/>
    </w:rPr>
  </w:style>
  <w:style w:type="character" w:customStyle="1" w:styleId="153">
    <w:name w:val="正文文本缩进 字符"/>
    <w:qFormat/>
    <w:uiPriority w:val="0"/>
    <w:rPr>
      <w:rFonts w:ascii="Times New Roman" w:hAnsi="Times New Roman" w:eastAsia="宋体"/>
      <w:kern w:val="2"/>
      <w:sz w:val="21"/>
    </w:rPr>
  </w:style>
  <w:style w:type="character" w:customStyle="1" w:styleId="154">
    <w:name w:val="style1 style6 style7"/>
    <w:qFormat/>
    <w:uiPriority w:val="0"/>
  </w:style>
  <w:style w:type="character" w:customStyle="1" w:styleId="155">
    <w:name w:val="h2 Char"/>
    <w:qFormat/>
    <w:uiPriority w:val="0"/>
    <w:rPr>
      <w:rFonts w:ascii="Arial" w:hAnsi="Arial" w:eastAsia="黑体"/>
      <w:color w:val="0000FF"/>
      <w:sz w:val="24"/>
      <w:lang w:val="en-US" w:eastAsia="zh-CN"/>
    </w:rPr>
  </w:style>
  <w:style w:type="character" w:customStyle="1" w:styleId="156">
    <w:name w:val="页脚 字符"/>
    <w:qFormat/>
    <w:uiPriority w:val="0"/>
    <w:rPr>
      <w:kern w:val="2"/>
      <w:sz w:val="18"/>
    </w:rPr>
  </w:style>
  <w:style w:type="character" w:customStyle="1" w:styleId="157">
    <w:name w:val="content3"/>
    <w:qFormat/>
    <w:uiPriority w:val="0"/>
    <w:rPr>
      <w:b/>
      <w:sz w:val="18"/>
    </w:rPr>
  </w:style>
  <w:style w:type="character" w:customStyle="1" w:styleId="158">
    <w:name w:val="street-address"/>
    <w:qFormat/>
    <w:uiPriority w:val="0"/>
  </w:style>
  <w:style w:type="character" w:customStyle="1" w:styleId="159">
    <w:name w:val="正文文本缩进 2 Char1"/>
    <w:qFormat/>
    <w:uiPriority w:val="0"/>
    <w:rPr>
      <w:rFonts w:ascii="黑体" w:eastAsia="黑体"/>
      <w:sz w:val="28"/>
    </w:rPr>
  </w:style>
  <w:style w:type="character" w:customStyle="1" w:styleId="160">
    <w:name w:val="标题 7 字符"/>
    <w:qFormat/>
    <w:uiPriority w:val="0"/>
    <w:rPr>
      <w:rFonts w:ascii="Times New Roman" w:hAnsi="Times New Roman" w:eastAsia="宋体"/>
      <w:b/>
      <w:kern w:val="2"/>
      <w:sz w:val="24"/>
    </w:rPr>
  </w:style>
  <w:style w:type="character" w:customStyle="1" w:styleId="161">
    <w:name w:val="正文（首行缩进两字） + Arial Char Char Char Char Char Char Char Char Char Char Char Char Char Char Char Char Char Char Char Char Char Char Char Char Char Char Char"/>
    <w:qFormat/>
    <w:uiPriority w:val="0"/>
    <w:rPr>
      <w:rFonts w:ascii="Arial" w:hAnsi="Arial" w:eastAsia="宋体"/>
      <w:sz w:val="24"/>
      <w:lang w:val="en-US" w:eastAsia="zh-CN"/>
    </w:rPr>
  </w:style>
  <w:style w:type="character" w:customStyle="1" w:styleId="162">
    <w:name w:val="内文 Char Char"/>
    <w:link w:val="163"/>
    <w:qFormat/>
    <w:uiPriority w:val="0"/>
    <w:rPr>
      <w:rFonts w:ascii="Arial" w:hAnsi="Arial" w:eastAsia="Times New Roman"/>
    </w:rPr>
  </w:style>
  <w:style w:type="paragraph" w:customStyle="1" w:styleId="163">
    <w:name w:val="内文"/>
    <w:link w:val="162"/>
    <w:qFormat/>
    <w:uiPriority w:val="0"/>
    <w:pPr>
      <w:adjustRightInd w:val="0"/>
      <w:snapToGrid w:val="0"/>
      <w:spacing w:line="400" w:lineRule="exact"/>
      <w:ind w:firstLine="200" w:firstLineChars="200"/>
      <w:jc w:val="both"/>
    </w:pPr>
    <w:rPr>
      <w:rFonts w:ascii="Arial" w:hAnsi="Arial" w:eastAsia="Times New Roman" w:cstheme="minorBidi"/>
      <w:kern w:val="2"/>
      <w:sz w:val="21"/>
      <w:szCs w:val="22"/>
      <w:lang w:val="en-US" w:eastAsia="zh-CN" w:bidi="ar-SA"/>
    </w:rPr>
  </w:style>
  <w:style w:type="character" w:customStyle="1" w:styleId="164">
    <w:name w:val="font14news1"/>
    <w:qFormat/>
    <w:uiPriority w:val="0"/>
    <w:rPr>
      <w:color w:val="333333"/>
      <w:sz w:val="21"/>
    </w:rPr>
  </w:style>
  <w:style w:type="character" w:customStyle="1" w:styleId="165">
    <w:name w:val="标题 6 Char1"/>
    <w:qFormat/>
    <w:uiPriority w:val="0"/>
    <w:rPr>
      <w:rFonts w:ascii="Arial" w:hAnsi="Arial" w:eastAsia="黑体"/>
      <w:b/>
      <w:sz w:val="24"/>
      <w:lang w:val="en-US" w:eastAsia="zh-CN"/>
    </w:rPr>
  </w:style>
  <w:style w:type="character" w:customStyle="1" w:styleId="166">
    <w:name w:val="HTML 变量1"/>
    <w:qFormat/>
    <w:uiPriority w:val="0"/>
    <w:rPr>
      <w:i/>
    </w:rPr>
  </w:style>
  <w:style w:type="character" w:customStyle="1" w:styleId="167">
    <w:name w:val="标题 2 Char1"/>
    <w:qFormat/>
    <w:uiPriority w:val="0"/>
    <w:rPr>
      <w:rFonts w:ascii="Arial" w:hAnsi="Arial" w:eastAsia="黑体"/>
      <w:b/>
      <w:sz w:val="32"/>
      <w:lang w:val="en-US" w:eastAsia="zh-CN"/>
    </w:rPr>
  </w:style>
  <w:style w:type="character" w:customStyle="1" w:styleId="168">
    <w:name w:val="样式10 Char"/>
    <w:link w:val="169"/>
    <w:qFormat/>
    <w:uiPriority w:val="0"/>
    <w:rPr>
      <w:b/>
      <w:sz w:val="24"/>
    </w:rPr>
  </w:style>
  <w:style w:type="paragraph" w:customStyle="1" w:styleId="169">
    <w:name w:val="样式10"/>
    <w:basedOn w:val="1"/>
    <w:link w:val="168"/>
    <w:qFormat/>
    <w:uiPriority w:val="0"/>
    <w:pPr>
      <w:spacing w:line="360" w:lineRule="auto"/>
    </w:pPr>
    <w:rPr>
      <w:rFonts w:asciiTheme="minorHAnsi" w:hAnsiTheme="minorHAnsi" w:eastAsiaTheme="minorEastAsia" w:cstheme="minorBidi"/>
      <w:b/>
      <w:sz w:val="24"/>
      <w:szCs w:val="22"/>
    </w:rPr>
  </w:style>
  <w:style w:type="character" w:customStyle="1" w:styleId="170">
    <w:name w:val="注释标题 字符"/>
    <w:qFormat/>
    <w:uiPriority w:val="0"/>
    <w:rPr>
      <w:kern w:val="2"/>
      <w:sz w:val="28"/>
    </w:rPr>
  </w:style>
  <w:style w:type="character" w:customStyle="1" w:styleId="171">
    <w:name w:val="标题 1 Char2"/>
    <w:qFormat/>
    <w:uiPriority w:val="0"/>
    <w:rPr>
      <w:rFonts w:ascii="Arial Unicode MS" w:hAnsi="Arial Unicode MS" w:eastAsia="Arial Unicode MS"/>
      <w:b/>
      <w:kern w:val="36"/>
      <w:sz w:val="48"/>
      <w:lang w:val="en-US" w:eastAsia="zh-CN"/>
    </w:rPr>
  </w:style>
  <w:style w:type="character" w:customStyle="1" w:styleId="172">
    <w:name w:val="Comment Text Char"/>
    <w:qFormat/>
    <w:uiPriority w:val="0"/>
    <w:rPr>
      <w:rFonts w:ascii="Times New Roman" w:hAnsi="Times New Roman" w:eastAsia="宋体"/>
      <w:sz w:val="24"/>
    </w:rPr>
  </w:style>
  <w:style w:type="character" w:customStyle="1" w:styleId="173">
    <w:name w:val="纯文本 字符"/>
    <w:qFormat/>
    <w:uiPriority w:val="0"/>
    <w:rPr>
      <w:rFonts w:ascii="宋体" w:hAnsi="Courier New" w:eastAsia="宋体"/>
      <w:kern w:val="2"/>
      <w:sz w:val="21"/>
    </w:rPr>
  </w:style>
  <w:style w:type="character" w:customStyle="1" w:styleId="174">
    <w:name w:val="页脚 Char2"/>
    <w:qFormat/>
    <w:uiPriority w:val="0"/>
    <w:rPr>
      <w:kern w:val="2"/>
      <w:sz w:val="18"/>
    </w:rPr>
  </w:style>
  <w:style w:type="character" w:customStyle="1" w:styleId="175">
    <w:name w:val="个人撰写风格"/>
    <w:qFormat/>
    <w:uiPriority w:val="0"/>
    <w:rPr>
      <w:rFonts w:ascii="Arial" w:hAnsi="Arial" w:eastAsia="宋体"/>
      <w:color w:val="auto"/>
      <w:sz w:val="20"/>
    </w:rPr>
  </w:style>
  <w:style w:type="character" w:customStyle="1" w:styleId="176">
    <w:name w:val="正文文本缩进 Char1"/>
    <w:qFormat/>
    <w:uiPriority w:val="0"/>
    <w:rPr>
      <w:rFonts w:ascii="宋体" w:hAnsi="宋体" w:eastAsia="宋体"/>
      <w:spacing w:val="-6"/>
      <w:kern w:val="2"/>
      <w:sz w:val="21"/>
      <w:lang w:val="en-US" w:eastAsia="zh-CN"/>
    </w:rPr>
  </w:style>
  <w:style w:type="character" w:customStyle="1" w:styleId="177">
    <w:name w:val="Char Char6"/>
    <w:qFormat/>
    <w:uiPriority w:val="0"/>
    <w:rPr>
      <w:rFonts w:ascii="宋体" w:hAnsi="Courier New" w:eastAsia="宋体"/>
      <w:kern w:val="2"/>
      <w:sz w:val="21"/>
      <w:lang w:val="en-US" w:eastAsia="zh-CN"/>
    </w:rPr>
  </w:style>
  <w:style w:type="character" w:customStyle="1" w:styleId="178">
    <w:name w:val="Char Char"/>
    <w:link w:val="179"/>
    <w:qFormat/>
    <w:uiPriority w:val="0"/>
    <w:rPr>
      <w:rFonts w:eastAsia="仿宋_GB2312"/>
      <w:sz w:val="28"/>
    </w:rPr>
  </w:style>
  <w:style w:type="paragraph" w:customStyle="1" w:styleId="179">
    <w:name w:val="Char12"/>
    <w:basedOn w:val="1"/>
    <w:link w:val="178"/>
    <w:qFormat/>
    <w:uiPriority w:val="0"/>
    <w:rPr>
      <w:rFonts w:eastAsia="仿宋_GB2312" w:asciiTheme="minorHAnsi" w:hAnsiTheme="minorHAnsi" w:cstheme="minorBidi"/>
      <w:szCs w:val="22"/>
    </w:rPr>
  </w:style>
  <w:style w:type="character" w:customStyle="1" w:styleId="180">
    <w:name w:val="Plain Text Char"/>
    <w:qFormat/>
    <w:uiPriority w:val="0"/>
    <w:rPr>
      <w:rFonts w:ascii="宋体" w:hAnsi="Courier New" w:eastAsia="宋体"/>
      <w:kern w:val="2"/>
      <w:sz w:val="21"/>
      <w:lang w:val="en-US" w:eastAsia="zh-CN"/>
    </w:rPr>
  </w:style>
  <w:style w:type="character" w:customStyle="1" w:styleId="181">
    <w:name w:val="zbggmain"/>
    <w:qFormat/>
    <w:uiPriority w:val="0"/>
  </w:style>
  <w:style w:type="character" w:customStyle="1" w:styleId="182">
    <w:name w:val="标题 2 Char2"/>
    <w:link w:val="6"/>
    <w:qFormat/>
    <w:uiPriority w:val="0"/>
    <w:rPr>
      <w:rFonts w:ascii="Arial" w:hAnsi="Arial" w:eastAsia="黑体" w:cs="Times New Roman"/>
      <w:b/>
      <w:szCs w:val="20"/>
    </w:rPr>
  </w:style>
  <w:style w:type="character" w:customStyle="1" w:styleId="183">
    <w:name w:val="8953"/>
    <w:qFormat/>
    <w:uiPriority w:val="0"/>
  </w:style>
  <w:style w:type="character" w:customStyle="1" w:styleId="184">
    <w:name w:val="H1 Char"/>
    <w:qFormat/>
    <w:uiPriority w:val="0"/>
    <w:rPr>
      <w:rFonts w:ascii="Arial Unicode MS" w:hAnsi="Arial Unicode MS" w:eastAsia="Arial Unicode MS"/>
      <w:b/>
      <w:kern w:val="36"/>
      <w:sz w:val="48"/>
      <w:lang w:val="en-US" w:eastAsia="zh-CN"/>
    </w:rPr>
  </w:style>
  <w:style w:type="character" w:customStyle="1" w:styleId="185">
    <w:name w:val="样式 标题 3Heading 3 Char1Heading 3 Char Char列表编号33 bullet2ERM... Char"/>
    <w:link w:val="186"/>
    <w:qFormat/>
    <w:uiPriority w:val="0"/>
    <w:rPr>
      <w:b/>
    </w:rPr>
  </w:style>
  <w:style w:type="paragraph" w:customStyle="1" w:styleId="186">
    <w:name w:val="样式 标题 3Heading 3 Char1Heading 3 Char Char列表编号33 bullet2ERM..."/>
    <w:basedOn w:val="7"/>
    <w:link w:val="185"/>
    <w:qFormat/>
    <w:uiPriority w:val="0"/>
    <w:pPr>
      <w:widowControl w:val="0"/>
      <w:tabs>
        <w:tab w:val="clear" w:pos="720"/>
      </w:tabs>
      <w:adjustRightInd w:val="0"/>
      <w:snapToGrid w:val="0"/>
      <w:spacing w:before="0" w:after="0"/>
      <w:ind w:left="0" w:firstLine="0"/>
      <w:jc w:val="both"/>
    </w:pPr>
    <w:rPr>
      <w:rFonts w:asciiTheme="minorHAnsi" w:hAnsiTheme="minorHAnsi" w:eastAsiaTheme="minorEastAsia" w:cstheme="minorBidi"/>
      <w:kern w:val="2"/>
      <w:sz w:val="21"/>
      <w:szCs w:val="22"/>
    </w:rPr>
  </w:style>
  <w:style w:type="character" w:customStyle="1" w:styleId="187">
    <w:name w:val="Char Char12"/>
    <w:qFormat/>
    <w:uiPriority w:val="0"/>
    <w:rPr>
      <w:rFonts w:ascii="Arial" w:hAnsi="Arial" w:eastAsia="黑体"/>
      <w:b/>
      <w:sz w:val="24"/>
    </w:rPr>
  </w:style>
  <w:style w:type="character" w:customStyle="1" w:styleId="188">
    <w:name w:val="页眉 Char1"/>
    <w:qFormat/>
    <w:uiPriority w:val="0"/>
    <w:rPr>
      <w:rFonts w:eastAsia="宋体"/>
      <w:kern w:val="2"/>
      <w:sz w:val="18"/>
      <w:lang w:val="en-US" w:eastAsia="zh-CN"/>
    </w:rPr>
  </w:style>
  <w:style w:type="character" w:customStyle="1" w:styleId="189">
    <w:name w:val="正文文本缩进 2 字符"/>
    <w:qFormat/>
    <w:uiPriority w:val="0"/>
    <w:rPr>
      <w:rFonts w:ascii="Times New Roman" w:hAnsi="Times New Roman" w:eastAsia="宋体"/>
      <w:kern w:val="2"/>
      <w:sz w:val="21"/>
    </w:rPr>
  </w:style>
  <w:style w:type="character" w:customStyle="1" w:styleId="190">
    <w:name w:val="页眉 Char2"/>
    <w:qFormat/>
    <w:uiPriority w:val="0"/>
    <w:rPr>
      <w:kern w:val="2"/>
      <w:sz w:val="18"/>
    </w:rPr>
  </w:style>
  <w:style w:type="character" w:customStyle="1" w:styleId="191">
    <w:name w:val="批注主题 Char1"/>
    <w:qFormat/>
    <w:uiPriority w:val="0"/>
    <w:rPr>
      <w:b/>
    </w:rPr>
  </w:style>
  <w:style w:type="character" w:customStyle="1" w:styleId="192">
    <w:name w:val="qclx"/>
    <w:qFormat/>
    <w:uiPriority w:val="0"/>
  </w:style>
  <w:style w:type="character" w:customStyle="1" w:styleId="193">
    <w:name w:val="even Char Char"/>
    <w:qFormat/>
    <w:uiPriority w:val="0"/>
    <w:rPr>
      <w:rFonts w:ascii="Times New Roman" w:hAnsi="Times New Roman" w:eastAsia="宋体"/>
      <w:sz w:val="18"/>
    </w:rPr>
  </w:style>
  <w:style w:type="character" w:customStyle="1" w:styleId="194">
    <w:name w:val="正文文本缩进 3 Char1"/>
    <w:qFormat/>
    <w:uiPriority w:val="0"/>
    <w:rPr>
      <w:sz w:val="28"/>
    </w:rPr>
  </w:style>
  <w:style w:type="character" w:customStyle="1" w:styleId="195">
    <w:name w:val="信息标题 字符"/>
    <w:qFormat/>
    <w:uiPriority w:val="0"/>
    <w:rPr>
      <w:rFonts w:ascii="等线 Light" w:hAnsi="等线 Light" w:eastAsia="等线 Light"/>
      <w:kern w:val="2"/>
      <w:sz w:val="24"/>
      <w:shd w:val="pct20" w:color="auto" w:fill="auto"/>
    </w:rPr>
  </w:style>
  <w:style w:type="character" w:customStyle="1" w:styleId="196">
    <w:name w:val="标题 5 字符"/>
    <w:qFormat/>
    <w:uiPriority w:val="0"/>
    <w:rPr>
      <w:rFonts w:ascii="Times New Roman" w:hAnsi="Times New Roman" w:eastAsia="宋体"/>
      <w:b/>
      <w:kern w:val="2"/>
      <w:sz w:val="28"/>
    </w:rPr>
  </w:style>
  <w:style w:type="character" w:customStyle="1" w:styleId="197">
    <w:name w:val="HTML 预设格式 Char2"/>
    <w:qFormat/>
    <w:uiPriority w:val="0"/>
    <w:rPr>
      <w:rFonts w:ascii="黑体" w:hAnsi="Courier New" w:eastAsia="黑体"/>
    </w:rPr>
  </w:style>
  <w:style w:type="character" w:customStyle="1" w:styleId="198">
    <w:name w:val="p7"/>
    <w:qFormat/>
    <w:uiPriority w:val="0"/>
  </w:style>
  <w:style w:type="character" w:customStyle="1" w:styleId="199">
    <w:name w:val="签名 字符"/>
    <w:qFormat/>
    <w:uiPriority w:val="0"/>
    <w:rPr>
      <w:kern w:val="2"/>
      <w:sz w:val="28"/>
    </w:rPr>
  </w:style>
  <w:style w:type="character" w:customStyle="1" w:styleId="200">
    <w:name w:val="批注文字 Char1"/>
    <w:qFormat/>
    <w:uiPriority w:val="0"/>
    <w:rPr>
      <w:rFonts w:eastAsia="宋体"/>
      <w:kern w:val="2"/>
      <w:sz w:val="21"/>
      <w:lang w:val="en-US" w:eastAsia="zh-CN"/>
    </w:rPr>
  </w:style>
  <w:style w:type="character" w:customStyle="1" w:styleId="201">
    <w:name w:val="文档结构图 Char1"/>
    <w:qFormat/>
    <w:uiPriority w:val="0"/>
    <w:rPr>
      <w:rFonts w:eastAsia="宋体"/>
      <w:kern w:val="2"/>
      <w:sz w:val="21"/>
      <w:lang w:val="en-US" w:eastAsia="zh-CN"/>
    </w:rPr>
  </w:style>
  <w:style w:type="character" w:customStyle="1" w:styleId="202">
    <w:name w:val="纯文本 Char1"/>
    <w:qFormat/>
    <w:uiPriority w:val="0"/>
    <w:rPr>
      <w:rFonts w:ascii="宋体" w:hAnsi="Courier New" w:eastAsia="宋体"/>
      <w:kern w:val="2"/>
      <w:sz w:val="21"/>
    </w:rPr>
  </w:style>
  <w:style w:type="character" w:customStyle="1" w:styleId="203">
    <w:name w:val="无间隔 Char"/>
    <w:link w:val="204"/>
    <w:qFormat/>
    <w:locked/>
    <w:uiPriority w:val="0"/>
    <w:rPr>
      <w:rFonts w:ascii="宋体" w:hAnsi="宋体"/>
      <w:szCs w:val="24"/>
    </w:rPr>
  </w:style>
  <w:style w:type="paragraph" w:customStyle="1" w:styleId="204">
    <w:name w:val="无间隔1"/>
    <w:basedOn w:val="1"/>
    <w:link w:val="203"/>
    <w:qFormat/>
    <w:uiPriority w:val="0"/>
    <w:rPr>
      <w:rFonts w:ascii="宋体" w:hAnsi="宋体" w:eastAsiaTheme="minorEastAsia" w:cstheme="minorBidi"/>
      <w:sz w:val="21"/>
      <w:szCs w:val="24"/>
    </w:rPr>
  </w:style>
  <w:style w:type="character" w:customStyle="1" w:styleId="205">
    <w:name w:val="HTML 引文1"/>
    <w:qFormat/>
    <w:uiPriority w:val="0"/>
    <w:rPr>
      <w:i/>
    </w:rPr>
  </w:style>
  <w:style w:type="character" w:customStyle="1" w:styleId="206">
    <w:name w:val="Char Char13"/>
    <w:qFormat/>
    <w:uiPriority w:val="0"/>
    <w:rPr>
      <w:rFonts w:ascii="Times New Roman" w:hAnsi="Times New Roman" w:eastAsia="宋体"/>
      <w:b/>
      <w:sz w:val="28"/>
    </w:rPr>
  </w:style>
  <w:style w:type="character" w:customStyle="1" w:styleId="207">
    <w:name w:val="brown1"/>
    <w:qFormat/>
    <w:uiPriority w:val="0"/>
    <w:rPr>
      <w:color w:val="80786A"/>
    </w:rPr>
  </w:style>
  <w:style w:type="character" w:customStyle="1" w:styleId="208">
    <w:name w:val="正文首行缩进 2 字符"/>
    <w:basedOn w:val="209"/>
    <w:qFormat/>
    <w:uiPriority w:val="0"/>
    <w:rPr>
      <w:rFonts w:ascii="黑体" w:eastAsia="黑体"/>
      <w:sz w:val="28"/>
    </w:rPr>
  </w:style>
  <w:style w:type="character" w:customStyle="1" w:styleId="209">
    <w:name w:val="正文文本缩进 Char2"/>
    <w:qFormat/>
    <w:uiPriority w:val="0"/>
    <w:rPr>
      <w:rFonts w:ascii="黑体" w:eastAsia="黑体"/>
      <w:sz w:val="28"/>
    </w:rPr>
  </w:style>
  <w:style w:type="character" w:customStyle="1" w:styleId="210">
    <w:name w:val="正文非缩进 Char"/>
    <w:qFormat/>
    <w:uiPriority w:val="0"/>
    <w:rPr>
      <w:rFonts w:ascii="宋体" w:eastAsia="宋体"/>
      <w:snapToGrid w:val="0"/>
      <w:color w:val="000000"/>
      <w:kern w:val="28"/>
      <w:sz w:val="28"/>
      <w:lang w:val="en-US" w:eastAsia="zh-CN"/>
    </w:rPr>
  </w:style>
  <w:style w:type="character" w:customStyle="1" w:styleId="211">
    <w:name w:val="标题 1 1 Char"/>
    <w:qFormat/>
    <w:uiPriority w:val="0"/>
    <w:rPr>
      <w:rFonts w:ascii="Times New Roman" w:hAnsi="Times New Roman" w:eastAsia="宋体"/>
      <w:b/>
      <w:kern w:val="44"/>
      <w:sz w:val="44"/>
    </w:rPr>
  </w:style>
  <w:style w:type="character" w:customStyle="1" w:styleId="212">
    <w:name w:val="z-窗体底端 Char"/>
    <w:qFormat/>
    <w:uiPriority w:val="0"/>
    <w:rPr>
      <w:rFonts w:ascii="Arial" w:hAnsi="Arial"/>
      <w:vanish/>
      <w:sz w:val="16"/>
    </w:rPr>
  </w:style>
  <w:style w:type="paragraph" w:customStyle="1" w:styleId="213">
    <w:name w:val="z-窗体底端1"/>
    <w:basedOn w:val="1"/>
    <w:next w:val="1"/>
    <w:link w:val="379"/>
    <w:qFormat/>
    <w:uiPriority w:val="0"/>
    <w:pPr>
      <w:pBdr>
        <w:top w:val="single" w:color="auto" w:sz="6" w:space="1"/>
      </w:pBdr>
      <w:jc w:val="center"/>
    </w:pPr>
    <w:rPr>
      <w:rFonts w:ascii="Arial" w:hAnsi="Arial" w:eastAsiaTheme="minorEastAsia" w:cstheme="minorBidi"/>
      <w:vanish/>
      <w:sz w:val="16"/>
      <w:szCs w:val="22"/>
    </w:rPr>
  </w:style>
  <w:style w:type="character" w:customStyle="1" w:styleId="214">
    <w:name w:val="font161"/>
    <w:qFormat/>
    <w:uiPriority w:val="0"/>
    <w:rPr>
      <w:b/>
      <w:sz w:val="32"/>
    </w:rPr>
  </w:style>
  <w:style w:type="character" w:customStyle="1" w:styleId="215">
    <w:name w:val="脚注文本 字符"/>
    <w:qFormat/>
    <w:uiPriority w:val="0"/>
    <w:rPr>
      <w:kern w:val="2"/>
      <w:sz w:val="18"/>
    </w:rPr>
  </w:style>
  <w:style w:type="character" w:customStyle="1" w:styleId="216">
    <w:name w:val="HTML 代码1"/>
    <w:qFormat/>
    <w:uiPriority w:val="0"/>
    <w:rPr>
      <w:rFonts w:ascii="Courier New" w:hAnsi="Courier New"/>
      <w:sz w:val="20"/>
    </w:rPr>
  </w:style>
  <w:style w:type="character" w:customStyle="1" w:styleId="217">
    <w:name w:val="标题 Char2"/>
    <w:qFormat/>
    <w:uiPriority w:val="0"/>
    <w:rPr>
      <w:rFonts w:ascii="Arial" w:hAnsi="Arial" w:eastAsia="宋体"/>
      <w:b/>
      <w:sz w:val="32"/>
      <w:lang w:val="en-US" w:eastAsia="zh-CN"/>
    </w:rPr>
  </w:style>
  <w:style w:type="character" w:customStyle="1" w:styleId="218">
    <w:name w:val="正文文本 Char2"/>
    <w:qFormat/>
    <w:uiPriority w:val="0"/>
    <w:rPr>
      <w:sz w:val="24"/>
    </w:rPr>
  </w:style>
  <w:style w:type="character" w:customStyle="1" w:styleId="219">
    <w:name w:val="lemmatitleh11"/>
    <w:qFormat/>
    <w:uiPriority w:val="0"/>
  </w:style>
  <w:style w:type="character" w:customStyle="1" w:styleId="220">
    <w:name w:val="Char Char16"/>
    <w:qFormat/>
    <w:uiPriority w:val="0"/>
    <w:rPr>
      <w:kern w:val="2"/>
      <w:sz w:val="18"/>
    </w:rPr>
  </w:style>
  <w:style w:type="character" w:customStyle="1" w:styleId="221">
    <w:name w:val="正文首行缩进 Char1"/>
    <w:qFormat/>
    <w:uiPriority w:val="0"/>
    <w:rPr>
      <w:rFonts w:ascii="等线" w:hAnsi="等线" w:eastAsia="等线"/>
    </w:rPr>
  </w:style>
  <w:style w:type="character" w:customStyle="1" w:styleId="222">
    <w:name w:val="Char Char17"/>
    <w:qFormat/>
    <w:uiPriority w:val="0"/>
    <w:rPr>
      <w:kern w:val="2"/>
      <w:sz w:val="18"/>
    </w:rPr>
  </w:style>
  <w:style w:type="character" w:customStyle="1" w:styleId="223">
    <w:name w:val="font31"/>
    <w:basedOn w:val="89"/>
    <w:qFormat/>
    <w:uiPriority w:val="0"/>
    <w:rPr>
      <w:rFonts w:hint="eastAsia" w:ascii="宋体" w:hAnsi="宋体" w:eastAsia="宋体"/>
      <w:color w:val="0000FF"/>
      <w:sz w:val="21"/>
      <w:u w:val="none"/>
      <w:vertAlign w:val="superscript"/>
    </w:rPr>
  </w:style>
  <w:style w:type="character" w:customStyle="1" w:styleId="224">
    <w:name w:val="标题 4 Char1"/>
    <w:qFormat/>
    <w:uiPriority w:val="0"/>
    <w:rPr>
      <w:rFonts w:ascii="Arial" w:hAnsi="Arial" w:eastAsia="黑体"/>
      <w:b/>
      <w:kern w:val="2"/>
      <w:sz w:val="28"/>
      <w:lang w:val="en-US" w:eastAsia="zh-CN"/>
    </w:rPr>
  </w:style>
  <w:style w:type="character" w:customStyle="1" w:styleId="225">
    <w:name w:val="p141"/>
    <w:qFormat/>
    <w:uiPriority w:val="0"/>
    <w:rPr>
      <w:sz w:val="21"/>
      <w:szCs w:val="21"/>
    </w:rPr>
  </w:style>
  <w:style w:type="character" w:customStyle="1" w:styleId="226">
    <w:name w:val="批注引用1"/>
    <w:qFormat/>
    <w:uiPriority w:val="0"/>
    <w:rPr>
      <w:sz w:val="21"/>
    </w:rPr>
  </w:style>
  <w:style w:type="character" w:customStyle="1" w:styleId="227">
    <w:name w:val="发布"/>
    <w:qFormat/>
    <w:uiPriority w:val="0"/>
    <w:rPr>
      <w:rFonts w:ascii="黑体" w:eastAsia="黑体"/>
      <w:spacing w:val="22"/>
      <w:w w:val="100"/>
      <w:position w:val="3"/>
      <w:sz w:val="28"/>
    </w:rPr>
  </w:style>
  <w:style w:type="character" w:customStyle="1" w:styleId="228">
    <w:name w:val="j23x"/>
    <w:qFormat/>
    <w:uiPriority w:val="0"/>
  </w:style>
  <w:style w:type="character" w:customStyle="1" w:styleId="229">
    <w:name w:val="纯文本 Char2"/>
    <w:qFormat/>
    <w:uiPriority w:val="0"/>
    <w:rPr>
      <w:rFonts w:ascii="宋体" w:hAnsi="Courier New" w:eastAsia="宋体"/>
      <w:kern w:val="2"/>
      <w:sz w:val="21"/>
      <w:lang w:val="en-US" w:eastAsia="zh-CN"/>
    </w:rPr>
  </w:style>
  <w:style w:type="character" w:customStyle="1" w:styleId="230">
    <w:name w:val="567r"/>
    <w:qFormat/>
    <w:uiPriority w:val="0"/>
  </w:style>
  <w:style w:type="character" w:customStyle="1" w:styleId="231">
    <w:name w:val="文档结构图 字符"/>
    <w:qFormat/>
    <w:uiPriority w:val="0"/>
    <w:rPr>
      <w:rFonts w:ascii="Microsoft YaHei UI" w:hAnsi="Times New Roman" w:eastAsia="Microsoft YaHei UI"/>
      <w:kern w:val="2"/>
      <w:sz w:val="18"/>
    </w:rPr>
  </w:style>
  <w:style w:type="character" w:customStyle="1" w:styleId="232">
    <w:name w:val="正文文本 2 字符"/>
    <w:qFormat/>
    <w:uiPriority w:val="0"/>
    <w:rPr>
      <w:kern w:val="2"/>
      <w:sz w:val="28"/>
    </w:rPr>
  </w:style>
  <w:style w:type="character" w:customStyle="1" w:styleId="233">
    <w:name w:val="font01"/>
    <w:basedOn w:val="89"/>
    <w:qFormat/>
    <w:uiPriority w:val="0"/>
    <w:rPr>
      <w:rFonts w:hint="eastAsia" w:ascii="宋体" w:hAnsi="宋体" w:eastAsia="宋体" w:cs="宋体"/>
      <w:color w:val="000000"/>
      <w:sz w:val="22"/>
      <w:szCs w:val="22"/>
      <w:u w:val="none"/>
    </w:rPr>
  </w:style>
  <w:style w:type="character" w:customStyle="1" w:styleId="234">
    <w:name w:val="Title Char"/>
    <w:qFormat/>
    <w:uiPriority w:val="0"/>
    <w:rPr>
      <w:rFonts w:ascii="Arial" w:hAnsi="Arial" w:eastAsia="宋体"/>
      <w:b/>
      <w:kern w:val="2"/>
      <w:sz w:val="32"/>
      <w:lang w:val="en-US" w:eastAsia="zh-CN"/>
    </w:rPr>
  </w:style>
  <w:style w:type="character" w:customStyle="1" w:styleId="235">
    <w:name w:val="宏文本 字符"/>
    <w:qFormat/>
    <w:uiPriority w:val="0"/>
    <w:rPr>
      <w:rFonts w:ascii="Courier New" w:hAnsi="Courier New"/>
      <w:kern w:val="2"/>
      <w:sz w:val="24"/>
    </w:rPr>
  </w:style>
  <w:style w:type="character" w:customStyle="1" w:styleId="236">
    <w:name w:val="Char Char22"/>
    <w:qFormat/>
    <w:uiPriority w:val="0"/>
    <w:rPr>
      <w:rFonts w:ascii="Arial" w:hAnsi="Arial" w:eastAsia="黑体"/>
      <w:b/>
      <w:kern w:val="2"/>
      <w:sz w:val="32"/>
      <w:lang w:val="en-US" w:eastAsia="zh-CN"/>
    </w:rPr>
  </w:style>
  <w:style w:type="character" w:customStyle="1" w:styleId="237">
    <w:name w:val="尾注文本 字符"/>
    <w:qFormat/>
    <w:uiPriority w:val="0"/>
    <w:rPr>
      <w:kern w:val="2"/>
      <w:sz w:val="28"/>
    </w:rPr>
  </w:style>
  <w:style w:type="character" w:customStyle="1" w:styleId="238">
    <w:name w:val="副标题 Char1"/>
    <w:qFormat/>
    <w:uiPriority w:val="0"/>
    <w:rPr>
      <w:rFonts w:ascii="Calibri Light" w:hAnsi="Calibri Light" w:eastAsia="宋体"/>
      <w:b/>
      <w:kern w:val="28"/>
      <w:sz w:val="32"/>
    </w:rPr>
  </w:style>
  <w:style w:type="character" w:customStyle="1" w:styleId="239">
    <w:name w:val="正文文本 Char1"/>
    <w:qFormat/>
    <w:uiPriority w:val="0"/>
    <w:rPr>
      <w:rFonts w:ascii="宋体" w:hAnsi="宋体" w:eastAsia="宋体"/>
      <w:spacing w:val="-6"/>
      <w:kern w:val="2"/>
      <w:sz w:val="21"/>
      <w:lang w:val="en-US" w:eastAsia="zh-CN"/>
    </w:rPr>
  </w:style>
  <w:style w:type="character" w:customStyle="1" w:styleId="240">
    <w:name w:val="HTML 缩写1"/>
    <w:qFormat/>
    <w:uiPriority w:val="0"/>
  </w:style>
  <w:style w:type="character" w:customStyle="1" w:styleId="241">
    <w:name w:val="标题 1 Char1"/>
    <w:qFormat/>
    <w:uiPriority w:val="0"/>
    <w:rPr>
      <w:rFonts w:eastAsia="宋体"/>
      <w:b/>
      <w:kern w:val="44"/>
      <w:sz w:val="44"/>
      <w:lang w:val="en-US" w:eastAsia="zh-CN"/>
    </w:rPr>
  </w:style>
  <w:style w:type="character" w:customStyle="1" w:styleId="242">
    <w:name w:val="15"/>
    <w:qFormat/>
    <w:uiPriority w:val="0"/>
  </w:style>
  <w:style w:type="character" w:customStyle="1" w:styleId="243">
    <w:name w:val="样式 正文文本 Char"/>
    <w:link w:val="244"/>
    <w:qFormat/>
    <w:uiPriority w:val="0"/>
    <w:rPr>
      <w:rFonts w:ascii="Arial" w:hAnsi="Arial"/>
      <w:color w:val="000000"/>
    </w:rPr>
  </w:style>
  <w:style w:type="paragraph" w:customStyle="1" w:styleId="244">
    <w:name w:val="样式 正文文本"/>
    <w:basedOn w:val="1"/>
    <w:link w:val="243"/>
    <w:qFormat/>
    <w:uiPriority w:val="0"/>
    <w:pPr>
      <w:adjustRightInd w:val="0"/>
      <w:snapToGrid w:val="0"/>
      <w:spacing w:line="400" w:lineRule="exact"/>
      <w:ind w:firstLine="200" w:firstLineChars="200"/>
    </w:pPr>
    <w:rPr>
      <w:rFonts w:ascii="Arial" w:hAnsi="Arial" w:eastAsiaTheme="minorEastAsia" w:cstheme="minorBidi"/>
      <w:color w:val="000000"/>
      <w:sz w:val="21"/>
      <w:szCs w:val="22"/>
    </w:rPr>
  </w:style>
  <w:style w:type="character" w:customStyle="1" w:styleId="245">
    <w:name w:val="正文格式 Char"/>
    <w:link w:val="246"/>
    <w:qFormat/>
    <w:uiPriority w:val="0"/>
    <w:rPr>
      <w:rFonts w:ascii="Times New Roman" w:hAnsi="Times New Roman"/>
      <w:sz w:val="24"/>
    </w:rPr>
  </w:style>
  <w:style w:type="paragraph" w:customStyle="1" w:styleId="246">
    <w:name w:val="正文格式"/>
    <w:basedOn w:val="1"/>
    <w:link w:val="245"/>
    <w:qFormat/>
    <w:uiPriority w:val="0"/>
    <w:pPr>
      <w:widowControl/>
      <w:adjustRightInd w:val="0"/>
      <w:spacing w:line="480" w:lineRule="atLeast"/>
      <w:ind w:firstLine="482"/>
      <w:textAlignment w:val="baseline"/>
    </w:pPr>
    <w:rPr>
      <w:rFonts w:ascii="Times New Roman" w:hAnsi="Times New Roman" w:eastAsiaTheme="minorEastAsia" w:cstheme="minorBidi"/>
      <w:sz w:val="24"/>
      <w:szCs w:val="22"/>
    </w:rPr>
  </w:style>
  <w:style w:type="character" w:customStyle="1" w:styleId="247">
    <w:name w:val="bulletintext1"/>
    <w:qFormat/>
    <w:uiPriority w:val="0"/>
    <w:rPr>
      <w:color w:val="000000"/>
      <w:sz w:val="18"/>
    </w:rPr>
  </w:style>
  <w:style w:type="character" w:customStyle="1" w:styleId="248">
    <w:name w:val="fonts11"/>
    <w:qFormat/>
    <w:uiPriority w:val="0"/>
    <w:rPr>
      <w:sz w:val="18"/>
    </w:rPr>
  </w:style>
  <w:style w:type="character" w:customStyle="1" w:styleId="249">
    <w:name w:val="locality"/>
    <w:qFormat/>
    <w:uiPriority w:val="0"/>
  </w:style>
  <w:style w:type="character" w:customStyle="1" w:styleId="250">
    <w:name w:val="标题 3 字符"/>
    <w:qFormat/>
    <w:uiPriority w:val="0"/>
    <w:rPr>
      <w:rFonts w:ascii="Times New Roman" w:hAnsi="Times New Roman" w:eastAsia="宋体"/>
      <w:b/>
      <w:kern w:val="2"/>
      <w:sz w:val="32"/>
    </w:rPr>
  </w:style>
  <w:style w:type="character" w:customStyle="1" w:styleId="251">
    <w:name w:val="标题 8 字符"/>
    <w:qFormat/>
    <w:uiPriority w:val="0"/>
    <w:rPr>
      <w:rFonts w:ascii="等线 Light" w:hAnsi="等线 Light" w:eastAsia="等线 Light"/>
      <w:kern w:val="2"/>
      <w:sz w:val="24"/>
    </w:rPr>
  </w:style>
  <w:style w:type="character" w:customStyle="1" w:styleId="252">
    <w:name w:val="批注主题 字符"/>
    <w:qFormat/>
    <w:uiPriority w:val="0"/>
    <w:rPr>
      <w:b/>
      <w:kern w:val="2"/>
      <w:sz w:val="28"/>
    </w:rPr>
  </w:style>
  <w:style w:type="character" w:customStyle="1" w:styleId="253">
    <w:name w:val="H3 Char"/>
    <w:qFormat/>
    <w:uiPriority w:val="0"/>
    <w:rPr>
      <w:rFonts w:eastAsia="宋体"/>
      <w:b/>
      <w:kern w:val="2"/>
      <w:sz w:val="32"/>
      <w:lang w:val="en-US" w:eastAsia="zh-CN"/>
    </w:rPr>
  </w:style>
  <w:style w:type="character" w:customStyle="1" w:styleId="254">
    <w:name w:val="标题 9 Char1"/>
    <w:qFormat/>
    <w:uiPriority w:val="0"/>
    <w:rPr>
      <w:rFonts w:ascii="Arial" w:hAnsi="Arial" w:eastAsia="黑体"/>
      <w:sz w:val="21"/>
      <w:lang w:val="en-US" w:eastAsia="zh-CN"/>
    </w:rPr>
  </w:style>
  <w:style w:type="character" w:customStyle="1" w:styleId="255">
    <w:name w:val="公文正文 Char"/>
    <w:link w:val="256"/>
    <w:qFormat/>
    <w:uiPriority w:val="0"/>
    <w:rPr>
      <w:rFonts w:ascii="仿宋_GB2312" w:eastAsia="仿宋_GB2312"/>
      <w:sz w:val="24"/>
    </w:rPr>
  </w:style>
  <w:style w:type="paragraph" w:customStyle="1" w:styleId="256">
    <w:name w:val="公文正文"/>
    <w:basedOn w:val="1"/>
    <w:link w:val="255"/>
    <w:qFormat/>
    <w:uiPriority w:val="0"/>
    <w:pPr>
      <w:spacing w:before="156" w:line="360" w:lineRule="auto"/>
      <w:ind w:firstLine="360" w:firstLineChars="200"/>
    </w:pPr>
    <w:rPr>
      <w:rFonts w:ascii="仿宋_GB2312" w:eastAsia="仿宋_GB2312" w:hAnsiTheme="minorHAnsi" w:cstheme="minorBidi"/>
      <w:sz w:val="24"/>
      <w:szCs w:val="22"/>
    </w:rPr>
  </w:style>
  <w:style w:type="character" w:customStyle="1" w:styleId="257">
    <w:name w:val="正文文本缩进 3 字符"/>
    <w:qFormat/>
    <w:uiPriority w:val="0"/>
    <w:rPr>
      <w:rFonts w:ascii="Times New Roman" w:hAnsi="Times New Roman" w:eastAsia="宋体"/>
      <w:kern w:val="2"/>
      <w:sz w:val="16"/>
    </w:rPr>
  </w:style>
  <w:style w:type="character" w:customStyle="1" w:styleId="258">
    <w:name w:val="my Char"/>
    <w:link w:val="259"/>
    <w:qFormat/>
    <w:uiPriority w:val="0"/>
    <w:rPr>
      <w:rFonts w:ascii="宋体" w:hAnsi="宋体"/>
      <w:sz w:val="24"/>
    </w:rPr>
  </w:style>
  <w:style w:type="paragraph" w:customStyle="1" w:styleId="259">
    <w:name w:val="my"/>
    <w:basedOn w:val="1"/>
    <w:link w:val="258"/>
    <w:qFormat/>
    <w:uiPriority w:val="0"/>
    <w:pPr>
      <w:widowControl/>
      <w:tabs>
        <w:tab w:val="left" w:pos="0"/>
        <w:tab w:val="left" w:pos="5823"/>
      </w:tabs>
      <w:adjustRightInd w:val="0"/>
      <w:ind w:firstLine="480" w:firstLineChars="200"/>
    </w:pPr>
    <w:rPr>
      <w:rFonts w:ascii="宋体" w:hAnsi="宋体" w:eastAsiaTheme="minorEastAsia" w:cstheme="minorBidi"/>
      <w:sz w:val="24"/>
      <w:szCs w:val="22"/>
    </w:rPr>
  </w:style>
  <w:style w:type="character" w:customStyle="1" w:styleId="260">
    <w:name w:val="info1"/>
    <w:qFormat/>
    <w:uiPriority w:val="99"/>
    <w:rPr>
      <w:color w:val="000000"/>
      <w:spacing w:val="15"/>
      <w:sz w:val="24"/>
    </w:rPr>
  </w:style>
  <w:style w:type="character" w:customStyle="1" w:styleId="261">
    <w:name w:val="正文文本 2 Char1"/>
    <w:qFormat/>
    <w:uiPriority w:val="0"/>
  </w:style>
  <w:style w:type="character" w:customStyle="1" w:styleId="262">
    <w:name w:val="HTML 预设格式 Char1"/>
    <w:qFormat/>
    <w:uiPriority w:val="0"/>
    <w:rPr>
      <w:rFonts w:ascii="Courier New" w:hAnsi="Courier New" w:eastAsia="宋体"/>
      <w:kern w:val="2"/>
    </w:rPr>
  </w:style>
  <w:style w:type="character" w:customStyle="1" w:styleId="263">
    <w:name w:val="电子邮件签名 字符"/>
    <w:qFormat/>
    <w:uiPriority w:val="0"/>
    <w:rPr>
      <w:kern w:val="2"/>
      <w:sz w:val="28"/>
    </w:rPr>
  </w:style>
  <w:style w:type="character" w:customStyle="1" w:styleId="264">
    <w:name w:val="称呼 字符"/>
    <w:qFormat/>
    <w:uiPriority w:val="0"/>
    <w:rPr>
      <w:kern w:val="2"/>
      <w:sz w:val="28"/>
    </w:rPr>
  </w:style>
  <w:style w:type="character" w:customStyle="1" w:styleId="265">
    <w:name w:val="标题 4 Char Char Char Char Char Char"/>
    <w:qFormat/>
    <w:uiPriority w:val="0"/>
    <w:rPr>
      <w:rFonts w:eastAsia="宋体"/>
      <w:kern w:val="2"/>
      <w:sz w:val="24"/>
      <w:lang w:val="en-US" w:eastAsia="zh-CN"/>
    </w:rPr>
  </w:style>
  <w:style w:type="character" w:customStyle="1" w:styleId="266">
    <w:name w:val="标题 6 字符"/>
    <w:qFormat/>
    <w:uiPriority w:val="0"/>
    <w:rPr>
      <w:rFonts w:ascii="等线 Light" w:hAnsi="等线 Light" w:eastAsia="等线 Light"/>
      <w:b/>
      <w:kern w:val="2"/>
      <w:sz w:val="24"/>
    </w:rPr>
  </w:style>
  <w:style w:type="character" w:customStyle="1" w:styleId="267">
    <w:name w:val="标题 7 Char1"/>
    <w:qFormat/>
    <w:uiPriority w:val="0"/>
    <w:rPr>
      <w:rFonts w:eastAsia="宋体"/>
      <w:b/>
      <w:sz w:val="24"/>
      <w:lang w:val="en-US" w:eastAsia="zh-CN"/>
    </w:rPr>
  </w:style>
  <w:style w:type="character" w:customStyle="1" w:styleId="268">
    <w:name w:val="副标题 字符"/>
    <w:qFormat/>
    <w:uiPriority w:val="0"/>
    <w:rPr>
      <w:rFonts w:ascii="等线 Light" w:hAnsi="等线 Light"/>
      <w:b/>
      <w:kern w:val="28"/>
      <w:sz w:val="32"/>
    </w:rPr>
  </w:style>
  <w:style w:type="character" w:customStyle="1" w:styleId="269">
    <w:name w:val="font21"/>
    <w:basedOn w:val="89"/>
    <w:qFormat/>
    <w:uiPriority w:val="0"/>
    <w:rPr>
      <w:rFonts w:hint="eastAsia" w:ascii="宋体" w:hAnsi="宋体" w:eastAsia="宋体"/>
      <w:color w:val="FF0000"/>
      <w:sz w:val="21"/>
      <w:u w:val="none"/>
      <w:vertAlign w:val="superscript"/>
    </w:rPr>
  </w:style>
  <w:style w:type="character" w:customStyle="1" w:styleId="270">
    <w:name w:val="font41"/>
    <w:qFormat/>
    <w:uiPriority w:val="0"/>
    <w:rPr>
      <w:rFonts w:hint="eastAsia" w:ascii="宋体" w:hAnsi="宋体" w:eastAsia="宋体" w:cs="宋体"/>
      <w:color w:val="000000"/>
      <w:sz w:val="20"/>
      <w:szCs w:val="20"/>
      <w:u w:val="none"/>
    </w:rPr>
  </w:style>
  <w:style w:type="character" w:customStyle="1" w:styleId="271">
    <w:name w:val="结束语 字符"/>
    <w:qFormat/>
    <w:uiPriority w:val="0"/>
    <w:rPr>
      <w:kern w:val="2"/>
      <w:sz w:val="28"/>
    </w:rPr>
  </w:style>
  <w:style w:type="character" w:customStyle="1" w:styleId="272">
    <w:name w:val="彩色列表 - 着色 1 字符"/>
    <w:link w:val="273"/>
    <w:qFormat/>
    <w:uiPriority w:val="0"/>
  </w:style>
  <w:style w:type="paragraph" w:customStyle="1" w:styleId="273">
    <w:name w:val="彩色列表 - 着色 12"/>
    <w:basedOn w:val="1"/>
    <w:link w:val="272"/>
    <w:qFormat/>
    <w:uiPriority w:val="0"/>
    <w:pPr>
      <w:ind w:firstLine="420" w:firstLineChars="200"/>
    </w:pPr>
    <w:rPr>
      <w:rFonts w:asciiTheme="minorHAnsi" w:hAnsiTheme="minorHAnsi" w:eastAsiaTheme="minorEastAsia" w:cstheme="minorBidi"/>
      <w:sz w:val="21"/>
      <w:szCs w:val="22"/>
    </w:rPr>
  </w:style>
  <w:style w:type="character" w:customStyle="1" w:styleId="274">
    <w:name w:val="正文文本 3 Char1"/>
    <w:qFormat/>
    <w:uiPriority w:val="0"/>
    <w:rPr>
      <w:rFonts w:eastAsia="宋体"/>
      <w:color w:val="FF0000"/>
      <w:kern w:val="2"/>
      <w:sz w:val="24"/>
      <w:lang w:val="en-US" w:eastAsia="zh-CN"/>
    </w:rPr>
  </w:style>
  <w:style w:type="character" w:customStyle="1" w:styleId="275">
    <w:name w:val="纯文本 Char3"/>
    <w:qFormat/>
    <w:uiPriority w:val="0"/>
    <w:rPr>
      <w:rFonts w:ascii="宋体" w:hAnsi="Courier New" w:eastAsia="宋体"/>
    </w:rPr>
  </w:style>
  <w:style w:type="character" w:customStyle="1" w:styleId="276">
    <w:name w:val="个人答复风格"/>
    <w:qFormat/>
    <w:uiPriority w:val="0"/>
    <w:rPr>
      <w:rFonts w:ascii="Arial" w:hAnsi="Arial" w:eastAsia="宋体"/>
      <w:color w:val="auto"/>
      <w:sz w:val="20"/>
    </w:rPr>
  </w:style>
  <w:style w:type="character" w:customStyle="1" w:styleId="277">
    <w:name w:val="标题 3 Char1"/>
    <w:qFormat/>
    <w:uiPriority w:val="0"/>
    <w:rPr>
      <w:rFonts w:eastAsia="宋体"/>
      <w:b/>
      <w:kern w:val="2"/>
      <w:sz w:val="32"/>
      <w:lang w:val="en-US" w:eastAsia="zh-CN"/>
    </w:rPr>
  </w:style>
  <w:style w:type="character" w:customStyle="1" w:styleId="278">
    <w:name w:val="脚注文本 Char1"/>
    <w:qFormat/>
    <w:uiPriority w:val="0"/>
    <w:rPr>
      <w:rFonts w:eastAsia="宋体"/>
      <w:kern w:val="2"/>
      <w:sz w:val="18"/>
      <w:lang w:val="en-US" w:eastAsia="zh-CN"/>
    </w:rPr>
  </w:style>
  <w:style w:type="character" w:customStyle="1" w:styleId="279">
    <w:name w:val="无格式表格 31"/>
    <w:qFormat/>
    <w:uiPriority w:val="0"/>
    <w:rPr>
      <w:i/>
      <w:color w:val="808080"/>
    </w:rPr>
  </w:style>
  <w:style w:type="character" w:customStyle="1" w:styleId="280">
    <w:name w:val="HTML 键盘1"/>
    <w:qFormat/>
    <w:uiPriority w:val="0"/>
    <w:rPr>
      <w:rFonts w:ascii="Courier New" w:hAnsi="Courier New"/>
      <w:sz w:val="20"/>
    </w:rPr>
  </w:style>
  <w:style w:type="character" w:customStyle="1" w:styleId="281">
    <w:name w:val="标题 Char1"/>
    <w:qFormat/>
    <w:uiPriority w:val="0"/>
    <w:rPr>
      <w:rFonts w:ascii="Cambria" w:hAnsi="Cambria" w:eastAsia="宋体"/>
      <w:b/>
      <w:sz w:val="32"/>
    </w:rPr>
  </w:style>
  <w:style w:type="character" w:customStyle="1" w:styleId="282">
    <w:name w:val="样式8 字符"/>
    <w:link w:val="283"/>
    <w:qFormat/>
    <w:uiPriority w:val="0"/>
    <w:rPr>
      <w:rFonts w:ascii="Times New Roman" w:hAnsi="Times New Roman"/>
      <w:sz w:val="24"/>
      <w:szCs w:val="27"/>
    </w:rPr>
  </w:style>
  <w:style w:type="paragraph" w:customStyle="1" w:styleId="283">
    <w:name w:val="样式8"/>
    <w:basedOn w:val="284"/>
    <w:link w:val="282"/>
    <w:qFormat/>
    <w:uiPriority w:val="0"/>
    <w:pPr>
      <w:tabs>
        <w:tab w:val="left" w:pos="1301"/>
        <w:tab w:val="left" w:pos="6043"/>
      </w:tabs>
      <w:ind w:right="0" w:rightChars="0"/>
    </w:pPr>
    <w:rPr>
      <w:rFonts w:eastAsiaTheme="minorEastAsia" w:cstheme="minorBidi"/>
    </w:rPr>
  </w:style>
  <w:style w:type="paragraph" w:customStyle="1" w:styleId="284">
    <w:name w:val="样式6"/>
    <w:basedOn w:val="1"/>
    <w:qFormat/>
    <w:uiPriority w:val="0"/>
    <w:pPr>
      <w:widowControl/>
      <w:tabs>
        <w:tab w:val="left" w:pos="1301"/>
        <w:tab w:val="left" w:pos="6043"/>
      </w:tabs>
      <w:adjustRightInd w:val="0"/>
      <w:snapToGrid w:val="0"/>
      <w:spacing w:line="360" w:lineRule="auto"/>
      <w:ind w:left="709" w:right="100" w:rightChars="100"/>
      <w:textAlignment w:val="baseline"/>
    </w:pPr>
    <w:rPr>
      <w:rFonts w:ascii="Times New Roman" w:hAnsi="Times New Roman"/>
      <w:sz w:val="24"/>
      <w:szCs w:val="27"/>
    </w:rPr>
  </w:style>
  <w:style w:type="character" w:customStyle="1" w:styleId="285">
    <w:name w:val="font11"/>
    <w:basedOn w:val="89"/>
    <w:qFormat/>
    <w:uiPriority w:val="0"/>
    <w:rPr>
      <w:rFonts w:hint="eastAsia" w:ascii="宋体" w:hAnsi="宋体" w:eastAsia="宋体"/>
      <w:color w:val="000000"/>
      <w:sz w:val="21"/>
      <w:u w:val="none"/>
      <w:vertAlign w:val="superscript"/>
    </w:rPr>
  </w:style>
  <w:style w:type="character" w:customStyle="1" w:styleId="286">
    <w:name w:val="页脚 Char1"/>
    <w:qFormat/>
    <w:uiPriority w:val="0"/>
    <w:rPr>
      <w:rFonts w:eastAsia="宋体"/>
      <w:kern w:val="2"/>
      <w:sz w:val="18"/>
      <w:lang w:val="en-US" w:eastAsia="zh-CN"/>
    </w:rPr>
  </w:style>
  <w:style w:type="character" w:customStyle="1" w:styleId="287">
    <w:name w:val="country-name"/>
    <w:qFormat/>
    <w:uiPriority w:val="0"/>
  </w:style>
  <w:style w:type="character" w:customStyle="1" w:styleId="288">
    <w:name w:val="HTML 样本1"/>
    <w:qFormat/>
    <w:uiPriority w:val="0"/>
    <w:rPr>
      <w:rFonts w:ascii="Courier New" w:hAnsi="Courier New"/>
    </w:rPr>
  </w:style>
  <w:style w:type="character" w:customStyle="1" w:styleId="289">
    <w:name w:val="标题 4 字符"/>
    <w:qFormat/>
    <w:uiPriority w:val="0"/>
    <w:rPr>
      <w:rFonts w:ascii="等线 Light" w:hAnsi="等线 Light" w:eastAsia="等线 Light"/>
      <w:b/>
      <w:kern w:val="2"/>
      <w:sz w:val="28"/>
    </w:rPr>
  </w:style>
  <w:style w:type="character" w:customStyle="1" w:styleId="290">
    <w:name w:val="zbggmain style9"/>
    <w:qFormat/>
    <w:uiPriority w:val="0"/>
  </w:style>
  <w:style w:type="character" w:customStyle="1" w:styleId="291">
    <w:name w:val="标题 1 Char Char"/>
    <w:qFormat/>
    <w:uiPriority w:val="0"/>
    <w:rPr>
      <w:rFonts w:ascii="Arial" w:hAnsi="Arial" w:eastAsia="黑体"/>
      <w:kern w:val="44"/>
      <w:sz w:val="24"/>
      <w:lang w:val="en-US" w:eastAsia="zh-CN"/>
    </w:rPr>
  </w:style>
  <w:style w:type="character" w:customStyle="1" w:styleId="292">
    <w:name w:val="批注框文本 Char1"/>
    <w:qFormat/>
    <w:uiPriority w:val="0"/>
    <w:rPr>
      <w:rFonts w:eastAsia="宋体"/>
      <w:kern w:val="2"/>
      <w:sz w:val="18"/>
      <w:lang w:val="en-US" w:eastAsia="zh-CN"/>
    </w:rPr>
  </w:style>
  <w:style w:type="character" w:customStyle="1" w:styleId="293">
    <w:name w:val="HTML 地址 字符"/>
    <w:qFormat/>
    <w:uiPriority w:val="0"/>
    <w:rPr>
      <w:i/>
      <w:kern w:val="2"/>
      <w:sz w:val="28"/>
    </w:rPr>
  </w:style>
  <w:style w:type="character" w:customStyle="1" w:styleId="294">
    <w:name w:val="正文文本 字符"/>
    <w:qFormat/>
    <w:uiPriority w:val="0"/>
    <w:rPr>
      <w:rFonts w:ascii="Times New Roman" w:hAnsi="Times New Roman" w:eastAsia="宋体"/>
      <w:kern w:val="2"/>
      <w:sz w:val="21"/>
    </w:rPr>
  </w:style>
  <w:style w:type="character" w:customStyle="1" w:styleId="295">
    <w:name w:val="页眉 字符"/>
    <w:qFormat/>
    <w:uiPriority w:val="0"/>
    <w:rPr>
      <w:kern w:val="2"/>
      <w:sz w:val="18"/>
    </w:rPr>
  </w:style>
  <w:style w:type="character" w:customStyle="1" w:styleId="296">
    <w:name w:val="标题 5 Char1"/>
    <w:qFormat/>
    <w:uiPriority w:val="0"/>
    <w:rPr>
      <w:rFonts w:eastAsia="宋体"/>
      <w:b/>
      <w:sz w:val="28"/>
      <w:lang w:val="en-US" w:eastAsia="zh-CN"/>
    </w:rPr>
  </w:style>
  <w:style w:type="character" w:customStyle="1" w:styleId="297">
    <w:name w:val="正文文字4 Char Char"/>
    <w:qFormat/>
    <w:uiPriority w:val="0"/>
    <w:rPr>
      <w:rFonts w:ascii="宋体" w:hAnsi="宋体" w:eastAsia="宋体"/>
      <w:spacing w:val="-6"/>
      <w:kern w:val="2"/>
      <w:sz w:val="21"/>
      <w:lang w:val="en-US" w:eastAsia="zh-CN"/>
    </w:rPr>
  </w:style>
  <w:style w:type="character" w:customStyle="1" w:styleId="298">
    <w:name w:val="z-窗体顶端 Char"/>
    <w:link w:val="299"/>
    <w:qFormat/>
    <w:uiPriority w:val="0"/>
    <w:rPr>
      <w:rFonts w:ascii="Arial" w:hAnsi="Arial"/>
      <w:vanish/>
      <w:sz w:val="16"/>
    </w:rPr>
  </w:style>
  <w:style w:type="paragraph" w:customStyle="1" w:styleId="299">
    <w:name w:val="z-窗体顶端1"/>
    <w:basedOn w:val="1"/>
    <w:next w:val="1"/>
    <w:link w:val="298"/>
    <w:qFormat/>
    <w:uiPriority w:val="0"/>
    <w:pPr>
      <w:pBdr>
        <w:bottom w:val="single" w:color="auto" w:sz="6" w:space="1"/>
      </w:pBdr>
      <w:jc w:val="center"/>
    </w:pPr>
    <w:rPr>
      <w:rFonts w:ascii="Arial" w:hAnsi="Arial" w:eastAsiaTheme="minorEastAsia" w:cstheme="minorBidi"/>
      <w:vanish/>
      <w:sz w:val="16"/>
      <w:szCs w:val="22"/>
    </w:rPr>
  </w:style>
  <w:style w:type="character" w:customStyle="1" w:styleId="300">
    <w:name w:val="正文文本 3 字符"/>
    <w:qFormat/>
    <w:uiPriority w:val="0"/>
    <w:rPr>
      <w:kern w:val="2"/>
      <w:sz w:val="16"/>
    </w:rPr>
  </w:style>
  <w:style w:type="character" w:customStyle="1" w:styleId="301">
    <w:name w:val="s81i"/>
    <w:qFormat/>
    <w:uiPriority w:val="0"/>
  </w:style>
  <w:style w:type="character" w:customStyle="1" w:styleId="302">
    <w:name w:val="正文缩进 Char"/>
    <w:link w:val="10"/>
    <w:qFormat/>
    <w:uiPriority w:val="0"/>
    <w:rPr>
      <w:rFonts w:eastAsia="宋体"/>
      <w:sz w:val="24"/>
    </w:rPr>
  </w:style>
  <w:style w:type="character" w:customStyle="1" w:styleId="303">
    <w:name w:val="Char Char23"/>
    <w:qFormat/>
    <w:uiPriority w:val="0"/>
    <w:rPr>
      <w:rFonts w:eastAsia="宋体"/>
      <w:b/>
      <w:kern w:val="44"/>
      <w:sz w:val="44"/>
      <w:lang w:val="en-US" w:eastAsia="zh-CN"/>
    </w:rPr>
  </w:style>
  <w:style w:type="character" w:customStyle="1" w:styleId="304">
    <w:name w:val="apple-converted-space"/>
    <w:qFormat/>
    <w:uiPriority w:val="0"/>
  </w:style>
  <w:style w:type="character" w:customStyle="1" w:styleId="305">
    <w:name w:val="highlight1"/>
    <w:qFormat/>
    <w:uiPriority w:val="0"/>
    <w:rPr>
      <w:color w:val="FF0000"/>
    </w:rPr>
  </w:style>
  <w:style w:type="character" w:customStyle="1" w:styleId="306">
    <w:name w:val="正文2 Char Char"/>
    <w:qFormat/>
    <w:uiPriority w:val="0"/>
    <w:rPr>
      <w:rFonts w:eastAsia="宋体"/>
      <w:kern w:val="2"/>
      <w:sz w:val="24"/>
      <w:lang w:val="en-US" w:eastAsia="zh-CN"/>
    </w:rPr>
  </w:style>
  <w:style w:type="character" w:customStyle="1" w:styleId="307">
    <w:name w:val="标题1"/>
    <w:qFormat/>
    <w:uiPriority w:val="0"/>
    <w:rPr>
      <w:b/>
      <w:sz w:val="28"/>
    </w:rPr>
  </w:style>
  <w:style w:type="character" w:customStyle="1" w:styleId="308">
    <w:name w:val="正文2 Char"/>
    <w:link w:val="309"/>
    <w:qFormat/>
    <w:uiPriority w:val="0"/>
    <w:rPr>
      <w:rFonts w:eastAsia="宋体"/>
      <w:sz w:val="24"/>
    </w:rPr>
  </w:style>
  <w:style w:type="paragraph" w:customStyle="1" w:styleId="309">
    <w:name w:val="正文2"/>
    <w:basedOn w:val="1"/>
    <w:link w:val="308"/>
    <w:qFormat/>
    <w:uiPriority w:val="0"/>
    <w:pPr>
      <w:spacing w:before="156" w:line="360" w:lineRule="auto"/>
      <w:ind w:firstLine="510" w:firstLineChars="200"/>
    </w:pPr>
    <w:rPr>
      <w:rFonts w:asciiTheme="minorHAnsi" w:hAnsiTheme="minorHAnsi" w:cstheme="minorBidi"/>
      <w:sz w:val="24"/>
      <w:szCs w:val="22"/>
    </w:rPr>
  </w:style>
  <w:style w:type="character" w:customStyle="1" w:styleId="310">
    <w:name w:val="HTML 定义1"/>
    <w:qFormat/>
    <w:uiPriority w:val="0"/>
    <w:rPr>
      <w:i/>
    </w:rPr>
  </w:style>
  <w:style w:type="character" w:customStyle="1" w:styleId="311">
    <w:name w:val="批注框文本 字符"/>
    <w:qFormat/>
    <w:uiPriority w:val="0"/>
    <w:rPr>
      <w:rFonts w:ascii="Times New Roman" w:hAnsi="Times New Roman" w:eastAsia="宋体"/>
      <w:kern w:val="2"/>
      <w:sz w:val="18"/>
    </w:rPr>
  </w:style>
  <w:style w:type="character" w:customStyle="1" w:styleId="312">
    <w:name w:val="75pk"/>
    <w:qFormat/>
    <w:uiPriority w:val="0"/>
  </w:style>
  <w:style w:type="character" w:customStyle="1" w:styleId="313">
    <w:name w:val="z-窗体底端 字符"/>
    <w:qFormat/>
    <w:uiPriority w:val="0"/>
    <w:rPr>
      <w:rFonts w:ascii="Arial" w:hAnsi="Arial"/>
      <w:vanish/>
      <w:kern w:val="2"/>
      <w:sz w:val="16"/>
    </w:rPr>
  </w:style>
  <w:style w:type="character" w:customStyle="1" w:styleId="314">
    <w:name w:val="页码1"/>
    <w:qFormat/>
    <w:uiPriority w:val="0"/>
  </w:style>
  <w:style w:type="character" w:customStyle="1" w:styleId="315">
    <w:name w:val="Char Char21"/>
    <w:qFormat/>
    <w:uiPriority w:val="0"/>
    <w:rPr>
      <w:rFonts w:eastAsia="楷体_GB2312"/>
      <w:kern w:val="2"/>
      <w:sz w:val="28"/>
      <w:lang w:val="en-US" w:eastAsia="zh-CN"/>
    </w:rPr>
  </w:style>
  <w:style w:type="character" w:customStyle="1" w:styleId="316">
    <w:name w:val="列出段落 字符"/>
    <w:qFormat/>
    <w:uiPriority w:val="0"/>
    <w:rPr>
      <w:kern w:val="2"/>
      <w:sz w:val="21"/>
    </w:rPr>
  </w:style>
  <w:style w:type="character" w:customStyle="1" w:styleId="317">
    <w:name w:val="批注文字 字符"/>
    <w:qFormat/>
    <w:uiPriority w:val="0"/>
    <w:rPr>
      <w:kern w:val="2"/>
      <w:sz w:val="28"/>
    </w:rPr>
  </w:style>
  <w:style w:type="character" w:customStyle="1" w:styleId="318">
    <w:name w:val="日期 Char2"/>
    <w:qFormat/>
    <w:uiPriority w:val="0"/>
    <w:rPr>
      <w:rFonts w:eastAsia="仿宋_GB2312"/>
      <w:b/>
      <w:sz w:val="28"/>
    </w:rPr>
  </w:style>
  <w:style w:type="character" w:customStyle="1" w:styleId="319">
    <w:name w:val="z-窗体顶端 Char1"/>
    <w:qFormat/>
    <w:uiPriority w:val="0"/>
    <w:rPr>
      <w:rFonts w:ascii="Arial" w:hAnsi="Arial"/>
      <w:vanish/>
      <w:sz w:val="16"/>
    </w:rPr>
  </w:style>
  <w:style w:type="paragraph" w:customStyle="1" w:styleId="320">
    <w:name w:val="z-窗体顶端2"/>
    <w:basedOn w:val="1"/>
    <w:next w:val="1"/>
    <w:link w:val="456"/>
    <w:qFormat/>
    <w:uiPriority w:val="0"/>
    <w:pPr>
      <w:pBdr>
        <w:bottom w:val="single" w:color="auto" w:sz="6" w:space="1"/>
      </w:pBdr>
      <w:jc w:val="center"/>
    </w:pPr>
    <w:rPr>
      <w:rFonts w:ascii="Arial" w:hAnsi="Arial" w:eastAsiaTheme="minorEastAsia" w:cstheme="minorBidi"/>
      <w:vanish/>
      <w:sz w:val="16"/>
      <w:szCs w:val="22"/>
    </w:rPr>
  </w:style>
  <w:style w:type="character" w:customStyle="1" w:styleId="321">
    <w:name w:val="标题 1 1 Char1"/>
    <w:qFormat/>
    <w:uiPriority w:val="0"/>
    <w:rPr>
      <w:rFonts w:ascii="Times New Roman" w:hAnsi="Times New Roman" w:eastAsia="宋体"/>
      <w:b/>
      <w:kern w:val="44"/>
      <w:sz w:val="44"/>
    </w:rPr>
  </w:style>
  <w:style w:type="character" w:customStyle="1" w:styleId="322">
    <w:name w:val="标题 8 Char1"/>
    <w:qFormat/>
    <w:uiPriority w:val="0"/>
    <w:rPr>
      <w:rFonts w:ascii="Arial" w:hAnsi="Arial" w:eastAsia="黑体"/>
      <w:sz w:val="24"/>
      <w:lang w:val="en-US" w:eastAsia="zh-CN"/>
    </w:rPr>
  </w:style>
  <w:style w:type="character" w:customStyle="1" w:styleId="323">
    <w:name w:val="font61"/>
    <w:basedOn w:val="89"/>
    <w:qFormat/>
    <w:uiPriority w:val="0"/>
    <w:rPr>
      <w:rFonts w:hint="eastAsia" w:ascii="宋体" w:hAnsi="宋体" w:eastAsia="宋体" w:cs="宋体"/>
      <w:color w:val="000000"/>
      <w:sz w:val="20"/>
      <w:szCs w:val="20"/>
      <w:u w:val="none"/>
    </w:rPr>
  </w:style>
  <w:style w:type="character" w:customStyle="1" w:styleId="324">
    <w:name w:val="尾注文本 Char1"/>
    <w:basedOn w:val="89"/>
    <w:link w:val="57"/>
    <w:qFormat/>
    <w:uiPriority w:val="0"/>
  </w:style>
  <w:style w:type="character" w:customStyle="1" w:styleId="325">
    <w:name w:val="电子邮件签名 Char1"/>
    <w:basedOn w:val="89"/>
    <w:link w:val="27"/>
    <w:qFormat/>
    <w:uiPriority w:val="0"/>
  </w:style>
  <w:style w:type="character" w:customStyle="1" w:styleId="326">
    <w:name w:val="正文文本 2 Char2"/>
    <w:basedOn w:val="89"/>
    <w:link w:val="80"/>
    <w:qFormat/>
    <w:uiPriority w:val="0"/>
  </w:style>
  <w:style w:type="character" w:customStyle="1" w:styleId="327">
    <w:name w:val="正文文本 Char3"/>
    <w:basedOn w:val="89"/>
    <w:semiHidden/>
    <w:qFormat/>
    <w:uiPriority w:val="99"/>
    <w:rPr>
      <w:rFonts w:ascii="Calibri" w:hAnsi="Calibri" w:eastAsia="宋体" w:cs="Times New Roman"/>
      <w:sz w:val="28"/>
      <w:szCs w:val="20"/>
    </w:rPr>
  </w:style>
  <w:style w:type="character" w:customStyle="1" w:styleId="328">
    <w:name w:val="日期 Char3"/>
    <w:basedOn w:val="89"/>
    <w:link w:val="55"/>
    <w:qFormat/>
    <w:uiPriority w:val="0"/>
    <w:rPr>
      <w:rFonts w:eastAsia="仿宋_GB2312"/>
      <w:b/>
      <w:sz w:val="28"/>
    </w:rPr>
  </w:style>
  <w:style w:type="character" w:customStyle="1" w:styleId="329">
    <w:name w:val="纯文本 Char4"/>
    <w:basedOn w:val="89"/>
    <w:link w:val="49"/>
    <w:qFormat/>
    <w:uiPriority w:val="0"/>
    <w:rPr>
      <w:rFonts w:ascii="宋体" w:hAnsi="Courier New" w:eastAsia="宋体"/>
    </w:rPr>
  </w:style>
  <w:style w:type="character" w:customStyle="1" w:styleId="330">
    <w:name w:val="结束语 Char1"/>
    <w:basedOn w:val="89"/>
    <w:link w:val="38"/>
    <w:qFormat/>
    <w:uiPriority w:val="0"/>
  </w:style>
  <w:style w:type="character" w:customStyle="1" w:styleId="331">
    <w:name w:val="注释标题 Char1"/>
    <w:basedOn w:val="89"/>
    <w:link w:val="24"/>
    <w:qFormat/>
    <w:uiPriority w:val="0"/>
  </w:style>
  <w:style w:type="character" w:customStyle="1" w:styleId="332">
    <w:name w:val="正文文本缩进 2 Char2"/>
    <w:basedOn w:val="89"/>
    <w:link w:val="56"/>
    <w:qFormat/>
    <w:uiPriority w:val="0"/>
    <w:rPr>
      <w:rFonts w:ascii="黑体" w:eastAsia="黑体"/>
      <w:sz w:val="28"/>
    </w:rPr>
  </w:style>
  <w:style w:type="character" w:customStyle="1" w:styleId="333">
    <w:name w:val="文档结构图 Char2"/>
    <w:basedOn w:val="89"/>
    <w:link w:val="33"/>
    <w:qFormat/>
    <w:uiPriority w:val="0"/>
    <w:rPr>
      <w:sz w:val="28"/>
      <w:shd w:val="clear" w:color="auto" w:fill="000080"/>
    </w:rPr>
  </w:style>
  <w:style w:type="character" w:customStyle="1" w:styleId="334">
    <w:name w:val="正文文本缩进 Char3"/>
    <w:basedOn w:val="89"/>
    <w:semiHidden/>
    <w:qFormat/>
    <w:uiPriority w:val="99"/>
    <w:rPr>
      <w:rFonts w:ascii="Calibri" w:hAnsi="Calibri" w:eastAsia="宋体" w:cs="Times New Roman"/>
      <w:sz w:val="28"/>
      <w:szCs w:val="20"/>
    </w:rPr>
  </w:style>
  <w:style w:type="character" w:customStyle="1" w:styleId="335">
    <w:name w:val="宏文本 Char1"/>
    <w:basedOn w:val="89"/>
    <w:link w:val="23"/>
    <w:qFormat/>
    <w:uiPriority w:val="0"/>
    <w:rPr>
      <w:rFonts w:ascii="Courier New" w:hAnsi="Courier New"/>
      <w:sz w:val="24"/>
    </w:rPr>
  </w:style>
  <w:style w:type="character" w:customStyle="1" w:styleId="336">
    <w:name w:val="HTML 地址 Char1"/>
    <w:basedOn w:val="89"/>
    <w:link w:val="45"/>
    <w:qFormat/>
    <w:uiPriority w:val="0"/>
    <w:rPr>
      <w:i/>
    </w:rPr>
  </w:style>
  <w:style w:type="character" w:customStyle="1" w:styleId="337">
    <w:name w:val="正文首行缩进 Char2"/>
    <w:basedOn w:val="327"/>
    <w:link w:val="19"/>
    <w:qFormat/>
    <w:uiPriority w:val="0"/>
    <w:rPr>
      <w:rFonts w:ascii="等线" w:hAnsi="等线" w:eastAsia="等线" w:cs="Times New Roman"/>
      <w:sz w:val="28"/>
      <w:szCs w:val="20"/>
    </w:rPr>
  </w:style>
  <w:style w:type="character" w:customStyle="1" w:styleId="338">
    <w:name w:val="正文首行缩进 2 Char1"/>
    <w:basedOn w:val="334"/>
    <w:link w:val="2"/>
    <w:qFormat/>
    <w:uiPriority w:val="0"/>
    <w:rPr>
      <w:rFonts w:ascii="等线" w:hAnsi="等线" w:eastAsia="等线" w:cs="Times New Roman"/>
      <w:sz w:val="28"/>
      <w:szCs w:val="20"/>
    </w:rPr>
  </w:style>
  <w:style w:type="character" w:customStyle="1" w:styleId="339">
    <w:name w:val="标题 Char4"/>
    <w:basedOn w:val="89"/>
    <w:link w:val="88"/>
    <w:qFormat/>
    <w:uiPriority w:val="0"/>
    <w:rPr>
      <w:b/>
      <w:sz w:val="24"/>
      <w:lang w:val="en-GB"/>
    </w:rPr>
  </w:style>
  <w:style w:type="character" w:customStyle="1" w:styleId="340">
    <w:name w:val="批注框文本 Char2"/>
    <w:basedOn w:val="89"/>
    <w:link w:val="50"/>
    <w:qFormat/>
    <w:uiPriority w:val="99"/>
    <w:rPr>
      <w:sz w:val="18"/>
    </w:rPr>
  </w:style>
  <w:style w:type="character" w:customStyle="1" w:styleId="341">
    <w:name w:val="称呼 Char1"/>
    <w:basedOn w:val="89"/>
    <w:link w:val="36"/>
    <w:qFormat/>
    <w:uiPriority w:val="0"/>
    <w:rPr>
      <w:rFonts w:ascii="宋体"/>
      <w:sz w:val="28"/>
    </w:rPr>
  </w:style>
  <w:style w:type="character" w:customStyle="1" w:styleId="342">
    <w:name w:val="批注文字 Char2"/>
    <w:basedOn w:val="89"/>
    <w:semiHidden/>
    <w:qFormat/>
    <w:uiPriority w:val="99"/>
    <w:rPr>
      <w:rFonts w:ascii="Calibri" w:hAnsi="Calibri" w:eastAsia="宋体" w:cs="Times New Roman"/>
      <w:sz w:val="28"/>
      <w:szCs w:val="20"/>
    </w:rPr>
  </w:style>
  <w:style w:type="character" w:customStyle="1" w:styleId="343">
    <w:name w:val="正文文本缩进 3 Char2"/>
    <w:basedOn w:val="89"/>
    <w:link w:val="74"/>
    <w:qFormat/>
    <w:uiPriority w:val="0"/>
    <w:rPr>
      <w:sz w:val="28"/>
    </w:rPr>
  </w:style>
  <w:style w:type="character" w:customStyle="1" w:styleId="344">
    <w:name w:val="签名 Char1"/>
    <w:basedOn w:val="89"/>
    <w:link w:val="62"/>
    <w:qFormat/>
    <w:uiPriority w:val="0"/>
  </w:style>
  <w:style w:type="character" w:customStyle="1" w:styleId="345">
    <w:name w:val="正文文本 3 Char2"/>
    <w:basedOn w:val="89"/>
    <w:link w:val="37"/>
    <w:qFormat/>
    <w:uiPriority w:val="0"/>
    <w:rPr>
      <w:sz w:val="16"/>
    </w:rPr>
  </w:style>
  <w:style w:type="character" w:customStyle="1" w:styleId="346">
    <w:name w:val="副标题 Char2"/>
    <w:basedOn w:val="89"/>
    <w:link w:val="68"/>
    <w:qFormat/>
    <w:uiPriority w:val="0"/>
    <w:rPr>
      <w:rFonts w:ascii="Cambria" w:hAnsi="Cambria"/>
      <w:b/>
      <w:kern w:val="28"/>
      <w:sz w:val="32"/>
    </w:rPr>
  </w:style>
  <w:style w:type="character" w:customStyle="1" w:styleId="347">
    <w:name w:val="脚注文本 Char2"/>
    <w:basedOn w:val="89"/>
    <w:link w:val="71"/>
    <w:qFormat/>
    <w:uiPriority w:val="0"/>
    <w:rPr>
      <w:sz w:val="18"/>
    </w:rPr>
  </w:style>
  <w:style w:type="character" w:customStyle="1" w:styleId="348">
    <w:name w:val="信息标题 Char1"/>
    <w:basedOn w:val="89"/>
    <w:link w:val="83"/>
    <w:qFormat/>
    <w:uiPriority w:val="0"/>
    <w:rPr>
      <w:rFonts w:ascii="Arial" w:hAnsi="Arial"/>
      <w:sz w:val="24"/>
      <w:shd w:val="pct20" w:color="auto" w:fill="auto"/>
    </w:rPr>
  </w:style>
  <w:style w:type="character" w:customStyle="1" w:styleId="349">
    <w:name w:val="HTML 预设格式 Char3"/>
    <w:basedOn w:val="89"/>
    <w:link w:val="84"/>
    <w:qFormat/>
    <w:uiPriority w:val="0"/>
    <w:rPr>
      <w:rFonts w:ascii="黑体" w:hAnsi="Courier New" w:eastAsia="黑体"/>
    </w:rPr>
  </w:style>
  <w:style w:type="character" w:customStyle="1" w:styleId="350">
    <w:name w:val="批注主题 Char2"/>
    <w:basedOn w:val="342"/>
    <w:link w:val="16"/>
    <w:qFormat/>
    <w:uiPriority w:val="0"/>
    <w:rPr>
      <w:rFonts w:ascii="Calibri" w:hAnsi="Calibri" w:eastAsia="宋体" w:cs="Times New Roman"/>
      <w:b/>
      <w:sz w:val="28"/>
      <w:szCs w:val="20"/>
    </w:rPr>
  </w:style>
  <w:style w:type="paragraph" w:customStyle="1" w:styleId="351">
    <w:name w:val="表1"/>
    <w:basedOn w:val="1"/>
    <w:qFormat/>
    <w:uiPriority w:val="0"/>
    <w:pPr>
      <w:tabs>
        <w:tab w:val="left" w:pos="720"/>
        <w:tab w:val="left" w:pos="851"/>
      </w:tabs>
      <w:overflowPunct w:val="0"/>
      <w:autoSpaceDE w:val="0"/>
      <w:autoSpaceDN w:val="0"/>
      <w:adjustRightInd w:val="0"/>
      <w:spacing w:before="200" w:line="320" w:lineRule="atLeast"/>
      <w:ind w:firstLine="624"/>
      <w:textAlignment w:val="baseline"/>
    </w:pPr>
    <w:rPr>
      <w:kern w:val="0"/>
      <w:sz w:val="24"/>
    </w:rPr>
  </w:style>
  <w:style w:type="paragraph" w:customStyle="1" w:styleId="352">
    <w:name w:val="xl39"/>
    <w:basedOn w:val="1"/>
    <w:qFormat/>
    <w:uiPriority w:val="0"/>
    <w:pPr>
      <w:widowControl/>
      <w:pBdr>
        <w:bottom w:val="single" w:color="auto" w:sz="8" w:space="0"/>
      </w:pBdr>
      <w:spacing w:before="100" w:beforeAutospacing="1" w:after="100" w:afterAutospacing="1"/>
    </w:pPr>
    <w:rPr>
      <w:rFonts w:ascii="Arial Unicode MS" w:hAnsi="Arial Unicode MS" w:eastAsia="Arial Unicode MS"/>
      <w:kern w:val="0"/>
      <w:sz w:val="24"/>
    </w:rPr>
  </w:style>
  <w:style w:type="paragraph" w:customStyle="1" w:styleId="353">
    <w:name w:val="6'"/>
    <w:basedOn w:val="1"/>
    <w:qFormat/>
    <w:uiPriority w:val="0"/>
    <w:pPr>
      <w:autoSpaceDE w:val="0"/>
      <w:autoSpaceDN w:val="0"/>
      <w:adjustRightInd w:val="0"/>
      <w:snapToGrid w:val="0"/>
      <w:spacing w:line="320" w:lineRule="exact"/>
      <w:textAlignment w:val="baseline"/>
    </w:pPr>
    <w:rPr>
      <w:spacing w:val="20"/>
      <w:kern w:val="28"/>
      <w:sz w:val="21"/>
    </w:rPr>
  </w:style>
  <w:style w:type="paragraph" w:customStyle="1" w:styleId="354">
    <w:name w:val="正文A"/>
    <w:qFormat/>
    <w:uiPriority w:val="0"/>
    <w:pPr>
      <w:tabs>
        <w:tab w:val="left" w:pos="0"/>
      </w:tabs>
      <w:adjustRightInd w:val="0"/>
      <w:spacing w:before="120" w:line="360" w:lineRule="auto"/>
      <w:ind w:firstLine="480"/>
      <w:jc w:val="both"/>
    </w:pPr>
    <w:rPr>
      <w:rFonts w:ascii="Calibri" w:hAnsi="Calibri" w:eastAsia="宋体" w:cs="Times New Roman"/>
      <w:snapToGrid w:val="0"/>
      <w:sz w:val="24"/>
      <w:lang w:val="en-US" w:eastAsia="zh-CN" w:bidi="ar-SA"/>
    </w:rPr>
  </w:style>
  <w:style w:type="paragraph" w:customStyle="1" w:styleId="355">
    <w:name w:val="三级条标题"/>
    <w:basedOn w:val="356"/>
    <w:next w:val="357"/>
    <w:qFormat/>
    <w:uiPriority w:val="0"/>
    <w:pPr>
      <w:tabs>
        <w:tab w:val="left" w:pos="360"/>
        <w:tab w:val="left" w:pos="720"/>
        <w:tab w:val="left" w:pos="3600"/>
      </w:tabs>
      <w:ind w:left="2100" w:hanging="420"/>
      <w:jc w:val="left"/>
      <w:outlineLvl w:val="4"/>
    </w:pPr>
    <w:rPr>
      <w:rFonts w:ascii="Times New Roman"/>
      <w:sz w:val="20"/>
    </w:rPr>
  </w:style>
  <w:style w:type="paragraph" w:customStyle="1" w:styleId="356">
    <w:name w:val="二级条标题"/>
    <w:basedOn w:val="1"/>
    <w:next w:val="357"/>
    <w:qFormat/>
    <w:uiPriority w:val="0"/>
    <w:pPr>
      <w:widowControl/>
      <w:tabs>
        <w:tab w:val="left" w:pos="360"/>
      </w:tabs>
      <w:outlineLvl w:val="3"/>
    </w:pPr>
    <w:rPr>
      <w:rFonts w:ascii="黑体" w:eastAsia="黑体"/>
      <w:kern w:val="0"/>
      <w:sz w:val="21"/>
    </w:rPr>
  </w:style>
  <w:style w:type="paragraph" w:customStyle="1" w:styleId="357">
    <w:name w:val="段"/>
    <w:qFormat/>
    <w:uiPriority w:val="0"/>
    <w:pPr>
      <w:ind w:firstLine="200" w:firstLineChars="200"/>
      <w:jc w:val="both"/>
    </w:pPr>
    <w:rPr>
      <w:rFonts w:ascii="宋体" w:hAnsi="Calibri" w:eastAsia="宋体" w:cs="Times New Roman"/>
      <w:sz w:val="21"/>
      <w:lang w:val="en-US" w:eastAsia="zh-CN" w:bidi="ar-SA"/>
    </w:rPr>
  </w:style>
  <w:style w:type="paragraph" w:customStyle="1" w:styleId="358">
    <w:name w:val="reader-word-layer"/>
    <w:basedOn w:val="1"/>
    <w:qFormat/>
    <w:uiPriority w:val="0"/>
    <w:pPr>
      <w:widowControl/>
      <w:spacing w:before="100" w:beforeAutospacing="1" w:after="100" w:afterAutospacing="1"/>
      <w:jc w:val="left"/>
    </w:pPr>
    <w:rPr>
      <w:rFonts w:ascii="宋体" w:hAnsi="宋体"/>
      <w:kern w:val="0"/>
      <w:sz w:val="24"/>
    </w:rPr>
  </w:style>
  <w:style w:type="paragraph" w:customStyle="1" w:styleId="359">
    <w:name w:val="样式 居中"/>
    <w:basedOn w:val="1"/>
    <w:qFormat/>
    <w:uiPriority w:val="0"/>
    <w:pPr>
      <w:spacing w:line="360" w:lineRule="auto"/>
      <w:jc w:val="center"/>
    </w:pPr>
    <w:rPr>
      <w:sz w:val="21"/>
    </w:rPr>
  </w:style>
  <w:style w:type="paragraph" w:customStyle="1" w:styleId="360">
    <w:name w:val="正文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361">
    <w:name w:val="正文文本缩进1"/>
    <w:basedOn w:val="1"/>
    <w:qFormat/>
    <w:uiPriority w:val="0"/>
    <w:pPr>
      <w:spacing w:after="120"/>
      <w:ind w:left="420" w:leftChars="200"/>
    </w:pPr>
    <w:rPr>
      <w:sz w:val="21"/>
    </w:rPr>
  </w:style>
  <w:style w:type="paragraph" w:customStyle="1" w:styleId="362">
    <w:name w:val="编号列项（三级）"/>
    <w:qFormat/>
    <w:uiPriority w:val="0"/>
    <w:pPr>
      <w:ind w:left="800" w:leftChars="600" w:hanging="200" w:hangingChars="200"/>
    </w:pPr>
    <w:rPr>
      <w:rFonts w:ascii="宋体" w:hAnsi="Calibri" w:eastAsia="宋体" w:cs="Times New Roman"/>
      <w:lang w:val="en-US" w:eastAsia="zh-CN" w:bidi="ar-SA"/>
    </w:rPr>
  </w:style>
  <w:style w:type="paragraph" w:customStyle="1" w:styleId="363">
    <w:name w:val="正文文本缩进 21"/>
    <w:basedOn w:val="1"/>
    <w:qFormat/>
    <w:uiPriority w:val="0"/>
    <w:pPr>
      <w:adjustRightInd w:val="0"/>
      <w:spacing w:line="400" w:lineRule="atLeast"/>
      <w:ind w:firstLine="540"/>
      <w:textAlignment w:val="baseline"/>
    </w:pPr>
    <w:rPr>
      <w:rFonts w:ascii="宋体"/>
      <w:kern w:val="0"/>
      <w:sz w:val="24"/>
    </w:rPr>
  </w:style>
  <w:style w:type="paragraph" w:customStyle="1" w:styleId="364">
    <w:name w:val="封面标准名称"/>
    <w:qFormat/>
    <w:uiPriority w:val="0"/>
    <w:pPr>
      <w:widowControl w:val="0"/>
      <w:spacing w:line="680" w:lineRule="exact"/>
      <w:jc w:val="center"/>
      <w:textAlignment w:val="center"/>
    </w:pPr>
    <w:rPr>
      <w:rFonts w:ascii="黑体" w:hAnsi="Calibri" w:eastAsia="黑体" w:cs="Times New Roman"/>
      <w:sz w:val="52"/>
      <w:lang w:val="en-US" w:eastAsia="zh-CN" w:bidi="ar-SA"/>
    </w:rPr>
  </w:style>
  <w:style w:type="paragraph" w:customStyle="1" w:styleId="365">
    <w:name w:val="表名A"/>
    <w:basedOn w:val="1"/>
    <w:qFormat/>
    <w:uiPriority w:val="0"/>
    <w:pPr>
      <w:widowControl/>
      <w:tabs>
        <w:tab w:val="left" w:pos="0"/>
      </w:tabs>
      <w:adjustRightInd w:val="0"/>
      <w:snapToGrid w:val="0"/>
      <w:spacing w:beforeLines="80" w:afterLines="20"/>
    </w:pPr>
    <w:rPr>
      <w:b/>
      <w:snapToGrid w:val="0"/>
      <w:kern w:val="0"/>
      <w:sz w:val="21"/>
    </w:rPr>
  </w:style>
  <w:style w:type="paragraph" w:customStyle="1" w:styleId="366">
    <w:name w:val="样式 正文（首行缩进两字） + 首行缩进:  2 字符"/>
    <w:basedOn w:val="10"/>
    <w:qFormat/>
    <w:uiPriority w:val="0"/>
    <w:pPr>
      <w:widowControl w:val="0"/>
      <w:autoSpaceDE w:val="0"/>
      <w:autoSpaceDN w:val="0"/>
      <w:adjustRightInd w:val="0"/>
      <w:spacing w:line="460" w:lineRule="exact"/>
      <w:ind w:firstLine="536"/>
    </w:pPr>
    <w:rPr>
      <w:rFonts w:hint="eastAsia" w:ascii="宋体"/>
      <w:spacing w:val="6"/>
      <w:kern w:val="24"/>
    </w:rPr>
  </w:style>
  <w:style w:type="paragraph" w:customStyle="1" w:styleId="367">
    <w:name w:val="部分1"/>
    <w:basedOn w:val="1"/>
    <w:qFormat/>
    <w:uiPriority w:val="0"/>
    <w:pPr>
      <w:keepNext/>
      <w:pageBreakBefore/>
      <w:tabs>
        <w:tab w:val="left" w:pos="720"/>
      </w:tabs>
      <w:spacing w:line="360" w:lineRule="auto"/>
      <w:jc w:val="center"/>
      <w:outlineLvl w:val="0"/>
    </w:pPr>
    <w:rPr>
      <w:rFonts w:eastAsia="黑体"/>
      <w:b/>
      <w:kern w:val="44"/>
      <w:sz w:val="36"/>
    </w:rPr>
  </w:style>
  <w:style w:type="paragraph" w:customStyle="1" w:styleId="368">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9">
    <w:name w:val="xl5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方正姚体" w:hAnsi="宋体" w:eastAsia="方正姚体"/>
      <w:color w:val="FF0000"/>
      <w:kern w:val="0"/>
      <w:sz w:val="20"/>
    </w:rPr>
  </w:style>
  <w:style w:type="paragraph" w:customStyle="1" w:styleId="370">
    <w:name w:val="文档结构图1"/>
    <w:basedOn w:val="1"/>
    <w:qFormat/>
    <w:uiPriority w:val="0"/>
    <w:pPr>
      <w:shd w:val="clear" w:color="auto" w:fill="000080"/>
    </w:pPr>
    <w:rPr>
      <w:kern w:val="0"/>
      <w:sz w:val="20"/>
      <w:shd w:val="clear" w:color="auto" w:fill="000080"/>
    </w:rPr>
  </w:style>
  <w:style w:type="paragraph" w:customStyle="1" w:styleId="371">
    <w:name w:val="简单回函地址"/>
    <w:basedOn w:val="1"/>
    <w:qFormat/>
    <w:uiPriority w:val="0"/>
    <w:pPr>
      <w:adjustRightInd w:val="0"/>
      <w:spacing w:line="312" w:lineRule="atLeast"/>
      <w:textAlignment w:val="baseline"/>
    </w:pPr>
    <w:rPr>
      <w:kern w:val="0"/>
      <w:sz w:val="21"/>
    </w:rPr>
  </w:style>
  <w:style w:type="paragraph" w:customStyle="1" w:styleId="372">
    <w:name w:val="Char Char Char Char Char Char3 Char Char Char Char Char Char Char"/>
    <w:basedOn w:val="1"/>
    <w:next w:val="1"/>
    <w:qFormat/>
    <w:uiPriority w:val="0"/>
    <w:rPr>
      <w:rFonts w:eastAsia="黑体"/>
    </w:rPr>
  </w:style>
  <w:style w:type="paragraph" w:customStyle="1" w:styleId="373">
    <w:name w:val="彩色列表 - 强调文字颜色 11"/>
    <w:basedOn w:val="1"/>
    <w:qFormat/>
    <w:uiPriority w:val="0"/>
    <w:pPr>
      <w:spacing w:before="100" w:beforeAutospacing="1" w:after="100" w:afterAutospacing="1" w:line="300" w:lineRule="auto"/>
      <w:ind w:firstLine="420" w:firstLineChars="200"/>
    </w:pPr>
    <w:rPr>
      <w:sz w:val="21"/>
    </w:rPr>
  </w:style>
  <w:style w:type="paragraph" w:customStyle="1" w:styleId="374">
    <w:name w:val="0"/>
    <w:basedOn w:val="1"/>
    <w:qFormat/>
    <w:uiPriority w:val="0"/>
    <w:pPr>
      <w:widowControl/>
    </w:pPr>
    <w:rPr>
      <w:kern w:val="0"/>
      <w:sz w:val="21"/>
    </w:rPr>
  </w:style>
  <w:style w:type="paragraph" w:customStyle="1" w:styleId="375">
    <w:name w:val="正文21"/>
    <w:basedOn w:val="1"/>
    <w:qFormat/>
    <w:uiPriority w:val="0"/>
    <w:pPr>
      <w:adjustRightInd w:val="0"/>
      <w:spacing w:line="420" w:lineRule="atLeast"/>
      <w:textAlignment w:val="baseline"/>
    </w:pPr>
    <w:rPr>
      <w:kern w:val="0"/>
      <w:sz w:val="21"/>
    </w:rPr>
  </w:style>
  <w:style w:type="paragraph" w:customStyle="1" w:styleId="376">
    <w:name w:val="标准书脚_偶数页"/>
    <w:qFormat/>
    <w:uiPriority w:val="0"/>
    <w:pPr>
      <w:spacing w:before="120"/>
    </w:pPr>
    <w:rPr>
      <w:rFonts w:ascii="Calibri" w:hAnsi="Calibri" w:eastAsia="宋体" w:cs="Times New Roman"/>
      <w:sz w:val="18"/>
      <w:lang w:val="en-US" w:eastAsia="zh-CN" w:bidi="ar-SA"/>
    </w:rPr>
  </w:style>
  <w:style w:type="paragraph" w:customStyle="1" w:styleId="377">
    <w:name w:val="目次、索引正文"/>
    <w:qFormat/>
    <w:uiPriority w:val="0"/>
    <w:pPr>
      <w:spacing w:line="320" w:lineRule="exact"/>
      <w:jc w:val="both"/>
    </w:pPr>
    <w:rPr>
      <w:rFonts w:ascii="宋体" w:hAnsi="Calibri" w:eastAsia="宋体" w:cs="Times New Roman"/>
      <w:lang w:val="en-US" w:eastAsia="zh-CN" w:bidi="ar-SA"/>
    </w:rPr>
  </w:style>
  <w:style w:type="paragraph" w:customStyle="1" w:styleId="378">
    <w:name w:val="网格表 31"/>
    <w:basedOn w:val="5"/>
    <w:next w:val="1"/>
    <w:qFormat/>
    <w:uiPriority w:val="0"/>
    <w:pPr>
      <w:keepLines/>
      <w:spacing w:before="480" w:line="276" w:lineRule="auto"/>
      <w:jc w:val="left"/>
      <w:outlineLvl w:val="9"/>
    </w:pPr>
    <w:rPr>
      <w:rFonts w:ascii="Cambria" w:hAnsi="Cambria"/>
      <w:color w:val="365F91"/>
      <w:sz w:val="28"/>
    </w:rPr>
  </w:style>
  <w:style w:type="character" w:customStyle="1" w:styleId="379">
    <w:name w:val="z-窗体底端 Char1"/>
    <w:basedOn w:val="89"/>
    <w:link w:val="213"/>
    <w:qFormat/>
    <w:uiPriority w:val="0"/>
    <w:rPr>
      <w:rFonts w:ascii="Arial" w:hAnsi="Arial"/>
      <w:vanish/>
      <w:sz w:val="16"/>
    </w:rPr>
  </w:style>
  <w:style w:type="paragraph" w:customStyle="1" w:styleId="380">
    <w:name w:val="正文表标题"/>
    <w:next w:val="357"/>
    <w:qFormat/>
    <w:uiPriority w:val="0"/>
    <w:pPr>
      <w:jc w:val="center"/>
    </w:pPr>
    <w:rPr>
      <w:rFonts w:ascii="黑体" w:hAnsi="Calibri" w:eastAsia="黑体" w:cs="Times New Roman"/>
      <w:sz w:val="21"/>
      <w:lang w:val="en-US" w:eastAsia="zh-CN" w:bidi="ar-SA"/>
    </w:rPr>
  </w:style>
  <w:style w:type="paragraph" w:customStyle="1" w:styleId="381">
    <w:name w:val="正文文字缩进 3"/>
    <w:basedOn w:val="1"/>
    <w:qFormat/>
    <w:uiPriority w:val="0"/>
    <w:pPr>
      <w:widowControl/>
      <w:spacing w:before="119" w:line="272" w:lineRule="atLeast"/>
      <w:ind w:left="719" w:firstLine="481"/>
      <w:jc w:val="left"/>
      <w:textAlignment w:val="baseline"/>
    </w:pPr>
    <w:rPr>
      <w:rFonts w:ascii="宋体"/>
      <w:color w:val="000000"/>
      <w:kern w:val="0"/>
      <w:sz w:val="24"/>
      <w:u w:color="000000"/>
    </w:rPr>
  </w:style>
  <w:style w:type="paragraph" w:customStyle="1" w:styleId="382">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383">
    <w:name w:val="网格表 32"/>
    <w:basedOn w:val="5"/>
    <w:next w:val="1"/>
    <w:qFormat/>
    <w:uiPriority w:val="0"/>
    <w:pPr>
      <w:keepLines/>
      <w:spacing w:before="480" w:line="276" w:lineRule="auto"/>
      <w:jc w:val="left"/>
      <w:outlineLvl w:val="9"/>
    </w:pPr>
    <w:rPr>
      <w:rFonts w:ascii="等线 Light" w:hAnsi="等线 Light" w:eastAsia="等线 Light"/>
      <w:color w:val="2E74B5"/>
      <w:sz w:val="28"/>
    </w:rPr>
  </w:style>
  <w:style w:type="paragraph" w:customStyle="1" w:styleId="384">
    <w:name w:val="四级条标题"/>
    <w:basedOn w:val="355"/>
    <w:next w:val="357"/>
    <w:qFormat/>
    <w:uiPriority w:val="0"/>
    <w:pPr>
      <w:ind w:left="0" w:firstLine="0"/>
      <w:outlineLvl w:val="5"/>
    </w:pPr>
  </w:style>
  <w:style w:type="paragraph" w:customStyle="1" w:styleId="385">
    <w:name w:val="xl56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kern w:val="0"/>
      <w:sz w:val="18"/>
    </w:rPr>
  </w:style>
  <w:style w:type="paragraph" w:customStyle="1" w:styleId="386">
    <w:name w:val="font8"/>
    <w:basedOn w:val="1"/>
    <w:qFormat/>
    <w:uiPriority w:val="0"/>
    <w:pPr>
      <w:widowControl/>
      <w:spacing w:before="100" w:beforeAutospacing="1" w:after="100" w:afterAutospacing="1"/>
    </w:pPr>
    <w:rPr>
      <w:rFonts w:eastAsia="Arial Unicode MS"/>
      <w:kern w:val="0"/>
      <w:sz w:val="24"/>
    </w:rPr>
  </w:style>
  <w:style w:type="paragraph" w:customStyle="1" w:styleId="387">
    <w:name w:val="xl2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pPr>
    <w:rPr>
      <w:rFonts w:ascii="Arial Unicode MS" w:hAnsi="Arial Unicode MS" w:eastAsia="Arial Unicode MS"/>
      <w:kern w:val="0"/>
      <w:sz w:val="24"/>
    </w:rPr>
  </w:style>
  <w:style w:type="paragraph" w:customStyle="1" w:styleId="388">
    <w:name w:val="彩色列表 - 着色 11"/>
    <w:basedOn w:val="1"/>
    <w:qFormat/>
    <w:uiPriority w:val="0"/>
    <w:pPr>
      <w:widowControl/>
      <w:ind w:firstLine="420" w:firstLineChars="200"/>
      <w:jc w:val="left"/>
    </w:pPr>
    <w:rPr>
      <w:rFonts w:ascii="宋体" w:hAnsi="宋体"/>
      <w:kern w:val="0"/>
      <w:sz w:val="24"/>
    </w:rPr>
  </w:style>
  <w:style w:type="paragraph" w:customStyle="1" w:styleId="389">
    <w:name w:val="Char Char20"/>
    <w:basedOn w:val="1"/>
    <w:qFormat/>
    <w:uiPriority w:val="0"/>
    <w:pPr>
      <w:snapToGrid w:val="0"/>
      <w:spacing w:afterLines="30" w:line="360" w:lineRule="auto"/>
      <w:ind w:firstLine="200" w:firstLineChars="200"/>
    </w:pPr>
    <w:rPr>
      <w:sz w:val="21"/>
    </w:rPr>
  </w:style>
  <w:style w:type="paragraph" w:customStyle="1" w:styleId="390">
    <w:name w:val="附录一级条标题"/>
    <w:basedOn w:val="391"/>
    <w:next w:val="357"/>
    <w:qFormat/>
    <w:uiPriority w:val="0"/>
    <w:pPr>
      <w:tabs>
        <w:tab w:val="left" w:pos="720"/>
        <w:tab w:val="left" w:pos="840"/>
        <w:tab w:val="left" w:pos="1440"/>
      </w:tabs>
      <w:autoSpaceDN w:val="0"/>
      <w:ind w:left="0" w:firstLine="0"/>
      <w:outlineLvl w:val="2"/>
    </w:pPr>
  </w:style>
  <w:style w:type="paragraph" w:customStyle="1" w:styleId="391">
    <w:name w:val="附录章标题"/>
    <w:next w:val="357"/>
    <w:qFormat/>
    <w:uiPriority w:val="0"/>
    <w:pPr>
      <w:tabs>
        <w:tab w:val="left" w:pos="720"/>
        <w:tab w:val="left" w:pos="1440"/>
      </w:tabs>
      <w:wordWrap w:val="0"/>
      <w:overflowPunct w:val="0"/>
      <w:autoSpaceDE w:val="0"/>
      <w:spacing w:beforeLines="50" w:afterLines="50"/>
      <w:ind w:left="840" w:hanging="420"/>
      <w:jc w:val="both"/>
      <w:textAlignment w:val="baseline"/>
      <w:outlineLvl w:val="1"/>
    </w:pPr>
    <w:rPr>
      <w:rFonts w:ascii="黑体" w:hAnsi="Calibri" w:eastAsia="黑体" w:cs="Times New Roman"/>
      <w:kern w:val="21"/>
      <w:lang w:val="en-US" w:eastAsia="zh-CN" w:bidi="ar-SA"/>
    </w:rPr>
  </w:style>
  <w:style w:type="paragraph" w:customStyle="1" w:styleId="392">
    <w:name w:val="表格3"/>
    <w:basedOn w:val="1"/>
    <w:qFormat/>
    <w:uiPriority w:val="0"/>
    <w:pPr>
      <w:adjustRightInd w:val="0"/>
      <w:spacing w:line="420" w:lineRule="atLeast"/>
      <w:textAlignment w:val="baseline"/>
    </w:pPr>
    <w:rPr>
      <w:rFonts w:eastAsia="楷体"/>
      <w:kern w:val="0"/>
      <w:sz w:val="21"/>
    </w:rPr>
  </w:style>
  <w:style w:type="paragraph" w:customStyle="1" w:styleId="393">
    <w:name w:val="样式 一号 加粗 居中"/>
    <w:basedOn w:val="1"/>
    <w:qFormat/>
    <w:uiPriority w:val="0"/>
    <w:pPr>
      <w:jc w:val="center"/>
    </w:pPr>
    <w:rPr>
      <w:sz w:val="52"/>
    </w:rPr>
  </w:style>
  <w:style w:type="paragraph" w:customStyle="1" w:styleId="394">
    <w:name w:val="xl26"/>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pPr>
    <w:rPr>
      <w:rFonts w:ascii="Arial Unicode MS" w:hAnsi="Arial Unicode MS" w:eastAsia="Arial Unicode MS"/>
      <w:b/>
      <w:kern w:val="0"/>
      <w:sz w:val="24"/>
    </w:rPr>
  </w:style>
  <w:style w:type="paragraph" w:customStyle="1" w:styleId="395">
    <w:name w:val="字母编号列项（一级）"/>
    <w:qFormat/>
    <w:uiPriority w:val="0"/>
    <w:pPr>
      <w:ind w:left="840" w:leftChars="200" w:hanging="420" w:hangingChars="200"/>
      <w:jc w:val="both"/>
    </w:pPr>
    <w:rPr>
      <w:rFonts w:ascii="宋体" w:hAnsi="Calibri" w:eastAsia="宋体" w:cs="Times New Roman"/>
      <w:lang w:val="en-US" w:eastAsia="zh-CN" w:bidi="ar-SA"/>
    </w:rPr>
  </w:style>
  <w:style w:type="paragraph" w:customStyle="1" w:styleId="396">
    <w:name w:val="aspnumfaautoadjustrightr"/>
    <w:qFormat/>
    <w:uiPriority w:val="0"/>
    <w:pPr>
      <w:widowControl w:val="0"/>
      <w:autoSpaceDE w:val="0"/>
      <w:autoSpaceDN w:val="0"/>
      <w:adjustRightInd w:val="0"/>
      <w:ind w:firstLine="720"/>
      <w:jc w:val="both"/>
    </w:pPr>
    <w:rPr>
      <w:rFonts w:ascii="Calibri" w:hAnsi="Calibri" w:eastAsia="宋体" w:cs="Times New Roman"/>
      <w:lang w:val="en-US" w:eastAsia="zh-CN" w:bidi="ar-SA"/>
    </w:rPr>
  </w:style>
  <w:style w:type="paragraph" w:customStyle="1" w:styleId="397">
    <w:name w:val="表格文字居中"/>
    <w:basedOn w:val="1"/>
    <w:qFormat/>
    <w:uiPriority w:val="0"/>
    <w:pPr>
      <w:adjustRightInd w:val="0"/>
      <w:snapToGrid w:val="0"/>
      <w:textAlignment w:val="center"/>
    </w:pPr>
    <w:rPr>
      <w:rFonts w:ascii="宋体"/>
      <w:snapToGrid w:val="0"/>
      <w:spacing w:val="12"/>
      <w:kern w:val="0"/>
      <w:sz w:val="21"/>
    </w:rPr>
  </w:style>
  <w:style w:type="paragraph" w:customStyle="1" w:styleId="398">
    <w:name w:val="p0"/>
    <w:basedOn w:val="1"/>
    <w:qFormat/>
    <w:uiPriority w:val="0"/>
    <w:pPr>
      <w:widowControl/>
      <w:spacing w:before="100" w:beforeAutospacing="1" w:after="100" w:afterAutospacing="1"/>
      <w:jc w:val="left"/>
    </w:pPr>
    <w:rPr>
      <w:rFonts w:ascii="宋体" w:hAnsi="宋体"/>
      <w:kern w:val="0"/>
      <w:sz w:val="24"/>
    </w:rPr>
  </w:style>
  <w:style w:type="paragraph" w:customStyle="1" w:styleId="399">
    <w:name w:val="正文缩进2"/>
    <w:basedOn w:val="1"/>
    <w:qFormat/>
    <w:uiPriority w:val="0"/>
    <w:pPr>
      <w:ind w:firstLine="420"/>
    </w:pPr>
    <w:rPr>
      <w:sz w:val="21"/>
    </w:rPr>
  </w:style>
  <w:style w:type="paragraph" w:customStyle="1" w:styleId="400">
    <w:name w:val="表头"/>
    <w:basedOn w:val="401"/>
    <w:qFormat/>
    <w:uiPriority w:val="0"/>
    <w:pPr>
      <w:spacing w:before="120" w:after="60"/>
    </w:pPr>
    <w:rPr>
      <w:rFonts w:ascii="黑体" w:eastAsia="黑体"/>
      <w:b/>
    </w:rPr>
  </w:style>
  <w:style w:type="paragraph" w:customStyle="1" w:styleId="401">
    <w:name w:val="表格方字"/>
    <w:basedOn w:val="1"/>
    <w:qFormat/>
    <w:uiPriority w:val="0"/>
    <w:pPr>
      <w:adjustRightInd w:val="0"/>
      <w:spacing w:line="420" w:lineRule="atLeast"/>
      <w:textAlignment w:val="baseline"/>
    </w:pPr>
    <w:rPr>
      <w:kern w:val="0"/>
      <w:sz w:val="21"/>
    </w:rPr>
  </w:style>
  <w:style w:type="paragraph" w:customStyle="1" w:styleId="402">
    <w:name w:val="正文段"/>
    <w:basedOn w:val="1"/>
    <w:qFormat/>
    <w:uiPriority w:val="0"/>
    <w:pPr>
      <w:widowControl/>
      <w:snapToGrid w:val="0"/>
      <w:spacing w:afterLines="50"/>
      <w:ind w:firstLine="200" w:firstLineChars="200"/>
    </w:pPr>
    <w:rPr>
      <w:kern w:val="0"/>
      <w:sz w:val="24"/>
    </w:rPr>
  </w:style>
  <w:style w:type="paragraph" w:customStyle="1" w:styleId="403">
    <w:name w:val="正文A Char Char Char"/>
    <w:qFormat/>
    <w:uiPriority w:val="0"/>
    <w:pPr>
      <w:tabs>
        <w:tab w:val="left" w:pos="0"/>
      </w:tabs>
      <w:adjustRightInd w:val="0"/>
      <w:spacing w:before="120" w:line="360" w:lineRule="auto"/>
      <w:ind w:firstLine="480"/>
      <w:jc w:val="both"/>
    </w:pPr>
    <w:rPr>
      <w:rFonts w:ascii="Calibri" w:hAnsi="Calibri" w:eastAsia="宋体" w:cs="Times New Roman"/>
      <w:snapToGrid w:val="0"/>
      <w:sz w:val="24"/>
      <w:lang w:val="en-US" w:eastAsia="zh-CN" w:bidi="ar-SA"/>
    </w:rPr>
  </w:style>
  <w:style w:type="paragraph" w:customStyle="1" w:styleId="404">
    <w:name w:val="列项●（二级）"/>
    <w:qFormat/>
    <w:uiPriority w:val="0"/>
    <w:pPr>
      <w:tabs>
        <w:tab w:val="left" w:pos="720"/>
        <w:tab w:val="left" w:pos="760"/>
        <w:tab w:val="left" w:pos="840"/>
      </w:tabs>
      <w:ind w:left="600" w:leftChars="400" w:hanging="200" w:hangingChars="200"/>
      <w:jc w:val="both"/>
    </w:pPr>
    <w:rPr>
      <w:rFonts w:ascii="宋体" w:hAnsi="Calibri" w:eastAsia="宋体" w:cs="Times New Roman"/>
      <w:lang w:val="en-US" w:eastAsia="zh-CN" w:bidi="ar-SA"/>
    </w:rPr>
  </w:style>
  <w:style w:type="paragraph" w:customStyle="1" w:styleId="405">
    <w:name w:val="xl560"/>
    <w:basedOn w:val="1"/>
    <w:qFormat/>
    <w:uiPriority w:val="0"/>
    <w:pPr>
      <w:widowControl/>
      <w:spacing w:before="100" w:beforeAutospacing="1" w:after="100" w:afterAutospacing="1"/>
      <w:jc w:val="left"/>
    </w:pPr>
    <w:rPr>
      <w:rFonts w:ascii="宋体" w:hAnsi="宋体"/>
      <w:color w:val="000000"/>
      <w:kern w:val="0"/>
      <w:sz w:val="20"/>
    </w:rPr>
  </w:style>
  <w:style w:type="paragraph" w:customStyle="1" w:styleId="406">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407">
    <w:name w:val="xl557"/>
    <w:basedOn w:val="1"/>
    <w:qFormat/>
    <w:uiPriority w:val="0"/>
    <w:pPr>
      <w:widowControl/>
      <w:spacing w:before="100" w:beforeAutospacing="1" w:after="100" w:afterAutospacing="1"/>
      <w:jc w:val="left"/>
    </w:pPr>
    <w:rPr>
      <w:rFonts w:ascii="宋体" w:hAnsi="宋体"/>
      <w:color w:val="FF0000"/>
      <w:kern w:val="0"/>
      <w:sz w:val="20"/>
    </w:rPr>
  </w:style>
  <w:style w:type="paragraph" w:customStyle="1" w:styleId="408">
    <w:name w:val="1"/>
    <w:basedOn w:val="1"/>
    <w:qFormat/>
    <w:uiPriority w:val="0"/>
    <w:pPr>
      <w:adjustRightInd w:val="0"/>
      <w:spacing w:before="360" w:after="240" w:line="420" w:lineRule="atLeast"/>
      <w:ind w:firstLine="454"/>
      <w:textAlignment w:val="baseline"/>
    </w:pPr>
    <w:rPr>
      <w:b/>
      <w:kern w:val="0"/>
      <w:sz w:val="21"/>
    </w:rPr>
  </w:style>
  <w:style w:type="paragraph" w:customStyle="1" w:styleId="409">
    <w:name w:val="附录四级条标题"/>
    <w:basedOn w:val="410"/>
    <w:next w:val="357"/>
    <w:qFormat/>
    <w:uiPriority w:val="0"/>
    <w:pPr>
      <w:tabs>
        <w:tab w:val="left" w:pos="720"/>
        <w:tab w:val="left" w:pos="840"/>
        <w:tab w:val="left" w:pos="1440"/>
      </w:tabs>
      <w:outlineLvl w:val="5"/>
    </w:pPr>
  </w:style>
  <w:style w:type="paragraph" w:customStyle="1" w:styleId="410">
    <w:name w:val="附录三级条标题"/>
    <w:basedOn w:val="411"/>
    <w:next w:val="357"/>
    <w:qFormat/>
    <w:uiPriority w:val="0"/>
    <w:pPr>
      <w:tabs>
        <w:tab w:val="left" w:pos="720"/>
        <w:tab w:val="left" w:pos="840"/>
        <w:tab w:val="left" w:pos="1440"/>
      </w:tabs>
      <w:outlineLvl w:val="4"/>
    </w:pPr>
  </w:style>
  <w:style w:type="paragraph" w:customStyle="1" w:styleId="411">
    <w:name w:val="附录二级条标题"/>
    <w:basedOn w:val="390"/>
    <w:next w:val="357"/>
    <w:qFormat/>
    <w:uiPriority w:val="0"/>
    <w:pPr>
      <w:outlineLvl w:val="3"/>
    </w:pPr>
  </w:style>
  <w:style w:type="paragraph" w:customStyle="1" w:styleId="412">
    <w:name w:val="引文目录标题1"/>
    <w:basedOn w:val="1"/>
    <w:next w:val="1"/>
    <w:qFormat/>
    <w:uiPriority w:val="0"/>
    <w:pPr>
      <w:spacing w:before="120"/>
    </w:pPr>
    <w:rPr>
      <w:rFonts w:ascii="Arial" w:hAnsi="Arial"/>
      <w:sz w:val="24"/>
    </w:rPr>
  </w:style>
  <w:style w:type="paragraph" w:customStyle="1" w:styleId="413">
    <w:name w:val="Char Char Char Char Char Char Char Char Char"/>
    <w:basedOn w:val="1"/>
    <w:qFormat/>
    <w:uiPriority w:val="0"/>
    <w:pPr>
      <w:widowControl/>
      <w:spacing w:after="160" w:line="240" w:lineRule="exact"/>
      <w:jc w:val="left"/>
    </w:pPr>
    <w:rPr>
      <w:sz w:val="21"/>
    </w:rPr>
  </w:style>
  <w:style w:type="paragraph" w:customStyle="1" w:styleId="414">
    <w:name w:val="默认段落字体 Para Char Char Char Char"/>
    <w:basedOn w:val="1"/>
    <w:qFormat/>
    <w:uiPriority w:val="0"/>
    <w:pPr>
      <w:spacing w:line="360" w:lineRule="auto"/>
      <w:ind w:firstLine="200" w:firstLineChars="200"/>
    </w:pPr>
    <w:rPr>
      <w:rFonts w:ascii="宋体" w:hAnsi="宋体"/>
      <w:sz w:val="24"/>
    </w:rPr>
  </w:style>
  <w:style w:type="paragraph" w:customStyle="1" w:styleId="415">
    <w:name w:val="Char Char Char1 Char"/>
    <w:basedOn w:val="1"/>
    <w:next w:val="1"/>
    <w:qFormat/>
    <w:uiPriority w:val="0"/>
    <w:rPr>
      <w:sz w:val="21"/>
    </w:rPr>
  </w:style>
  <w:style w:type="paragraph" w:customStyle="1" w:styleId="416">
    <w:name w:val="列出段落3"/>
    <w:basedOn w:val="1"/>
    <w:qFormat/>
    <w:uiPriority w:val="0"/>
    <w:pPr>
      <w:spacing w:before="100" w:beforeAutospacing="1" w:after="100" w:afterAutospacing="1" w:line="300" w:lineRule="auto"/>
      <w:ind w:firstLine="420" w:firstLineChars="200"/>
    </w:pPr>
    <w:rPr>
      <w:sz w:val="21"/>
    </w:rPr>
  </w:style>
  <w:style w:type="paragraph" w:customStyle="1" w:styleId="417">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kern w:val="0"/>
      <w:sz w:val="24"/>
    </w:rPr>
  </w:style>
  <w:style w:type="paragraph" w:customStyle="1" w:styleId="418">
    <w:name w:val="实施日期"/>
    <w:basedOn w:val="419"/>
    <w:qFormat/>
    <w:uiPriority w:val="0"/>
    <w:pPr>
      <w:jc w:val="right"/>
    </w:pPr>
  </w:style>
  <w:style w:type="paragraph" w:customStyle="1" w:styleId="419">
    <w:name w:val="发布日期"/>
    <w:qFormat/>
    <w:uiPriority w:val="0"/>
    <w:rPr>
      <w:rFonts w:ascii="Calibri" w:hAnsi="Calibri" w:eastAsia="黑体" w:cs="Times New Roman"/>
      <w:sz w:val="28"/>
      <w:lang w:val="en-US" w:eastAsia="zh-CN" w:bidi="ar-SA"/>
    </w:rPr>
  </w:style>
  <w:style w:type="paragraph" w:customStyle="1" w:styleId="420">
    <w:name w:val="一般格式"/>
    <w:basedOn w:val="1"/>
    <w:qFormat/>
    <w:uiPriority w:val="0"/>
    <w:pPr>
      <w:spacing w:line="360" w:lineRule="auto"/>
      <w:ind w:firstLine="200" w:firstLineChars="200"/>
    </w:pPr>
    <w:rPr>
      <w:sz w:val="24"/>
    </w:rPr>
  </w:style>
  <w:style w:type="paragraph" w:customStyle="1" w:styleId="421">
    <w:name w:val="附录图标题"/>
    <w:next w:val="357"/>
    <w:qFormat/>
    <w:uiPriority w:val="0"/>
    <w:pPr>
      <w:tabs>
        <w:tab w:val="left" w:pos="360"/>
      </w:tabs>
      <w:jc w:val="center"/>
    </w:pPr>
    <w:rPr>
      <w:rFonts w:ascii="黑体" w:hAnsi="Calibri" w:eastAsia="黑体" w:cs="Times New Roman"/>
      <w:sz w:val="21"/>
      <w:lang w:val="en-US" w:eastAsia="zh-CN" w:bidi="ar-SA"/>
    </w:rPr>
  </w:style>
  <w:style w:type="paragraph" w:customStyle="1" w:styleId="422">
    <w:name w:val="1.4"/>
    <w:basedOn w:val="1"/>
    <w:qFormat/>
    <w:uiPriority w:val="0"/>
    <w:pPr>
      <w:widowControl/>
      <w:spacing w:line="288" w:lineRule="auto"/>
      <w:ind w:left="3" w:firstLine="503"/>
    </w:pPr>
    <w:rPr>
      <w:rFonts w:ascii="宋体" w:hAnsi="宋体"/>
      <w:kern w:val="0"/>
      <w:sz w:val="24"/>
    </w:rPr>
  </w:style>
  <w:style w:type="paragraph" w:customStyle="1" w:styleId="423">
    <w:name w:val="正文3"/>
    <w:qFormat/>
    <w:uiPriority w:val="0"/>
    <w:pPr>
      <w:widowControl w:val="0"/>
      <w:adjustRightInd w:val="0"/>
      <w:spacing w:line="360" w:lineRule="atLeast"/>
      <w:textAlignment w:val="baseline"/>
    </w:pPr>
    <w:rPr>
      <w:rFonts w:ascii="宋体" w:hAnsi="Calibri" w:eastAsia="宋体" w:cs="Times New Roman"/>
      <w:sz w:val="34"/>
      <w:lang w:val="en-US" w:eastAsia="zh-CN" w:bidi="ar-SA"/>
    </w:rPr>
  </w:style>
  <w:style w:type="paragraph" w:customStyle="1" w:styleId="424">
    <w:name w:val="p17"/>
    <w:basedOn w:val="1"/>
    <w:qFormat/>
    <w:uiPriority w:val="0"/>
    <w:pPr>
      <w:widowControl/>
      <w:spacing w:before="100" w:after="100" w:line="432" w:lineRule="auto"/>
      <w:jc w:val="left"/>
    </w:pPr>
    <w:rPr>
      <w:rFonts w:ascii="宋体" w:hAnsi="宋体"/>
      <w:kern w:val="0"/>
      <w:sz w:val="27"/>
    </w:rPr>
  </w:style>
  <w:style w:type="paragraph" w:customStyle="1" w:styleId="425">
    <w:name w:val="封面标准文稿编辑信息"/>
    <w:qFormat/>
    <w:uiPriority w:val="0"/>
    <w:pPr>
      <w:spacing w:before="180" w:line="180" w:lineRule="exact"/>
      <w:jc w:val="center"/>
    </w:pPr>
    <w:rPr>
      <w:rFonts w:ascii="宋体" w:hAnsi="Calibri" w:eastAsia="宋体" w:cs="Times New Roman"/>
      <w:sz w:val="21"/>
      <w:lang w:val="en-US" w:eastAsia="zh-CN" w:bidi="ar-SA"/>
    </w:rPr>
  </w:style>
  <w:style w:type="paragraph" w:customStyle="1" w:styleId="426">
    <w:name w:val="xl24"/>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pPr>
    <w:rPr>
      <w:rFonts w:ascii="Arial Unicode MS" w:hAnsi="Arial Unicode MS" w:eastAsia="Arial Unicode MS"/>
      <w:kern w:val="0"/>
      <w:sz w:val="24"/>
    </w:rPr>
  </w:style>
  <w:style w:type="paragraph" w:customStyle="1" w:styleId="427">
    <w:name w:val="xl5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28">
    <w:name w:val="正文缩进3"/>
    <w:basedOn w:val="1"/>
    <w:qFormat/>
    <w:uiPriority w:val="0"/>
    <w:pPr>
      <w:ind w:firstLine="420"/>
    </w:pPr>
    <w:rPr>
      <w:sz w:val="21"/>
    </w:rPr>
  </w:style>
  <w:style w:type="paragraph" w:customStyle="1" w:styleId="429">
    <w:name w:val="五级条标题"/>
    <w:basedOn w:val="384"/>
    <w:next w:val="357"/>
    <w:qFormat/>
    <w:uiPriority w:val="0"/>
    <w:pPr>
      <w:outlineLvl w:val="6"/>
    </w:pPr>
  </w:style>
  <w:style w:type="paragraph" w:customStyle="1" w:styleId="430">
    <w:name w:val="正文文本 31"/>
    <w:basedOn w:val="1"/>
    <w:qFormat/>
    <w:uiPriority w:val="0"/>
    <w:rPr>
      <w:rFonts w:eastAsia="隶书"/>
      <w:kern w:val="0"/>
      <w:sz w:val="24"/>
    </w:rPr>
  </w:style>
  <w:style w:type="paragraph" w:customStyle="1" w:styleId="431">
    <w:name w:val="杭州页脚"/>
    <w:basedOn w:val="1"/>
    <w:qFormat/>
    <w:uiPriority w:val="0"/>
    <w:pPr>
      <w:tabs>
        <w:tab w:val="left" w:pos="340"/>
      </w:tabs>
      <w:adjustRightInd w:val="0"/>
      <w:snapToGrid w:val="0"/>
      <w:ind w:left="340" w:hanging="340"/>
    </w:pPr>
    <w:rPr>
      <w:rFonts w:eastAsia="HYKai U3HK"/>
      <w:sz w:val="20"/>
    </w:rPr>
  </w:style>
  <w:style w:type="paragraph" w:customStyle="1" w:styleId="432">
    <w:name w:val="xl38"/>
    <w:basedOn w:val="1"/>
    <w:qFormat/>
    <w:uiPriority w:val="0"/>
    <w:pPr>
      <w:widowControl/>
      <w:pBdr>
        <w:top w:val="single" w:color="auto" w:sz="4" w:space="0"/>
        <w:bottom w:val="single" w:color="auto" w:sz="8" w:space="0"/>
        <w:right w:val="single" w:color="auto" w:sz="8" w:space="0"/>
      </w:pBdr>
      <w:spacing w:before="100" w:beforeAutospacing="1" w:after="100" w:afterAutospacing="1"/>
    </w:pPr>
    <w:rPr>
      <w:rFonts w:ascii="Arial Unicode MS" w:hAnsi="Arial Unicode MS" w:eastAsia="Arial Unicode MS"/>
      <w:b/>
      <w:kern w:val="0"/>
      <w:sz w:val="36"/>
    </w:rPr>
  </w:style>
  <w:style w:type="paragraph" w:customStyle="1" w:styleId="433">
    <w:name w:val="p16"/>
    <w:basedOn w:val="1"/>
    <w:qFormat/>
    <w:uiPriority w:val="0"/>
    <w:pPr>
      <w:widowControl/>
      <w:spacing w:before="100" w:beforeAutospacing="1" w:after="100" w:afterAutospacing="1"/>
      <w:jc w:val="left"/>
    </w:pPr>
    <w:rPr>
      <w:rFonts w:ascii="宋体" w:hAnsi="宋体"/>
      <w:kern w:val="0"/>
      <w:sz w:val="24"/>
    </w:rPr>
  </w:style>
  <w:style w:type="paragraph" w:customStyle="1" w:styleId="434">
    <w:name w:val="xl5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FF0000"/>
      <w:kern w:val="0"/>
      <w:sz w:val="20"/>
    </w:rPr>
  </w:style>
  <w:style w:type="paragraph" w:customStyle="1" w:styleId="435">
    <w:name w:val="Char Char Char"/>
    <w:basedOn w:val="1"/>
    <w:qFormat/>
    <w:uiPriority w:val="0"/>
    <w:pPr>
      <w:spacing w:line="360" w:lineRule="auto"/>
      <w:ind w:firstLine="200" w:firstLineChars="200"/>
    </w:pPr>
    <w:rPr>
      <w:rFonts w:ascii="宋体" w:hAnsi="宋体"/>
      <w:sz w:val="24"/>
    </w:rPr>
  </w:style>
  <w:style w:type="paragraph" w:customStyle="1" w:styleId="436">
    <w:name w:val="样式 标题 3 + (中文) 黑体 小四 非加粗 段前: 7.8 磅 段后: 0 磅 行距: 固定值 20 磅"/>
    <w:basedOn w:val="7"/>
    <w:qFormat/>
    <w:uiPriority w:val="0"/>
    <w:pPr>
      <w:widowControl w:val="0"/>
      <w:tabs>
        <w:tab w:val="clear" w:pos="720"/>
      </w:tabs>
      <w:spacing w:before="0" w:after="0" w:line="400" w:lineRule="exact"/>
      <w:ind w:left="0" w:firstLine="0"/>
      <w:jc w:val="both"/>
    </w:pPr>
    <w:rPr>
      <w:rFonts w:eastAsia="黑体"/>
      <w:b w:val="0"/>
      <w:kern w:val="2"/>
      <w:sz w:val="24"/>
    </w:rPr>
  </w:style>
  <w:style w:type="paragraph" w:customStyle="1" w:styleId="437">
    <w:name w:val="纯文本1"/>
    <w:basedOn w:val="1"/>
    <w:qFormat/>
    <w:uiPriority w:val="0"/>
    <w:pPr>
      <w:widowControl/>
      <w:jc w:val="left"/>
    </w:pPr>
    <w:rPr>
      <w:rFonts w:ascii="宋体" w:hAnsi="Courier New"/>
      <w:kern w:val="0"/>
      <w:sz w:val="20"/>
    </w:rPr>
  </w:style>
  <w:style w:type="paragraph" w:customStyle="1" w:styleId="438">
    <w:name w:val="列出段落1"/>
    <w:basedOn w:val="1"/>
    <w:qFormat/>
    <w:uiPriority w:val="0"/>
    <w:pPr>
      <w:ind w:firstLine="420" w:firstLineChars="200"/>
    </w:pPr>
    <w:rPr>
      <w:sz w:val="21"/>
    </w:rPr>
  </w:style>
  <w:style w:type="paragraph" w:customStyle="1" w:styleId="439">
    <w:name w:val="正文文本 21"/>
    <w:basedOn w:val="1"/>
    <w:qFormat/>
    <w:uiPriority w:val="0"/>
    <w:pPr>
      <w:adjustRightInd w:val="0"/>
      <w:spacing w:line="300" w:lineRule="auto"/>
      <w:jc w:val="center"/>
    </w:pPr>
    <w:rPr>
      <w:rFonts w:hint="eastAsia" w:ascii="宋体" w:hAnsi="宋体"/>
      <w:sz w:val="24"/>
    </w:rPr>
  </w:style>
  <w:style w:type="paragraph" w:customStyle="1" w:styleId="440">
    <w:name w:val="表格文字2"/>
    <w:basedOn w:val="1"/>
    <w:qFormat/>
    <w:uiPriority w:val="0"/>
    <w:rPr>
      <w:spacing w:val="-4"/>
      <w:sz w:val="24"/>
    </w:rPr>
  </w:style>
  <w:style w:type="paragraph" w:customStyle="1" w:styleId="441">
    <w:name w:val="图表左对齐"/>
    <w:basedOn w:val="1"/>
    <w:qFormat/>
    <w:uiPriority w:val="0"/>
    <w:pPr>
      <w:spacing w:line="360" w:lineRule="exact"/>
      <w:jc w:val="left"/>
    </w:pPr>
    <w:rPr>
      <w:spacing w:val="-10"/>
      <w:sz w:val="24"/>
    </w:rPr>
  </w:style>
  <w:style w:type="paragraph" w:customStyle="1" w:styleId="442">
    <w:name w:val="标准书脚_奇数页"/>
    <w:qFormat/>
    <w:uiPriority w:val="0"/>
    <w:pPr>
      <w:spacing w:before="120"/>
      <w:jc w:val="right"/>
    </w:pPr>
    <w:rPr>
      <w:rFonts w:ascii="Calibri" w:hAnsi="Calibri" w:eastAsia="宋体" w:cs="Times New Roman"/>
      <w:sz w:val="18"/>
      <w:lang w:val="en-US" w:eastAsia="zh-CN" w:bidi="ar-SA"/>
    </w:rPr>
  </w:style>
  <w:style w:type="paragraph" w:customStyle="1" w:styleId="443">
    <w:name w:val="样式 标题 2 + Times New Roman 四号 非加粗 段前: 5 磅 段后: 0 磅 行距: 固定值 20..."/>
    <w:basedOn w:val="6"/>
    <w:qFormat/>
    <w:uiPriority w:val="0"/>
    <w:pPr>
      <w:tabs>
        <w:tab w:val="clear" w:pos="706"/>
      </w:tabs>
      <w:spacing w:before="100" w:line="400" w:lineRule="exact"/>
      <w:ind w:left="0" w:firstLine="0"/>
    </w:pPr>
    <w:rPr>
      <w:rFonts w:ascii="Times New Roman" w:hAnsi="Times New Roman"/>
      <w:b w:val="0"/>
      <w:kern w:val="0"/>
      <w:sz w:val="28"/>
    </w:rPr>
  </w:style>
  <w:style w:type="paragraph" w:customStyle="1" w:styleId="444">
    <w:name w:val="Char Char Char Char Char Char Char"/>
    <w:basedOn w:val="1"/>
    <w:qFormat/>
    <w:uiPriority w:val="0"/>
    <w:pPr>
      <w:widowControl/>
      <w:spacing w:after="160" w:line="240" w:lineRule="exact"/>
      <w:jc w:val="left"/>
    </w:pPr>
    <w:rPr>
      <w:rFonts w:ascii="Verdana" w:hAnsi="Verdana" w:eastAsia="仿宋_GB2312"/>
      <w:kern w:val="0"/>
      <w:sz w:val="30"/>
      <w:lang w:eastAsia="en-US"/>
    </w:rPr>
  </w:style>
  <w:style w:type="paragraph" w:customStyle="1" w:styleId="445">
    <w:name w:val="正文1"/>
    <w:basedOn w:val="1"/>
    <w:qFormat/>
    <w:uiPriority w:val="0"/>
    <w:pPr>
      <w:autoSpaceDE w:val="0"/>
      <w:autoSpaceDN w:val="0"/>
      <w:adjustRightInd w:val="0"/>
      <w:spacing w:before="120" w:line="360" w:lineRule="auto"/>
      <w:ind w:left="1366" w:hanging="686"/>
      <w:textAlignment w:val="baseline"/>
    </w:pPr>
    <w:rPr>
      <w:sz w:val="21"/>
    </w:rPr>
  </w:style>
  <w:style w:type="paragraph" w:customStyle="1" w:styleId="446">
    <w:name w:val="前言、引言标题"/>
    <w:next w:val="1"/>
    <w:qFormat/>
    <w:uiPriority w:val="0"/>
    <w:pPr>
      <w:shd w:val="clear" w:color="FFFFFF" w:fill="FFFFFF"/>
      <w:spacing w:before="640" w:after="560"/>
      <w:jc w:val="center"/>
      <w:outlineLvl w:val="0"/>
    </w:pPr>
    <w:rPr>
      <w:rFonts w:ascii="黑体" w:hAnsi="Calibri" w:eastAsia="黑体" w:cs="Times New Roman"/>
      <w:sz w:val="32"/>
      <w:lang w:val="en-US" w:eastAsia="zh-CN" w:bidi="ar-SA"/>
    </w:rPr>
  </w:style>
  <w:style w:type="paragraph" w:customStyle="1" w:styleId="447">
    <w:name w:val="纯文本3"/>
    <w:basedOn w:val="1"/>
    <w:qFormat/>
    <w:uiPriority w:val="0"/>
    <w:pPr>
      <w:widowControl/>
      <w:jc w:val="left"/>
    </w:pPr>
    <w:rPr>
      <w:rFonts w:ascii="宋体" w:hAnsi="Courier New"/>
      <w:kern w:val="0"/>
      <w:sz w:val="20"/>
    </w:rPr>
  </w:style>
  <w:style w:type="paragraph" w:customStyle="1" w:styleId="448">
    <w:name w:val="表格6"/>
    <w:basedOn w:val="1"/>
    <w:qFormat/>
    <w:uiPriority w:val="0"/>
    <w:pPr>
      <w:adjustRightInd w:val="0"/>
      <w:spacing w:line="420" w:lineRule="atLeast"/>
      <w:ind w:left="737"/>
      <w:textAlignment w:val="baseline"/>
    </w:pPr>
    <w:rPr>
      <w:rFonts w:ascii="宋体"/>
      <w:kern w:val="0"/>
      <w:sz w:val="21"/>
    </w:rPr>
  </w:style>
  <w:style w:type="paragraph" w:customStyle="1" w:styleId="449">
    <w:name w:val="reader-word-layer reader-word-s1-8"/>
    <w:basedOn w:val="1"/>
    <w:qFormat/>
    <w:uiPriority w:val="0"/>
    <w:pPr>
      <w:widowControl/>
      <w:spacing w:before="100" w:beforeAutospacing="1" w:after="100" w:afterAutospacing="1"/>
      <w:jc w:val="left"/>
    </w:pPr>
    <w:rPr>
      <w:rFonts w:ascii="宋体" w:hAnsi="宋体"/>
      <w:kern w:val="0"/>
      <w:sz w:val="24"/>
    </w:rPr>
  </w:style>
  <w:style w:type="paragraph" w:customStyle="1" w:styleId="450">
    <w:name w:val="默认段落字体 Para Char Char Char Char Char Char Char Char Char Char Char Char Char"/>
    <w:basedOn w:val="1"/>
    <w:qFormat/>
    <w:uiPriority w:val="0"/>
    <w:rPr>
      <w:sz w:val="21"/>
    </w:rPr>
  </w:style>
  <w:style w:type="paragraph" w:customStyle="1" w:styleId="451">
    <w:name w:val="修订1"/>
    <w:qFormat/>
    <w:uiPriority w:val="0"/>
    <w:rPr>
      <w:rFonts w:ascii="宋体" w:hAnsi="Calibri" w:eastAsia="宋体" w:cs="Times New Roman"/>
      <w:kern w:val="2"/>
      <w:sz w:val="28"/>
      <w:lang w:val="en-US" w:eastAsia="zh-CN" w:bidi="ar-SA"/>
    </w:rPr>
  </w:style>
  <w:style w:type="paragraph" w:customStyle="1" w:styleId="452">
    <w:name w:val="xl5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kern w:val="0"/>
      <w:sz w:val="20"/>
    </w:rPr>
  </w:style>
  <w:style w:type="paragraph" w:customStyle="1" w:styleId="453">
    <w:name w:val="列项◆（三级）"/>
    <w:qFormat/>
    <w:uiPriority w:val="0"/>
    <w:pPr>
      <w:tabs>
        <w:tab w:val="left" w:pos="720"/>
        <w:tab w:val="left" w:pos="960"/>
      </w:tabs>
      <w:ind w:left="800" w:leftChars="600" w:hanging="200" w:hangingChars="200"/>
    </w:pPr>
    <w:rPr>
      <w:rFonts w:ascii="宋体" w:hAnsi="Calibri" w:eastAsia="宋体" w:cs="Times New Roman"/>
      <w:lang w:val="en-US" w:eastAsia="zh-CN" w:bidi="ar-SA"/>
    </w:rPr>
  </w:style>
  <w:style w:type="paragraph" w:customStyle="1" w:styleId="454">
    <w:name w:val="目录3"/>
    <w:basedOn w:val="1"/>
    <w:qFormat/>
    <w:uiPriority w:val="0"/>
    <w:pPr>
      <w:adjustRightInd w:val="0"/>
      <w:spacing w:line="420" w:lineRule="atLeast"/>
      <w:ind w:left="454"/>
      <w:textAlignment w:val="baseline"/>
    </w:pPr>
    <w:rPr>
      <w:kern w:val="0"/>
      <w:sz w:val="21"/>
    </w:rPr>
  </w:style>
  <w:style w:type="paragraph" w:customStyle="1" w:styleId="455">
    <w:name w:val="默认段落字体 Para Char Char Char Char Char Char Char Char Char1 Char Char Char Char"/>
    <w:basedOn w:val="1"/>
    <w:qFormat/>
    <w:uiPriority w:val="0"/>
    <w:rPr>
      <w:rFonts w:ascii="Tahoma" w:hAnsi="Tahoma"/>
      <w:sz w:val="24"/>
    </w:rPr>
  </w:style>
  <w:style w:type="character" w:customStyle="1" w:styleId="456">
    <w:name w:val="z-窗体顶端 Char2"/>
    <w:basedOn w:val="89"/>
    <w:link w:val="320"/>
    <w:qFormat/>
    <w:uiPriority w:val="0"/>
    <w:rPr>
      <w:rFonts w:ascii="Arial" w:hAnsi="Arial"/>
      <w:vanish/>
      <w:sz w:val="16"/>
    </w:rPr>
  </w:style>
  <w:style w:type="paragraph" w:customStyle="1" w:styleId="45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华文楷体" w:hAnsi="华文楷体" w:eastAsia="华文楷体"/>
      <w:kern w:val="0"/>
      <w:sz w:val="24"/>
    </w:rPr>
  </w:style>
  <w:style w:type="paragraph" w:customStyle="1" w:styleId="458">
    <w:name w:val="样式3"/>
    <w:basedOn w:val="7"/>
    <w:qFormat/>
    <w:uiPriority w:val="0"/>
    <w:pPr>
      <w:widowControl w:val="0"/>
      <w:tabs>
        <w:tab w:val="clear" w:pos="720"/>
      </w:tabs>
      <w:ind w:left="0" w:firstLine="0"/>
      <w:jc w:val="both"/>
    </w:pPr>
    <w:rPr>
      <w:b w:val="0"/>
      <w:kern w:val="2"/>
      <w:sz w:val="24"/>
    </w:rPr>
  </w:style>
  <w:style w:type="paragraph" w:customStyle="1" w:styleId="459">
    <w:name w:val="样式 居中 行距: 固定值 60 磅"/>
    <w:basedOn w:val="1"/>
    <w:qFormat/>
    <w:uiPriority w:val="0"/>
    <w:pPr>
      <w:spacing w:line="360" w:lineRule="auto"/>
      <w:jc w:val="center"/>
    </w:pPr>
    <w:rPr>
      <w:sz w:val="21"/>
    </w:rPr>
  </w:style>
  <w:style w:type="paragraph" w:customStyle="1" w:styleId="460">
    <w:name w:val="其他发布部门"/>
    <w:basedOn w:val="461"/>
    <w:qFormat/>
    <w:uiPriority w:val="0"/>
    <w:pPr>
      <w:spacing w:line="0" w:lineRule="atLeast"/>
    </w:pPr>
    <w:rPr>
      <w:rFonts w:ascii="黑体" w:eastAsia="黑体"/>
      <w:b w:val="0"/>
    </w:rPr>
  </w:style>
  <w:style w:type="paragraph" w:customStyle="1" w:styleId="461">
    <w:name w:val="发布部门"/>
    <w:next w:val="357"/>
    <w:qFormat/>
    <w:uiPriority w:val="0"/>
    <w:pPr>
      <w:jc w:val="center"/>
    </w:pPr>
    <w:rPr>
      <w:rFonts w:ascii="宋体" w:hAnsi="Calibri" w:eastAsia="宋体" w:cs="Times New Roman"/>
      <w:b/>
      <w:spacing w:val="20"/>
      <w:w w:val="135"/>
      <w:sz w:val="36"/>
      <w:lang w:val="en-US" w:eastAsia="zh-CN" w:bidi="ar-SA"/>
    </w:rPr>
  </w:style>
  <w:style w:type="paragraph" w:customStyle="1" w:styleId="462">
    <w:name w:val="示例"/>
    <w:next w:val="357"/>
    <w:qFormat/>
    <w:uiPriority w:val="0"/>
    <w:pPr>
      <w:tabs>
        <w:tab w:val="left" w:pos="720"/>
        <w:tab w:val="left" w:pos="816"/>
      </w:tabs>
      <w:ind w:firstLine="419" w:firstLineChars="233"/>
      <w:jc w:val="both"/>
    </w:pPr>
    <w:rPr>
      <w:rFonts w:ascii="宋体" w:hAnsi="Calibri" w:eastAsia="宋体" w:cs="Times New Roman"/>
      <w:sz w:val="18"/>
      <w:lang w:val="en-US" w:eastAsia="zh-CN" w:bidi="ar-SA"/>
    </w:rPr>
  </w:style>
  <w:style w:type="paragraph" w:customStyle="1" w:styleId="463">
    <w:name w:val="xl6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华文楷体" w:hAnsi="华文楷体" w:eastAsia="华文楷体"/>
      <w:kern w:val="0"/>
      <w:sz w:val="24"/>
    </w:rPr>
  </w:style>
  <w:style w:type="paragraph" w:customStyle="1" w:styleId="464">
    <w:name w:val="样式 标题 1 + 黑体 三号 非加粗 居中 段前: 6 磅 段后: 6 磅 行距: 固定值 20 磅"/>
    <w:basedOn w:val="5"/>
    <w:qFormat/>
    <w:uiPriority w:val="0"/>
    <w:pPr>
      <w:keepLines/>
      <w:widowControl w:val="0"/>
      <w:spacing w:before="120" w:after="120" w:line="400" w:lineRule="exact"/>
      <w:jc w:val="both"/>
    </w:pPr>
    <w:rPr>
      <w:rFonts w:hAnsi="黑体" w:eastAsia="黑体"/>
      <w:b w:val="0"/>
      <w:kern w:val="44"/>
    </w:rPr>
  </w:style>
  <w:style w:type="paragraph" w:customStyle="1" w:styleId="465">
    <w:name w:val="标题2"/>
    <w:basedOn w:val="1"/>
    <w:qFormat/>
    <w:uiPriority w:val="0"/>
    <w:rPr>
      <w:rFonts w:ascii="宋体" w:hAnsi="宋体"/>
      <w:b/>
      <w:sz w:val="21"/>
    </w:rPr>
  </w:style>
  <w:style w:type="paragraph" w:customStyle="1" w:styleId="466">
    <w:name w:val="Char"/>
    <w:basedOn w:val="1"/>
    <w:qFormat/>
    <w:uiPriority w:val="0"/>
    <w:rPr>
      <w:rFonts w:ascii="仿宋_GB2312" w:eastAsia="仿宋_GB2312"/>
      <w:b/>
      <w:sz w:val="32"/>
    </w:rPr>
  </w:style>
  <w:style w:type="paragraph" w:customStyle="1" w:styleId="467">
    <w:name w:val="无间隔2"/>
    <w:qFormat/>
    <w:uiPriority w:val="0"/>
    <w:rPr>
      <w:rFonts w:ascii="Calibri" w:hAnsi="Calibri" w:eastAsia="宋体" w:cs="Times New Roman"/>
      <w:sz w:val="22"/>
      <w:lang w:val="en-US" w:eastAsia="en-US" w:bidi="ar-SA"/>
    </w:rPr>
  </w:style>
  <w:style w:type="paragraph" w:customStyle="1" w:styleId="468">
    <w:name w:val="xl5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rPr>
  </w:style>
  <w:style w:type="paragraph" w:customStyle="1" w:styleId="469">
    <w:name w:val="Char Char Char 字元 字元"/>
    <w:basedOn w:val="1"/>
    <w:qFormat/>
    <w:uiPriority w:val="0"/>
    <w:rPr>
      <w:rFonts w:ascii="Tahoma" w:hAnsi="Tahoma"/>
      <w:sz w:val="24"/>
    </w:rPr>
  </w:style>
  <w:style w:type="paragraph" w:customStyle="1" w:styleId="470">
    <w:name w:val="标准书眉_偶数页"/>
    <w:basedOn w:val="1"/>
    <w:next w:val="1"/>
    <w:qFormat/>
    <w:uiPriority w:val="0"/>
    <w:pPr>
      <w:widowControl/>
      <w:tabs>
        <w:tab w:val="center" w:pos="4154"/>
        <w:tab w:val="right" w:pos="8306"/>
      </w:tabs>
      <w:spacing w:after="120"/>
    </w:pPr>
    <w:rPr>
      <w:kern w:val="0"/>
      <w:sz w:val="21"/>
    </w:rPr>
  </w:style>
  <w:style w:type="paragraph" w:customStyle="1" w:styleId="471">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b/>
      <w:kern w:val="0"/>
      <w:sz w:val="24"/>
    </w:rPr>
  </w:style>
  <w:style w:type="paragraph" w:customStyle="1" w:styleId="472">
    <w:name w:val="样式 正文缩进 + 首行缩进:  2 字符"/>
    <w:basedOn w:val="473"/>
    <w:qFormat/>
    <w:uiPriority w:val="99"/>
    <w:pPr>
      <w:spacing w:line="360" w:lineRule="auto"/>
      <w:ind w:firstLine="200"/>
    </w:pPr>
    <w:rPr>
      <w:rFonts w:ascii="Calibri" w:hAnsi="Calibri"/>
      <w:sz w:val="24"/>
      <w:szCs w:val="24"/>
    </w:rPr>
  </w:style>
  <w:style w:type="paragraph" w:customStyle="1" w:styleId="473">
    <w:name w:val="正文缩进_0"/>
    <w:basedOn w:val="368"/>
    <w:qFormat/>
    <w:uiPriority w:val="0"/>
    <w:pPr>
      <w:ind w:firstLine="420"/>
    </w:pPr>
    <w:rPr>
      <w:rFonts w:ascii="Times New Roman" w:hAnsi="Times New Roman"/>
      <w:kern w:val="0"/>
      <w:szCs w:val="20"/>
    </w:rPr>
  </w:style>
  <w:style w:type="paragraph" w:customStyle="1" w:styleId="474">
    <w:name w:val="列出段落2"/>
    <w:basedOn w:val="1"/>
    <w:qFormat/>
    <w:uiPriority w:val="0"/>
    <w:pPr>
      <w:spacing w:before="100" w:beforeAutospacing="1" w:after="100" w:afterAutospacing="1" w:line="300" w:lineRule="auto"/>
      <w:ind w:firstLine="420" w:firstLineChars="200"/>
    </w:pPr>
    <w:rPr>
      <w:sz w:val="21"/>
    </w:rPr>
  </w:style>
  <w:style w:type="paragraph" w:customStyle="1" w:styleId="475">
    <w:name w:val="xl5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rPr>
  </w:style>
  <w:style w:type="paragraph" w:customStyle="1" w:styleId="476">
    <w:name w:val="font1"/>
    <w:basedOn w:val="1"/>
    <w:qFormat/>
    <w:uiPriority w:val="0"/>
    <w:pPr>
      <w:widowControl/>
      <w:spacing w:before="100" w:beforeAutospacing="1" w:after="100" w:afterAutospacing="1"/>
      <w:jc w:val="left"/>
    </w:pPr>
    <w:rPr>
      <w:rFonts w:ascii="宋体" w:hAnsi="宋体"/>
      <w:color w:val="000000"/>
      <w:kern w:val="0"/>
      <w:sz w:val="20"/>
    </w:rPr>
  </w:style>
  <w:style w:type="paragraph" w:customStyle="1" w:styleId="477">
    <w:name w:val="表格"/>
    <w:basedOn w:val="1"/>
    <w:qFormat/>
    <w:uiPriority w:val="0"/>
    <w:pPr>
      <w:textAlignment w:val="center"/>
    </w:pPr>
    <w:rPr>
      <w:rFonts w:ascii="华文细黑" w:hAnsi="华文细黑"/>
      <w:kern w:val="0"/>
      <w:sz w:val="21"/>
    </w:rPr>
  </w:style>
  <w:style w:type="paragraph" w:customStyle="1" w:styleId="478">
    <w:name w:val="font5"/>
    <w:basedOn w:val="1"/>
    <w:qFormat/>
    <w:uiPriority w:val="0"/>
    <w:pPr>
      <w:widowControl/>
      <w:spacing w:before="100" w:beforeAutospacing="1" w:after="100" w:afterAutospacing="1"/>
      <w:jc w:val="left"/>
    </w:pPr>
    <w:rPr>
      <w:rFonts w:hint="eastAsia" w:ascii="宋体" w:hAnsi="宋体"/>
      <w:kern w:val="0"/>
      <w:sz w:val="18"/>
    </w:rPr>
  </w:style>
  <w:style w:type="paragraph" w:customStyle="1" w:styleId="479">
    <w:name w:val="图表脚注"/>
    <w:next w:val="357"/>
    <w:qFormat/>
    <w:uiPriority w:val="0"/>
    <w:pPr>
      <w:ind w:left="300" w:leftChars="200" w:hanging="100" w:hangingChars="100"/>
      <w:jc w:val="both"/>
    </w:pPr>
    <w:rPr>
      <w:rFonts w:ascii="宋体" w:hAnsi="Calibri" w:eastAsia="宋体" w:cs="Times New Roman"/>
      <w:sz w:val="18"/>
      <w:lang w:val="en-US" w:eastAsia="zh-CN" w:bidi="ar-SA"/>
    </w:rPr>
  </w:style>
  <w:style w:type="paragraph" w:customStyle="1" w:styleId="480">
    <w:name w:val="末级"/>
    <w:basedOn w:val="1"/>
    <w:qFormat/>
    <w:uiPriority w:val="0"/>
    <w:pPr>
      <w:tabs>
        <w:tab w:val="left" w:pos="851"/>
      </w:tabs>
      <w:spacing w:line="360" w:lineRule="auto"/>
      <w:ind w:firstLine="510"/>
    </w:pPr>
    <w:rPr>
      <w:sz w:val="24"/>
    </w:rPr>
  </w:style>
  <w:style w:type="paragraph" w:customStyle="1" w:styleId="481">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lang w:val="en-US" w:eastAsia="zh-CN" w:bidi="ar-SA"/>
    </w:rPr>
  </w:style>
  <w:style w:type="paragraph" w:customStyle="1" w:styleId="482">
    <w:name w:val="Char Char Char Char Char Char Char Char Char Char Char Char Char Char Char Char Char Char Char Char Char Char Char Char Char"/>
    <w:basedOn w:val="1"/>
    <w:qFormat/>
    <w:uiPriority w:val="0"/>
    <w:rPr>
      <w:rFonts w:ascii="Tahoma" w:hAnsi="Tahoma"/>
      <w:sz w:val="24"/>
    </w:rPr>
  </w:style>
  <w:style w:type="paragraph" w:customStyle="1" w:styleId="483">
    <w:name w:val="bold_10"/>
    <w:basedOn w:val="1"/>
    <w:next w:val="1"/>
    <w:qFormat/>
    <w:uiPriority w:val="0"/>
    <w:pPr>
      <w:widowControl/>
    </w:pPr>
    <w:rPr>
      <w:rFonts w:ascii="Arial" w:hAnsi="Arial"/>
      <w:b/>
      <w:kern w:val="0"/>
      <w:sz w:val="20"/>
      <w:lang w:val="en-AU"/>
    </w:rPr>
  </w:style>
  <w:style w:type="paragraph" w:customStyle="1" w:styleId="484">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5">
    <w:name w:val="p18"/>
    <w:basedOn w:val="1"/>
    <w:qFormat/>
    <w:uiPriority w:val="99"/>
    <w:pPr>
      <w:widowControl/>
      <w:spacing w:line="500" w:lineRule="atLeast"/>
      <w:ind w:firstLine="420"/>
    </w:pPr>
    <w:rPr>
      <w:kern w:val="0"/>
      <w:szCs w:val="28"/>
    </w:rPr>
  </w:style>
  <w:style w:type="paragraph" w:customStyle="1" w:styleId="486">
    <w:name w:val="xl5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rPr>
  </w:style>
  <w:style w:type="paragraph" w:customStyle="1" w:styleId="487">
    <w:name w:val="xl5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方正姚体" w:hAnsi="宋体" w:eastAsia="方正姚体"/>
      <w:color w:val="000000"/>
      <w:kern w:val="0"/>
      <w:sz w:val="20"/>
    </w:rPr>
  </w:style>
  <w:style w:type="paragraph" w:customStyle="1" w:styleId="488">
    <w:name w:val="xl32"/>
    <w:basedOn w:val="1"/>
    <w:qFormat/>
    <w:uiPriority w:val="0"/>
    <w:pPr>
      <w:widowControl/>
      <w:spacing w:before="100" w:beforeAutospacing="1" w:after="100" w:afterAutospacing="1"/>
    </w:pPr>
    <w:rPr>
      <w:rFonts w:ascii="Arial Unicode MS" w:hAnsi="Arial Unicode MS" w:eastAsia="Arial Unicode MS"/>
      <w:b/>
      <w:kern w:val="0"/>
      <w:sz w:val="40"/>
    </w:rPr>
  </w:style>
  <w:style w:type="paragraph" w:customStyle="1" w:styleId="489">
    <w:name w:val="封面一致性程度标识"/>
    <w:qFormat/>
    <w:uiPriority w:val="0"/>
    <w:pPr>
      <w:spacing w:before="440" w:line="400" w:lineRule="exact"/>
      <w:jc w:val="center"/>
    </w:pPr>
    <w:rPr>
      <w:rFonts w:ascii="宋体" w:hAnsi="Calibri" w:eastAsia="宋体" w:cs="Times New Roman"/>
      <w:sz w:val="28"/>
      <w:lang w:val="en-US" w:eastAsia="zh-CN" w:bidi="ar-SA"/>
    </w:rPr>
  </w:style>
  <w:style w:type="paragraph" w:customStyle="1" w:styleId="490">
    <w:name w:val="Char Char3"/>
    <w:basedOn w:val="33"/>
    <w:qFormat/>
    <w:uiPriority w:val="0"/>
    <w:rPr>
      <w:rFonts w:ascii="Tahoma" w:hAnsi="Tahoma"/>
      <w:sz w:val="24"/>
    </w:rPr>
  </w:style>
  <w:style w:type="paragraph" w:customStyle="1" w:styleId="491">
    <w:name w:val="多级符号2"/>
    <w:basedOn w:val="492"/>
    <w:qFormat/>
    <w:uiPriority w:val="0"/>
    <w:pPr>
      <w:outlineLvl w:val="9"/>
    </w:pPr>
    <w:rPr>
      <w:b w:val="0"/>
      <w:sz w:val="24"/>
    </w:rPr>
  </w:style>
  <w:style w:type="paragraph" w:customStyle="1" w:styleId="492">
    <w:name w:val="多级符号1"/>
    <w:basedOn w:val="1"/>
    <w:next w:val="1"/>
    <w:qFormat/>
    <w:uiPriority w:val="0"/>
    <w:pPr>
      <w:spacing w:line="360" w:lineRule="auto"/>
      <w:jc w:val="left"/>
      <w:outlineLvl w:val="0"/>
    </w:pPr>
    <w:rPr>
      <w:rFonts w:eastAsia="仿宋_GB2312"/>
      <w:b/>
      <w:sz w:val="30"/>
    </w:rPr>
  </w:style>
  <w:style w:type="paragraph" w:customStyle="1" w:styleId="493">
    <w:name w:val="reader-word-layer reader-word-s1-9"/>
    <w:basedOn w:val="1"/>
    <w:qFormat/>
    <w:uiPriority w:val="0"/>
    <w:pPr>
      <w:widowControl/>
      <w:spacing w:before="100" w:beforeAutospacing="1" w:after="100" w:afterAutospacing="1"/>
      <w:jc w:val="left"/>
    </w:pPr>
    <w:rPr>
      <w:rFonts w:ascii="宋体" w:hAnsi="宋体"/>
      <w:kern w:val="0"/>
      <w:sz w:val="24"/>
    </w:rPr>
  </w:style>
  <w:style w:type="paragraph" w:customStyle="1" w:styleId="494">
    <w:name w:val="xl29"/>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pPr>
    <w:rPr>
      <w:rFonts w:ascii="Arial Unicode MS" w:hAnsi="Arial Unicode MS" w:eastAsia="Arial Unicode MS"/>
      <w:b/>
      <w:color w:val="FF0000"/>
      <w:kern w:val="0"/>
      <w:sz w:val="24"/>
    </w:rPr>
  </w:style>
  <w:style w:type="paragraph" w:customStyle="1" w:styleId="495">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496">
    <w:name w:val="彩色底纹 - 着色 11"/>
    <w:qFormat/>
    <w:uiPriority w:val="0"/>
    <w:rPr>
      <w:rFonts w:ascii="Calibri" w:hAnsi="Calibri" w:eastAsia="宋体" w:cs="Times New Roman"/>
      <w:kern w:val="2"/>
      <w:sz w:val="21"/>
      <w:lang w:val="en-US" w:eastAsia="zh-CN" w:bidi="ar-SA"/>
    </w:rPr>
  </w:style>
  <w:style w:type="paragraph" w:customStyle="1" w:styleId="497">
    <w:name w:val="xl5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rPr>
  </w:style>
  <w:style w:type="paragraph" w:customStyle="1" w:styleId="498">
    <w:name w:val="正文文字缩进 2"/>
    <w:basedOn w:val="1"/>
    <w:qFormat/>
    <w:uiPriority w:val="0"/>
    <w:pPr>
      <w:widowControl/>
      <w:spacing w:line="351" w:lineRule="atLeast"/>
      <w:ind w:firstLine="481"/>
      <w:textAlignment w:val="baseline"/>
    </w:pPr>
    <w:rPr>
      <w:rFonts w:ascii="仿宋_GB2312" w:eastAsia="仿宋_GB2312"/>
      <w:color w:val="000000"/>
      <w:kern w:val="0"/>
      <w:sz w:val="24"/>
      <w:u w:color="000000"/>
    </w:rPr>
  </w:style>
  <w:style w:type="paragraph" w:customStyle="1" w:styleId="499">
    <w:name w:val="xl558"/>
    <w:basedOn w:val="1"/>
    <w:qFormat/>
    <w:uiPriority w:val="0"/>
    <w:pPr>
      <w:widowControl/>
      <w:spacing w:before="100" w:beforeAutospacing="1" w:after="100" w:afterAutospacing="1"/>
      <w:jc w:val="left"/>
    </w:pPr>
    <w:rPr>
      <w:rFonts w:ascii="宋体" w:hAnsi="宋体"/>
      <w:kern w:val="0"/>
      <w:sz w:val="20"/>
    </w:rPr>
  </w:style>
  <w:style w:type="paragraph" w:customStyle="1" w:styleId="500">
    <w:name w:val="Table textB"/>
    <w:basedOn w:val="1"/>
    <w:next w:val="1"/>
    <w:qFormat/>
    <w:uiPriority w:val="0"/>
    <w:pPr>
      <w:widowControl/>
      <w:spacing w:before="80" w:after="80"/>
      <w:jc w:val="center"/>
    </w:pPr>
    <w:rPr>
      <w:rFonts w:ascii="Arial" w:hAnsi="Arial"/>
      <w:b/>
      <w:spacing w:val="-5"/>
      <w:kern w:val="0"/>
      <w:sz w:val="18"/>
    </w:rPr>
  </w:style>
  <w:style w:type="paragraph" w:customStyle="1" w:styleId="501">
    <w:name w:val="封面标准代替信息"/>
    <w:basedOn w:val="502"/>
    <w:qFormat/>
    <w:uiPriority w:val="0"/>
    <w:pPr>
      <w:spacing w:before="57"/>
    </w:pPr>
    <w:rPr>
      <w:rFonts w:ascii="宋体"/>
      <w:sz w:val="21"/>
    </w:rPr>
  </w:style>
  <w:style w:type="paragraph" w:customStyle="1" w:styleId="502">
    <w:name w:val="封面标准号2"/>
    <w:basedOn w:val="503"/>
    <w:qFormat/>
    <w:uiPriority w:val="0"/>
    <w:pPr>
      <w:adjustRightInd w:val="0"/>
      <w:spacing w:before="357" w:line="280" w:lineRule="exact"/>
    </w:pPr>
  </w:style>
  <w:style w:type="paragraph" w:customStyle="1" w:styleId="503">
    <w:name w:val="封面标准号1"/>
    <w:qFormat/>
    <w:uiPriority w:val="0"/>
    <w:pPr>
      <w:widowControl w:val="0"/>
      <w:kinsoku w:val="0"/>
      <w:overflowPunct w:val="0"/>
      <w:autoSpaceDE w:val="0"/>
      <w:autoSpaceDN w:val="0"/>
      <w:spacing w:before="308"/>
      <w:jc w:val="right"/>
      <w:textAlignment w:val="center"/>
    </w:pPr>
    <w:rPr>
      <w:rFonts w:ascii="Calibri" w:hAnsi="Calibri" w:eastAsia="宋体" w:cs="Times New Roman"/>
      <w:sz w:val="28"/>
      <w:lang w:val="en-US" w:eastAsia="zh-CN" w:bidi="ar-SA"/>
    </w:rPr>
  </w:style>
  <w:style w:type="paragraph" w:customStyle="1" w:styleId="504">
    <w:name w:val="flName"/>
    <w:basedOn w:val="1"/>
    <w:qFormat/>
    <w:uiPriority w:val="0"/>
    <w:pPr>
      <w:adjustRightInd w:val="0"/>
      <w:spacing w:before="320" w:after="160" w:line="360" w:lineRule="atLeast"/>
      <w:jc w:val="center"/>
      <w:textAlignment w:val="baseline"/>
    </w:pPr>
    <w:rPr>
      <w:rFonts w:ascii="Arial" w:eastAsia="黑体"/>
      <w:kern w:val="0"/>
      <w:sz w:val="32"/>
    </w:rPr>
  </w:style>
  <w:style w:type="paragraph" w:customStyle="1" w:styleId="505">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506">
    <w:name w:val="目次、标准名称标题"/>
    <w:basedOn w:val="1"/>
    <w:next w:val="357"/>
    <w:qFormat/>
    <w:uiPriority w:val="0"/>
    <w:pPr>
      <w:widowControl/>
      <w:shd w:val="clear" w:color="FFFFFF" w:fill="FFFFFF"/>
      <w:spacing w:before="640" w:after="560" w:line="460" w:lineRule="exact"/>
      <w:jc w:val="center"/>
      <w:outlineLvl w:val="0"/>
    </w:pPr>
    <w:rPr>
      <w:rFonts w:ascii="黑体" w:eastAsia="黑体"/>
      <w:kern w:val="0"/>
      <w:sz w:val="32"/>
    </w:rPr>
  </w:style>
  <w:style w:type="paragraph" w:customStyle="1" w:styleId="507">
    <w:name w:val="表中"/>
    <w:basedOn w:val="1"/>
    <w:qFormat/>
    <w:uiPriority w:val="0"/>
    <w:pPr>
      <w:autoSpaceDE w:val="0"/>
      <w:autoSpaceDN w:val="0"/>
      <w:adjustRightInd w:val="0"/>
      <w:spacing w:line="360" w:lineRule="atLeast"/>
    </w:pPr>
    <w:rPr>
      <w:rFonts w:ascii="宋体"/>
      <w:kern w:val="0"/>
      <w:sz w:val="21"/>
    </w:rPr>
  </w:style>
  <w:style w:type="paragraph" w:customStyle="1" w:styleId="508">
    <w:name w:val="1 Char Char Char"/>
    <w:basedOn w:val="1"/>
    <w:next w:val="7"/>
    <w:qFormat/>
    <w:uiPriority w:val="0"/>
    <w:pPr>
      <w:spacing w:line="500" w:lineRule="exact"/>
      <w:ind w:firstLine="200"/>
      <w:jc w:val="center"/>
    </w:pPr>
    <w:rPr>
      <w:rFonts w:ascii="仿宋_GB2312" w:hAnsi="Arial" w:eastAsia="仿宋_GB2312"/>
      <w:sz w:val="32"/>
    </w:rPr>
  </w:style>
  <w:style w:type="paragraph" w:customStyle="1" w:styleId="509">
    <w:name w:val="样式2"/>
    <w:basedOn w:val="77"/>
    <w:qFormat/>
    <w:uiPriority w:val="0"/>
    <w:pPr>
      <w:ind w:left="200" w:leftChars="200" w:hanging="200" w:hangingChars="200"/>
      <w:jc w:val="both"/>
    </w:pPr>
    <w:rPr>
      <w:rFonts w:ascii="Times New Roman" w:hAnsi="Times New Roman"/>
      <w:smallCaps w:val="0"/>
      <w:sz w:val="21"/>
    </w:rPr>
  </w:style>
  <w:style w:type="paragraph" w:customStyle="1" w:styleId="510">
    <w:name w:val="样式 标题 4 + 五号"/>
    <w:basedOn w:val="8"/>
    <w:qFormat/>
    <w:uiPriority w:val="0"/>
    <w:rPr>
      <w:kern w:val="0"/>
      <w:sz w:val="21"/>
    </w:rPr>
  </w:style>
  <w:style w:type="paragraph" w:customStyle="1" w:styleId="511">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olor w:val="FF0000"/>
      <w:kern w:val="0"/>
      <w:sz w:val="24"/>
    </w:rPr>
  </w:style>
  <w:style w:type="paragraph" w:customStyle="1" w:styleId="512">
    <w:name w:val="字元 字元 Char Char Char 字元 字元 Char 字元 字元 Char Char 字元 字元1 Char Char Char Char Char Char 字元 字元"/>
    <w:basedOn w:val="1"/>
    <w:qFormat/>
    <w:uiPriority w:val="0"/>
    <w:rPr>
      <w:rFonts w:ascii="Tahoma" w:hAnsi="Tahoma"/>
      <w:sz w:val="24"/>
    </w:rPr>
  </w:style>
  <w:style w:type="paragraph" w:customStyle="1" w:styleId="513">
    <w:name w:val="Default"/>
    <w:next w:val="514"/>
    <w:qFormat/>
    <w:uiPriority w:val="0"/>
    <w:pPr>
      <w:widowControl w:val="0"/>
      <w:autoSpaceDE w:val="0"/>
      <w:autoSpaceDN w:val="0"/>
      <w:adjustRightInd w:val="0"/>
    </w:pPr>
    <w:rPr>
      <w:rFonts w:ascii="Arial" w:hAnsi="Arial" w:eastAsia="宋体" w:cs="Times New Roman"/>
      <w:color w:val="000000"/>
      <w:sz w:val="24"/>
      <w:lang w:val="en-US" w:eastAsia="zh-CN" w:bidi="ar-SA"/>
    </w:rPr>
  </w:style>
  <w:style w:type="paragraph" w:customStyle="1" w:styleId="514">
    <w:name w:val="目录 71"/>
    <w:next w:val="1"/>
    <w:qFormat/>
    <w:uiPriority w:val="0"/>
    <w:pPr>
      <w:wordWrap w:val="0"/>
      <w:ind w:left="2550"/>
      <w:jc w:val="both"/>
    </w:pPr>
    <w:rPr>
      <w:rFonts w:ascii="宋体" w:hAnsi="宋体" w:eastAsia="Times New Roman" w:cs="Times New Roman"/>
      <w:sz w:val="21"/>
      <w:lang w:val="en-US" w:eastAsia="zh-CN" w:bidi="ar-SA"/>
    </w:rPr>
  </w:style>
  <w:style w:type="paragraph" w:customStyle="1" w:styleId="515">
    <w:name w:val="Char11"/>
    <w:basedOn w:val="1"/>
    <w:qFormat/>
    <w:uiPriority w:val="0"/>
    <w:pPr>
      <w:widowControl/>
      <w:spacing w:after="160" w:line="240" w:lineRule="exact"/>
      <w:jc w:val="left"/>
    </w:pPr>
    <w:rPr>
      <w:rFonts w:ascii="Tahoma" w:hAnsi="Tahoma"/>
      <w:kern w:val="0"/>
      <w:sz w:val="24"/>
      <w:lang w:eastAsia="en-US"/>
    </w:rPr>
  </w:style>
  <w:style w:type="paragraph" w:customStyle="1" w:styleId="516">
    <w:name w:val="数字编号列项（二级）"/>
    <w:qFormat/>
    <w:uiPriority w:val="0"/>
    <w:pPr>
      <w:ind w:left="1260" w:leftChars="400" w:hanging="420" w:hangingChars="200"/>
      <w:jc w:val="both"/>
    </w:pPr>
    <w:rPr>
      <w:rFonts w:ascii="宋体" w:hAnsi="Calibri" w:eastAsia="宋体" w:cs="Times New Roman"/>
      <w:lang w:val="en-US" w:eastAsia="zh-CN" w:bidi="ar-SA"/>
    </w:rPr>
  </w:style>
  <w:style w:type="paragraph" w:customStyle="1" w:styleId="517">
    <w:name w:val="Char Char Char1 Char Char Char Char Char Char Char Char Char Char Char Char Char"/>
    <w:basedOn w:val="1"/>
    <w:qFormat/>
    <w:uiPriority w:val="0"/>
    <w:rPr>
      <w:rFonts w:ascii="Tahoma" w:hAnsi="Tahoma"/>
      <w:sz w:val="24"/>
    </w:rPr>
  </w:style>
  <w:style w:type="paragraph" w:customStyle="1" w:styleId="518">
    <w:name w:val="参考文献、索引标题"/>
    <w:basedOn w:val="446"/>
    <w:next w:val="1"/>
    <w:qFormat/>
    <w:uiPriority w:val="0"/>
    <w:pPr>
      <w:spacing w:after="200"/>
    </w:pPr>
    <w:rPr>
      <w:sz w:val="21"/>
    </w:rPr>
  </w:style>
  <w:style w:type="paragraph" w:customStyle="1" w:styleId="519">
    <w:name w:val="xl36"/>
    <w:basedOn w:val="1"/>
    <w:qFormat/>
    <w:uiPriority w:val="0"/>
    <w:pPr>
      <w:widowControl/>
      <w:pBdr>
        <w:top w:val="single" w:color="auto" w:sz="4" w:space="0"/>
        <w:left w:val="single" w:color="auto" w:sz="8" w:space="0"/>
        <w:bottom w:val="single" w:color="auto" w:sz="8" w:space="0"/>
      </w:pBdr>
      <w:spacing w:before="100" w:beforeAutospacing="1" w:after="100" w:afterAutospacing="1"/>
    </w:pPr>
    <w:rPr>
      <w:rFonts w:ascii="Arial Unicode MS" w:hAnsi="Arial Unicode MS" w:eastAsia="Arial Unicode MS"/>
      <w:b/>
      <w:kern w:val="0"/>
      <w:sz w:val="36"/>
    </w:rPr>
  </w:style>
  <w:style w:type="paragraph" w:customStyle="1" w:styleId="520">
    <w:name w:val="xl33"/>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pPr>
    <w:rPr>
      <w:rFonts w:ascii="Arial Unicode MS" w:hAnsi="Arial Unicode MS" w:eastAsia="Arial Unicode MS"/>
      <w:b/>
      <w:kern w:val="0"/>
      <w:sz w:val="36"/>
    </w:rPr>
  </w:style>
  <w:style w:type="paragraph" w:customStyle="1" w:styleId="521">
    <w:name w:val="纯文本2"/>
    <w:basedOn w:val="1"/>
    <w:qFormat/>
    <w:uiPriority w:val="0"/>
    <w:pPr>
      <w:adjustRightInd w:val="0"/>
      <w:spacing w:line="360" w:lineRule="atLeast"/>
      <w:textAlignment w:val="baseline"/>
    </w:pPr>
    <w:rPr>
      <w:rFonts w:ascii="宋体" w:hAnsi="Courier New"/>
    </w:rPr>
  </w:style>
  <w:style w:type="paragraph" w:customStyle="1" w:styleId="522">
    <w:name w:val="Körper"/>
    <w:basedOn w:val="1"/>
    <w:qFormat/>
    <w:uiPriority w:val="0"/>
    <w:pPr>
      <w:widowControl/>
      <w:spacing w:before="120" w:line="240" w:lineRule="exact"/>
    </w:pPr>
    <w:rPr>
      <w:rFonts w:ascii="Arial" w:hAnsi="Arial"/>
      <w:kern w:val="0"/>
      <w:sz w:val="20"/>
      <w:lang w:val="de-DE" w:eastAsia="de-DE"/>
    </w:rPr>
  </w:style>
  <w:style w:type="paragraph" w:customStyle="1" w:styleId="523">
    <w:name w:val="2"/>
    <w:basedOn w:val="1"/>
    <w:qFormat/>
    <w:uiPriority w:val="0"/>
    <w:rPr>
      <w:rFonts w:ascii="Tahoma" w:hAnsi="Tahoma"/>
      <w:sz w:val="24"/>
    </w:rPr>
  </w:style>
  <w:style w:type="paragraph" w:customStyle="1" w:styleId="524">
    <w:name w:val="正文2 Char Char Char Char Char Char Char Char Char Char Char Char1 Char Char Char Char Char Char Char Char1 Char Char Char Char Char Char"/>
    <w:basedOn w:val="1"/>
    <w:qFormat/>
    <w:uiPriority w:val="0"/>
    <w:pPr>
      <w:widowControl/>
      <w:spacing w:line="400" w:lineRule="exact"/>
    </w:pPr>
    <w:rPr>
      <w:rFonts w:ascii="Verdana" w:hAnsi="Verdana" w:eastAsia="楷体_GB2312"/>
      <w:kern w:val="0"/>
      <w:lang w:eastAsia="en-US"/>
    </w:rPr>
  </w:style>
  <w:style w:type="paragraph" w:customStyle="1" w:styleId="525">
    <w:name w:val="金宏发行正文 Char"/>
    <w:basedOn w:val="1"/>
    <w:qFormat/>
    <w:uiPriority w:val="99"/>
    <w:pPr>
      <w:spacing w:line="500" w:lineRule="atLeast"/>
      <w:ind w:firstLine="560" w:firstLineChars="200"/>
    </w:pPr>
    <w:rPr>
      <w:rFonts w:ascii="Times New Roman" w:hAnsi="Times New Roman" w:eastAsia="仿宋_GB2312"/>
      <w:szCs w:val="28"/>
    </w:rPr>
  </w:style>
  <w:style w:type="paragraph" w:customStyle="1" w:styleId="526">
    <w:name w:val="样式 三号 加粗 居中"/>
    <w:basedOn w:val="1"/>
    <w:qFormat/>
    <w:uiPriority w:val="0"/>
    <w:pPr>
      <w:spacing w:line="360" w:lineRule="auto"/>
      <w:jc w:val="center"/>
    </w:pPr>
    <w:rPr>
      <w:b/>
      <w:sz w:val="32"/>
    </w:rPr>
  </w:style>
  <w:style w:type="paragraph" w:customStyle="1" w:styleId="527">
    <w:name w:val="标准称谓"/>
    <w:next w:val="1"/>
    <w:qFormat/>
    <w:uiPriority w:val="0"/>
    <w:pPr>
      <w:widowControl w:val="0"/>
      <w:kinsoku w:val="0"/>
      <w:overflowPunct w:val="0"/>
      <w:autoSpaceDE w:val="0"/>
      <w:autoSpaceDN w:val="0"/>
      <w:spacing w:line="0" w:lineRule="atLeast"/>
      <w:jc w:val="distribute"/>
    </w:pPr>
    <w:rPr>
      <w:rFonts w:ascii="宋体" w:hAnsi="Calibri" w:eastAsia="宋体" w:cs="Times New Roman"/>
      <w:b/>
      <w:spacing w:val="20"/>
      <w:w w:val="148"/>
      <w:sz w:val="52"/>
      <w:lang w:val="en-US" w:eastAsia="zh-CN" w:bidi="ar-SA"/>
    </w:rPr>
  </w:style>
  <w:style w:type="paragraph" w:customStyle="1" w:styleId="528">
    <w:name w:val="标准书眉_奇数页"/>
    <w:next w:val="1"/>
    <w:qFormat/>
    <w:uiPriority w:val="0"/>
    <w:pPr>
      <w:tabs>
        <w:tab w:val="center" w:pos="4154"/>
        <w:tab w:val="right" w:pos="8306"/>
      </w:tabs>
      <w:spacing w:after="120"/>
      <w:jc w:val="right"/>
    </w:pPr>
    <w:rPr>
      <w:rFonts w:ascii="Calibri" w:hAnsi="Calibri" w:eastAsia="宋体" w:cs="Times New Roman"/>
      <w:sz w:val="21"/>
      <w:lang w:val="en-US" w:eastAsia="zh-CN" w:bidi="ar-SA"/>
    </w:rPr>
  </w:style>
  <w:style w:type="paragraph" w:customStyle="1" w:styleId="529">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华文楷体" w:hAnsi="华文楷体" w:eastAsia="华文楷体"/>
      <w:kern w:val="0"/>
      <w:sz w:val="24"/>
    </w:rPr>
  </w:style>
  <w:style w:type="paragraph" w:customStyle="1" w:styleId="530">
    <w:name w:val="xl6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华文楷体" w:hAnsi="华文楷体" w:eastAsia="华文楷体"/>
      <w:kern w:val="0"/>
      <w:sz w:val="24"/>
    </w:rPr>
  </w:style>
  <w:style w:type="paragraph" w:customStyle="1" w:styleId="531">
    <w:name w:val="xl31"/>
    <w:basedOn w:val="1"/>
    <w:qFormat/>
    <w:uiPriority w:val="0"/>
    <w:pPr>
      <w:widowControl/>
      <w:pBdr>
        <w:bottom w:val="single" w:color="auto" w:sz="4" w:space="0"/>
      </w:pBdr>
      <w:spacing w:before="100" w:beforeAutospacing="1" w:after="100" w:afterAutospacing="1"/>
      <w:jc w:val="center"/>
    </w:pPr>
    <w:rPr>
      <w:rFonts w:ascii="宋体" w:hAnsi="宋体"/>
      <w:kern w:val="0"/>
      <w:sz w:val="24"/>
    </w:rPr>
  </w:style>
  <w:style w:type="paragraph" w:customStyle="1" w:styleId="532">
    <w:name w:val="修订2"/>
    <w:qFormat/>
    <w:uiPriority w:val="0"/>
    <w:rPr>
      <w:rFonts w:ascii="Calibri" w:hAnsi="Calibri" w:eastAsia="宋体" w:cs="Times New Roman"/>
      <w:kern w:val="2"/>
      <w:sz w:val="28"/>
      <w:lang w:val="en-US" w:eastAsia="zh-CN" w:bidi="ar-SA"/>
    </w:rPr>
  </w:style>
  <w:style w:type="paragraph" w:customStyle="1" w:styleId="533">
    <w:name w:val="标题4"/>
    <w:basedOn w:val="1"/>
    <w:qFormat/>
    <w:uiPriority w:val="0"/>
    <w:rPr>
      <w:rFonts w:eastAsia="仿宋_GB2312"/>
      <w:sz w:val="32"/>
    </w:rPr>
  </w:style>
  <w:style w:type="paragraph" w:customStyle="1" w:styleId="534">
    <w:name w:val="3级"/>
    <w:basedOn w:val="1"/>
    <w:qFormat/>
    <w:uiPriority w:val="0"/>
    <w:pPr>
      <w:snapToGrid w:val="0"/>
      <w:spacing w:afterLines="30" w:line="360" w:lineRule="auto"/>
      <w:ind w:firstLine="200" w:firstLineChars="200"/>
    </w:pPr>
    <w:rPr>
      <w:rFonts w:ascii="宋体" w:hAnsi="Tahoma"/>
      <w:b/>
      <w:color w:val="0000FF"/>
    </w:rPr>
  </w:style>
  <w:style w:type="paragraph" w:customStyle="1" w:styleId="535">
    <w:name w:val="章标题"/>
    <w:next w:val="357"/>
    <w:qFormat/>
    <w:uiPriority w:val="0"/>
    <w:pPr>
      <w:tabs>
        <w:tab w:val="left" w:pos="420"/>
        <w:tab w:val="left" w:pos="480"/>
      </w:tabs>
      <w:spacing w:beforeLines="50" w:afterLines="50"/>
      <w:ind w:left="480" w:hanging="480"/>
      <w:jc w:val="both"/>
      <w:outlineLvl w:val="1"/>
    </w:pPr>
    <w:rPr>
      <w:rFonts w:ascii="黑体" w:hAnsi="Calibri" w:eastAsia="黑体" w:cs="Times New Roman"/>
      <w:b/>
      <w:lang w:val="en-US" w:eastAsia="zh-CN" w:bidi="ar-SA"/>
    </w:rPr>
  </w:style>
  <w:style w:type="paragraph" w:customStyle="1" w:styleId="536">
    <w:name w:val="xl3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b/>
      <w:kern w:val="0"/>
      <w:sz w:val="36"/>
    </w:rPr>
  </w:style>
  <w:style w:type="paragraph" w:customStyle="1" w:styleId="537">
    <w:name w:val="图表小四中对齐"/>
    <w:basedOn w:val="1"/>
    <w:qFormat/>
    <w:uiPriority w:val="0"/>
    <w:pPr>
      <w:adjustRightInd w:val="0"/>
      <w:spacing w:line="360" w:lineRule="exact"/>
      <w:jc w:val="center"/>
      <w:textAlignment w:val="baseline"/>
    </w:pPr>
    <w:rPr>
      <w:color w:val="000000"/>
      <w:spacing w:val="-10"/>
      <w:sz w:val="24"/>
    </w:rPr>
  </w:style>
  <w:style w:type="paragraph" w:customStyle="1" w:styleId="538">
    <w:name w:val="标准书眉一"/>
    <w:qFormat/>
    <w:uiPriority w:val="0"/>
    <w:pPr>
      <w:jc w:val="both"/>
    </w:pPr>
    <w:rPr>
      <w:rFonts w:ascii="Calibri" w:hAnsi="Calibri" w:eastAsia="宋体" w:cs="Times New Roman"/>
      <w:lang w:val="en-US" w:eastAsia="zh-CN" w:bidi="ar-SA"/>
    </w:rPr>
  </w:style>
  <w:style w:type="paragraph" w:customStyle="1" w:styleId="539">
    <w:name w:val="Char Char Char Char Char Char3 Char Char Char Char Char Char Char Char Char Char"/>
    <w:basedOn w:val="1"/>
    <w:next w:val="1"/>
    <w:qFormat/>
    <w:uiPriority w:val="0"/>
    <w:rPr>
      <w:rFonts w:eastAsia="黑体"/>
    </w:rPr>
  </w:style>
  <w:style w:type="paragraph" w:customStyle="1" w:styleId="540">
    <w:name w:val="xl5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rPr>
  </w:style>
  <w:style w:type="paragraph" w:customStyle="1" w:styleId="541">
    <w:name w:val="正文 New New New New"/>
    <w:qFormat/>
    <w:uiPriority w:val="0"/>
    <w:pPr>
      <w:widowControl w:val="0"/>
      <w:jc w:val="both"/>
    </w:pPr>
    <w:rPr>
      <w:rFonts w:ascii="Calibri" w:hAnsi="Calibri" w:eastAsia="宋体" w:cs="Times New Roman"/>
      <w:sz w:val="21"/>
      <w:szCs w:val="24"/>
      <w:lang w:val="en-US" w:eastAsia="zh-CN" w:bidi="ar-SA"/>
    </w:rPr>
  </w:style>
  <w:style w:type="paragraph" w:customStyle="1" w:styleId="542">
    <w:name w:val="Char Char Char Char1"/>
    <w:basedOn w:val="1"/>
    <w:qFormat/>
    <w:uiPriority w:val="0"/>
    <w:rPr>
      <w:sz w:val="21"/>
    </w:rPr>
  </w:style>
  <w:style w:type="paragraph" w:customStyle="1" w:styleId="543">
    <w:name w:val="表文C"/>
    <w:basedOn w:val="1"/>
    <w:qFormat/>
    <w:uiPriority w:val="0"/>
    <w:pPr>
      <w:widowControl/>
      <w:tabs>
        <w:tab w:val="left" w:pos="0"/>
      </w:tabs>
      <w:adjustRightInd w:val="0"/>
      <w:snapToGrid w:val="0"/>
    </w:pPr>
    <w:rPr>
      <w:snapToGrid w:val="0"/>
      <w:kern w:val="0"/>
      <w:sz w:val="21"/>
    </w:rPr>
  </w:style>
  <w:style w:type="paragraph" w:customStyle="1" w:styleId="544">
    <w:name w:val="_Style 3"/>
    <w:qFormat/>
    <w:uiPriority w:val="0"/>
    <w:rPr>
      <w:rFonts w:ascii="Calibri" w:hAnsi="Calibri" w:eastAsia="宋体" w:cs="Times New Roman"/>
      <w:sz w:val="22"/>
      <w:szCs w:val="22"/>
      <w:lang w:val="en-US" w:eastAsia="zh-CN" w:bidi="ar-SA"/>
    </w:rPr>
  </w:style>
  <w:style w:type="paragraph" w:customStyle="1" w:styleId="545">
    <w:name w:val="font0"/>
    <w:basedOn w:val="1"/>
    <w:qFormat/>
    <w:uiPriority w:val="0"/>
    <w:pPr>
      <w:widowControl/>
      <w:spacing w:before="100" w:beforeAutospacing="1" w:after="100" w:afterAutospacing="1"/>
    </w:pPr>
    <w:rPr>
      <w:rFonts w:hint="eastAsia" w:ascii="宋体" w:hAnsi="宋体"/>
      <w:kern w:val="0"/>
      <w:sz w:val="24"/>
    </w:rPr>
  </w:style>
  <w:style w:type="paragraph" w:customStyle="1" w:styleId="546">
    <w:name w:val="一级条标题"/>
    <w:next w:val="357"/>
    <w:qFormat/>
    <w:uiPriority w:val="0"/>
    <w:pPr>
      <w:outlineLvl w:val="2"/>
    </w:pPr>
    <w:rPr>
      <w:rFonts w:ascii="Calibri" w:hAnsi="Calibri" w:eastAsia="黑体" w:cs="Times New Roman"/>
      <w:sz w:val="21"/>
      <w:lang w:val="en-US" w:eastAsia="zh-CN" w:bidi="ar-SA"/>
    </w:rPr>
  </w:style>
  <w:style w:type="paragraph" w:customStyle="1" w:styleId="547">
    <w:name w:val="注×："/>
    <w:qFormat/>
    <w:uiPriority w:val="0"/>
    <w:pPr>
      <w:widowControl w:val="0"/>
      <w:tabs>
        <w:tab w:val="left" w:pos="630"/>
        <w:tab w:val="left" w:pos="720"/>
      </w:tabs>
      <w:autoSpaceDE w:val="0"/>
      <w:autoSpaceDN w:val="0"/>
      <w:ind w:left="360" w:hanging="360"/>
      <w:jc w:val="both"/>
    </w:pPr>
    <w:rPr>
      <w:rFonts w:ascii="宋体" w:hAnsi="Calibri" w:eastAsia="宋体" w:cs="Times New Roman"/>
      <w:sz w:val="18"/>
      <w:lang w:val="en-US" w:eastAsia="zh-CN" w:bidi="ar-SA"/>
    </w:rPr>
  </w:style>
  <w:style w:type="paragraph" w:customStyle="1" w:styleId="548">
    <w:name w:val="投标正文"/>
    <w:basedOn w:val="1"/>
    <w:qFormat/>
    <w:uiPriority w:val="0"/>
    <w:pPr>
      <w:spacing w:line="360" w:lineRule="auto"/>
      <w:ind w:left="100" w:firstLine="480" w:firstLineChars="200"/>
    </w:pPr>
    <w:rPr>
      <w:sz w:val="24"/>
      <w:szCs w:val="24"/>
    </w:rPr>
  </w:style>
  <w:style w:type="paragraph" w:customStyle="1" w:styleId="549">
    <w:name w:val="标题 0"/>
    <w:basedOn w:val="5"/>
    <w:qFormat/>
    <w:uiPriority w:val="0"/>
    <w:pPr>
      <w:keepNext w:val="0"/>
      <w:widowControl w:val="0"/>
      <w:autoSpaceDE w:val="0"/>
      <w:autoSpaceDN w:val="0"/>
      <w:adjustRightInd w:val="0"/>
      <w:spacing w:line="240" w:lineRule="auto"/>
      <w:jc w:val="left"/>
    </w:pPr>
    <w:rPr>
      <w:rFonts w:ascii="宋体"/>
      <w:snapToGrid w:val="0"/>
      <w:color w:val="000000"/>
      <w:sz w:val="44"/>
    </w:rPr>
  </w:style>
  <w:style w:type="paragraph" w:customStyle="1" w:styleId="550">
    <w:name w:val="标准标志"/>
    <w:next w:val="1"/>
    <w:qFormat/>
    <w:uiPriority w:val="0"/>
    <w:pPr>
      <w:shd w:val="solid" w:color="FFFFFF" w:fill="FFFFFF"/>
      <w:spacing w:line="0" w:lineRule="atLeast"/>
      <w:jc w:val="right"/>
    </w:pPr>
    <w:rPr>
      <w:rFonts w:ascii="Calibri" w:hAnsi="Calibri" w:eastAsia="宋体" w:cs="Times New Roman"/>
      <w:b/>
      <w:w w:val="130"/>
      <w:sz w:val="96"/>
      <w:lang w:val="en-US" w:eastAsia="zh-CN" w:bidi="ar-SA"/>
    </w:rPr>
  </w:style>
  <w:style w:type="paragraph" w:customStyle="1" w:styleId="551">
    <w:name w:val="条文脚注"/>
    <w:basedOn w:val="71"/>
    <w:qFormat/>
    <w:uiPriority w:val="0"/>
    <w:pPr>
      <w:ind w:left="780" w:leftChars="200" w:hanging="360" w:hangingChars="200"/>
      <w:jc w:val="both"/>
    </w:pPr>
    <w:rPr>
      <w:rFonts w:ascii="宋体"/>
    </w:rPr>
  </w:style>
  <w:style w:type="paragraph" w:customStyle="1" w:styleId="552">
    <w:name w:val="HTML 地址1"/>
    <w:basedOn w:val="1"/>
    <w:qFormat/>
    <w:uiPriority w:val="0"/>
    <w:rPr>
      <w:i/>
      <w:kern w:val="0"/>
      <w:sz w:val="20"/>
    </w:rPr>
  </w:style>
  <w:style w:type="paragraph" w:customStyle="1" w:styleId="553">
    <w:name w:val="表格5"/>
    <w:basedOn w:val="554"/>
    <w:qFormat/>
    <w:uiPriority w:val="0"/>
    <w:pPr>
      <w:ind w:left="1021" w:hanging="284"/>
    </w:pPr>
    <w:rPr>
      <w:rFonts w:ascii="宋体"/>
    </w:rPr>
  </w:style>
  <w:style w:type="paragraph" w:customStyle="1" w:styleId="554">
    <w:name w:val="表格2"/>
    <w:basedOn w:val="1"/>
    <w:qFormat/>
    <w:uiPriority w:val="0"/>
    <w:pPr>
      <w:adjustRightInd w:val="0"/>
      <w:spacing w:line="420" w:lineRule="atLeast"/>
      <w:ind w:left="284" w:firstLine="454"/>
      <w:textAlignment w:val="baseline"/>
    </w:pPr>
    <w:rPr>
      <w:kern w:val="0"/>
      <w:sz w:val="21"/>
    </w:rPr>
  </w:style>
  <w:style w:type="paragraph" w:customStyle="1" w:styleId="555">
    <w:name w:val="_Style 10"/>
    <w:basedOn w:val="1"/>
    <w:next w:val="1"/>
    <w:qFormat/>
    <w:uiPriority w:val="0"/>
    <w:rPr>
      <w:sz w:val="21"/>
    </w:rPr>
  </w:style>
  <w:style w:type="paragraph" w:customStyle="1" w:styleId="556">
    <w:name w:val="Char1"/>
    <w:basedOn w:val="1"/>
    <w:qFormat/>
    <w:uiPriority w:val="0"/>
    <w:rPr>
      <w:rFonts w:ascii="仿宋_GB2312" w:eastAsia="仿宋_GB2312"/>
      <w:b/>
      <w:sz w:val="32"/>
    </w:rPr>
  </w:style>
  <w:style w:type="paragraph" w:customStyle="1" w:styleId="557">
    <w:name w:val="Char Char Char Char Char Char Char Char Char Char Char Char1 Char"/>
    <w:basedOn w:val="33"/>
    <w:qFormat/>
    <w:uiPriority w:val="0"/>
    <w:rPr>
      <w:rFonts w:ascii="等线" w:hAnsi="等线"/>
      <w:sz w:val="21"/>
    </w:rPr>
  </w:style>
  <w:style w:type="paragraph" w:customStyle="1" w:styleId="558">
    <w:name w:val="Char Char2"/>
    <w:basedOn w:val="1"/>
    <w:qFormat/>
    <w:uiPriority w:val="0"/>
    <w:rPr>
      <w:rFonts w:ascii="Tahoma" w:hAnsi="Tahoma"/>
      <w:sz w:val="24"/>
    </w:rPr>
  </w:style>
  <w:style w:type="paragraph" w:customStyle="1" w:styleId="559">
    <w:name w:val="目录1"/>
    <w:basedOn w:val="1"/>
    <w:qFormat/>
    <w:uiPriority w:val="0"/>
    <w:pPr>
      <w:adjustRightInd w:val="0"/>
      <w:spacing w:line="420" w:lineRule="atLeast"/>
      <w:textAlignment w:val="baseline"/>
    </w:pPr>
    <w:rPr>
      <w:rFonts w:eastAsia="黑体"/>
      <w:b/>
      <w:kern w:val="0"/>
      <w:sz w:val="21"/>
    </w:rPr>
  </w:style>
  <w:style w:type="paragraph" w:customStyle="1" w:styleId="560">
    <w:name w:val="收件单位"/>
    <w:basedOn w:val="1"/>
    <w:qFormat/>
    <w:uiPriority w:val="0"/>
    <w:pPr>
      <w:tabs>
        <w:tab w:val="left" w:pos="1365"/>
      </w:tabs>
      <w:spacing w:beforeLines="100"/>
    </w:pPr>
    <w:rPr>
      <w:rFonts w:eastAsia="华文仿宋"/>
      <w:sz w:val="30"/>
    </w:rPr>
  </w:style>
  <w:style w:type="paragraph" w:customStyle="1" w:styleId="561">
    <w:name w:val="表内居中"/>
    <w:qFormat/>
    <w:uiPriority w:val="0"/>
    <w:pPr>
      <w:jc w:val="center"/>
    </w:pPr>
    <w:rPr>
      <w:rFonts w:ascii="Calibri" w:hAnsi="Calibri" w:eastAsia="宋体" w:cs="Times New Roman"/>
      <w:lang w:val="en-US" w:eastAsia="zh-CN" w:bidi="ar-SA"/>
    </w:rPr>
  </w:style>
  <w:style w:type="paragraph" w:customStyle="1" w:styleId="562">
    <w:name w:val="封面标准英文名称"/>
    <w:qFormat/>
    <w:uiPriority w:val="0"/>
    <w:pPr>
      <w:widowControl w:val="0"/>
      <w:spacing w:before="370" w:line="400" w:lineRule="exact"/>
      <w:jc w:val="center"/>
    </w:pPr>
    <w:rPr>
      <w:rFonts w:ascii="Calibri" w:hAnsi="Calibri" w:eastAsia="宋体" w:cs="Times New Roman"/>
      <w:sz w:val="28"/>
      <w:lang w:val="en-US" w:eastAsia="zh-CN" w:bidi="ar-SA"/>
    </w:rPr>
  </w:style>
  <w:style w:type="paragraph" w:customStyle="1" w:styleId="563">
    <w:name w:val="文献分类号"/>
    <w:qFormat/>
    <w:uiPriority w:val="0"/>
    <w:pPr>
      <w:widowControl w:val="0"/>
      <w:textAlignment w:val="center"/>
    </w:pPr>
    <w:rPr>
      <w:rFonts w:ascii="Calibri" w:hAnsi="Calibri" w:eastAsia="黑体" w:cs="Times New Roman"/>
      <w:sz w:val="21"/>
      <w:lang w:val="en-US" w:eastAsia="zh-CN" w:bidi="ar-SA"/>
    </w:rPr>
  </w:style>
  <w:style w:type="paragraph" w:customStyle="1" w:styleId="564">
    <w:name w:val="封面正文"/>
    <w:qFormat/>
    <w:uiPriority w:val="0"/>
    <w:pPr>
      <w:jc w:val="both"/>
    </w:pPr>
    <w:rPr>
      <w:rFonts w:ascii="Calibri" w:hAnsi="Calibri" w:eastAsia="宋体" w:cs="Times New Roman"/>
      <w:lang w:val="en-US" w:eastAsia="zh-CN" w:bidi="ar-SA"/>
    </w:rPr>
  </w:style>
  <w:style w:type="paragraph" w:customStyle="1" w:styleId="565">
    <w:name w:val="表格1"/>
    <w:basedOn w:val="1"/>
    <w:qFormat/>
    <w:uiPriority w:val="0"/>
    <w:pPr>
      <w:adjustRightInd w:val="0"/>
      <w:spacing w:line="420" w:lineRule="atLeast"/>
      <w:ind w:left="284"/>
      <w:textAlignment w:val="baseline"/>
    </w:pPr>
    <w:rPr>
      <w:kern w:val="0"/>
      <w:sz w:val="21"/>
    </w:rPr>
  </w:style>
  <w:style w:type="paragraph" w:customStyle="1" w:styleId="566">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567">
    <w:name w:val="xl27"/>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1"/>
    </w:rPr>
  </w:style>
  <w:style w:type="paragraph" w:customStyle="1" w:styleId="568">
    <w:name w:val="xl28"/>
    <w:basedOn w:val="1"/>
    <w:qFormat/>
    <w:uiPriority w:val="0"/>
    <w:pPr>
      <w:widowControl/>
      <w:pBdr>
        <w:top w:val="single" w:color="auto" w:sz="4" w:space="0"/>
        <w:left w:val="single" w:color="auto" w:sz="4" w:space="0"/>
        <w:bottom w:val="single" w:color="auto" w:sz="4" w:space="0"/>
        <w:right w:val="single" w:color="auto" w:sz="8" w:space="0"/>
      </w:pBdr>
      <w:shd w:val="clear" w:color="auto" w:fill="C0C0C0"/>
      <w:spacing w:before="100" w:beforeAutospacing="1" w:after="100" w:afterAutospacing="1"/>
    </w:pPr>
    <w:rPr>
      <w:rFonts w:ascii="Arial Unicode MS" w:hAnsi="Arial Unicode MS" w:eastAsia="Arial Unicode MS"/>
      <w:kern w:val="0"/>
      <w:sz w:val="24"/>
    </w:rPr>
  </w:style>
  <w:style w:type="paragraph" w:customStyle="1" w:styleId="569">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olor w:val="000000"/>
      <w:kern w:val="0"/>
      <w:sz w:val="21"/>
    </w:rPr>
  </w:style>
  <w:style w:type="paragraph" w:customStyle="1" w:styleId="570">
    <w:name w:val="附录表标题"/>
    <w:next w:val="357"/>
    <w:qFormat/>
    <w:uiPriority w:val="0"/>
    <w:pPr>
      <w:tabs>
        <w:tab w:val="left" w:pos="360"/>
        <w:tab w:val="left" w:pos="720"/>
      </w:tabs>
      <w:jc w:val="center"/>
      <w:textAlignment w:val="baseline"/>
    </w:pPr>
    <w:rPr>
      <w:rFonts w:ascii="黑体" w:hAnsi="Calibri" w:eastAsia="黑体" w:cs="Times New Roman"/>
      <w:kern w:val="21"/>
      <w:lang w:val="en-US" w:eastAsia="zh-CN" w:bidi="ar-SA"/>
    </w:rPr>
  </w:style>
  <w:style w:type="paragraph" w:customStyle="1" w:styleId="571">
    <w:name w:val="_Style 32"/>
    <w:basedOn w:val="1"/>
    <w:next w:val="438"/>
    <w:qFormat/>
    <w:uiPriority w:val="34"/>
    <w:pPr>
      <w:ind w:firstLine="420" w:firstLineChars="200"/>
    </w:pPr>
  </w:style>
  <w:style w:type="paragraph" w:customStyle="1" w:styleId="572">
    <w:name w:val="日期1"/>
    <w:basedOn w:val="1"/>
    <w:next w:val="1"/>
    <w:qFormat/>
    <w:uiPriority w:val="0"/>
    <w:pPr>
      <w:ind w:left="100" w:leftChars="2500"/>
    </w:pPr>
    <w:rPr>
      <w:kern w:val="0"/>
      <w:sz w:val="20"/>
    </w:rPr>
  </w:style>
  <w:style w:type="paragraph" w:customStyle="1" w:styleId="573">
    <w:name w:val="xl5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FF0000"/>
      <w:kern w:val="0"/>
      <w:sz w:val="20"/>
    </w:rPr>
  </w:style>
  <w:style w:type="paragraph" w:customStyle="1" w:styleId="574">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paragraph" w:customStyle="1" w:styleId="575">
    <w:name w:val="font6"/>
    <w:basedOn w:val="1"/>
    <w:qFormat/>
    <w:uiPriority w:val="0"/>
    <w:pPr>
      <w:widowControl/>
      <w:spacing w:before="100" w:beforeAutospacing="1" w:after="100" w:afterAutospacing="1"/>
    </w:pPr>
    <w:rPr>
      <w:rFonts w:hint="eastAsia" w:ascii="宋体" w:hAnsi="宋体"/>
      <w:b/>
      <w:kern w:val="0"/>
      <w:sz w:val="36"/>
      <w:u w:val="single"/>
    </w:rPr>
  </w:style>
  <w:style w:type="paragraph" w:customStyle="1" w:styleId="576">
    <w:name w:val="列项——（一级）"/>
    <w:qFormat/>
    <w:uiPriority w:val="0"/>
    <w:pPr>
      <w:widowControl w:val="0"/>
      <w:tabs>
        <w:tab w:val="left" w:pos="720"/>
        <w:tab w:val="left" w:pos="854"/>
      </w:tabs>
      <w:ind w:left="200" w:leftChars="200" w:hanging="200" w:hangingChars="200"/>
      <w:jc w:val="both"/>
    </w:pPr>
    <w:rPr>
      <w:rFonts w:ascii="宋体" w:hAnsi="Calibri" w:eastAsia="宋体" w:cs="Times New Roman"/>
      <w:lang w:val="en-US" w:eastAsia="zh-CN" w:bidi="ar-SA"/>
    </w:rPr>
  </w:style>
  <w:style w:type="paragraph" w:customStyle="1" w:styleId="577">
    <w:name w:val="19"/>
    <w:basedOn w:val="1"/>
    <w:qFormat/>
    <w:uiPriority w:val="0"/>
    <w:pPr>
      <w:widowControl/>
      <w:snapToGrid w:val="0"/>
      <w:spacing w:before="100" w:beforeAutospacing="1" w:after="120" w:line="360" w:lineRule="atLeast"/>
      <w:jc w:val="left"/>
    </w:pPr>
    <w:rPr>
      <w:rFonts w:ascii="宋体" w:hAnsi="宋体"/>
      <w:kern w:val="0"/>
    </w:rPr>
  </w:style>
  <w:style w:type="paragraph" w:customStyle="1" w:styleId="578">
    <w:name w:val="附录五级条标题"/>
    <w:basedOn w:val="409"/>
    <w:next w:val="357"/>
    <w:qFormat/>
    <w:uiPriority w:val="0"/>
    <w:pPr>
      <w:outlineLvl w:val="6"/>
    </w:pPr>
  </w:style>
  <w:style w:type="paragraph" w:customStyle="1" w:styleId="579">
    <w:name w:val="彩色底纹 - 强调文字颜色 11"/>
    <w:qFormat/>
    <w:uiPriority w:val="0"/>
    <w:rPr>
      <w:rFonts w:ascii="Calibri" w:hAnsi="Calibri" w:eastAsia="宋体" w:cs="Times New Roman"/>
      <w:kern w:val="2"/>
      <w:sz w:val="21"/>
      <w:lang w:val="en-US" w:eastAsia="zh-CN" w:bidi="ar-SA"/>
    </w:rPr>
  </w:style>
  <w:style w:type="paragraph" w:customStyle="1" w:styleId="580">
    <w:name w:val="xl559"/>
    <w:basedOn w:val="1"/>
    <w:qFormat/>
    <w:uiPriority w:val="0"/>
    <w:pPr>
      <w:widowControl/>
      <w:spacing w:before="100" w:beforeAutospacing="1" w:after="100" w:afterAutospacing="1"/>
      <w:jc w:val="center"/>
    </w:pPr>
    <w:rPr>
      <w:rFonts w:ascii="宋体" w:hAnsi="宋体"/>
      <w:color w:val="000000"/>
      <w:kern w:val="0"/>
      <w:sz w:val="20"/>
    </w:rPr>
  </w:style>
  <w:style w:type="paragraph" w:customStyle="1" w:styleId="581">
    <w:name w:val="正文内"/>
    <w:basedOn w:val="1"/>
    <w:qFormat/>
    <w:uiPriority w:val="0"/>
    <w:pPr>
      <w:spacing w:line="400" w:lineRule="exact"/>
      <w:ind w:firstLine="200" w:firstLineChars="200"/>
    </w:pPr>
    <w:rPr>
      <w:rFonts w:ascii="宋体" w:hAnsi="宋体"/>
      <w:sz w:val="21"/>
    </w:rPr>
  </w:style>
  <w:style w:type="paragraph" w:customStyle="1" w:styleId="582">
    <w:name w:val="表"/>
    <w:basedOn w:val="1"/>
    <w:qFormat/>
    <w:uiPriority w:val="0"/>
    <w:pPr>
      <w:spacing w:line="360" w:lineRule="auto"/>
      <w:jc w:val="center"/>
    </w:pPr>
    <w:rPr>
      <w:color w:val="000000"/>
      <w:sz w:val="21"/>
    </w:rPr>
  </w:style>
  <w:style w:type="paragraph" w:customStyle="1" w:styleId="583">
    <w:name w:val="附录标识"/>
    <w:basedOn w:val="446"/>
    <w:qFormat/>
    <w:uiPriority w:val="0"/>
    <w:pPr>
      <w:tabs>
        <w:tab w:val="left" w:pos="720"/>
        <w:tab w:val="left" w:pos="6405"/>
      </w:tabs>
      <w:spacing w:after="200"/>
      <w:ind w:left="360" w:hanging="360"/>
    </w:pPr>
    <w:rPr>
      <w:sz w:val="21"/>
    </w:rPr>
  </w:style>
  <w:style w:type="paragraph" w:customStyle="1" w:styleId="584">
    <w:name w:val="正文 A"/>
    <w:qFormat/>
    <w:uiPriority w:val="0"/>
    <w:rPr>
      <w:rFonts w:ascii="Calibri" w:hAnsi="Calibri" w:eastAsia="ヒラギノ角ゴ Pro W3" w:cs="Times New Roman"/>
      <w:color w:val="000000"/>
      <w:sz w:val="24"/>
      <w:lang w:val="en-US" w:eastAsia="zh-CN" w:bidi="ar-SA"/>
    </w:rPr>
  </w:style>
  <w:style w:type="paragraph" w:customStyle="1" w:styleId="585">
    <w:name w:val="标题C"/>
    <w:qFormat/>
    <w:uiPriority w:val="0"/>
    <w:pPr>
      <w:tabs>
        <w:tab w:val="left" w:pos="0"/>
      </w:tabs>
      <w:adjustRightInd w:val="0"/>
      <w:snapToGrid w:val="0"/>
      <w:spacing w:before="300"/>
      <w:outlineLvl w:val="2"/>
    </w:pPr>
    <w:rPr>
      <w:rFonts w:ascii="Calibri" w:hAnsi="Calibri" w:eastAsia="宋体" w:cs="Times New Roman"/>
      <w:b/>
      <w:snapToGrid w:val="0"/>
      <w:sz w:val="28"/>
      <w:lang w:val="en-US" w:eastAsia="zh-CN" w:bidi="ar-SA"/>
    </w:rPr>
  </w:style>
  <w:style w:type="paragraph" w:customStyle="1" w:styleId="586">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587">
    <w:name w:val="默认段落字体 Para Char"/>
    <w:basedOn w:val="1"/>
    <w:qFormat/>
    <w:uiPriority w:val="0"/>
    <w:pPr>
      <w:tabs>
        <w:tab w:val="left" w:pos="425"/>
      </w:tabs>
      <w:ind w:left="425" w:hanging="425"/>
    </w:pPr>
    <w:rPr>
      <w:sz w:val="21"/>
    </w:rPr>
  </w:style>
  <w:style w:type="paragraph" w:customStyle="1" w:styleId="588">
    <w:name w:val="封面标准文稿类别"/>
    <w:qFormat/>
    <w:uiPriority w:val="0"/>
    <w:pPr>
      <w:spacing w:before="440" w:line="400" w:lineRule="exact"/>
      <w:jc w:val="center"/>
    </w:pPr>
    <w:rPr>
      <w:rFonts w:ascii="宋体" w:hAnsi="Calibri" w:eastAsia="宋体" w:cs="Times New Roman"/>
      <w:sz w:val="24"/>
      <w:lang w:val="en-US" w:eastAsia="zh-CN" w:bidi="ar-SA"/>
    </w:rPr>
  </w:style>
  <w:style w:type="paragraph" w:customStyle="1" w:styleId="589">
    <w:name w:val="_Style 40"/>
    <w:basedOn w:val="1"/>
    <w:qFormat/>
    <w:uiPriority w:val="0"/>
    <w:rPr>
      <w:sz w:val="21"/>
    </w:rPr>
  </w:style>
  <w:style w:type="paragraph" w:customStyle="1" w:styleId="590">
    <w:name w:val="af15hichaf0dbchf15cgrid"/>
    <w:qFormat/>
    <w:uiPriority w:val="0"/>
    <w:pPr>
      <w:widowControl w:val="0"/>
      <w:tabs>
        <w:tab w:val="center" w:pos="4320"/>
        <w:tab w:val="right" w:pos="8640"/>
      </w:tabs>
      <w:adjustRightInd w:val="0"/>
      <w:spacing w:line="315" w:lineRule="atLeast"/>
      <w:jc w:val="both"/>
      <w:textAlignment w:val="baseline"/>
    </w:pPr>
    <w:rPr>
      <w:rFonts w:ascii="宋体" w:hAnsi="Calibri" w:eastAsia="宋体" w:cs="Times New Roman"/>
      <w:sz w:val="21"/>
      <w:lang w:val="en-US" w:eastAsia="zh-CN" w:bidi="ar-SA"/>
    </w:rPr>
  </w:style>
  <w:style w:type="paragraph" w:customStyle="1" w:styleId="591">
    <w:name w:val="注："/>
    <w:next w:val="357"/>
    <w:qFormat/>
    <w:uiPriority w:val="0"/>
    <w:pPr>
      <w:widowControl w:val="0"/>
      <w:tabs>
        <w:tab w:val="left" w:pos="720"/>
      </w:tabs>
      <w:autoSpaceDE w:val="0"/>
      <w:autoSpaceDN w:val="0"/>
      <w:ind w:left="360" w:hanging="360"/>
      <w:jc w:val="both"/>
    </w:pPr>
    <w:rPr>
      <w:rFonts w:ascii="宋体" w:hAnsi="Calibri" w:eastAsia="宋体" w:cs="Times New Roman"/>
      <w:sz w:val="18"/>
      <w:lang w:val="en-US" w:eastAsia="zh-CN" w:bidi="ar-SA"/>
    </w:rPr>
  </w:style>
  <w:style w:type="paragraph" w:customStyle="1" w:styleId="592">
    <w:name w:val="font7"/>
    <w:basedOn w:val="1"/>
    <w:qFormat/>
    <w:uiPriority w:val="0"/>
    <w:pPr>
      <w:widowControl/>
      <w:spacing w:before="100" w:beforeAutospacing="1" w:after="100" w:afterAutospacing="1"/>
    </w:pPr>
    <w:rPr>
      <w:rFonts w:hint="eastAsia" w:ascii="宋体" w:hAnsi="宋体"/>
      <w:kern w:val="0"/>
      <w:sz w:val="24"/>
    </w:rPr>
  </w:style>
  <w:style w:type="paragraph" w:customStyle="1" w:styleId="593">
    <w:name w:val="彩色列表 - 强调文字颜色 12"/>
    <w:basedOn w:val="1"/>
    <w:qFormat/>
    <w:uiPriority w:val="0"/>
    <w:pPr>
      <w:ind w:firstLine="420" w:firstLineChars="200"/>
    </w:pPr>
    <w:rPr>
      <w:sz w:val="21"/>
    </w:rPr>
  </w:style>
  <w:style w:type="paragraph" w:customStyle="1" w:styleId="594">
    <w:name w:val="xl5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方正姚体" w:hAnsi="宋体" w:eastAsia="方正姚体"/>
      <w:kern w:val="0"/>
      <w:sz w:val="20"/>
    </w:rPr>
  </w:style>
  <w:style w:type="paragraph" w:customStyle="1" w:styleId="595">
    <w:name w:val="xl37"/>
    <w:basedOn w:val="1"/>
    <w:qFormat/>
    <w:uiPriority w:val="0"/>
    <w:pPr>
      <w:widowControl/>
      <w:pBdr>
        <w:top w:val="single" w:color="auto" w:sz="4" w:space="0"/>
        <w:bottom w:val="single" w:color="auto" w:sz="8" w:space="0"/>
      </w:pBdr>
      <w:spacing w:before="100" w:beforeAutospacing="1" w:after="100" w:afterAutospacing="1"/>
    </w:pPr>
    <w:rPr>
      <w:rFonts w:ascii="Arial Unicode MS" w:hAnsi="Arial Unicode MS" w:eastAsia="Arial Unicode MS"/>
      <w:b/>
      <w:kern w:val="0"/>
      <w:sz w:val="36"/>
    </w:rPr>
  </w:style>
  <w:style w:type="paragraph" w:customStyle="1" w:styleId="596">
    <w:name w:val="正文样式"/>
    <w:basedOn w:val="1"/>
    <w:qFormat/>
    <w:uiPriority w:val="0"/>
    <w:pPr>
      <w:ind w:firstLine="480" w:firstLineChars="200"/>
    </w:pPr>
    <w:rPr>
      <w:rFonts w:eastAsia="华文仿宋"/>
      <w:szCs w:val="24"/>
    </w:rPr>
  </w:style>
  <w:style w:type="paragraph" w:customStyle="1" w:styleId="597">
    <w:name w:val="标题D"/>
    <w:qFormat/>
    <w:uiPriority w:val="0"/>
    <w:pPr>
      <w:adjustRightInd w:val="0"/>
      <w:snapToGrid w:val="0"/>
      <w:spacing w:before="240" w:line="360" w:lineRule="auto"/>
      <w:outlineLvl w:val="3"/>
    </w:pPr>
    <w:rPr>
      <w:rFonts w:ascii="Calibri" w:hAnsi="Calibri" w:eastAsia="宋体" w:cs="Times New Roman"/>
      <w:b/>
      <w:sz w:val="24"/>
      <w:lang w:val="en-US" w:eastAsia="zh-CN" w:bidi="ar-SA"/>
    </w:rPr>
  </w:style>
  <w:style w:type="paragraph" w:customStyle="1" w:styleId="598">
    <w:name w:val="正文图标题"/>
    <w:next w:val="357"/>
    <w:qFormat/>
    <w:uiPriority w:val="0"/>
    <w:pPr>
      <w:tabs>
        <w:tab w:val="left" w:pos="720"/>
      </w:tabs>
      <w:ind w:left="780" w:hanging="360"/>
      <w:jc w:val="center"/>
    </w:pPr>
    <w:rPr>
      <w:rFonts w:ascii="黑体" w:hAnsi="Calibri" w:eastAsia="黑体" w:cs="Times New Roman"/>
      <w:lang w:val="en-US" w:eastAsia="zh-CN" w:bidi="ar-SA"/>
    </w:rPr>
  </w:style>
  <w:style w:type="paragraph" w:customStyle="1" w:styleId="599">
    <w:name w:val="表格一"/>
    <w:basedOn w:val="1"/>
    <w:qFormat/>
    <w:uiPriority w:val="0"/>
    <w:pPr>
      <w:spacing w:line="240" w:lineRule="exact"/>
      <w:ind w:left="105" w:leftChars="50"/>
    </w:pPr>
    <w:rPr>
      <w:sz w:val="18"/>
    </w:rPr>
  </w:style>
  <w:style w:type="paragraph" w:customStyle="1" w:styleId="600">
    <w:name w:val="[Normal]"/>
    <w:qFormat/>
    <w:uiPriority w:val="0"/>
    <w:rPr>
      <w:rFonts w:ascii="宋体" w:hAnsi="宋体" w:eastAsia="宋体" w:cs="Times New Roman"/>
      <w:sz w:val="24"/>
      <w:szCs w:val="22"/>
      <w:lang w:val="zh-CN" w:eastAsia="zh-CN" w:bidi="ar-SA"/>
    </w:rPr>
  </w:style>
  <w:style w:type="paragraph" w:customStyle="1" w:styleId="601">
    <w:name w:val="moban"/>
    <w:basedOn w:val="1"/>
    <w:qFormat/>
    <w:uiPriority w:val="0"/>
    <w:pPr>
      <w:pBdr>
        <w:bottom w:val="single" w:color="auto" w:sz="4" w:space="5"/>
      </w:pBdr>
      <w:spacing w:line="360" w:lineRule="auto"/>
    </w:pPr>
  </w:style>
  <w:style w:type="character" w:customStyle="1" w:styleId="602">
    <w:name w:val="large1"/>
    <w:qFormat/>
    <w:uiPriority w:val="0"/>
    <w:rPr>
      <w:rFonts w:hint="eastAsia" w:ascii="宋体" w:hAnsi="宋体" w:eastAsia="宋体"/>
      <w:sz w:val="21"/>
      <w:szCs w:val="21"/>
    </w:rPr>
  </w:style>
  <w:style w:type="paragraph" w:customStyle="1" w:styleId="603">
    <w:name w:val="正文缩进2格"/>
    <w:qFormat/>
    <w:uiPriority w:val="99"/>
    <w:pPr>
      <w:widowControl w:val="0"/>
      <w:pBdr>
        <w:top w:val="none" w:color="FFFFFF" w:sz="0" w:space="31"/>
        <w:left w:val="none" w:color="FFFFFF" w:sz="0" w:space="31"/>
        <w:bottom w:val="none" w:color="FFFFFF" w:sz="0" w:space="31"/>
        <w:right w:val="none" w:color="FFFFFF" w:sz="0" w:space="31"/>
      </w:pBdr>
      <w:spacing w:line="600" w:lineRule="exact"/>
      <w:ind w:firstLine="639"/>
      <w:jc w:val="both"/>
    </w:pPr>
    <w:rPr>
      <w:rFonts w:ascii="??_GB2312" w:hAnsi="??_GB2312" w:eastAsia="宋体" w:cs="??_GB2312"/>
      <w:color w:val="000000"/>
      <w:kern w:val="2"/>
      <w:sz w:val="31"/>
      <w:szCs w:val="31"/>
      <w:u w:color="000000"/>
      <w:lang w:val="en-US" w:eastAsia="zh-CN" w:bidi="ar-SA"/>
    </w:rPr>
  </w:style>
  <w:style w:type="paragraph" w:customStyle="1" w:styleId="604">
    <w:name w:val="Table Paragraph"/>
    <w:basedOn w:val="1"/>
    <w:qFormat/>
    <w:uiPriority w:val="1"/>
    <w:rPr>
      <w:rFonts w:ascii="宋体" w:hAnsi="宋体" w:cs="宋体"/>
      <w:lang w:val="zh-CN" w:bidi="zh-CN"/>
    </w:rPr>
  </w:style>
  <w:style w:type="character" w:customStyle="1" w:styleId="605">
    <w:name w:val="Hyperlink.3"/>
    <w:basedOn w:val="606"/>
    <w:qFormat/>
    <w:uiPriority w:val="99"/>
    <w:rPr>
      <w:rFonts w:ascii="宋体" w:hAnsi="宋体" w:eastAsia="宋体" w:cs="宋体"/>
      <w:lang w:val="en-US"/>
    </w:rPr>
  </w:style>
  <w:style w:type="character" w:customStyle="1" w:styleId="606">
    <w:name w:val="无"/>
    <w:qFormat/>
    <w:uiPriority w:val="99"/>
  </w:style>
  <w:style w:type="paragraph" w:customStyle="1" w:styleId="607">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08">
    <w:name w:val="标题3"/>
    <w:basedOn w:val="7"/>
    <w:qFormat/>
    <w:uiPriority w:val="0"/>
    <w:pPr>
      <w:numPr>
        <w:ilvl w:val="2"/>
        <w:numId w:val="1"/>
      </w:numPr>
      <w:adjustRightInd w:val="0"/>
      <w:snapToGrid w:val="0"/>
      <w:spacing w:before="200" w:after="200"/>
    </w:pPr>
    <w:rPr>
      <w:rFonts w:ascii="Times New Roman" w:hAnsi="Times New Roman"/>
      <w:snapToGrid w:val="0"/>
      <w:sz w:val="30"/>
    </w:rPr>
  </w:style>
  <w:style w:type="paragraph" w:customStyle="1" w:styleId="609">
    <w:name w:val="国普正文"/>
    <w:basedOn w:val="1"/>
    <w:qFormat/>
    <w:uiPriority w:val="0"/>
    <w:pPr>
      <w:spacing w:line="360" w:lineRule="auto"/>
      <w:ind w:firstLine="600" w:firstLineChars="200"/>
    </w:pPr>
    <w:rPr>
      <w:rFonts w:ascii="仿宋_GB2312" w:eastAsia="仿宋_GB2312"/>
      <w:sz w:val="30"/>
      <w:szCs w:val="30"/>
    </w:rPr>
  </w:style>
  <w:style w:type="paragraph" w:customStyle="1" w:styleId="610">
    <w:name w:val="Body text|1"/>
    <w:basedOn w:val="1"/>
    <w:qFormat/>
    <w:uiPriority w:val="0"/>
    <w:pPr>
      <w:spacing w:line="401" w:lineRule="auto"/>
      <w:ind w:firstLine="400"/>
    </w:pPr>
    <w:rPr>
      <w:rFonts w:ascii="宋体" w:hAnsi="宋体" w:cs="宋体"/>
      <w:sz w:val="30"/>
      <w:szCs w:val="30"/>
      <w:lang w:val="zh-TW" w:eastAsia="zh-TW" w:bidi="zh-TW"/>
    </w:rPr>
  </w:style>
  <w:style w:type="paragraph" w:customStyle="1" w:styleId="611">
    <w:name w:val="默认"/>
    <w:qFormat/>
    <w:uiPriority w:val="0"/>
    <w:rPr>
      <w:rFonts w:ascii="Arial Unicode MS" w:hAnsi="Arial Unicode MS" w:eastAsia="Arial Unicode MS" w:cs="Arial Unicode MS"/>
      <w:color w:val="000000"/>
      <w:sz w:val="22"/>
      <w:szCs w:val="22"/>
      <w:lang w:val="zh-TW" w:eastAsia="zh-TW" w:bidi="ar-SA"/>
    </w:rPr>
  </w:style>
  <w:style w:type="paragraph" w:customStyle="1" w:styleId="612">
    <w:name w:val="List Paragraph"/>
    <w:basedOn w:val="1"/>
    <w:qFormat/>
    <w:uiPriority w:val="1"/>
    <w:pPr>
      <w:ind w:left="253" w:firstLine="420"/>
    </w:pPr>
    <w:rPr>
      <w:rFonts w:ascii="宋体" w:hAnsi="宋体" w:eastAsia="宋体" w:cs="宋体"/>
      <w:lang w:val="zh-CN" w:eastAsia="zh-CN" w:bidi="zh-CN"/>
    </w:rPr>
  </w:style>
  <w:style w:type="paragraph" w:customStyle="1" w:styleId="613">
    <w:name w:val="章正文"/>
    <w:basedOn w:val="1"/>
    <w:qFormat/>
    <w:uiPriority w:val="0"/>
    <w:pPr>
      <w:spacing w:before="156" w:beforeLines="50" w:after="120" w:line="300" w:lineRule="auto"/>
      <w:ind w:firstLine="480"/>
    </w:pPr>
    <w:rPr>
      <w:rFonts w:ascii="Helvetica" w:hAnsi="Helvetica"/>
      <w:kern w:val="0"/>
      <w:sz w:val="24"/>
      <w:szCs w:val="24"/>
    </w:rPr>
  </w:style>
  <w:style w:type="character" w:customStyle="1" w:styleId="614">
    <w:name w:val="font181"/>
    <w:basedOn w:val="89"/>
    <w:qFormat/>
    <w:uiPriority w:val="0"/>
    <w:rPr>
      <w:rFonts w:hint="eastAsia" w:ascii="宋体" w:hAnsi="宋体" w:eastAsia="宋体" w:cs="宋体"/>
      <w:color w:val="00B050"/>
      <w:sz w:val="22"/>
      <w:szCs w:val="22"/>
      <w:u w:val="none"/>
    </w:rPr>
  </w:style>
  <w:style w:type="paragraph" w:customStyle="1" w:styleId="615">
    <w:name w:val="_Style 7"/>
    <w:basedOn w:val="20"/>
    <w:next w:val="19"/>
    <w:qFormat/>
    <w:uiPriority w:val="0"/>
    <w:pPr>
      <w:ind w:firstLine="420"/>
    </w:pPr>
    <w:rPr>
      <w:lang w:val="zh-CN" w:eastAsia="zh-CN"/>
    </w:rPr>
  </w:style>
  <w:style w:type="paragraph" w:customStyle="1" w:styleId="616">
    <w:name w:val="BodyText1I2"/>
    <w:basedOn w:val="617"/>
    <w:next w:val="1"/>
    <w:qFormat/>
    <w:uiPriority w:val="0"/>
    <w:pPr>
      <w:tabs>
        <w:tab w:val="left" w:pos="435"/>
      </w:tabs>
      <w:spacing w:after="120"/>
      <w:ind w:left="420" w:leftChars="200" w:firstLine="420" w:firstLineChars="200"/>
      <w:jc w:val="both"/>
      <w:textAlignment w:val="baseline"/>
    </w:pPr>
    <w:rPr>
      <w:sz w:val="28"/>
    </w:rPr>
  </w:style>
  <w:style w:type="paragraph" w:customStyle="1" w:styleId="617">
    <w:name w:val="BodyTextIndent"/>
    <w:basedOn w:val="1"/>
    <w:qFormat/>
    <w:uiPriority w:val="0"/>
    <w:pPr>
      <w:spacing w:after="120"/>
      <w:ind w:left="420" w:leftChars="200"/>
      <w:jc w:val="both"/>
      <w:textAlignment w:val="baseline"/>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C16B34-28DB-4D1E-9906-8BD5974CAE5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59</Pages>
  <Words>39784</Words>
  <Characters>42178</Characters>
  <Lines>299</Lines>
  <Paragraphs>84</Paragraphs>
  <ScaleCrop>false</ScaleCrop>
  <LinksUpToDate>false</LinksUpToDate>
  <CharactersWithSpaces>44173</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2020-07-14T03:29:00Z</dcterms:created>
  <dc:creator>yht</dc:creator>
  <cp:lastModifiedBy>吕盎香</cp:lastModifiedBy>
  <cp:lastPrinted>2024-03-01T00:28:00Z</cp:lastPrinted>
  <dcterms:modified xsi:type="dcterms:W3CDTF">2024-03-01T08:09:50Z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y fmtid="{D5CDD505-2E9C-101B-9397-08002B2CF9AE}" pid="3" name="ICV">
    <vt:lpwstr>634C72D4C4E64DDA951534A3A8119C82_13</vt:lpwstr>
  </property>
</Properties>
</file>