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rPr>
          <w:rFonts w:ascii="仿宋" w:hAnsi="仿宋" w:eastAsia="仿宋" w:cs="仿宋_GB2312"/>
          <w:b/>
          <w:color w:val="auto"/>
          <w:sz w:val="44"/>
          <w:szCs w:val="44"/>
          <w:highlight w:val="none"/>
        </w:rPr>
      </w:pPr>
    </w:p>
    <w:p>
      <w:pPr>
        <w:spacing w:line="600" w:lineRule="exact"/>
        <w:ind w:left="-141" w:leftChars="-67" w:right="-170" w:rightChars="-81"/>
        <w:jc w:val="center"/>
        <w:rPr>
          <w:rFonts w:hint="eastAsia" w:ascii="方正小标宋简体" w:hAnsi="方正小标宋简体" w:eastAsia="方正小标宋简体" w:cs="方正小标宋简体"/>
          <w:b/>
          <w:color w:val="auto"/>
          <w:kern w:val="0"/>
          <w:sz w:val="44"/>
          <w:szCs w:val="44"/>
          <w:highlight w:val="none"/>
          <w:lang w:eastAsia="zh-CN"/>
        </w:rPr>
      </w:pPr>
      <w:r>
        <w:rPr>
          <w:rFonts w:hint="eastAsia" w:ascii="方正小标宋简体" w:hAnsi="方正小标宋简体" w:eastAsia="方正小标宋简体" w:cs="方正小标宋简体"/>
          <w:b/>
          <w:color w:val="auto"/>
          <w:kern w:val="0"/>
          <w:sz w:val="44"/>
          <w:szCs w:val="44"/>
          <w:highlight w:val="none"/>
          <w:lang w:eastAsia="zh-CN"/>
        </w:rPr>
        <w:t>江山市卫生健康局生物安全在线数智监管系统</w:t>
      </w:r>
    </w:p>
    <w:p>
      <w:pPr>
        <w:spacing w:line="600" w:lineRule="exact"/>
        <w:ind w:left="-141" w:leftChars="-67" w:right="-170" w:rightChars="-81"/>
        <w:jc w:val="center"/>
        <w:rPr>
          <w:rFonts w:ascii="方正小标宋简体" w:hAnsi="方正小标宋简体" w:eastAsia="方正小标宋简体" w:cs="方正小标宋简体"/>
          <w:b/>
          <w:color w:val="auto"/>
          <w:kern w:val="0"/>
          <w:sz w:val="44"/>
          <w:szCs w:val="44"/>
          <w:highlight w:val="none"/>
        </w:rPr>
      </w:pPr>
      <w:r>
        <w:rPr>
          <w:rFonts w:hint="eastAsia" w:ascii="方正小标宋简体" w:hAnsi="方正小标宋简体" w:eastAsia="方正小标宋简体" w:cs="方正小标宋简体"/>
          <w:b/>
          <w:color w:val="auto"/>
          <w:kern w:val="0"/>
          <w:sz w:val="44"/>
          <w:szCs w:val="44"/>
          <w:highlight w:val="none"/>
          <w:lang w:eastAsia="zh-CN"/>
        </w:rPr>
        <w:t>技术服务项目</w:t>
      </w:r>
    </w:p>
    <w:p>
      <w:pPr>
        <w:spacing w:line="600" w:lineRule="exact"/>
        <w:ind w:left="-141" w:leftChars="-67" w:right="-170" w:rightChars="-81"/>
        <w:rPr>
          <w:rFonts w:ascii="方正小标宋简体" w:hAnsi="方正小标宋简体" w:eastAsia="方正小标宋简体" w:cs="方正小标宋简体"/>
          <w:b/>
          <w:color w:val="auto"/>
          <w:kern w:val="0"/>
          <w:sz w:val="44"/>
          <w:szCs w:val="44"/>
          <w:highlight w:val="none"/>
        </w:rPr>
      </w:pPr>
    </w:p>
    <w:p>
      <w:pPr>
        <w:spacing w:line="600" w:lineRule="exact"/>
        <w:ind w:left="-141" w:leftChars="-67" w:right="-170" w:rightChars="-81"/>
        <w:jc w:val="center"/>
        <w:rPr>
          <w:rFonts w:ascii="宋体" w:hAnsi="宋体"/>
          <w:bCs/>
          <w:color w:val="auto"/>
          <w:sz w:val="32"/>
          <w:szCs w:val="32"/>
          <w:highlight w:val="none"/>
        </w:rPr>
      </w:pPr>
      <w:r>
        <w:rPr>
          <w:rFonts w:hint="eastAsia" w:ascii="宋体" w:hAnsi="宋体"/>
          <w:bCs/>
          <w:color w:val="auto"/>
          <w:sz w:val="32"/>
          <w:szCs w:val="32"/>
          <w:highlight w:val="none"/>
        </w:rPr>
        <w:t>项目编号：</w:t>
      </w:r>
      <w:r>
        <w:rPr>
          <w:rFonts w:hint="eastAsia" w:ascii="宋体" w:hAnsi="宋体"/>
          <w:bCs/>
          <w:color w:val="auto"/>
          <w:sz w:val="32"/>
          <w:szCs w:val="32"/>
          <w:highlight w:val="none"/>
          <w:lang w:eastAsia="zh-CN"/>
        </w:rPr>
        <w:t>jshjzf-20230203</w:t>
      </w:r>
    </w:p>
    <w:p>
      <w:pPr>
        <w:adjustRightInd/>
        <w:spacing w:line="360" w:lineRule="auto"/>
        <w:jc w:val="center"/>
        <w:rPr>
          <w:color w:val="auto"/>
          <w:highlight w:val="none"/>
        </w:rPr>
      </w:pPr>
      <w:r>
        <w:rPr>
          <w:rFonts w:hint="eastAsia" w:ascii="宋体" w:hAnsi="宋体" w:cs="宋体"/>
          <w:b/>
          <w:color w:val="auto"/>
          <w:sz w:val="44"/>
          <w:szCs w:val="44"/>
          <w:highlight w:val="none"/>
        </w:rPr>
        <w:t>（电子招投标）</w:t>
      </w:r>
    </w:p>
    <w:p>
      <w:pPr>
        <w:pStyle w:val="16"/>
        <w:rPr>
          <w:color w:val="auto"/>
          <w:highlight w:val="none"/>
        </w:rPr>
      </w:pPr>
    </w:p>
    <w:p>
      <w:pPr>
        <w:spacing w:after="100" w:afterAutospacing="1" w:line="880" w:lineRule="exact"/>
        <w:ind w:right="-108"/>
        <w:jc w:val="center"/>
        <w:rPr>
          <w:rFonts w:ascii="宋体" w:hAnsi="宋体"/>
          <w:b/>
          <w:color w:val="auto"/>
          <w:spacing w:val="40"/>
          <w:sz w:val="84"/>
          <w:szCs w:val="84"/>
          <w:highlight w:val="none"/>
        </w:rPr>
      </w:pPr>
      <w:r>
        <w:rPr>
          <w:rFonts w:hint="eastAsia" w:ascii="宋体" w:hAnsi="宋体"/>
          <w:b/>
          <w:color w:val="auto"/>
          <w:spacing w:val="40"/>
          <w:sz w:val="84"/>
          <w:szCs w:val="84"/>
          <w:highlight w:val="none"/>
        </w:rPr>
        <w:t>公</w:t>
      </w:r>
    </w:p>
    <w:p>
      <w:pPr>
        <w:spacing w:after="100" w:afterAutospacing="1" w:line="880" w:lineRule="exact"/>
        <w:ind w:right="-108"/>
        <w:jc w:val="center"/>
        <w:rPr>
          <w:rFonts w:ascii="宋体" w:hAnsi="宋体"/>
          <w:b/>
          <w:color w:val="auto"/>
          <w:spacing w:val="40"/>
          <w:sz w:val="84"/>
          <w:szCs w:val="84"/>
          <w:highlight w:val="none"/>
        </w:rPr>
      </w:pPr>
      <w:r>
        <w:rPr>
          <w:rFonts w:hint="eastAsia" w:ascii="宋体" w:hAnsi="宋体"/>
          <w:b/>
          <w:color w:val="auto"/>
          <w:spacing w:val="40"/>
          <w:sz w:val="84"/>
          <w:szCs w:val="84"/>
          <w:highlight w:val="none"/>
        </w:rPr>
        <w:t>开</w:t>
      </w:r>
    </w:p>
    <w:p>
      <w:pPr>
        <w:spacing w:after="100" w:afterAutospacing="1" w:line="880" w:lineRule="exact"/>
        <w:ind w:right="-108"/>
        <w:jc w:val="center"/>
        <w:rPr>
          <w:rFonts w:ascii="宋体" w:hAnsi="宋体"/>
          <w:b/>
          <w:color w:val="auto"/>
          <w:spacing w:val="40"/>
          <w:sz w:val="84"/>
          <w:szCs w:val="84"/>
          <w:highlight w:val="none"/>
        </w:rPr>
      </w:pPr>
      <w:r>
        <w:rPr>
          <w:rFonts w:hint="eastAsia" w:ascii="宋体" w:hAnsi="宋体"/>
          <w:b/>
          <w:color w:val="auto"/>
          <w:spacing w:val="40"/>
          <w:sz w:val="84"/>
          <w:szCs w:val="84"/>
          <w:highlight w:val="none"/>
        </w:rPr>
        <w:t>招</w:t>
      </w:r>
    </w:p>
    <w:p>
      <w:pPr>
        <w:spacing w:after="100" w:afterAutospacing="1" w:line="880" w:lineRule="exact"/>
        <w:ind w:right="-108"/>
        <w:jc w:val="center"/>
        <w:rPr>
          <w:rFonts w:ascii="宋体" w:hAnsi="宋体"/>
          <w:b/>
          <w:color w:val="auto"/>
          <w:spacing w:val="40"/>
          <w:sz w:val="84"/>
          <w:szCs w:val="84"/>
          <w:highlight w:val="none"/>
        </w:rPr>
      </w:pPr>
      <w:r>
        <w:rPr>
          <w:rFonts w:hint="eastAsia" w:ascii="宋体" w:hAnsi="宋体"/>
          <w:b/>
          <w:color w:val="auto"/>
          <w:spacing w:val="40"/>
          <w:sz w:val="84"/>
          <w:szCs w:val="84"/>
          <w:highlight w:val="none"/>
        </w:rPr>
        <w:t>标</w:t>
      </w:r>
    </w:p>
    <w:p>
      <w:pPr>
        <w:spacing w:after="100" w:afterAutospacing="1" w:line="880" w:lineRule="exact"/>
        <w:ind w:right="-108"/>
        <w:jc w:val="center"/>
        <w:rPr>
          <w:rFonts w:ascii="宋体" w:hAnsi="宋体"/>
          <w:b/>
          <w:color w:val="auto"/>
          <w:spacing w:val="40"/>
          <w:sz w:val="84"/>
          <w:szCs w:val="84"/>
          <w:highlight w:val="none"/>
        </w:rPr>
      </w:pPr>
      <w:r>
        <w:rPr>
          <w:rFonts w:hint="eastAsia" w:ascii="宋体" w:hAnsi="宋体"/>
          <w:b/>
          <w:color w:val="auto"/>
          <w:spacing w:val="40"/>
          <w:sz w:val="84"/>
          <w:szCs w:val="84"/>
          <w:highlight w:val="none"/>
        </w:rPr>
        <w:t>文</w:t>
      </w:r>
    </w:p>
    <w:p>
      <w:pPr>
        <w:spacing w:after="100" w:afterAutospacing="1" w:line="880" w:lineRule="exact"/>
        <w:ind w:right="-108"/>
        <w:jc w:val="center"/>
        <w:rPr>
          <w:rFonts w:ascii="宋体" w:hAnsi="宋体"/>
          <w:b/>
          <w:color w:val="auto"/>
          <w:spacing w:val="40"/>
          <w:sz w:val="84"/>
          <w:szCs w:val="84"/>
          <w:highlight w:val="none"/>
        </w:rPr>
      </w:pPr>
      <w:r>
        <w:rPr>
          <w:rFonts w:hint="eastAsia" w:ascii="宋体" w:hAnsi="宋体"/>
          <w:b/>
          <w:color w:val="auto"/>
          <w:spacing w:val="40"/>
          <w:sz w:val="84"/>
          <w:szCs w:val="84"/>
          <w:highlight w:val="none"/>
        </w:rPr>
        <w:t>件</w:t>
      </w:r>
    </w:p>
    <w:p>
      <w:pPr>
        <w:tabs>
          <w:tab w:val="left" w:pos="10440"/>
        </w:tabs>
        <w:spacing w:line="500" w:lineRule="exact"/>
        <w:ind w:right="25" w:rightChars="12" w:firstLine="720" w:firstLineChars="200"/>
        <w:jc w:val="left"/>
        <w:rPr>
          <w:rFonts w:ascii="宋体" w:hAnsi="宋体"/>
          <w:bCs/>
          <w:color w:val="auto"/>
          <w:sz w:val="36"/>
          <w:szCs w:val="36"/>
          <w:highlight w:val="none"/>
        </w:rPr>
      </w:pPr>
      <w:r>
        <w:rPr>
          <w:rFonts w:hint="eastAsia" w:ascii="宋体" w:hAnsi="宋体"/>
          <w:bCs/>
          <w:color w:val="auto"/>
          <w:sz w:val="36"/>
          <w:szCs w:val="36"/>
          <w:highlight w:val="none"/>
        </w:rPr>
        <w:t xml:space="preserve">采购单位: </w:t>
      </w:r>
      <w:r>
        <w:rPr>
          <w:rFonts w:hint="eastAsia" w:ascii="仿宋_GB2312"/>
          <w:color w:val="auto"/>
          <w:sz w:val="36"/>
          <w:szCs w:val="36"/>
          <w:highlight w:val="none"/>
          <w:lang w:eastAsia="zh-CN"/>
        </w:rPr>
        <w:t>江山市卫生健康局</w:t>
      </w:r>
    </w:p>
    <w:p>
      <w:pPr>
        <w:spacing w:line="500" w:lineRule="exact"/>
        <w:ind w:right="25" w:rightChars="12" w:firstLine="720" w:firstLineChars="200"/>
        <w:jc w:val="left"/>
        <w:rPr>
          <w:rFonts w:ascii="宋体" w:hAnsi="宋体"/>
          <w:bCs/>
          <w:color w:val="auto"/>
          <w:sz w:val="36"/>
          <w:szCs w:val="36"/>
          <w:highlight w:val="none"/>
        </w:rPr>
      </w:pPr>
      <w:r>
        <w:rPr>
          <w:rFonts w:hint="eastAsia" w:ascii="宋体" w:hAnsi="宋体"/>
          <w:bCs/>
          <w:color w:val="auto"/>
          <w:sz w:val="36"/>
          <w:szCs w:val="36"/>
          <w:highlight w:val="none"/>
        </w:rPr>
        <w:t>备案单位：江山市财政局</w:t>
      </w:r>
    </w:p>
    <w:p>
      <w:pPr>
        <w:spacing w:line="500" w:lineRule="exact"/>
        <w:ind w:right="531" w:rightChars="253" w:firstLine="720" w:firstLineChars="200"/>
        <w:jc w:val="left"/>
        <w:rPr>
          <w:rFonts w:ascii="宋体" w:hAnsi="宋体"/>
          <w:bCs/>
          <w:color w:val="auto"/>
          <w:sz w:val="36"/>
          <w:szCs w:val="36"/>
          <w:highlight w:val="none"/>
        </w:rPr>
      </w:pPr>
      <w:r>
        <w:rPr>
          <w:rFonts w:hint="eastAsia" w:ascii="宋体" w:hAnsi="宋体"/>
          <w:bCs/>
          <w:color w:val="auto"/>
          <w:sz w:val="36"/>
          <w:szCs w:val="36"/>
          <w:highlight w:val="none"/>
        </w:rPr>
        <w:t>代理机构：江山惠捷信息技术咨询有限公司</w:t>
      </w:r>
    </w:p>
    <w:p>
      <w:pPr>
        <w:snapToGrid w:val="0"/>
        <w:ind w:right="-158"/>
        <w:jc w:val="left"/>
        <w:rPr>
          <w:rFonts w:ascii="宋体" w:hAnsi="宋体"/>
          <w:b/>
          <w:color w:val="auto"/>
          <w:sz w:val="24"/>
          <w:highlight w:val="none"/>
        </w:rPr>
      </w:pPr>
    </w:p>
    <w:p>
      <w:pPr>
        <w:snapToGrid w:val="0"/>
        <w:ind w:right="-158"/>
        <w:jc w:val="center"/>
        <w:rPr>
          <w:rFonts w:ascii="宋体" w:hAnsi="宋体"/>
          <w:b/>
          <w:color w:val="auto"/>
          <w:sz w:val="24"/>
          <w:highlight w:val="none"/>
        </w:rPr>
      </w:pPr>
    </w:p>
    <w:p>
      <w:pPr>
        <w:spacing w:line="360" w:lineRule="auto"/>
        <w:jc w:val="center"/>
        <w:rPr>
          <w:rFonts w:ascii="仿宋" w:hAnsi="仿宋" w:eastAsia="仿宋" w:cs="仿宋_GB2312"/>
          <w:color w:val="auto"/>
          <w:sz w:val="24"/>
          <w:highlight w:val="none"/>
        </w:rPr>
      </w:pPr>
      <w:r>
        <w:rPr>
          <w:rFonts w:hint="eastAsia" w:ascii="宋体" w:hAnsi="宋体"/>
          <w:b/>
          <w:color w:val="auto"/>
          <w:sz w:val="44"/>
          <w:szCs w:val="44"/>
          <w:highlight w:val="none"/>
        </w:rPr>
        <w:t>二○二</w:t>
      </w:r>
      <w:r>
        <w:rPr>
          <w:rFonts w:hint="eastAsia" w:ascii="宋体" w:hAnsi="宋体"/>
          <w:b/>
          <w:color w:val="auto"/>
          <w:sz w:val="44"/>
          <w:szCs w:val="44"/>
          <w:highlight w:val="none"/>
          <w:lang w:val="en-US" w:eastAsia="zh-CN"/>
        </w:rPr>
        <w:t>三</w:t>
      </w:r>
      <w:r>
        <w:rPr>
          <w:rFonts w:hint="eastAsia" w:ascii="宋体" w:hAnsi="宋体"/>
          <w:b/>
          <w:color w:val="auto"/>
          <w:sz w:val="44"/>
          <w:szCs w:val="44"/>
          <w:highlight w:val="none"/>
        </w:rPr>
        <w:t>年</w:t>
      </w:r>
      <w:r>
        <w:rPr>
          <w:rFonts w:hint="eastAsia" w:ascii="宋体" w:hAnsi="宋体"/>
          <w:b/>
          <w:color w:val="auto"/>
          <w:sz w:val="44"/>
          <w:szCs w:val="44"/>
          <w:highlight w:val="none"/>
          <w:lang w:val="en-US" w:eastAsia="zh-CN"/>
        </w:rPr>
        <w:t>二</w:t>
      </w:r>
      <w:r>
        <w:rPr>
          <w:rFonts w:hint="eastAsia" w:ascii="宋体" w:hAnsi="宋体"/>
          <w:b/>
          <w:color w:val="auto"/>
          <w:sz w:val="44"/>
          <w:szCs w:val="44"/>
          <w:highlight w:val="none"/>
        </w:rPr>
        <w:t>月</w:t>
      </w:r>
    </w:p>
    <w:p>
      <w:pPr>
        <w:spacing w:line="360" w:lineRule="auto"/>
        <w:jc w:val="center"/>
        <w:rPr>
          <w:rFonts w:ascii="仿宋" w:hAnsi="仿宋" w:eastAsia="仿宋" w:cs="仿宋_GB2312"/>
          <w:b/>
          <w:color w:val="auto"/>
          <w:sz w:val="48"/>
          <w:szCs w:val="48"/>
          <w:highlight w:val="none"/>
        </w:rPr>
      </w:pPr>
    </w:p>
    <w:p>
      <w:pPr>
        <w:spacing w:line="360" w:lineRule="auto"/>
        <w:jc w:val="center"/>
        <w:rPr>
          <w:rFonts w:ascii="仿宋" w:hAnsi="仿宋" w:eastAsia="仿宋" w:cs="仿宋_GB2312"/>
          <w:b/>
          <w:color w:val="auto"/>
          <w:sz w:val="48"/>
          <w:szCs w:val="48"/>
          <w:highlight w:val="none"/>
        </w:rPr>
      </w:pPr>
    </w:p>
    <w:p>
      <w:pPr>
        <w:spacing w:line="360" w:lineRule="auto"/>
        <w:jc w:val="center"/>
        <w:rPr>
          <w:rFonts w:ascii="仿宋" w:hAnsi="仿宋" w:eastAsia="仿宋" w:cs="仿宋"/>
          <w:color w:val="auto"/>
          <w:sz w:val="28"/>
          <w:szCs w:val="28"/>
          <w:highlight w:val="none"/>
        </w:rPr>
      </w:pPr>
      <w:r>
        <w:rPr>
          <w:rFonts w:hint="eastAsia" w:ascii="仿宋" w:hAnsi="仿宋" w:eastAsia="仿宋" w:cs="仿宋_GB2312"/>
          <w:b/>
          <w:color w:val="auto"/>
          <w:sz w:val="48"/>
          <w:szCs w:val="48"/>
          <w:highlight w:val="none"/>
        </w:rPr>
        <w:t>目  录</w:t>
      </w:r>
    </w:p>
    <w:p>
      <w:pPr>
        <w:pStyle w:val="41"/>
        <w:tabs>
          <w:tab w:val="right" w:leader="dot" w:pos="9070"/>
        </w:tabs>
        <w:spacing w:line="480" w:lineRule="auto"/>
        <w:rPr>
          <w:rFonts w:ascii="仿宋" w:hAnsi="仿宋" w:eastAsia="仿宋" w:cs="仿宋"/>
          <w:color w:val="auto"/>
          <w:sz w:val="28"/>
          <w:szCs w:val="28"/>
          <w:highlight w:val="none"/>
        </w:rPr>
      </w:pPr>
      <w:bookmarkStart w:id="0" w:name="_Hlt91233176"/>
      <w:bookmarkEnd w:id="0"/>
      <w:bookmarkStart w:id="1" w:name="_Toc91899869"/>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TOC \o "1-3" \h \u </w:instrText>
      </w:r>
      <w:r>
        <w:rPr>
          <w:rFonts w:hint="eastAsia" w:ascii="仿宋" w:hAnsi="仿宋" w:eastAsia="仿宋" w:cs="仿宋"/>
          <w:color w:val="auto"/>
          <w:sz w:val="28"/>
          <w:szCs w:val="28"/>
          <w:highlight w:val="none"/>
        </w:rPr>
        <w:fldChar w:fldCharType="separate"/>
      </w:r>
      <w:r>
        <w:rPr>
          <w:color w:val="auto"/>
          <w:highlight w:val="none"/>
        </w:rPr>
        <w:fldChar w:fldCharType="begin"/>
      </w:r>
      <w:r>
        <w:rPr>
          <w:color w:val="auto"/>
          <w:highlight w:val="none"/>
        </w:rPr>
        <w:instrText xml:space="preserve"> HYPERLINK \l "_Toc4826" </w:instrText>
      </w:r>
      <w:r>
        <w:rPr>
          <w:color w:val="auto"/>
          <w:highlight w:val="none"/>
        </w:rPr>
        <w:fldChar w:fldCharType="separate"/>
      </w:r>
      <w:r>
        <w:rPr>
          <w:rFonts w:hint="eastAsia" w:ascii="仿宋" w:hAnsi="仿宋" w:eastAsia="仿宋" w:cs="仿宋"/>
          <w:color w:val="auto"/>
          <w:sz w:val="28"/>
          <w:szCs w:val="28"/>
          <w:highlight w:val="none"/>
        </w:rPr>
        <w:t>第一部分 招标公告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t>3</w:t>
      </w:r>
      <w:r>
        <w:rPr>
          <w:rFonts w:hint="eastAsia" w:ascii="仿宋" w:hAnsi="仿宋" w:eastAsia="仿宋" w:cs="仿宋"/>
          <w:color w:val="auto"/>
          <w:sz w:val="28"/>
          <w:szCs w:val="28"/>
          <w:highlight w:val="none"/>
        </w:rPr>
        <w:fldChar w:fldCharType="end"/>
      </w:r>
    </w:p>
    <w:p>
      <w:pPr>
        <w:pStyle w:val="41"/>
        <w:tabs>
          <w:tab w:val="right" w:leader="dot" w:pos="9070"/>
        </w:tabs>
        <w:spacing w:line="480" w:lineRule="auto"/>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"_Toc10828" </w:instrText>
      </w:r>
      <w:r>
        <w:rPr>
          <w:color w:val="auto"/>
          <w:highlight w:val="none"/>
        </w:rPr>
        <w:fldChar w:fldCharType="separate"/>
      </w:r>
      <w:r>
        <w:rPr>
          <w:rFonts w:hint="eastAsia" w:ascii="仿宋" w:hAnsi="仿宋" w:eastAsia="仿宋" w:cs="仿宋"/>
          <w:color w:val="auto"/>
          <w:sz w:val="28"/>
          <w:szCs w:val="28"/>
          <w:highlight w:val="none"/>
        </w:rPr>
        <w:t>第二部分 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t>7</w:t>
      </w:r>
      <w:r>
        <w:rPr>
          <w:rFonts w:hint="eastAsia" w:ascii="仿宋" w:hAnsi="仿宋" w:eastAsia="仿宋" w:cs="仿宋"/>
          <w:color w:val="auto"/>
          <w:sz w:val="28"/>
          <w:szCs w:val="28"/>
          <w:highlight w:val="none"/>
        </w:rPr>
        <w:fldChar w:fldCharType="end"/>
      </w:r>
    </w:p>
    <w:p>
      <w:pPr>
        <w:pStyle w:val="41"/>
        <w:tabs>
          <w:tab w:val="right" w:leader="dot" w:pos="9070"/>
        </w:tabs>
        <w:spacing w:line="480" w:lineRule="auto"/>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"_Toc14727" </w:instrText>
      </w:r>
      <w:r>
        <w:rPr>
          <w:color w:val="auto"/>
          <w:highlight w:val="none"/>
        </w:rPr>
        <w:fldChar w:fldCharType="separate"/>
      </w:r>
      <w:r>
        <w:rPr>
          <w:rFonts w:hint="eastAsia" w:ascii="仿宋" w:hAnsi="仿宋" w:eastAsia="仿宋" w:cs="仿宋"/>
          <w:color w:val="auto"/>
          <w:sz w:val="28"/>
          <w:szCs w:val="28"/>
          <w:highlight w:val="none"/>
        </w:rPr>
        <w:t>第三部分 采购需求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_Toc14727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pPr>
        <w:pStyle w:val="41"/>
        <w:tabs>
          <w:tab w:val="right" w:leader="dot" w:pos="9070"/>
        </w:tabs>
        <w:spacing w:line="480" w:lineRule="auto"/>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"_Toc32514" </w:instrText>
      </w:r>
      <w:r>
        <w:rPr>
          <w:color w:val="auto"/>
          <w:highlight w:val="none"/>
        </w:rPr>
        <w:fldChar w:fldCharType="separate"/>
      </w:r>
      <w:r>
        <w:rPr>
          <w:rFonts w:hint="eastAsia" w:ascii="仿宋" w:hAnsi="仿宋" w:eastAsia="仿宋" w:cs="仿宋"/>
          <w:color w:val="auto"/>
          <w:sz w:val="28"/>
          <w:szCs w:val="28"/>
          <w:highlight w:val="none"/>
        </w:rPr>
        <w:t>第四部分 评标办法</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_Toc32514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33</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pPr>
        <w:pStyle w:val="41"/>
        <w:tabs>
          <w:tab w:val="right" w:leader="dot" w:pos="9070"/>
        </w:tabs>
        <w:spacing w:line="480" w:lineRule="auto"/>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"_Toc11270" </w:instrText>
      </w:r>
      <w:r>
        <w:rPr>
          <w:color w:val="auto"/>
          <w:highlight w:val="none"/>
        </w:rPr>
        <w:fldChar w:fldCharType="separate"/>
      </w:r>
      <w:r>
        <w:rPr>
          <w:rFonts w:hint="eastAsia" w:ascii="仿宋" w:hAnsi="仿宋" w:eastAsia="仿宋" w:cs="仿宋"/>
          <w:color w:val="auto"/>
          <w:sz w:val="28"/>
          <w:szCs w:val="28"/>
          <w:highlight w:val="none"/>
        </w:rPr>
        <w:t>第五部分 拟签订的合同文本</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t>4</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t>6</w:t>
      </w:r>
    </w:p>
    <w:p>
      <w:pPr>
        <w:pStyle w:val="41"/>
        <w:tabs>
          <w:tab w:val="right" w:leader="dot" w:pos="9070"/>
        </w:tabs>
        <w:spacing w:line="480" w:lineRule="auto"/>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"_Toc11460" </w:instrText>
      </w:r>
      <w:r>
        <w:rPr>
          <w:color w:val="auto"/>
          <w:highlight w:val="none"/>
        </w:rPr>
        <w:fldChar w:fldCharType="separate"/>
      </w:r>
      <w:r>
        <w:rPr>
          <w:rFonts w:hint="eastAsia" w:ascii="仿宋" w:hAnsi="仿宋" w:eastAsia="仿宋" w:cs="仿宋"/>
          <w:color w:val="auto"/>
          <w:sz w:val="28"/>
          <w:szCs w:val="28"/>
          <w:highlight w:val="none"/>
        </w:rPr>
        <w:t>第六部分 应提交的有关格式范例</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t>0</w:t>
      </w:r>
    </w:p>
    <w:p>
      <w:pPr>
        <w:pStyle w:val="41"/>
        <w:tabs>
          <w:tab w:val="right" w:leader="dot" w:pos="9070"/>
        </w:tabs>
        <w:spacing w:line="480" w:lineRule="auto"/>
        <w:rPr>
          <w:rFonts w:ascii="仿宋" w:hAnsi="仿宋" w:eastAsia="仿宋" w:cs="仿宋"/>
          <w:color w:val="auto"/>
          <w:sz w:val="28"/>
          <w:szCs w:val="28"/>
          <w:highlight w:val="none"/>
        </w:rPr>
      </w:pPr>
    </w:p>
    <w:p>
      <w:pPr>
        <w:spacing w:line="480" w:lineRule="auto"/>
        <w:ind w:firstLine="641" w:firstLineChars="229"/>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end"/>
      </w: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adjustRightInd/>
        <w:spacing w:line="360" w:lineRule="auto"/>
        <w:jc w:val="center"/>
        <w:outlineLvl w:val="0"/>
        <w:rPr>
          <w:rFonts w:ascii="仿宋_GB2312" w:hAnsi="仿宋" w:eastAsia="仿宋_GB2312" w:cs="仿宋_GB2312"/>
          <w:b/>
          <w:color w:val="auto"/>
          <w:sz w:val="36"/>
          <w:szCs w:val="20"/>
          <w:highlight w:val="none"/>
        </w:rPr>
      </w:pPr>
      <w:bookmarkStart w:id="2" w:name="第一部分"/>
      <w:r>
        <w:rPr>
          <w:rFonts w:ascii="仿宋" w:hAnsi="仿宋" w:eastAsia="仿宋" w:cs="仿宋_GB2312"/>
          <w:b/>
          <w:color w:val="auto"/>
          <w:sz w:val="36"/>
          <w:szCs w:val="36"/>
          <w:highlight w:val="none"/>
        </w:rPr>
        <w:br w:type="page"/>
      </w:r>
      <w:bookmarkEnd w:id="1"/>
      <w:bookmarkEnd w:id="2"/>
      <w:bookmarkStart w:id="3" w:name="_Hlt74729822"/>
      <w:bookmarkEnd w:id="3"/>
      <w:bookmarkStart w:id="4" w:name="_Hlt74649545"/>
      <w:bookmarkEnd w:id="4"/>
      <w:bookmarkStart w:id="5" w:name="_Hlt74728647"/>
      <w:bookmarkEnd w:id="5"/>
      <w:bookmarkStart w:id="6" w:name="_Hlt74707423"/>
      <w:bookmarkEnd w:id="6"/>
      <w:bookmarkStart w:id="7" w:name="_Toc4826"/>
      <w:bookmarkStart w:id="8" w:name="_Toc22654"/>
      <w:bookmarkStart w:id="9" w:name="第二部分"/>
      <w:bookmarkStart w:id="10" w:name="_Toc91899870"/>
      <w:bookmarkStart w:id="11" w:name="_Toc91899871"/>
      <w:r>
        <w:rPr>
          <w:rFonts w:hint="eastAsia" w:ascii="仿宋" w:hAnsi="仿宋" w:eastAsia="仿宋" w:cs="仿宋_GB2312"/>
          <w:b/>
          <w:color w:val="auto"/>
          <w:sz w:val="36"/>
          <w:szCs w:val="20"/>
          <w:highlight w:val="none"/>
        </w:rPr>
        <w:t>第一部分</w:t>
      </w:r>
      <w:r>
        <w:rPr>
          <w:rFonts w:hint="eastAsia" w:ascii="仿宋_GB2312" w:hAnsi="仿宋" w:eastAsia="仿宋_GB2312" w:cs="仿宋_GB2312"/>
          <w:b/>
          <w:color w:val="auto"/>
          <w:sz w:val="36"/>
          <w:szCs w:val="20"/>
          <w:highlight w:val="none"/>
        </w:rPr>
        <w:t>招标公告</w:t>
      </w:r>
      <w:bookmarkEnd w:id="7"/>
      <w:bookmarkEnd w:id="8"/>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color w:val="auto"/>
          <w:sz w:val="24"/>
          <w:highlight w:val="none"/>
          <w:u w:val="single"/>
        </w:rPr>
      </w:pPr>
      <w:r>
        <w:rPr>
          <w:rFonts w:hint="eastAsia" w:ascii="仿宋_GB2312" w:hAnsi="仿宋" w:eastAsia="仿宋_GB2312"/>
          <w:color w:val="auto"/>
          <w:sz w:val="24"/>
          <w:highlight w:val="none"/>
          <w:u w:val="single"/>
          <w:lang w:eastAsia="zh-CN"/>
        </w:rPr>
        <w:t>江山市卫生健康局生物安全在线数智监管系统技术服务项目</w:t>
      </w:r>
      <w:r>
        <w:rPr>
          <w:rFonts w:hint="eastAsia" w:ascii="仿宋_GB2312" w:hAnsi="仿宋" w:eastAsia="仿宋_GB2312"/>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"https://www.zcygov.cn/）获取（下载）招标文件，并于2021年" </w:instrText>
      </w:r>
      <w:r>
        <w:rPr>
          <w:color w:val="auto"/>
          <w:highlight w:val="none"/>
        </w:rPr>
        <w:fldChar w:fldCharType="separate"/>
      </w:r>
      <w:r>
        <w:rPr>
          <w:rStyle w:val="70"/>
          <w:rFonts w:ascii="仿宋_GB2312" w:hAnsi="仿宋" w:eastAsia="仿宋_GB2312" w:cs="Times New Roman"/>
          <w:snapToGrid/>
          <w:color w:val="auto"/>
          <w:kern w:val="2"/>
          <w:sz w:val="24"/>
          <w:szCs w:val="24"/>
          <w:highlight w:val="none"/>
        </w:rPr>
        <w:t>https://www.zcygov.cn/）获取（下载）招标文件，并于</w:t>
      </w:r>
      <w:r>
        <w:rPr>
          <w:rFonts w:hint="eastAsia" w:ascii="仿宋_GB2312" w:hAnsi="仿宋" w:eastAsia="仿宋_GB2312"/>
          <w:color w:val="auto"/>
          <w:sz w:val="24"/>
          <w:highlight w:val="none"/>
          <w:u w:val="single"/>
        </w:rPr>
        <w:t>202</w:t>
      </w:r>
      <w:r>
        <w:rPr>
          <w:rFonts w:hint="eastAsia" w:ascii="仿宋_GB2312" w:hAnsi="仿宋" w:eastAsia="仿宋_GB2312"/>
          <w:color w:val="auto"/>
          <w:sz w:val="24"/>
          <w:highlight w:val="none"/>
          <w:u w:val="single"/>
          <w:lang w:val="en-US" w:eastAsia="zh-CN"/>
        </w:rPr>
        <w:t>3</w:t>
      </w:r>
      <w:r>
        <w:rPr>
          <w:rFonts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03</w:t>
      </w:r>
      <w:r>
        <w:rPr>
          <w:rFonts w:hint="eastAsia"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10</w:t>
      </w:r>
      <w:r>
        <w:rPr>
          <w:rFonts w:hint="eastAsia" w:ascii="仿宋_GB2312" w:hAnsi="仿宋" w:eastAsia="仿宋_GB2312"/>
          <w:color w:val="auto"/>
          <w:sz w:val="24"/>
          <w:highlight w:val="none"/>
          <w:u w:val="single"/>
        </w:rPr>
        <w:t>日9</w:t>
      </w:r>
      <w:r>
        <w:rPr>
          <w:rFonts w:hint="eastAsia" w:ascii="仿宋_GB2312" w:hAnsi="仿宋" w:eastAsia="仿宋_GB2312"/>
          <w:color w:val="auto"/>
          <w:sz w:val="24"/>
          <w:highlight w:val="none"/>
          <w:u w:val="single"/>
        </w:rPr>
        <w:fldChar w:fldCharType="end"/>
      </w:r>
      <w:r>
        <w:rPr>
          <w:rFonts w:hint="eastAsia" w:ascii="仿宋_GB2312" w:hAnsi="仿宋" w:eastAsia="仿宋_GB2312"/>
          <w:bCs/>
          <w:color w:val="auto"/>
          <w:sz w:val="24"/>
          <w:highlight w:val="none"/>
          <w:u w:val="single"/>
        </w:rPr>
        <w:t>:00</w:t>
      </w:r>
      <w:r>
        <w:rPr>
          <w:rFonts w:hint="eastAsia" w:ascii="仿宋_GB2312" w:hAnsi="仿宋" w:eastAsia="仿宋_GB2312"/>
          <w:bCs/>
          <w:color w:val="auto"/>
          <w:sz w:val="24"/>
          <w:highlight w:val="none"/>
        </w:rPr>
        <w:t>（北京时间）前</w:t>
      </w:r>
      <w:r>
        <w:rPr>
          <w:rFonts w:hint="eastAsia" w:ascii="仿宋_GB2312" w:hAnsi="仿宋" w:eastAsia="仿宋_GB2312"/>
          <w:color w:val="auto"/>
          <w:sz w:val="24"/>
          <w:highlight w:val="none"/>
        </w:rPr>
        <w:t>递交（上传）投标文件。</w:t>
      </w:r>
    </w:p>
    <w:p>
      <w:pPr>
        <w:pStyle w:val="258"/>
        <w:numPr>
          <w:ilvl w:val="0"/>
          <w:numId w:val="1"/>
        </w:numPr>
        <w:ind w:firstLineChars="0"/>
        <w:rPr>
          <w:rFonts w:ascii="仿宋_GB2312" w:hAnsi="仿宋" w:eastAsia="仿宋_GB2312"/>
          <w:b/>
          <w:color w:val="auto"/>
          <w:highlight w:val="none"/>
        </w:rPr>
      </w:pPr>
      <w:r>
        <w:rPr>
          <w:rFonts w:hint="eastAsia" w:ascii="仿宋_GB2312" w:hAnsi="仿宋" w:eastAsia="仿宋_GB2312"/>
          <w:b/>
          <w:color w:val="auto"/>
          <w:highlight w:val="none"/>
        </w:rPr>
        <w:t>招标公告发布前事项：</w:t>
      </w:r>
    </w:p>
    <w:p>
      <w:pPr>
        <w:pStyle w:val="258"/>
        <w:numPr>
          <w:ilvl w:val="0"/>
          <w:numId w:val="2"/>
        </w:numPr>
        <w:ind w:left="720" w:firstLine="0" w:firstLineChars="0"/>
        <w:jc w:val="left"/>
        <w:rPr>
          <w:color w:val="auto"/>
          <w:highlight w:val="none"/>
        </w:rPr>
      </w:pPr>
      <w:r>
        <w:rPr>
          <w:rFonts w:hint="eastAsia" w:ascii="宋体" w:hAnsi="宋体" w:eastAsia="宋体" w:cs="宋体"/>
          <w:color w:val="auto"/>
          <w:highlight w:val="none"/>
        </w:rPr>
        <w:t>意向公开的发布链接</w:t>
      </w:r>
      <w:r>
        <w:rPr>
          <w:rFonts w:hint="eastAsia" w:ascii="仿宋_GB2312" w:hAnsi="仿宋" w:eastAsia="仿宋_GB2312"/>
          <w:color w:val="auto"/>
          <w:highlight w:val="none"/>
          <w:u w:val="single"/>
        </w:rPr>
        <w:t>https://zfcg.czt.zj.gov.cn/innerUsed_noticeDetails/index.html?noticeId=9060219&amp;utm=web-government-front.49399a16.0.0.7fd63e60a37d11edb736a521619bdf4f</w:t>
      </w:r>
    </w:p>
    <w:p>
      <w:pPr>
        <w:pStyle w:val="258"/>
        <w:numPr>
          <w:ilvl w:val="0"/>
          <w:numId w:val="1"/>
        </w:numPr>
        <w:ind w:firstLineChars="0"/>
        <w:rPr>
          <w:rFonts w:ascii="仿宋_GB2312" w:hAnsi="仿宋" w:eastAsia="仿宋_GB2312"/>
          <w:b/>
          <w:color w:val="auto"/>
          <w:highlight w:val="none"/>
        </w:rPr>
      </w:pPr>
      <w:r>
        <w:rPr>
          <w:rFonts w:hint="eastAsia" w:ascii="仿宋_GB2312" w:hAnsi="仿宋" w:eastAsia="仿宋_GB2312"/>
          <w:b/>
          <w:color w:val="auto"/>
          <w:highlight w:val="none"/>
        </w:rPr>
        <w:t>项目基本情况</w:t>
      </w:r>
    </w:p>
    <w:p>
      <w:pPr>
        <w:spacing w:line="360" w:lineRule="auto"/>
        <w:rPr>
          <w:rFonts w:ascii="仿宋_GB2312" w:hAnsi="仿宋" w:eastAsia="仿宋_GB2312"/>
          <w:bCs/>
          <w:color w:val="auto"/>
          <w:sz w:val="24"/>
          <w:highlight w:val="none"/>
        </w:rPr>
      </w:pPr>
      <w:r>
        <w:rPr>
          <w:rFonts w:hint="eastAsia" w:ascii="仿宋_GB2312" w:hAnsi="仿宋" w:eastAsia="仿宋_GB2312"/>
          <w:color w:val="auto"/>
          <w:sz w:val="24"/>
          <w:highlight w:val="none"/>
        </w:rPr>
        <w:t>1.</w:t>
      </w:r>
      <w:r>
        <w:rPr>
          <w:rFonts w:hint="eastAsia" w:ascii="仿宋_GB2312" w:hAnsi="仿宋" w:eastAsia="仿宋_GB2312"/>
          <w:b/>
          <w:color w:val="auto"/>
          <w:sz w:val="24"/>
          <w:highlight w:val="none"/>
        </w:rPr>
        <w:t>项目编号：</w:t>
      </w:r>
      <w:r>
        <w:rPr>
          <w:rFonts w:hint="eastAsia" w:ascii="仿宋_GB2312" w:hAnsi="仿宋" w:eastAsia="仿宋_GB2312"/>
          <w:bCs/>
          <w:color w:val="auto"/>
          <w:sz w:val="24"/>
          <w:highlight w:val="none"/>
          <w:lang w:eastAsia="zh-CN"/>
        </w:rPr>
        <w:t>jshjzf-20230203</w:t>
      </w:r>
    </w:p>
    <w:p>
      <w:pPr>
        <w:spacing w:line="360" w:lineRule="auto"/>
        <w:rPr>
          <w:rFonts w:ascii="仿宋_GB2312" w:hAnsi="仿宋" w:eastAsia="仿宋_GB2312"/>
          <w:color w:val="auto"/>
          <w:sz w:val="24"/>
          <w:highlight w:val="none"/>
        </w:rPr>
      </w:pPr>
      <w:r>
        <w:rPr>
          <w:rFonts w:hint="eastAsia" w:ascii="仿宋_GB2312" w:hAnsi="仿宋" w:eastAsia="仿宋_GB2312"/>
          <w:b/>
          <w:color w:val="auto"/>
          <w:sz w:val="24"/>
          <w:highlight w:val="none"/>
        </w:rPr>
        <w:t>2.</w:t>
      </w:r>
      <w:r>
        <w:rPr>
          <w:rFonts w:ascii="仿宋_GB2312" w:hAnsi="仿宋" w:eastAsia="仿宋_GB2312"/>
          <w:b/>
          <w:color w:val="auto"/>
          <w:sz w:val="24"/>
          <w:highlight w:val="none"/>
        </w:rPr>
        <w:t>项目名称：</w:t>
      </w:r>
      <w:r>
        <w:rPr>
          <w:rFonts w:hint="eastAsia" w:ascii="仿宋_GB2312" w:hAnsi="仿宋" w:eastAsia="仿宋_GB2312"/>
          <w:bCs/>
          <w:color w:val="auto"/>
          <w:sz w:val="24"/>
          <w:highlight w:val="none"/>
          <w:lang w:eastAsia="zh-CN"/>
        </w:rPr>
        <w:t>江山市卫生健康局生物安全在线数智监管系统技术服务项目</w:t>
      </w:r>
    </w:p>
    <w:p>
      <w:pPr>
        <w:spacing w:line="360" w:lineRule="auto"/>
        <w:rPr>
          <w:rFonts w:ascii="仿宋_GB2312" w:hAnsi="仿宋" w:eastAsia="仿宋_GB2312"/>
          <w:color w:val="auto"/>
          <w:sz w:val="24"/>
          <w:highlight w:val="none"/>
        </w:rPr>
      </w:pPr>
      <w:r>
        <w:rPr>
          <w:rFonts w:hint="eastAsia" w:ascii="仿宋_GB2312" w:hAnsi="仿宋" w:eastAsia="仿宋_GB2312"/>
          <w:b/>
          <w:color w:val="auto"/>
          <w:sz w:val="24"/>
          <w:highlight w:val="none"/>
        </w:rPr>
        <w:t>3.</w:t>
      </w:r>
      <w:r>
        <w:rPr>
          <w:rFonts w:ascii="仿宋_GB2312" w:hAnsi="仿宋" w:eastAsia="仿宋_GB2312"/>
          <w:b/>
          <w:color w:val="auto"/>
          <w:sz w:val="24"/>
          <w:highlight w:val="none"/>
        </w:rPr>
        <w:t>预算金额（元）：</w:t>
      </w:r>
      <w:r>
        <w:rPr>
          <w:rFonts w:hint="eastAsia" w:ascii="宋体" w:hAnsi="宋体" w:eastAsia="仿宋_GB2312" w:cs="宋体"/>
          <w:color w:val="auto"/>
          <w:sz w:val="24"/>
          <w:highlight w:val="none"/>
          <w:lang w:eastAsia="zh-CN"/>
        </w:rPr>
        <w:t>1200000</w:t>
      </w:r>
    </w:p>
    <w:p>
      <w:pPr>
        <w:spacing w:line="400" w:lineRule="exact"/>
        <w:rPr>
          <w:rFonts w:hint="eastAsia" w:ascii="宋体" w:hAnsi="宋体" w:eastAsia="仿宋_GB2312" w:cs="宋体"/>
          <w:color w:val="auto"/>
          <w:sz w:val="24"/>
          <w:highlight w:val="none"/>
        </w:rPr>
      </w:pPr>
      <w:r>
        <w:rPr>
          <w:rFonts w:hint="eastAsia" w:ascii="仿宋_GB2312" w:hAnsi="仿宋" w:eastAsia="仿宋_GB2312"/>
          <w:b/>
          <w:color w:val="auto"/>
          <w:sz w:val="24"/>
          <w:highlight w:val="none"/>
        </w:rPr>
        <w:t>4.最高限价（元）：</w:t>
      </w:r>
      <w:r>
        <w:rPr>
          <w:rFonts w:hint="eastAsia" w:ascii="宋体" w:hAnsi="宋体" w:eastAsia="仿宋_GB2312" w:cs="宋体"/>
          <w:color w:val="auto"/>
          <w:sz w:val="24"/>
          <w:highlight w:val="none"/>
          <w:lang w:val="en-US" w:eastAsia="zh-CN"/>
        </w:rPr>
        <w:t>1200000</w:t>
      </w:r>
    </w:p>
    <w:p>
      <w:pPr>
        <w:spacing w:line="400" w:lineRule="exact"/>
        <w:rPr>
          <w:rFonts w:hint="eastAsia" w:ascii="仿宋_GB2312" w:hAnsi="仿宋" w:eastAsia="仿宋_GB2312"/>
          <w:b/>
          <w:color w:val="auto"/>
          <w:sz w:val="24"/>
          <w:highlight w:val="none"/>
        </w:rPr>
      </w:pPr>
      <w:r>
        <w:rPr>
          <w:rFonts w:hint="eastAsia" w:ascii="仿宋_GB2312" w:hAnsi="仿宋" w:eastAsia="仿宋_GB2312"/>
          <w:b/>
          <w:color w:val="auto"/>
          <w:sz w:val="24"/>
          <w:highlight w:val="none"/>
        </w:rPr>
        <w:t>5.采购需求：</w:t>
      </w:r>
    </w:p>
    <w:tbl>
      <w:tblPr>
        <w:tblStyle w:val="73"/>
        <w:tblW w:w="86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8"/>
        <w:gridCol w:w="3093"/>
        <w:gridCol w:w="922"/>
        <w:gridCol w:w="1409"/>
        <w:gridCol w:w="22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52" w:hRule="atLeast"/>
        </w:trPr>
        <w:tc>
          <w:tcPr>
            <w:tcW w:w="1018" w:type="dxa"/>
            <w:vAlign w:val="center"/>
          </w:tcPr>
          <w:p>
            <w:pPr>
              <w:spacing w:line="360" w:lineRule="auto"/>
              <w:rPr>
                <w:rFonts w:hint="eastAsia" w:ascii="仿宋_GB2312" w:hAnsi="仿宋" w:eastAsia="仿宋_GB2312"/>
                <w:bCs/>
                <w:color w:val="auto"/>
                <w:sz w:val="24"/>
                <w:highlight w:val="none"/>
              </w:rPr>
            </w:pPr>
            <w:r>
              <w:rPr>
                <w:rFonts w:hint="eastAsia" w:ascii="仿宋_GB2312" w:hAnsi="仿宋" w:eastAsia="仿宋_GB2312"/>
                <w:bCs/>
                <w:color w:val="auto"/>
                <w:sz w:val="24"/>
                <w:highlight w:val="none"/>
              </w:rPr>
              <w:t>标段号</w:t>
            </w:r>
          </w:p>
        </w:tc>
        <w:tc>
          <w:tcPr>
            <w:tcW w:w="3093" w:type="dxa"/>
            <w:vAlign w:val="center"/>
          </w:tcPr>
          <w:p>
            <w:pPr>
              <w:spacing w:line="360" w:lineRule="auto"/>
              <w:rPr>
                <w:rFonts w:hint="eastAsia" w:ascii="仿宋_GB2312" w:hAnsi="仿宋" w:eastAsia="仿宋_GB2312"/>
                <w:bCs/>
                <w:color w:val="auto"/>
                <w:sz w:val="24"/>
                <w:highlight w:val="none"/>
              </w:rPr>
            </w:pPr>
            <w:r>
              <w:rPr>
                <w:rFonts w:hint="eastAsia" w:ascii="仿宋_GB2312" w:hAnsi="仿宋" w:eastAsia="仿宋_GB2312"/>
                <w:bCs/>
                <w:color w:val="auto"/>
                <w:sz w:val="24"/>
                <w:highlight w:val="none"/>
              </w:rPr>
              <w:t>采购内容</w:t>
            </w:r>
          </w:p>
        </w:tc>
        <w:tc>
          <w:tcPr>
            <w:tcW w:w="922" w:type="dxa"/>
            <w:vAlign w:val="center"/>
          </w:tcPr>
          <w:p>
            <w:pPr>
              <w:spacing w:line="360" w:lineRule="auto"/>
              <w:rPr>
                <w:rFonts w:hint="eastAsia" w:ascii="仿宋_GB2312" w:hAnsi="仿宋" w:eastAsia="仿宋_GB2312"/>
                <w:bCs/>
                <w:color w:val="auto"/>
                <w:sz w:val="24"/>
                <w:highlight w:val="none"/>
              </w:rPr>
            </w:pPr>
            <w:r>
              <w:rPr>
                <w:rFonts w:hint="eastAsia" w:ascii="仿宋_GB2312" w:hAnsi="仿宋" w:eastAsia="仿宋_GB2312"/>
                <w:bCs/>
                <w:color w:val="auto"/>
                <w:sz w:val="24"/>
                <w:highlight w:val="none"/>
              </w:rPr>
              <w:t>数量</w:t>
            </w:r>
          </w:p>
        </w:tc>
        <w:tc>
          <w:tcPr>
            <w:tcW w:w="1409" w:type="dxa"/>
            <w:vAlign w:val="center"/>
          </w:tcPr>
          <w:p>
            <w:pPr>
              <w:spacing w:line="360" w:lineRule="auto"/>
              <w:rPr>
                <w:rFonts w:hint="eastAsia" w:ascii="仿宋_GB2312" w:hAnsi="仿宋" w:eastAsia="仿宋_GB2312"/>
                <w:bCs/>
                <w:color w:val="auto"/>
                <w:sz w:val="24"/>
                <w:highlight w:val="none"/>
              </w:rPr>
            </w:pPr>
            <w:r>
              <w:rPr>
                <w:rFonts w:hint="eastAsia" w:ascii="仿宋_GB2312" w:hAnsi="仿宋" w:eastAsia="仿宋_GB2312"/>
                <w:bCs/>
                <w:color w:val="auto"/>
                <w:sz w:val="24"/>
                <w:highlight w:val="none"/>
              </w:rPr>
              <w:t>预算价</w:t>
            </w:r>
          </w:p>
        </w:tc>
        <w:tc>
          <w:tcPr>
            <w:tcW w:w="2254" w:type="dxa"/>
            <w:vAlign w:val="center"/>
          </w:tcPr>
          <w:p>
            <w:pPr>
              <w:spacing w:line="360" w:lineRule="auto"/>
              <w:rPr>
                <w:rFonts w:hint="eastAsia" w:ascii="仿宋_GB2312" w:hAnsi="仿宋" w:eastAsia="仿宋_GB2312"/>
                <w:bCs/>
                <w:color w:val="auto"/>
                <w:sz w:val="24"/>
                <w:highlight w:val="none"/>
              </w:rPr>
            </w:pPr>
            <w:r>
              <w:rPr>
                <w:rFonts w:hint="eastAsia" w:ascii="仿宋_GB2312" w:hAnsi="仿宋" w:eastAsia="仿宋_GB2312"/>
                <w:bCs/>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1018" w:type="dxa"/>
            <w:vAlign w:val="center"/>
          </w:tcPr>
          <w:p>
            <w:pPr>
              <w:spacing w:line="360" w:lineRule="auto"/>
              <w:rPr>
                <w:rFonts w:hint="eastAsia" w:ascii="仿宋_GB2312" w:hAnsi="仿宋" w:eastAsia="仿宋_GB2312"/>
                <w:bCs/>
                <w:color w:val="auto"/>
                <w:sz w:val="24"/>
                <w:highlight w:val="none"/>
              </w:rPr>
            </w:pPr>
            <w:r>
              <w:rPr>
                <w:rFonts w:hint="eastAsia" w:ascii="仿宋_GB2312" w:hAnsi="仿宋" w:eastAsia="仿宋_GB2312"/>
                <w:bCs/>
                <w:color w:val="auto"/>
                <w:sz w:val="24"/>
                <w:highlight w:val="none"/>
              </w:rPr>
              <w:t>标项1</w:t>
            </w:r>
          </w:p>
        </w:tc>
        <w:tc>
          <w:tcPr>
            <w:tcW w:w="3093" w:type="dxa"/>
            <w:vAlign w:val="center"/>
          </w:tcPr>
          <w:p>
            <w:pPr>
              <w:spacing w:line="360" w:lineRule="auto"/>
              <w:rPr>
                <w:rFonts w:hint="eastAsia" w:ascii="仿宋_GB2312" w:hAnsi="仿宋" w:eastAsia="仿宋_GB2312"/>
                <w:bCs/>
                <w:color w:val="auto"/>
                <w:sz w:val="24"/>
                <w:highlight w:val="none"/>
                <w:lang w:eastAsia="zh-CN"/>
              </w:rPr>
            </w:pPr>
            <w:r>
              <w:rPr>
                <w:rFonts w:hint="eastAsia" w:ascii="仿宋_GB2312" w:hAnsi="仿宋" w:eastAsia="仿宋_GB2312"/>
                <w:bCs/>
                <w:color w:val="auto"/>
                <w:sz w:val="24"/>
                <w:highlight w:val="none"/>
                <w:lang w:eastAsia="zh-CN"/>
              </w:rPr>
              <w:t>江山市卫生健康局生物安全在线数智监管系统技术服务项目</w:t>
            </w:r>
          </w:p>
        </w:tc>
        <w:tc>
          <w:tcPr>
            <w:tcW w:w="922" w:type="dxa"/>
            <w:vAlign w:val="center"/>
          </w:tcPr>
          <w:p>
            <w:pPr>
              <w:spacing w:line="360" w:lineRule="auto"/>
              <w:rPr>
                <w:rFonts w:hint="eastAsia" w:ascii="仿宋_GB2312" w:hAnsi="仿宋" w:eastAsia="仿宋_GB2312"/>
                <w:bCs/>
                <w:color w:val="auto"/>
                <w:sz w:val="24"/>
                <w:highlight w:val="none"/>
              </w:rPr>
            </w:pPr>
            <w:r>
              <w:rPr>
                <w:rFonts w:hint="eastAsia" w:ascii="仿宋_GB2312" w:hAnsi="仿宋" w:eastAsia="仿宋_GB2312"/>
                <w:bCs/>
                <w:color w:val="auto"/>
                <w:sz w:val="24"/>
                <w:highlight w:val="none"/>
              </w:rPr>
              <w:t>1项</w:t>
            </w:r>
          </w:p>
        </w:tc>
        <w:tc>
          <w:tcPr>
            <w:tcW w:w="1409" w:type="dxa"/>
            <w:vAlign w:val="center"/>
          </w:tcPr>
          <w:p>
            <w:pPr>
              <w:spacing w:line="360" w:lineRule="auto"/>
              <w:rPr>
                <w:rFonts w:hint="eastAsia" w:ascii="仿宋_GB2312" w:hAnsi="仿宋" w:eastAsia="仿宋_GB2312"/>
                <w:bCs/>
                <w:color w:val="auto"/>
                <w:sz w:val="24"/>
                <w:highlight w:val="none"/>
              </w:rPr>
            </w:pPr>
            <w:r>
              <w:rPr>
                <w:rFonts w:hint="eastAsia" w:ascii="仿宋_GB2312" w:hAnsi="仿宋" w:eastAsia="仿宋_GB2312"/>
                <w:bCs/>
                <w:color w:val="auto"/>
                <w:sz w:val="24"/>
                <w:highlight w:val="none"/>
                <w:lang w:eastAsia="zh-CN"/>
              </w:rPr>
              <w:t>1200000</w:t>
            </w:r>
            <w:r>
              <w:rPr>
                <w:rFonts w:hint="eastAsia" w:ascii="仿宋_GB2312" w:hAnsi="仿宋" w:eastAsia="仿宋_GB2312"/>
                <w:bCs/>
                <w:color w:val="auto"/>
                <w:sz w:val="24"/>
                <w:highlight w:val="none"/>
              </w:rPr>
              <w:t>元</w:t>
            </w:r>
          </w:p>
        </w:tc>
        <w:tc>
          <w:tcPr>
            <w:tcW w:w="2254" w:type="dxa"/>
            <w:vAlign w:val="center"/>
          </w:tcPr>
          <w:p>
            <w:pPr>
              <w:spacing w:line="360" w:lineRule="auto"/>
              <w:rPr>
                <w:rFonts w:hint="eastAsia" w:ascii="仿宋_GB2312" w:hAnsi="仿宋" w:eastAsia="仿宋_GB2312"/>
                <w:bCs/>
                <w:color w:val="auto"/>
                <w:sz w:val="24"/>
                <w:highlight w:val="none"/>
              </w:rPr>
            </w:pPr>
            <w:r>
              <w:rPr>
                <w:rFonts w:hint="eastAsia" w:ascii="仿宋_GB2312" w:hAnsi="仿宋" w:eastAsia="仿宋_GB2312"/>
                <w:bCs/>
                <w:color w:val="auto"/>
                <w:sz w:val="24"/>
                <w:highlight w:val="none"/>
              </w:rPr>
              <w:t>详细采购内容及要求见采购文件第三部分</w:t>
            </w:r>
            <w:r>
              <w:rPr>
                <w:rFonts w:hint="eastAsia" w:ascii="仿宋_GB2312" w:hAnsi="仿宋" w:eastAsia="仿宋_GB2312"/>
                <w:bCs/>
                <w:color w:val="auto"/>
                <w:sz w:val="24"/>
                <w:highlight w:val="none"/>
                <w:lang w:eastAsia="zh-CN"/>
              </w:rPr>
              <w:t>，</w:t>
            </w:r>
            <w:r>
              <w:rPr>
                <w:rFonts w:hint="eastAsia" w:ascii="仿宋_GB2312" w:hAnsi="仿宋" w:eastAsia="仿宋_GB2312"/>
                <w:bCs/>
                <w:color w:val="auto"/>
                <w:sz w:val="24"/>
                <w:highlight w:val="none"/>
              </w:rPr>
              <w:t>至少2年（验收合格之日起计）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0" w:hRule="atLeast"/>
        </w:trPr>
        <w:tc>
          <w:tcPr>
            <w:tcW w:w="5033" w:type="dxa"/>
            <w:gridSpan w:val="3"/>
            <w:vAlign w:val="center"/>
          </w:tcPr>
          <w:p>
            <w:pPr>
              <w:spacing w:line="360" w:lineRule="auto"/>
              <w:rPr>
                <w:rFonts w:hint="eastAsia" w:ascii="仿宋_GB2312" w:hAnsi="仿宋" w:eastAsia="仿宋_GB2312"/>
                <w:bCs/>
                <w:color w:val="auto"/>
                <w:sz w:val="24"/>
                <w:highlight w:val="none"/>
              </w:rPr>
            </w:pPr>
            <w:r>
              <w:rPr>
                <w:rFonts w:hint="eastAsia" w:ascii="仿宋_GB2312" w:hAnsi="仿宋" w:eastAsia="仿宋_GB2312"/>
                <w:bCs/>
                <w:color w:val="auto"/>
                <w:sz w:val="24"/>
                <w:highlight w:val="none"/>
              </w:rPr>
              <w:t>合           计</w:t>
            </w:r>
          </w:p>
        </w:tc>
        <w:tc>
          <w:tcPr>
            <w:tcW w:w="3663" w:type="dxa"/>
            <w:gridSpan w:val="2"/>
            <w:vAlign w:val="center"/>
          </w:tcPr>
          <w:p>
            <w:pPr>
              <w:spacing w:line="360" w:lineRule="auto"/>
              <w:rPr>
                <w:rFonts w:hint="eastAsia" w:ascii="仿宋_GB2312" w:hAnsi="仿宋" w:eastAsia="仿宋_GB2312"/>
                <w:bCs/>
                <w:color w:val="auto"/>
                <w:sz w:val="24"/>
                <w:highlight w:val="none"/>
              </w:rPr>
            </w:pPr>
            <w:r>
              <w:rPr>
                <w:rFonts w:hint="eastAsia" w:ascii="仿宋_GB2312" w:hAnsi="仿宋" w:eastAsia="仿宋_GB2312"/>
                <w:bCs/>
                <w:color w:val="auto"/>
                <w:sz w:val="24"/>
                <w:highlight w:val="none"/>
                <w:lang w:eastAsia="zh-CN"/>
              </w:rPr>
              <w:t>1200000</w:t>
            </w:r>
            <w:r>
              <w:rPr>
                <w:rFonts w:hint="eastAsia" w:ascii="仿宋_GB2312" w:hAnsi="仿宋" w:eastAsia="仿宋_GB2312"/>
                <w:bCs/>
                <w:color w:val="auto"/>
                <w:sz w:val="24"/>
                <w:highlight w:val="none"/>
              </w:rPr>
              <w:t>元</w:t>
            </w:r>
          </w:p>
        </w:tc>
      </w:tr>
    </w:tbl>
    <w:p>
      <w:pPr>
        <w:pStyle w:val="131"/>
        <w:ind w:firstLine="482"/>
        <w:outlineLvl w:val="2"/>
        <w:rPr>
          <w:rFonts w:ascii="仿宋_GB2312" w:hAnsi="仿宋" w:eastAsia="仿宋_GB2312"/>
          <w:color w:val="auto"/>
          <w:highlight w:val="none"/>
        </w:rPr>
      </w:pPr>
      <w:bookmarkStart w:id="12" w:name="_Toc2281"/>
      <w:bookmarkStart w:id="13" w:name="_Toc11939"/>
      <w:r>
        <w:rPr>
          <w:rFonts w:hint="eastAsia" w:ascii="仿宋_GB2312" w:hAnsi="仿宋" w:eastAsia="仿宋_GB2312"/>
          <w:b/>
          <w:color w:val="auto"/>
          <w:highlight w:val="none"/>
        </w:rPr>
        <w:t>6.合同履约期限：</w:t>
      </w:r>
      <w:r>
        <w:rPr>
          <w:rFonts w:hint="eastAsia" w:ascii="宋体" w:hAnsi="宋体" w:cs="宋体"/>
          <w:color w:val="auto"/>
          <w:szCs w:val="24"/>
          <w:highlight w:val="none"/>
        </w:rPr>
        <w:t>按采购人要求。</w:t>
      </w:r>
      <w:bookmarkEnd w:id="12"/>
      <w:bookmarkEnd w:id="13"/>
    </w:p>
    <w:p>
      <w:pPr>
        <w:pStyle w:val="21"/>
        <w:spacing w:line="360" w:lineRule="auto"/>
        <w:ind w:firstLine="480"/>
        <w:rPr>
          <w:rFonts w:ascii="仿宋_GB2312" w:hAnsi="仿宋" w:eastAsia="仿宋_GB2312"/>
          <w:b/>
          <w:color w:val="auto"/>
          <w:sz w:val="24"/>
          <w:highlight w:val="none"/>
        </w:rPr>
      </w:pPr>
      <w:r>
        <w:rPr>
          <w:rFonts w:hint="eastAsia" w:ascii="仿宋_GB2312" w:hAnsi="仿宋" w:eastAsia="仿宋_GB2312"/>
          <w:b/>
          <w:color w:val="auto"/>
          <w:sz w:val="24"/>
          <w:highlight w:val="none"/>
        </w:rPr>
        <w:t>7.本项目接受联合体投标：</w:t>
      </w:r>
      <w:r>
        <w:rPr>
          <w:rFonts w:ascii="MS Gothic" w:hAnsi="MS Gothic" w:eastAsia="MS Gothic" w:cs="Arial"/>
          <w:color w:val="auto"/>
          <w:kern w:val="0"/>
          <w:sz w:val="24"/>
          <w:highlight w:val="none"/>
        </w:rPr>
        <w:sym w:font="Wingdings" w:char="00A8"/>
      </w:r>
      <w:r>
        <w:rPr>
          <w:rFonts w:hint="eastAsia" w:ascii="仿宋_GB2312" w:hAnsi="仿宋" w:eastAsia="仿宋_GB2312"/>
          <w:b/>
          <w:color w:val="auto"/>
          <w:sz w:val="24"/>
          <w:highlight w:val="none"/>
        </w:rPr>
        <w:t>是，</w:t>
      </w:r>
      <w:sdt>
        <w:sdtPr>
          <w:rPr>
            <w:rFonts w:hint="eastAsia" w:ascii="仿宋_GB2312" w:hAnsi="仿宋" w:eastAsia="仿宋_GB2312" w:cs="Arial"/>
            <w:color w:val="auto"/>
            <w:kern w:val="0"/>
            <w:sz w:val="24"/>
            <w:highlight w:val="none"/>
          </w:rPr>
          <w:id w:val="7237932"/>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sym w:font="Wingdings" w:char="00FE"/>
          </w:r>
        </w:sdtContent>
      </w:sdt>
      <w:r>
        <w:rPr>
          <w:rFonts w:hint="eastAsia" w:ascii="仿宋_GB2312" w:hAnsi="仿宋" w:eastAsia="仿宋_GB2312"/>
          <w:b/>
          <w:color w:val="auto"/>
          <w:sz w:val="24"/>
          <w:highlight w:val="none"/>
        </w:rPr>
        <w:t>否</w:t>
      </w:r>
      <w:r>
        <w:rPr>
          <w:rFonts w:hint="eastAsia" w:cs="Arial" w:asciiTheme="minorEastAsia" w:hAnsiTheme="minorEastAsia" w:eastAsiaTheme="minorEastAsia"/>
          <w:color w:val="auto"/>
          <w:kern w:val="0"/>
          <w:sz w:val="24"/>
          <w:highlight w:val="none"/>
        </w:rPr>
        <w:t>。</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三、申请人的资格要求：</w:t>
      </w:r>
    </w:p>
    <w:p>
      <w:pPr>
        <w:spacing w:line="360" w:lineRule="auto"/>
        <w:ind w:firstLine="480"/>
        <w:rPr>
          <w:rFonts w:ascii="仿宋" w:hAnsi="仿宋" w:eastAsia="仿宋" w:cs="仿宋_GB2312"/>
          <w:snapToGrid w:val="0"/>
          <w:color w:val="auto"/>
          <w:kern w:val="28"/>
          <w:sz w:val="24"/>
          <w:szCs w:val="20"/>
          <w:highlight w:val="none"/>
        </w:rPr>
      </w:pPr>
      <w:r>
        <w:rPr>
          <w:rFonts w:ascii="仿宋" w:hAnsi="仿宋" w:eastAsia="仿宋" w:cs="仿宋_GB2312"/>
          <w:snapToGrid w:val="0"/>
          <w:color w:val="auto"/>
          <w:kern w:val="28"/>
          <w:sz w:val="24"/>
          <w:szCs w:val="20"/>
          <w:highlight w:val="none"/>
        </w:rPr>
        <w:t>1.</w:t>
      </w:r>
      <w:r>
        <w:rPr>
          <w:rFonts w:hint="eastAsia" w:ascii="仿宋" w:hAnsi="仿宋" w:eastAsia="仿宋" w:cs="仿宋_GB2312"/>
          <w:snapToGrid w:val="0"/>
          <w:color w:val="auto"/>
          <w:kern w:val="28"/>
          <w:sz w:val="24"/>
          <w:szCs w:val="20"/>
          <w:highlight w:val="none"/>
        </w:rPr>
        <w:t xml:space="preserve">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rPr>
          <w:rFonts w:ascii="仿宋" w:hAnsi="仿宋" w:eastAsia="仿宋" w:cs="仿宋_GB2312"/>
          <w:snapToGrid w:val="0"/>
          <w:color w:val="auto"/>
          <w:kern w:val="28"/>
          <w:sz w:val="24"/>
          <w:szCs w:val="20"/>
          <w:highlight w:val="none"/>
        </w:rPr>
      </w:pPr>
      <w:r>
        <w:rPr>
          <w:rFonts w:ascii="仿宋" w:hAnsi="仿宋" w:eastAsia="仿宋" w:cs="仿宋_GB2312"/>
          <w:snapToGrid w:val="0"/>
          <w:color w:val="auto"/>
          <w:kern w:val="28"/>
          <w:sz w:val="24"/>
          <w:szCs w:val="20"/>
          <w:highlight w:val="none"/>
        </w:rPr>
        <w:t xml:space="preserve">    2.</w:t>
      </w:r>
      <w:r>
        <w:rPr>
          <w:rFonts w:hint="eastAsia" w:ascii="仿宋" w:hAnsi="仿宋" w:eastAsia="仿宋" w:cs="仿宋_GB2312"/>
          <w:snapToGrid w:val="0"/>
          <w:color w:val="auto"/>
          <w:kern w:val="28"/>
          <w:sz w:val="24"/>
          <w:szCs w:val="20"/>
          <w:highlight w:val="none"/>
        </w:rPr>
        <w:t>落实政府采购政策需满足的资格要求：</w:t>
      </w:r>
    </w:p>
    <w:p>
      <w:pPr>
        <w:spacing w:line="360" w:lineRule="auto"/>
        <w:ind w:firstLine="480" w:firstLineChars="200"/>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928616923"/>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sym w:font="Wingdings" w:char="00FE"/>
          </w:r>
        </w:sdtContent>
      </w:sdt>
      <w:r>
        <w:rPr>
          <w:rFonts w:hint="eastAsia" w:ascii="仿宋_GB2312" w:hAnsi="仿宋" w:eastAsia="仿宋_GB2312"/>
          <w:color w:val="auto"/>
          <w:sz w:val="24"/>
          <w:highlight w:val="none"/>
        </w:rPr>
        <w:t>无；</w:t>
      </w:r>
    </w:p>
    <w:p>
      <w:pPr>
        <w:spacing w:line="360" w:lineRule="auto"/>
        <w:ind w:firstLine="480" w:firstLineChars="200"/>
        <w:rPr>
          <w:rFonts w:ascii="仿宋_GB2312" w:hAnsi="仿宋" w:eastAsia="仿宋_GB2312"/>
          <w:color w:val="auto"/>
          <w:sz w:val="24"/>
          <w:highlight w:val="none"/>
        </w:rPr>
      </w:pPr>
      <w:r>
        <w:rPr>
          <w:rFonts w:ascii="MS Gothic" w:hAnsi="MS Gothic" w:eastAsia="MS Gothic" w:cs="Arial"/>
          <w:color w:val="auto"/>
          <w:kern w:val="0"/>
          <w:sz w:val="24"/>
          <w:highlight w:val="none"/>
        </w:rPr>
        <w:sym w:font="Wingdings" w:char="00A8"/>
      </w:r>
      <w:r>
        <w:rPr>
          <w:rFonts w:hint="eastAsia" w:ascii="仿宋_GB2312" w:hAnsi="仿宋" w:eastAsia="仿宋_GB2312" w:cs="Arial"/>
          <w:color w:val="auto"/>
          <w:kern w:val="0"/>
          <w:sz w:val="24"/>
          <w:highlight w:val="none"/>
        </w:rPr>
        <w:t>专</w:t>
      </w:r>
      <w:r>
        <w:rPr>
          <w:rFonts w:hint="eastAsia" w:ascii="仿宋_GB2312" w:hAnsi="仿宋" w:eastAsia="仿宋_GB2312"/>
          <w:color w:val="auto"/>
          <w:sz w:val="24"/>
          <w:highlight w:val="none"/>
        </w:rPr>
        <w:t>门面向中小企业</w:t>
      </w:r>
    </w:p>
    <w:p>
      <w:pPr>
        <w:spacing w:line="360" w:lineRule="auto"/>
        <w:ind w:firstLine="897" w:firstLineChars="374"/>
        <w:rPr>
          <w:rFonts w:ascii="仿宋_GB2312" w:hAnsi="仿宋" w:eastAsia="仿宋_GB2312"/>
          <w:color w:val="auto"/>
          <w:sz w:val="24"/>
          <w:highlight w:val="none"/>
          <w:u w:val="single"/>
        </w:rPr>
      </w:pPr>
      <w:sdt>
        <w:sdtPr>
          <w:rPr>
            <w:rFonts w:hint="eastAsia" w:ascii="仿宋_GB2312" w:hAnsi="仿宋" w:eastAsia="仿宋_GB2312" w:cs="Arial"/>
            <w:color w:val="auto"/>
            <w:kern w:val="0"/>
            <w:sz w:val="24"/>
            <w:highlight w:val="none"/>
          </w:rPr>
          <w:id w:val="-924730588"/>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sym w:font="Wingdings" w:char="00A8"/>
          </w:r>
        </w:sdtContent>
      </w:sdt>
      <w:r>
        <w:rPr>
          <w:rFonts w:hint="eastAsia" w:ascii="仿宋_GB2312" w:hAnsi="仿宋" w:eastAsia="仿宋_GB2312"/>
          <w:color w:val="auto"/>
          <w:sz w:val="24"/>
          <w:highlight w:val="none"/>
        </w:rPr>
        <w:t>货物全部由符合政策要求的中小企业制造，提供中小企业声明函；</w:t>
      </w:r>
    </w:p>
    <w:p>
      <w:pPr>
        <w:spacing w:line="360" w:lineRule="auto"/>
        <w:ind w:firstLine="897" w:firstLineChars="374"/>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152604937"/>
        </w:sdtPr>
        <w:sdtEndPr>
          <w:rPr>
            <w:rFonts w:hint="eastAsia" w:ascii="仿宋_GB2312" w:hAnsi="仿宋" w:eastAsia="仿宋_GB2312" w:cs="Arial"/>
            <w:color w:val="auto"/>
            <w:kern w:val="0"/>
            <w:sz w:val="24"/>
            <w:highlight w:val="none"/>
          </w:rPr>
        </w:sdtEndPr>
        <w:sdtContent>
          <w:r>
            <w:rPr>
              <w:rFonts w:ascii="MS Gothic" w:hAnsi="MS Gothic" w:eastAsia="仿宋_GB2312" w:cs="Arial"/>
              <w:color w:val="auto"/>
              <w:kern w:val="0"/>
              <w:sz w:val="24"/>
              <w:highlight w:val="none"/>
            </w:rPr>
            <w:t>☐</w:t>
          </w:r>
        </w:sdtContent>
      </w:sdt>
      <w:r>
        <w:rPr>
          <w:rFonts w:hint="eastAsia" w:ascii="仿宋_GB2312" w:hAnsi="仿宋" w:eastAsia="仿宋_GB2312"/>
          <w:color w:val="auto"/>
          <w:sz w:val="24"/>
          <w:highlight w:val="none"/>
        </w:rPr>
        <w:t>货物全部由符合政策要求的小微企业制造，提供中小企业声明函；</w:t>
      </w:r>
    </w:p>
    <w:p>
      <w:pPr>
        <w:spacing w:line="360" w:lineRule="auto"/>
        <w:ind w:firstLine="897" w:firstLineChars="374"/>
        <w:rPr>
          <w:rFonts w:ascii="仿宋_GB2312" w:hAnsi="仿宋" w:eastAsia="仿宋_GB2312"/>
          <w:color w:val="auto"/>
          <w:sz w:val="24"/>
          <w:highlight w:val="none"/>
        </w:rPr>
      </w:pPr>
      <w:r>
        <w:rPr>
          <w:rFonts w:ascii="MS Gothic" w:hAnsi="MS Gothic" w:eastAsia="MS Gothic" w:cs="Arial"/>
          <w:color w:val="auto"/>
          <w:kern w:val="0"/>
          <w:sz w:val="24"/>
          <w:highlight w:val="none"/>
        </w:rPr>
        <w:sym w:font="Wingdings" w:char="00A8"/>
      </w:r>
      <w:sdt>
        <w:sdtPr>
          <w:rPr>
            <w:rFonts w:hint="eastAsia" w:ascii="仿宋_GB2312" w:hAnsi="仿宋" w:eastAsia="仿宋_GB2312" w:cs="Arial"/>
            <w:color w:val="auto"/>
            <w:kern w:val="0"/>
            <w:sz w:val="24"/>
            <w:highlight w:val="none"/>
          </w:rPr>
          <w:id w:val="-333685401"/>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1024704304"/>
              <w:showingPlcHdr/>
            </w:sdtPr>
            <w:sdtEndPr>
              <w:rPr>
                <w:rFonts w:hint="eastAsia" w:ascii="仿宋_GB2312" w:hAnsi="仿宋" w:eastAsia="仿宋_GB2312" w:cs="Arial"/>
                <w:color w:val="auto"/>
                <w:kern w:val="0"/>
                <w:sz w:val="24"/>
                <w:highlight w:val="none"/>
              </w:rPr>
            </w:sdtEndPr>
            <w:sdtContent/>
          </w:sdt>
        </w:sdtContent>
      </w:sdt>
      <w:r>
        <w:rPr>
          <w:rFonts w:hint="eastAsia" w:ascii="仿宋_GB2312" w:hAnsi="仿宋" w:eastAsia="仿宋_GB2312"/>
          <w:color w:val="auto"/>
          <w:sz w:val="24"/>
          <w:highlight w:val="none"/>
        </w:rPr>
        <w:t>服务全部由符合政策要求的中小企业承接，提供中小企业声明函；</w:t>
      </w:r>
    </w:p>
    <w:p>
      <w:pPr>
        <w:spacing w:line="360" w:lineRule="auto"/>
        <w:ind w:firstLine="897" w:firstLineChars="374"/>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2141025358"/>
        </w:sdtPr>
        <w:sdtEndPr>
          <w:rPr>
            <w:rFonts w:hint="eastAsia" w:ascii="仿宋_GB2312" w:hAnsi="仿宋" w:eastAsia="仿宋_GB2312" w:cs="Arial"/>
            <w:color w:val="auto"/>
            <w:kern w:val="0"/>
            <w:sz w:val="24"/>
            <w:highlight w:val="none"/>
          </w:rPr>
        </w:sdtEndPr>
        <w:sdtContent>
          <w:r>
            <w:rPr>
              <w:rFonts w:ascii="MS Gothic" w:hAnsi="MS Gothic" w:eastAsia="仿宋_GB2312" w:cs="Arial"/>
              <w:color w:val="auto"/>
              <w:kern w:val="0"/>
              <w:sz w:val="24"/>
              <w:highlight w:val="none"/>
            </w:rPr>
            <w:t>☐</w:t>
          </w:r>
        </w:sdtContent>
      </w:sdt>
      <w:r>
        <w:rPr>
          <w:rFonts w:hint="eastAsia" w:ascii="仿宋_GB2312" w:hAnsi="仿宋" w:eastAsia="仿宋_GB2312"/>
          <w:color w:val="auto"/>
          <w:sz w:val="24"/>
          <w:highlight w:val="none"/>
        </w:rPr>
        <w:t>服务全部由符合政策要求的小微企业承接，提供中小企业声明函；</w:t>
      </w:r>
    </w:p>
    <w:p>
      <w:pPr>
        <w:rPr>
          <w:color w:val="auto"/>
          <w:highlight w:val="none"/>
        </w:rPr>
      </w:pPr>
    </w:p>
    <w:p>
      <w:pPr>
        <w:spacing w:line="360" w:lineRule="auto"/>
        <w:ind w:firstLine="480" w:firstLineChars="200"/>
        <w:rPr>
          <w:rFonts w:ascii="仿宋_GB2312" w:hAnsi="仿宋_GB2312" w:eastAsia="仿宋_GB2312" w:cs="仿宋_GB2312"/>
          <w:color w:val="auto"/>
          <w:sz w:val="24"/>
          <w:highlight w:val="none"/>
        </w:rPr>
      </w:pPr>
      <w:sdt>
        <w:sdtPr>
          <w:rPr>
            <w:rFonts w:hint="eastAsia" w:ascii="仿宋_GB2312" w:hAnsi="仿宋" w:eastAsia="仿宋_GB2312" w:cs="Arial"/>
            <w:color w:val="auto"/>
            <w:kern w:val="0"/>
            <w:sz w:val="24"/>
            <w:highlight w:val="none"/>
          </w:rPr>
          <w:id w:val="-1985607795"/>
        </w:sdtPr>
        <w:sdtEndPr>
          <w:rPr>
            <w:rFonts w:hint="eastAsia" w:ascii="仿宋_GB2312" w:hAnsi="仿宋_GB2312" w:eastAsia="仿宋_GB2312" w:cs="仿宋_GB2312"/>
            <w:color w:val="auto"/>
            <w:kern w:val="0"/>
            <w:sz w:val="24"/>
            <w:highlight w:val="none"/>
          </w:rPr>
        </w:sdtEndPr>
        <w:sdtContent>
          <w:r>
            <w:rPr>
              <w:rFonts w:hint="eastAsia" w:ascii="仿宋_GB2312" w:hAnsi="仿宋_GB2312" w:eastAsia="仿宋_GB2312" w:cs="仿宋_GB2312"/>
              <w:color w:val="auto"/>
              <w:kern w:val="0"/>
              <w:sz w:val="24"/>
              <w:highlight w:val="none"/>
            </w:rPr>
            <w:t>☐</w:t>
          </w:r>
        </w:sdtContent>
      </w:sdt>
      <w:r>
        <w:rPr>
          <w:rFonts w:hint="eastAsia" w:ascii="仿宋_GB2312" w:hAnsi="仿宋_GB2312" w:eastAsia="仿宋_GB2312" w:cs="仿宋_GB2312"/>
          <w:color w:val="auto"/>
          <w:sz w:val="24"/>
          <w:highlight w:val="none"/>
        </w:rPr>
        <w:t>要求以联合体形式参加，提供联合协议和中小企业声明函，联合协议中中小企业合同金额应当达到%，小微企业合同金额应当达到%;</w:t>
      </w:r>
      <w:r>
        <w:rPr>
          <w:rFonts w:hint="eastAsia" w:ascii="仿宋_GB2312" w:hAnsi="仿宋_GB2312" w:eastAsia="仿宋_GB2312" w:cs="仿宋_GB2312"/>
          <w:color w:val="auto"/>
          <w:spacing w:val="8"/>
          <w:kern w:val="0"/>
          <w:sz w:val="24"/>
          <w:highlight w:val="none"/>
        </w:rPr>
        <w:t>如果供应商本身提供所有标的均由中小企业制造、承建或承接，视同符合了资格条件，无需再与其他中小企业组成联合体参加政府采购活动，无需提供联合协议</w:t>
      </w:r>
      <w:r>
        <w:rPr>
          <w:rFonts w:hint="eastAsia" w:ascii="仿宋_GB2312" w:hAnsi="仿宋_GB2312" w:eastAsia="仿宋_GB2312" w:cs="仿宋_GB2312"/>
          <w:color w:val="auto"/>
          <w:sz w:val="24"/>
          <w:highlight w:val="none"/>
        </w:rPr>
        <w:t>；</w:t>
      </w:r>
    </w:p>
    <w:p>
      <w:pPr>
        <w:spacing w:line="360" w:lineRule="auto"/>
        <w:ind w:firstLine="480" w:firstLineChars="200"/>
        <w:rPr>
          <w:rFonts w:ascii="仿宋_GB2312" w:hAnsi="仿宋_GB2312" w:eastAsia="仿宋_GB2312" w:cs="仿宋_GB2312"/>
          <w:color w:val="auto"/>
          <w:sz w:val="24"/>
          <w:highlight w:val="none"/>
        </w:rPr>
      </w:pPr>
      <w:sdt>
        <w:sdtPr>
          <w:rPr>
            <w:rFonts w:hint="eastAsia" w:ascii="仿宋_GB2312" w:hAnsi="仿宋_GB2312" w:eastAsia="仿宋_GB2312" w:cs="仿宋_GB2312"/>
            <w:color w:val="auto"/>
            <w:kern w:val="0"/>
            <w:sz w:val="24"/>
            <w:highlight w:val="none"/>
          </w:rPr>
          <w:id w:val="34630645"/>
        </w:sdtPr>
        <w:sdtEndPr>
          <w:rPr>
            <w:rFonts w:hint="eastAsia" w:ascii="仿宋_GB2312" w:hAnsi="仿宋_GB2312" w:eastAsia="仿宋_GB2312" w:cs="仿宋_GB2312"/>
            <w:color w:val="auto"/>
            <w:kern w:val="0"/>
            <w:sz w:val="24"/>
            <w:highlight w:val="none"/>
          </w:rPr>
        </w:sdtEndPr>
        <w:sdtContent>
          <w:sdt>
            <w:sdtPr>
              <w:rPr>
                <w:rFonts w:hint="eastAsia" w:ascii="仿宋_GB2312" w:hAnsi="仿宋_GB2312" w:eastAsia="仿宋_GB2312" w:cs="仿宋_GB2312"/>
                <w:color w:val="auto"/>
                <w:kern w:val="0"/>
                <w:sz w:val="24"/>
                <w:highlight w:val="none"/>
              </w:rPr>
              <w:id w:val="2035453831"/>
            </w:sdtPr>
            <w:sdtEndPr>
              <w:rPr>
                <w:rFonts w:hint="eastAsia" w:ascii="仿宋_GB2312" w:hAnsi="仿宋_GB2312" w:eastAsia="仿宋_GB2312" w:cs="仿宋_GB2312"/>
                <w:color w:val="auto"/>
                <w:kern w:val="0"/>
                <w:sz w:val="24"/>
                <w:highlight w:val="none"/>
              </w:rPr>
            </w:sdtEndPr>
            <w:sdtContent>
              <w:sdt>
                <w:sdtPr>
                  <w:rPr>
                    <w:rFonts w:hint="eastAsia" w:ascii="仿宋_GB2312" w:hAnsi="仿宋" w:eastAsia="仿宋_GB2312" w:cs="Arial"/>
                    <w:color w:val="auto"/>
                    <w:kern w:val="0"/>
                    <w:sz w:val="24"/>
                    <w:highlight w:val="none"/>
                  </w:rPr>
                  <w:id w:val="422852540"/>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1985607795"/>
                    </w:sdtPr>
                    <w:sdtEndPr>
                      <w:rPr>
                        <w:rFonts w:hint="eastAsia" w:ascii="仿宋_GB2312" w:hAnsi="仿宋_GB2312" w:eastAsia="仿宋_GB2312" w:cs="仿宋_GB2312"/>
                        <w:color w:val="auto"/>
                        <w:kern w:val="0"/>
                        <w:sz w:val="24"/>
                        <w:highlight w:val="none"/>
                      </w:rPr>
                    </w:sdtEndPr>
                    <w:sdtContent>
                      <w:sdt>
                        <w:sdtPr>
                          <w:rPr>
                            <w:rFonts w:hint="eastAsia" w:ascii="仿宋_GB2312" w:hAnsi="仿宋_GB2312" w:eastAsia="仿宋_GB2312" w:cs="仿宋_GB2312"/>
                            <w:color w:val="auto"/>
                            <w:kern w:val="0"/>
                            <w:sz w:val="24"/>
                            <w:highlight w:val="none"/>
                          </w:rPr>
                          <w:id w:val="1928616923"/>
                        </w:sdtPr>
                        <w:sdtEndPr>
                          <w:rPr>
                            <w:rFonts w:hint="eastAsia" w:ascii="仿宋_GB2312" w:hAnsi="仿宋_GB2312" w:eastAsia="仿宋_GB2312" w:cs="仿宋_GB2312"/>
                            <w:color w:val="auto"/>
                            <w:kern w:val="0"/>
                            <w:sz w:val="24"/>
                            <w:highlight w:val="none"/>
                          </w:rPr>
                        </w:sdtEndPr>
                        <w:sdtContent>
                          <w:sdt>
                            <w:sdtPr>
                              <w:rPr>
                                <w:rFonts w:hint="eastAsia" w:ascii="仿宋_GB2312" w:hAnsi="仿宋_GB2312" w:eastAsia="仿宋_GB2312" w:cs="仿宋_GB2312"/>
                                <w:color w:val="auto"/>
                                <w:kern w:val="0"/>
                                <w:sz w:val="24"/>
                                <w:highlight w:val="none"/>
                              </w:rPr>
                              <w:id w:val="-1985607795"/>
                            </w:sdtPr>
                            <w:sdtEndPr>
                              <w:rPr>
                                <w:rFonts w:hint="eastAsia" w:ascii="仿宋_GB2312" w:hAnsi="仿宋_GB2312" w:eastAsia="仿宋_GB2312" w:cs="仿宋_GB2312"/>
                                <w:color w:val="auto"/>
                                <w:kern w:val="0"/>
                                <w:sz w:val="24"/>
                                <w:highlight w:val="none"/>
                              </w:rPr>
                            </w:sdtEndPr>
                            <w:sdtContent>
                              <w:r>
                                <w:rPr>
                                  <w:rFonts w:hint="eastAsia" w:ascii="仿宋_GB2312" w:hAnsi="仿宋_GB2312" w:eastAsia="仿宋_GB2312" w:cs="仿宋_GB2312"/>
                                  <w:color w:val="auto"/>
                                  <w:kern w:val="0"/>
                                  <w:sz w:val="24"/>
                                  <w:highlight w:val="none"/>
                                </w:rPr>
                                <w:t>☐</w:t>
                              </w:r>
                            </w:sdtContent>
                          </w:sdt>
                        </w:sdtContent>
                      </w:sdt>
                    </w:sdtContent>
                  </w:sdt>
                </w:sdtContent>
              </w:sdt>
            </w:sdtContent>
          </w:sdt>
        </w:sdtContent>
      </w:sdt>
      <w:r>
        <w:rPr>
          <w:rFonts w:hint="eastAsia" w:ascii="仿宋_GB2312" w:hAnsi="仿宋_GB2312" w:eastAsia="仿宋_GB2312" w:cs="仿宋_GB2312"/>
          <w:color w:val="auto"/>
          <w:sz w:val="24"/>
          <w:highlight w:val="none"/>
        </w:rPr>
        <w:t>要求合同分包，提供分包意向协议和中小企业声明函，分包意向协议中中小企业合同金额应当达到达到40% ，其中预留给小微企业合同金额应当达到70% ;</w:t>
      </w:r>
      <w:r>
        <w:rPr>
          <w:rFonts w:hint="eastAsia" w:ascii="仿宋_GB2312" w:hAnsi="仿宋_GB2312" w:eastAsia="仿宋_GB2312" w:cs="仿宋_GB2312"/>
          <w:color w:val="auto"/>
          <w:spacing w:val="8"/>
          <w:kern w:val="0"/>
          <w:sz w:val="24"/>
          <w:highlight w:val="none"/>
        </w:rPr>
        <w:t>如果供应商本身提供所有标的均由中小企业制造、承建或承接，视同符合了资格条件，无需再向中小企业分包，无需提供分包意向协议</w:t>
      </w:r>
      <w:r>
        <w:rPr>
          <w:rFonts w:hint="eastAsia" w:ascii="仿宋_GB2312" w:hAnsi="仿宋_GB2312" w:eastAsia="仿宋_GB2312" w:cs="仿宋_GB2312"/>
          <w:color w:val="auto"/>
          <w:sz w:val="24"/>
          <w:highlight w:val="none"/>
        </w:rPr>
        <w:t>；</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3.本项目的特定资格要求：无</w:t>
      </w:r>
      <w:r>
        <w:rPr>
          <w:rFonts w:hint="eastAsia" w:ascii="仿宋_GB2312" w:hAnsi="仿宋" w:eastAsia="仿宋_GB2312"/>
          <w:color w:val="auto"/>
          <w:sz w:val="24"/>
          <w:highlight w:val="none"/>
        </w:rPr>
        <w:t>；</w:t>
      </w:r>
    </w:p>
    <w:p>
      <w:pPr>
        <w:spacing w:line="360" w:lineRule="auto"/>
        <w:rPr>
          <w:rFonts w:ascii="仿宋" w:hAnsi="仿宋" w:eastAsia="仿宋"/>
          <w:color w:val="auto"/>
          <w:sz w:val="24"/>
          <w:highlight w:val="none"/>
        </w:rPr>
      </w:pPr>
      <w:r>
        <w:rPr>
          <w:rFonts w:ascii="仿宋_GB2312" w:hAnsi="仿宋" w:eastAsia="仿宋_GB2312"/>
          <w:color w:val="auto"/>
          <w:sz w:val="24"/>
          <w:highlight w:val="none"/>
        </w:rPr>
        <w:t>4.</w:t>
      </w:r>
      <w:r>
        <w:rPr>
          <w:rFonts w:hint="eastAsia" w:ascii="仿宋_GB2312" w:hAnsi="仿宋" w:eastAsia="仿宋_GB2312"/>
          <w:color w:val="auto"/>
          <w:sz w:val="24"/>
          <w:highlight w:val="none"/>
        </w:rPr>
        <w:t>单位负责人为同一人或者存在直接控股、管理关系的不同供应商，不得参加同一合同项下的政府采购活动；</w:t>
      </w:r>
      <w:r>
        <w:rPr>
          <w:rFonts w:ascii="仿宋_GB2312" w:hAnsi="仿宋" w:eastAsia="仿宋_GB2312" w:cs="仿宋_GB2312"/>
          <w:color w:val="auto"/>
          <w:sz w:val="24"/>
          <w:highlight w:val="none"/>
        </w:rPr>
        <w:t>为采购项目提供整体设计、规范编制或者项目管理、监理、检测等服务后</w:t>
      </w:r>
      <w:r>
        <w:rPr>
          <w:rFonts w:hint="eastAsia" w:ascii="仿宋_GB2312" w:hAnsi="仿宋" w:eastAsia="仿宋_GB2312" w:cs="仿宋_GB2312"/>
          <w:color w:val="auto"/>
          <w:sz w:val="24"/>
          <w:highlight w:val="none"/>
        </w:rPr>
        <w:t>不得</w:t>
      </w:r>
      <w:r>
        <w:rPr>
          <w:rFonts w:ascii="仿宋_GB2312" w:hAnsi="仿宋" w:eastAsia="仿宋_GB2312" w:cs="仿宋_GB2312"/>
          <w:color w:val="auto"/>
          <w:sz w:val="24"/>
          <w:highlight w:val="none"/>
        </w:rPr>
        <w:t>再参加该采购项目的其他采购活动。</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四、获取招标文件</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时间：</w:t>
      </w:r>
      <w:r>
        <w:rPr>
          <w:rFonts w:ascii="仿宋_GB2312" w:hAnsi="仿宋" w:eastAsia="仿宋_GB2312"/>
          <w:color w:val="auto"/>
          <w:sz w:val="24"/>
          <w:highlight w:val="none"/>
        </w:rPr>
        <w:t>/至</w:t>
      </w:r>
      <w:r>
        <w:rPr>
          <w:rFonts w:hint="eastAsia" w:ascii="仿宋_GB2312" w:hAnsi="仿宋" w:eastAsia="仿宋_GB2312"/>
          <w:color w:val="auto"/>
          <w:sz w:val="24"/>
          <w:highlight w:val="none"/>
          <w:u w:val="single"/>
        </w:rPr>
        <w:t>202</w:t>
      </w:r>
      <w:r>
        <w:rPr>
          <w:rFonts w:hint="eastAsia" w:ascii="仿宋_GB2312" w:hAnsi="仿宋" w:eastAsia="仿宋_GB2312"/>
          <w:color w:val="auto"/>
          <w:sz w:val="24"/>
          <w:highlight w:val="none"/>
          <w:u w:val="single"/>
          <w:lang w:val="en-US" w:eastAsia="zh-CN"/>
        </w:rPr>
        <w:t>3</w:t>
      </w:r>
      <w:r>
        <w:rPr>
          <w:rFonts w:hint="eastAsia"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03月10</w:t>
      </w:r>
      <w:r>
        <w:rPr>
          <w:rFonts w:ascii="仿宋_GB2312" w:hAnsi="仿宋" w:eastAsia="仿宋_GB2312"/>
          <w:color w:val="auto"/>
          <w:sz w:val="24"/>
          <w:highlight w:val="none"/>
          <w:u w:val="single"/>
        </w:rPr>
        <w:t>日</w:t>
      </w:r>
      <w:r>
        <w:rPr>
          <w:rFonts w:hint="eastAsia" w:ascii="仿宋_GB2312" w:hAnsi="仿宋" w:eastAsia="仿宋_GB2312"/>
          <w:color w:val="auto"/>
          <w:sz w:val="24"/>
          <w:highlight w:val="none"/>
          <w:u w:val="single"/>
        </w:rPr>
        <w:t>9：00</w:t>
      </w:r>
      <w:r>
        <w:rPr>
          <w:rFonts w:hint="eastAsia" w:ascii="仿宋_GB2312" w:hAnsi="仿宋" w:eastAsia="仿宋_GB2312"/>
          <w:color w:val="auto"/>
          <w:sz w:val="24"/>
          <w:highlight w:val="none"/>
        </w:rPr>
        <w:t>，每天上午</w:t>
      </w:r>
      <w:r>
        <w:rPr>
          <w:rFonts w:ascii="仿宋_GB2312" w:hAnsi="仿宋" w:eastAsia="仿宋_GB2312"/>
          <w:color w:val="auto"/>
          <w:sz w:val="24"/>
          <w:highlight w:val="none"/>
        </w:rPr>
        <w:t xml:space="preserve">00:00至12:00 </w:t>
      </w:r>
      <w:r>
        <w:rPr>
          <w:rFonts w:hint="eastAsia" w:ascii="仿宋_GB2312" w:hAnsi="仿宋" w:eastAsia="仿宋_GB2312"/>
          <w:color w:val="auto"/>
          <w:sz w:val="24"/>
          <w:highlight w:val="none"/>
        </w:rPr>
        <w:t>，下午</w:t>
      </w:r>
      <w:r>
        <w:rPr>
          <w:rFonts w:ascii="仿宋_GB2312" w:hAnsi="仿宋" w:eastAsia="仿宋_GB2312"/>
          <w:color w:val="auto"/>
          <w:sz w:val="24"/>
          <w:highlight w:val="none"/>
        </w:rPr>
        <w:t>12:00至23:59（北京时间，线上获取法定节假日均可）</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地点（网址）：</w:t>
      </w:r>
      <w:r>
        <w:rPr>
          <w:rFonts w:hint="eastAsia" w:ascii="仿宋_GB2312" w:hAnsi="仿宋" w:eastAsia="仿宋_GB2312"/>
          <w:color w:val="auto"/>
          <w:sz w:val="24"/>
          <w:highlight w:val="none"/>
        </w:rPr>
        <w:t>政采云平台（</w:t>
      </w:r>
      <w:r>
        <w:rPr>
          <w:rFonts w:ascii="仿宋_GB2312" w:hAnsi="仿宋" w:eastAsia="仿宋_GB2312"/>
          <w:color w:val="auto"/>
          <w:sz w:val="24"/>
          <w:highlight w:val="none"/>
        </w:rPr>
        <w:t xml:space="preserve">https://www.zcygov.cn/） </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方式：</w:t>
      </w:r>
      <w:r>
        <w:rPr>
          <w:rFonts w:hint="eastAsia" w:ascii="仿宋_GB2312" w:hAnsi="仿宋" w:eastAsia="仿宋_GB2312"/>
          <w:color w:val="auto"/>
          <w:sz w:val="24"/>
          <w:highlight w:val="none"/>
        </w:rPr>
        <w:t>供应商登录政采云平台</w:t>
      </w:r>
      <w:r>
        <w:rPr>
          <w:rFonts w:ascii="仿宋_GB2312" w:hAnsi="仿宋" w:eastAsia="仿宋_GB2312"/>
          <w:color w:val="auto"/>
          <w:sz w:val="24"/>
          <w:highlight w:val="none"/>
        </w:rPr>
        <w:t xml:space="preserve">https://www.zcygov.cn/在线申请获取采购文件（进入“项目采购”应用，在获取采购文件菜单中选择项目，申请获取采购文件）。 </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售价（元）：</w:t>
      </w:r>
      <w:r>
        <w:rPr>
          <w:rFonts w:ascii="仿宋_GB2312" w:hAnsi="仿宋" w:eastAsia="仿宋_GB2312"/>
          <w:color w:val="auto"/>
          <w:sz w:val="24"/>
          <w:highlight w:val="none"/>
        </w:rPr>
        <w:t xml:space="preserve">0 </w:t>
      </w:r>
      <w:r>
        <w:rPr>
          <w:rFonts w:ascii="仿宋_GB2312" w:hAnsi="仿宋" w:eastAsia="仿宋_GB2312"/>
          <w:color w:val="auto"/>
          <w:sz w:val="24"/>
          <w:highlight w:val="none"/>
        </w:rPr>
        <w:tab/>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五、提交投标文件截止时间、开标时间和地点</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提交投标文件截止时间：</w:t>
      </w:r>
      <w:r>
        <w:rPr>
          <w:rFonts w:hint="eastAsia" w:ascii="仿宋_GB2312" w:hAnsi="仿宋" w:eastAsia="仿宋_GB2312"/>
          <w:color w:val="auto"/>
          <w:sz w:val="24"/>
          <w:highlight w:val="none"/>
          <w:u w:val="single"/>
        </w:rPr>
        <w:t>202</w:t>
      </w:r>
      <w:r>
        <w:rPr>
          <w:rFonts w:hint="eastAsia" w:ascii="仿宋_GB2312" w:hAnsi="仿宋" w:eastAsia="仿宋_GB2312"/>
          <w:color w:val="auto"/>
          <w:sz w:val="24"/>
          <w:highlight w:val="none"/>
          <w:u w:val="single"/>
          <w:lang w:val="en-US" w:eastAsia="zh-CN"/>
        </w:rPr>
        <w:t>3</w:t>
      </w:r>
      <w:r>
        <w:rPr>
          <w:rFonts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03</w:t>
      </w:r>
      <w:r>
        <w:rPr>
          <w:rFonts w:hint="eastAsia"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10</w:t>
      </w:r>
      <w:r>
        <w:rPr>
          <w:rFonts w:hint="eastAsia" w:ascii="仿宋_GB2312" w:hAnsi="仿宋" w:eastAsia="仿宋_GB2312"/>
          <w:color w:val="auto"/>
          <w:sz w:val="24"/>
          <w:highlight w:val="none"/>
          <w:u w:val="single"/>
        </w:rPr>
        <w:t>日9:00</w:t>
      </w:r>
      <w:r>
        <w:rPr>
          <w:rFonts w:hint="eastAsia" w:ascii="仿宋_GB2312" w:hAnsi="仿宋" w:eastAsia="仿宋_GB2312"/>
          <w:color w:val="auto"/>
          <w:sz w:val="24"/>
          <w:highlight w:val="none"/>
        </w:rPr>
        <w:t>（北京时间）</w:t>
      </w:r>
    </w:p>
    <w:p>
      <w:pPr>
        <w:spacing w:line="360" w:lineRule="auto"/>
        <w:ind w:firstLine="482" w:firstLineChars="200"/>
        <w:rPr>
          <w:rFonts w:ascii="仿宋_GB2312" w:hAnsi="仿宋" w:eastAsia="仿宋_GB2312"/>
          <w:b/>
          <w:color w:val="auto"/>
          <w:sz w:val="24"/>
          <w:highlight w:val="none"/>
        </w:rPr>
      </w:pPr>
      <w:r>
        <w:rPr>
          <w:rFonts w:hint="eastAsia" w:ascii="仿宋_GB2312" w:hAnsi="仿宋" w:eastAsia="仿宋_GB2312"/>
          <w:b/>
          <w:color w:val="auto"/>
          <w:sz w:val="24"/>
          <w:highlight w:val="none"/>
        </w:rPr>
        <w:t>投标地点（网址）：</w:t>
      </w:r>
      <w:r>
        <w:rPr>
          <w:rFonts w:hint="eastAsia" w:ascii="仿宋_GB2312" w:hAnsi="仿宋" w:eastAsia="仿宋_GB2312"/>
          <w:color w:val="auto"/>
          <w:sz w:val="24"/>
          <w:highlight w:val="none"/>
        </w:rPr>
        <w:t>政采云平台（</w:t>
      </w:r>
      <w:r>
        <w:rPr>
          <w:rFonts w:ascii="仿宋_GB2312" w:hAnsi="仿宋" w:eastAsia="仿宋_GB2312"/>
          <w:color w:val="auto"/>
          <w:sz w:val="24"/>
          <w:highlight w:val="none"/>
        </w:rPr>
        <w:t xml:space="preserve">https://www.zcygov.cn/） </w:t>
      </w:r>
    </w:p>
    <w:p>
      <w:pPr>
        <w:spacing w:line="360" w:lineRule="auto"/>
        <w:ind w:firstLine="482" w:firstLineChars="200"/>
        <w:rPr>
          <w:rFonts w:ascii="仿宋_GB2312" w:hAnsi="仿宋" w:eastAsia="仿宋_GB2312"/>
          <w:bCs/>
          <w:color w:val="auto"/>
          <w:sz w:val="24"/>
          <w:highlight w:val="none"/>
          <w:u w:val="single"/>
        </w:rPr>
      </w:pPr>
      <w:r>
        <w:rPr>
          <w:rFonts w:hint="eastAsia" w:ascii="仿宋_GB2312" w:hAnsi="仿宋" w:eastAsia="仿宋_GB2312"/>
          <w:b/>
          <w:color w:val="auto"/>
          <w:sz w:val="24"/>
          <w:highlight w:val="none"/>
        </w:rPr>
        <w:t>开标时间：</w:t>
      </w:r>
      <w:r>
        <w:rPr>
          <w:rFonts w:hint="eastAsia" w:ascii="仿宋_GB2312" w:hAnsi="仿宋" w:eastAsia="仿宋_GB2312"/>
          <w:color w:val="auto"/>
          <w:sz w:val="24"/>
          <w:highlight w:val="none"/>
          <w:u w:val="single"/>
        </w:rPr>
        <w:t>202</w:t>
      </w:r>
      <w:r>
        <w:rPr>
          <w:rFonts w:hint="eastAsia" w:ascii="仿宋_GB2312" w:hAnsi="仿宋" w:eastAsia="仿宋_GB2312"/>
          <w:color w:val="auto"/>
          <w:sz w:val="24"/>
          <w:highlight w:val="none"/>
          <w:u w:val="single"/>
          <w:lang w:val="en-US" w:eastAsia="zh-CN"/>
        </w:rPr>
        <w:t>3</w:t>
      </w:r>
      <w:r>
        <w:rPr>
          <w:rFonts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03</w:t>
      </w:r>
      <w:r>
        <w:rPr>
          <w:rFonts w:hint="eastAsia"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10</w:t>
      </w:r>
      <w:r>
        <w:rPr>
          <w:rFonts w:hint="eastAsia" w:ascii="仿宋_GB2312" w:hAnsi="仿宋" w:eastAsia="仿宋_GB2312"/>
          <w:color w:val="auto"/>
          <w:sz w:val="24"/>
          <w:highlight w:val="none"/>
          <w:u w:val="single"/>
        </w:rPr>
        <w:t>日9:00</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开标地点：</w:t>
      </w:r>
      <w:r>
        <w:rPr>
          <w:rFonts w:hint="eastAsia" w:ascii="宋体" w:hAnsi="宋体" w:cs="宋体"/>
          <w:color w:val="auto"/>
          <w:sz w:val="24"/>
          <w:highlight w:val="none"/>
        </w:rPr>
        <w:t>江山市公共资源交易中心</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号评标室，江山市虎山街道景星西路万商城5号楼B1楼。</w:t>
      </w:r>
    </w:p>
    <w:p>
      <w:pPr>
        <w:spacing w:line="360" w:lineRule="auto"/>
        <w:rPr>
          <w:rFonts w:ascii="仿宋_GB2312" w:hAnsi="仿宋" w:eastAsia="仿宋_GB2312"/>
          <w:color w:val="auto"/>
          <w:sz w:val="24"/>
          <w:highlight w:val="none"/>
        </w:rPr>
      </w:pPr>
      <w:r>
        <w:rPr>
          <w:rFonts w:hint="eastAsia" w:ascii="仿宋_GB2312" w:hAnsi="仿宋" w:eastAsia="仿宋_GB2312"/>
          <w:b/>
          <w:color w:val="auto"/>
          <w:sz w:val="24"/>
          <w:highlight w:val="none"/>
        </w:rPr>
        <w:t>六、公告期限</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自本公告发布之日起</w:t>
      </w:r>
      <w:r>
        <w:rPr>
          <w:rFonts w:ascii="仿宋_GB2312" w:hAnsi="仿宋" w:eastAsia="仿宋_GB2312"/>
          <w:color w:val="auto"/>
          <w:sz w:val="24"/>
          <w:highlight w:val="none"/>
        </w:rPr>
        <w:t>5个工作日。</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七、其他补充事宜</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hint="eastAsia" w:ascii="仿宋_GB2312" w:hAnsi="仿宋" w:eastAsia="仿宋_GB2312"/>
          <w:color w:val="auto"/>
          <w:sz w:val="24"/>
          <w:highlight w:val="none"/>
        </w:rPr>
        <w:t>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仿宋" w:hAnsi="仿宋" w:eastAsia="仿宋" w:cs="仿宋_GB2312"/>
          <w:color w:val="auto"/>
          <w:sz w:val="24"/>
          <w:highlight w:val="none"/>
        </w:rPr>
      </w:pPr>
      <w:r>
        <w:rPr>
          <w:rFonts w:hint="eastAsia" w:ascii="仿宋_GB2312" w:hAnsi="仿宋" w:eastAsia="仿宋_GB2312"/>
          <w:color w:val="auto"/>
          <w:sz w:val="24"/>
          <w:highlight w:val="none"/>
        </w:rPr>
        <w:t>2.其他事项：（1）需要落实的政府采购政策：包括节约资源、保护环境、支持创新、促进中小企业发展等。详见招标文件的第二部分总则。（2）</w:t>
      </w:r>
      <w:r>
        <w:rPr>
          <w:rFonts w:ascii="仿宋_GB2312" w:hAnsi="仿宋" w:eastAsia="仿宋_GB2312"/>
          <w:color w:val="auto"/>
          <w:sz w:val="24"/>
          <w:highlight w:val="none"/>
        </w:rPr>
        <w:t>电子招投标的说明：</w:t>
      </w:r>
      <w:r>
        <w:rPr>
          <w:rFonts w:hint="eastAsia" w:ascii="仿宋_GB2312" w:hAnsi="仿宋" w:eastAsia="仿宋_GB2312" w:cs="仿宋_GB2312"/>
          <w:color w:val="auto"/>
          <w:sz w:val="24"/>
          <w:highlight w:val="none"/>
        </w:rPr>
        <w:t>①</w:t>
      </w:r>
      <w:r>
        <w:rPr>
          <w:rFonts w:ascii="仿宋_GB2312" w:hAnsi="仿宋" w:eastAsia="仿宋_GB2312" w:cs="仿宋_GB2312"/>
          <w:color w:val="auto"/>
          <w:sz w:val="24"/>
          <w:highlight w:val="none"/>
        </w:rPr>
        <w:t>电子招投标：本项目以数据电文形式，依托“政府采购云平台（www.zcygov.cn）”进行招投标活动，不接受纸质投标文件</w:t>
      </w:r>
      <w:r>
        <w:rPr>
          <w:rFonts w:hint="eastAsia" w:ascii="仿宋_GB2312" w:hAnsi="仿宋" w:eastAsia="仿宋_GB2312" w:cs="仿宋_GB2312"/>
          <w:color w:val="auto"/>
          <w:sz w:val="24"/>
          <w:highlight w:val="none"/>
        </w:rPr>
        <w:t>；②</w:t>
      </w:r>
      <w:r>
        <w:rPr>
          <w:rFonts w:ascii="仿宋_GB2312" w:hAnsi="仿宋" w:eastAsia="仿宋_GB2312" w:cs="仿宋_GB2312"/>
          <w:color w:val="auto"/>
          <w:sz w:val="24"/>
          <w:highlight w:val="none"/>
        </w:rPr>
        <w:t>投标准备：注册账号--点击“商家入驻”，进行政府采购供应商资料填写；申领CA数字证书---申领流程详见“浙江政府采购网-下载专区-电子交易客户端-CA驱动和申领流程”；安装“政</w:t>
      </w:r>
      <w:r>
        <w:rPr>
          <w:rFonts w:hint="eastAsia" w:ascii="仿宋_GB2312" w:hAnsi="仿宋" w:eastAsia="仿宋_GB2312" w:cs="仿宋_GB2312"/>
          <w:color w:val="auto"/>
          <w:sz w:val="24"/>
          <w:highlight w:val="none"/>
        </w:rPr>
        <w:t>采云电子交易客户端”</w:t>
      </w:r>
      <w:r>
        <w:rPr>
          <w:rFonts w:ascii="仿宋_GB2312" w:hAnsi="仿宋" w:eastAsia="仿宋_GB2312" w:cs="仿宋_GB2312"/>
          <w:color w:val="auto"/>
          <w:sz w:val="24"/>
          <w:highlight w:val="none"/>
        </w:rPr>
        <w:t>----前往“浙江政府采购网-下载专区-电子交易客户端”进行下载并安装</w:t>
      </w:r>
      <w:r>
        <w:rPr>
          <w:rFonts w:hint="eastAsia" w:ascii="仿宋_GB2312" w:hAnsi="仿宋" w:eastAsia="仿宋_GB2312" w:cs="仿宋_GB2312"/>
          <w:color w:val="auto"/>
          <w:sz w:val="24"/>
          <w:highlight w:val="none"/>
        </w:rPr>
        <w:t>；③</w:t>
      </w:r>
      <w:r>
        <w:rPr>
          <w:rFonts w:ascii="仿宋_GB2312" w:hAnsi="仿宋" w:eastAsia="仿宋_GB2312" w:cs="仿宋_GB2312"/>
          <w:color w:val="auto"/>
          <w:sz w:val="24"/>
          <w:highlight w:val="none"/>
        </w:rPr>
        <w:t>招标文件的获取：使用账号登录或者使用CA登录政</w:t>
      </w:r>
      <w:r>
        <w:rPr>
          <w:rFonts w:hint="eastAsia" w:ascii="仿宋_GB2312" w:hAnsi="仿宋" w:eastAsia="仿宋_GB2312" w:cs="仿宋_GB2312"/>
          <w:color w:val="auto"/>
          <w:sz w:val="24"/>
          <w:highlight w:val="none"/>
        </w:rPr>
        <w:t>采云平台；进入“项目采购”应用，在获取采购文件菜单中选择项目，获取招标文件；④</w:t>
      </w:r>
      <w:r>
        <w:rPr>
          <w:rFonts w:ascii="仿宋_GB2312" w:hAnsi="仿宋" w:eastAsia="仿宋_GB2312" w:cs="仿宋_GB2312"/>
          <w:color w:val="auto"/>
          <w:sz w:val="24"/>
          <w:highlight w:val="none"/>
        </w:rPr>
        <w:t>投标文件的制作：在“政</w:t>
      </w:r>
      <w:r>
        <w:rPr>
          <w:rFonts w:hint="eastAsia" w:ascii="仿宋_GB2312" w:hAnsi="仿宋" w:eastAsia="仿宋_GB2312" w:cs="仿宋_GB2312"/>
          <w:color w:val="auto"/>
          <w:sz w:val="24"/>
          <w:highlight w:val="none"/>
        </w:rPr>
        <w:t>采云电子交易客户端”中完成“填写基本信息”、“导入投标文件”、“标书关联”、“标书检查”、“电子签名”、“生成电子标书”等操作；</w:t>
      </w:r>
      <w:r>
        <w:rPr>
          <w:rFonts w:hint="eastAsia" w:ascii="仿宋_GB2312" w:hAnsi="仿宋" w:eastAsia="仿宋_GB2312"/>
          <w:color w:val="auto"/>
          <w:sz w:val="24"/>
          <w:highlight w:val="none"/>
        </w:rPr>
        <w:t>⑤</w:t>
      </w:r>
      <w:r>
        <w:rPr>
          <w:rFonts w:ascii="仿宋_GB2312" w:hAnsi="仿宋" w:eastAsia="仿宋_GB2312"/>
          <w:color w:val="auto"/>
          <w:sz w:val="24"/>
          <w:highlight w:val="none"/>
        </w:rPr>
        <w:t>采购人、采购机构将依托政</w:t>
      </w:r>
      <w:r>
        <w:rPr>
          <w:rFonts w:hint="eastAsia" w:ascii="仿宋_GB2312" w:hAnsi="仿宋" w:eastAsia="仿宋_GB2312"/>
          <w:color w:val="auto"/>
          <w:sz w:val="24"/>
          <w:highlight w:val="none"/>
        </w:rPr>
        <w:t>采云平台完成本项目的电子交易活动，平台不接受未按上述方式获取招标文件的供应商进行投标活动；⑥</w:t>
      </w:r>
      <w:r>
        <w:rPr>
          <w:rFonts w:ascii="仿宋_GB2312" w:hAnsi="仿宋" w:eastAsia="仿宋_GB2312"/>
          <w:color w:val="auto"/>
          <w:sz w:val="24"/>
          <w:highlight w:val="none"/>
        </w:rPr>
        <w:t>对未按上述方式获取招标文件的供应商对该文件提出的质疑，采购人或采购代理机构将</w:t>
      </w:r>
      <w:r>
        <w:rPr>
          <w:rFonts w:hint="eastAsia" w:ascii="仿宋_GB2312" w:hAnsi="仿宋" w:eastAsia="仿宋_GB2312"/>
          <w:color w:val="auto"/>
          <w:sz w:val="24"/>
          <w:highlight w:val="none"/>
        </w:rPr>
        <w:t>不予处理；⑦</w:t>
      </w:r>
      <w:r>
        <w:rPr>
          <w:rFonts w:ascii="仿宋_GB2312" w:hAnsi="仿宋" w:eastAsia="仿宋_GB2312"/>
          <w:color w:val="auto"/>
          <w:sz w:val="24"/>
          <w:highlight w:val="none"/>
        </w:rPr>
        <w:t>不提供招标文件纸质版</w:t>
      </w:r>
      <w:r>
        <w:rPr>
          <w:rFonts w:hint="eastAsia" w:ascii="仿宋_GB2312" w:hAnsi="仿宋" w:eastAsia="仿宋_GB2312"/>
          <w:color w:val="auto"/>
          <w:sz w:val="24"/>
          <w:highlight w:val="none"/>
        </w:rPr>
        <w:t>；</w:t>
      </w:r>
      <w:r>
        <w:rPr>
          <w:rFonts w:hint="eastAsia" w:ascii="仿宋_GB2312" w:hAnsi="仿宋" w:eastAsia="仿宋_GB2312" w:cs="仿宋_GB2312"/>
          <w:color w:val="auto"/>
          <w:sz w:val="24"/>
          <w:highlight w:val="none"/>
        </w:rPr>
        <w:t>⑧</w:t>
      </w:r>
      <w:r>
        <w:rPr>
          <w:rFonts w:ascii="仿宋_GB2312" w:hAnsi="仿宋" w:eastAsia="仿宋_GB2312" w:cs="仿宋_GB2312"/>
          <w:color w:val="auto"/>
          <w:sz w:val="24"/>
          <w:highlight w:val="none"/>
        </w:rPr>
        <w:t>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⑨</w:t>
      </w:r>
      <w:r>
        <w:rPr>
          <w:rFonts w:hint="eastAsia" w:ascii="仿宋_GB2312" w:hAnsi="仿宋" w:eastAsia="仿宋_GB2312" w:cs="仿宋_GB2312"/>
          <w:color w:val="auto"/>
          <w:sz w:val="24"/>
          <w:highlight w:val="none"/>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Pr>
          <w:rFonts w:ascii="仿宋_GB2312" w:hAnsi="仿宋" w:eastAsia="仿宋_GB2312" w:cs="仿宋_GB2312"/>
          <w:color w:val="auto"/>
          <w:sz w:val="24"/>
          <w:highlight w:val="none"/>
        </w:rPr>
        <w:t>具体操作指南：详见政</w:t>
      </w:r>
      <w:r>
        <w:rPr>
          <w:rFonts w:hint="eastAsia" w:ascii="仿宋_GB2312" w:hAnsi="仿宋" w:eastAsia="仿宋_GB2312" w:cs="仿宋_GB2312"/>
          <w:color w:val="auto"/>
          <w:sz w:val="24"/>
          <w:highlight w:val="none"/>
        </w:rPr>
        <w:t>采云平台“服务中心</w:t>
      </w:r>
      <w:r>
        <w:rPr>
          <w:rFonts w:ascii="仿宋_GB2312" w:hAnsi="仿宋" w:eastAsia="仿宋_GB2312" w:cs="仿宋_GB2312"/>
          <w:color w:val="auto"/>
          <w:sz w:val="24"/>
          <w:highlight w:val="none"/>
        </w:rPr>
        <w:t>-帮助文档-项目采购-操作流程-电子招投标-政府采购项目电子交易管理操作指南-供应商”。</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八、对本次采购提出询问、质疑、投诉，请按以下方式联系</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 xml:space="preserve"> </w:t>
      </w:r>
      <w:r>
        <w:rPr>
          <w:rFonts w:ascii="仿宋_GB2312" w:hAnsi="仿宋" w:eastAsia="仿宋_GB2312"/>
          <w:color w:val="auto"/>
          <w:sz w:val="24"/>
          <w:highlight w:val="none"/>
        </w:rPr>
        <w:t xml:space="preserve"> 1.采购人信息</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名    称：</w:t>
      </w:r>
      <w:r>
        <w:rPr>
          <w:rFonts w:hint="eastAsia" w:ascii="仿宋_GB2312" w:hAnsi="仿宋" w:eastAsia="仿宋_GB2312"/>
          <w:color w:val="auto"/>
          <w:sz w:val="24"/>
          <w:highlight w:val="none"/>
          <w:lang w:eastAsia="zh-CN"/>
        </w:rPr>
        <w:t>江山市卫生健康局</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地    址：</w:t>
      </w:r>
      <w:r>
        <w:rPr>
          <w:rFonts w:hint="eastAsia" w:ascii="仿宋_GB2312" w:hAnsi="仿宋" w:eastAsia="仿宋_GB2312"/>
          <w:color w:val="auto"/>
          <w:sz w:val="24"/>
          <w:highlight w:val="none"/>
        </w:rPr>
        <w:t xml:space="preserve"> 江山市江滨北路295号</w:t>
      </w:r>
      <w:r>
        <w:rPr>
          <w:rFonts w:ascii="仿宋_GB2312" w:hAnsi="仿宋" w:eastAsia="仿宋_GB2312"/>
          <w:color w:val="auto"/>
          <w:sz w:val="24"/>
          <w:highlight w:val="none"/>
        </w:rPr>
        <w:t xml:space="preserve">     </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项目联系人（询问）：</w:t>
      </w:r>
      <w:r>
        <w:rPr>
          <w:rFonts w:hint="eastAsia" w:ascii="仿宋_GB2312" w:hAnsi="仿宋" w:eastAsia="仿宋_GB2312"/>
          <w:color w:val="auto"/>
          <w:sz w:val="24"/>
          <w:highlight w:val="none"/>
          <w:lang w:val="en-US" w:eastAsia="zh-CN"/>
        </w:rPr>
        <w:t>毛先生</w:t>
      </w:r>
      <w:r>
        <w:rPr>
          <w:rFonts w:hint="eastAsia" w:ascii="仿宋_GB2312" w:hAnsi="仿宋" w:eastAsia="仿宋_GB2312"/>
          <w:color w:val="auto"/>
          <w:sz w:val="24"/>
          <w:highlight w:val="none"/>
        </w:rPr>
        <w:t xml:space="preserve"> </w:t>
      </w:r>
    </w:p>
    <w:p>
      <w:pPr>
        <w:spacing w:line="360" w:lineRule="auto"/>
        <w:ind w:firstLine="480"/>
        <w:rPr>
          <w:rFonts w:hint="eastAsia" w:ascii="仿宋_GB2312" w:hAnsi="仿宋" w:eastAsia="仿宋_GB2312"/>
          <w:color w:val="auto"/>
          <w:sz w:val="24"/>
          <w:highlight w:val="none"/>
        </w:rPr>
      </w:pPr>
      <w:r>
        <w:rPr>
          <w:rFonts w:ascii="仿宋_GB2312" w:hAnsi="仿宋" w:eastAsia="仿宋_GB2312"/>
          <w:color w:val="auto"/>
          <w:sz w:val="24"/>
          <w:highlight w:val="none"/>
        </w:rPr>
        <w:t>项目联系方式（询问）：</w:t>
      </w:r>
      <w:r>
        <w:rPr>
          <w:rFonts w:hint="eastAsia" w:ascii="仿宋_GB2312" w:hAnsi="仿宋" w:eastAsia="仿宋_GB2312"/>
          <w:color w:val="auto"/>
          <w:sz w:val="24"/>
          <w:highlight w:val="none"/>
        </w:rPr>
        <w:t>0570-4573837</w:t>
      </w:r>
    </w:p>
    <w:p>
      <w:pPr>
        <w:spacing w:line="360" w:lineRule="auto"/>
        <w:ind w:firstLine="480"/>
        <w:rPr>
          <w:rFonts w:ascii="仿宋_GB2312" w:hAnsi="仿宋" w:eastAsia="仿宋_GB2312"/>
          <w:color w:val="auto"/>
          <w:sz w:val="24"/>
          <w:highlight w:val="none"/>
        </w:rPr>
      </w:pPr>
      <w:r>
        <w:rPr>
          <w:rFonts w:ascii="仿宋_GB2312" w:hAnsi="仿宋" w:eastAsia="仿宋_GB2312"/>
          <w:color w:val="auto"/>
          <w:sz w:val="24"/>
          <w:highlight w:val="none"/>
        </w:rPr>
        <w:t>质疑联系人：</w:t>
      </w:r>
      <w:r>
        <w:rPr>
          <w:rFonts w:hint="eastAsia" w:ascii="仿宋_GB2312" w:hAnsi="仿宋" w:eastAsia="仿宋_GB2312"/>
          <w:color w:val="auto"/>
          <w:sz w:val="24"/>
          <w:highlight w:val="none"/>
        </w:rPr>
        <w:t xml:space="preserve"> </w:t>
      </w:r>
      <w:r>
        <w:rPr>
          <w:rFonts w:hint="eastAsia" w:ascii="仿宋_GB2312" w:hAnsi="仿宋" w:eastAsia="仿宋_GB2312"/>
          <w:color w:val="auto"/>
          <w:sz w:val="24"/>
          <w:highlight w:val="none"/>
          <w:lang w:val="en-US" w:eastAsia="zh-CN"/>
        </w:rPr>
        <w:t>毛先生</w:t>
      </w:r>
    </w:p>
    <w:p>
      <w:pPr>
        <w:spacing w:line="360" w:lineRule="auto"/>
        <w:ind w:firstLine="480" w:firstLineChars="200"/>
        <w:rPr>
          <w:rFonts w:hint="eastAsia" w:ascii="仿宋_GB2312" w:hAnsi="仿宋" w:eastAsia="仿宋_GB2312"/>
          <w:color w:val="auto"/>
          <w:sz w:val="24"/>
          <w:highlight w:val="none"/>
        </w:rPr>
      </w:pPr>
      <w:r>
        <w:rPr>
          <w:rFonts w:ascii="仿宋_GB2312" w:hAnsi="仿宋" w:eastAsia="仿宋_GB2312"/>
          <w:color w:val="auto"/>
          <w:sz w:val="24"/>
          <w:highlight w:val="none"/>
        </w:rPr>
        <w:t>质疑联系方式：</w:t>
      </w:r>
      <w:r>
        <w:rPr>
          <w:rFonts w:hint="eastAsia" w:ascii="仿宋_GB2312" w:hAnsi="仿宋" w:eastAsia="仿宋_GB2312"/>
          <w:color w:val="auto"/>
          <w:sz w:val="24"/>
          <w:highlight w:val="none"/>
        </w:rPr>
        <w:t>0570-4573837</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2、采购代理机构名称：江山惠捷信息技术咨询有限公司</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联系人： 周女士</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联系电话：15957012209</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联系人： 陈女士</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联系电话：18057052517</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地址：江山市鹿溪北路228幢振辉商务广场9楼901室</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3、同级政府采购监督管理部门名称：江山市财政局政府采购监管科</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联系人：王先生</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监督投诉电话：0570-4033811</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地址：江山市鹿溪中路240号</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若对项目采购电子交易系统操作有疑问，可登录政采云（</w:t>
      </w:r>
      <w:r>
        <w:rPr>
          <w:rFonts w:ascii="仿宋_GB2312" w:hAnsi="仿宋" w:eastAsia="仿宋_GB2312"/>
          <w:color w:val="auto"/>
          <w:sz w:val="24"/>
          <w:highlight w:val="none"/>
        </w:rPr>
        <w:t>https://www.zcygov.cn/），点击右侧咨询小采，获取采小蜜智能服务管家帮助，或拨打政</w:t>
      </w:r>
      <w:r>
        <w:rPr>
          <w:rFonts w:hint="eastAsia" w:ascii="仿宋_GB2312" w:hAnsi="仿宋" w:eastAsia="仿宋_GB2312"/>
          <w:color w:val="auto"/>
          <w:sz w:val="24"/>
          <w:highlight w:val="none"/>
        </w:rPr>
        <w:t>采云服务热线</w:t>
      </w:r>
      <w:r>
        <w:rPr>
          <w:rFonts w:ascii="仿宋_GB2312" w:hAnsi="仿宋" w:eastAsia="仿宋_GB2312"/>
          <w:color w:val="auto"/>
          <w:sz w:val="24"/>
          <w:highlight w:val="none"/>
        </w:rPr>
        <w:t>400-881-7190获取热线服务帮助。</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CA问题联系电话（人工）：</w:t>
      </w:r>
      <w:r>
        <w:rPr>
          <w:rFonts w:hint="eastAsia" w:ascii="仿宋_GB2312" w:hAnsi="仿宋" w:eastAsia="仿宋_GB2312"/>
          <w:color w:val="auto"/>
          <w:sz w:val="24"/>
          <w:highlight w:val="none"/>
        </w:rPr>
        <w:t>汇信</w:t>
      </w:r>
      <w:r>
        <w:rPr>
          <w:rFonts w:ascii="仿宋_GB2312" w:hAnsi="仿宋" w:eastAsia="仿宋_GB2312"/>
          <w:color w:val="auto"/>
          <w:sz w:val="24"/>
          <w:highlight w:val="none"/>
        </w:rPr>
        <w:t>CA 400-888-4636；天谷CA 400-087-8198。</w:t>
      </w:r>
    </w:p>
    <w:p>
      <w:pPr>
        <w:pStyle w:val="36"/>
        <w:spacing w:line="360" w:lineRule="auto"/>
        <w:ind w:firstLine="480" w:firstLineChars="200"/>
        <w:rPr>
          <w:rFonts w:ascii="仿宋" w:hAnsi="仿宋" w:eastAsia="仿宋" w:cs="仿宋_GB2312"/>
          <w:color w:val="auto"/>
          <w:sz w:val="24"/>
          <w:szCs w:val="24"/>
          <w:highlight w:val="none"/>
        </w:rPr>
      </w:pPr>
    </w:p>
    <w:p>
      <w:pPr>
        <w:adjustRightInd/>
        <w:spacing w:line="360" w:lineRule="auto"/>
        <w:jc w:val="center"/>
        <w:outlineLvl w:val="0"/>
        <w:rPr>
          <w:rFonts w:ascii="仿宋" w:hAnsi="仿宋" w:eastAsia="仿宋" w:cs="仿宋_GB2312"/>
          <w:b/>
          <w:color w:val="auto"/>
          <w:sz w:val="36"/>
          <w:szCs w:val="20"/>
          <w:highlight w:val="none"/>
        </w:rPr>
      </w:pPr>
      <w:r>
        <w:rPr>
          <w:rFonts w:ascii="仿宋" w:hAnsi="仿宋" w:eastAsia="仿宋" w:cs="仿宋_GB2312"/>
          <w:b/>
          <w:color w:val="auto"/>
          <w:sz w:val="36"/>
          <w:szCs w:val="20"/>
          <w:highlight w:val="none"/>
        </w:rPr>
        <w:br w:type="page"/>
      </w:r>
      <w:bookmarkStart w:id="14" w:name="_Toc10828"/>
      <w:bookmarkStart w:id="15" w:name="_Toc18357"/>
      <w:r>
        <w:rPr>
          <w:rFonts w:hint="eastAsia" w:ascii="仿宋" w:hAnsi="仿宋" w:eastAsia="仿宋" w:cs="仿宋_GB2312"/>
          <w:b/>
          <w:color w:val="auto"/>
          <w:sz w:val="36"/>
          <w:szCs w:val="20"/>
          <w:highlight w:val="none"/>
        </w:rPr>
        <w:t>第二部分</w:t>
      </w:r>
      <w:bookmarkEnd w:id="9"/>
      <w:r>
        <w:rPr>
          <w:rFonts w:ascii="仿宋" w:hAnsi="仿宋" w:eastAsia="仿宋" w:cs="仿宋_GB2312"/>
          <w:b/>
          <w:color w:val="auto"/>
          <w:sz w:val="36"/>
          <w:szCs w:val="20"/>
          <w:highlight w:val="none"/>
        </w:rPr>
        <w:t xml:space="preserve"> 投标人须知</w:t>
      </w:r>
      <w:bookmarkEnd w:id="10"/>
      <w:bookmarkEnd w:id="14"/>
      <w:bookmarkEnd w:id="15"/>
    </w:p>
    <w:p>
      <w:pPr>
        <w:snapToGrid w:val="0"/>
        <w:spacing w:line="360" w:lineRule="auto"/>
        <w:jc w:val="center"/>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前附表</w:t>
      </w:r>
    </w:p>
    <w:tbl>
      <w:tblPr>
        <w:tblStyle w:val="73"/>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691"/>
        <w:gridCol w:w="624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序号</w:t>
            </w:r>
          </w:p>
        </w:tc>
        <w:tc>
          <w:tcPr>
            <w:tcW w:w="1691"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事项</w:t>
            </w:r>
          </w:p>
        </w:tc>
        <w:tc>
          <w:tcPr>
            <w:tcW w:w="6247"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 xml:space="preserve">        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7118"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w:t>
            </w:r>
          </w:p>
        </w:tc>
        <w:tc>
          <w:tcPr>
            <w:tcW w:w="1691"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报价要求</w:t>
            </w:r>
          </w:p>
        </w:tc>
        <w:tc>
          <w:tcPr>
            <w:tcW w:w="6247"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仿宋_GB2312" w:hAnsi="仿宋" w:eastAsia="仿宋_GB2312" w:cs="仿宋_GB2312"/>
                <w:color w:val="auto"/>
                <w:kern w:val="0"/>
                <w:sz w:val="24"/>
                <w:highlight w:val="none"/>
                <w:lang w:val="zh-CN"/>
              </w:rPr>
            </w:pPr>
            <w:r>
              <w:rPr>
                <w:rFonts w:hint="eastAsia" w:ascii="仿宋_GB2312" w:hAnsi="仿宋" w:eastAsia="仿宋_GB2312"/>
                <w:color w:val="auto"/>
                <w:kern w:val="0"/>
                <w:sz w:val="24"/>
                <w:highlight w:val="none"/>
                <w:lang w:val="zh-CN"/>
              </w:rPr>
              <w:t>有关本项目实施所需的所有费用（含税费）均计入报价。</w:t>
            </w:r>
            <w:r>
              <w:rPr>
                <w:rFonts w:hint="eastAsia" w:ascii="仿宋_GB2312" w:hAnsi="仿宋" w:eastAsia="仿宋_GB2312" w:cs="仿宋_GB2312"/>
                <w:color w:val="auto"/>
                <w:sz w:val="24"/>
                <w:highlight w:val="none"/>
              </w:rPr>
              <w:t>开标一览表（报价表）</w:t>
            </w:r>
            <w:r>
              <w:rPr>
                <w:rFonts w:hint="eastAsia" w:ascii="仿宋_GB2312" w:hAnsi="仿宋" w:eastAsia="仿宋_GB2312"/>
                <w:color w:val="auto"/>
                <w:sz w:val="24"/>
                <w:highlight w:val="none"/>
              </w:rPr>
              <w:t>是报价的唯一载体</w:t>
            </w:r>
            <w:r>
              <w:rPr>
                <w:rFonts w:hint="eastAsia" w:ascii="仿宋_GB2312" w:hAnsi="仿宋" w:eastAsia="仿宋_GB2312" w:cs="仿宋_GB2312"/>
                <w:color w:val="auto"/>
                <w:kern w:val="0"/>
                <w:sz w:val="24"/>
                <w:highlight w:val="none"/>
                <w:lang w:val="zh-CN"/>
              </w:rPr>
              <w:t>。投标文件中价格全部采用人民币报价。招标文件未列明，而投标人认为必需的费用也需列入报价。</w:t>
            </w:r>
          </w:p>
          <w:p>
            <w:pPr>
              <w:snapToGrid w:val="0"/>
              <w:spacing w:line="360" w:lineRule="auto"/>
              <w:ind w:firstLine="241" w:firstLineChars="100"/>
              <w:jc w:val="left"/>
              <w:rPr>
                <w:rFonts w:ascii="仿宋_GB2312" w:hAnsi="仿宋" w:eastAsia="仿宋_GB2312" w:cs="仿宋_GB2312"/>
                <w:b/>
                <w:color w:val="auto"/>
                <w:kern w:val="0"/>
                <w:sz w:val="24"/>
                <w:highlight w:val="none"/>
                <w:lang w:val="zh-CN"/>
              </w:rPr>
            </w:pPr>
            <w:r>
              <w:rPr>
                <w:rFonts w:hint="eastAsia" w:ascii="仿宋_GB2312" w:hAnsi="仿宋" w:eastAsia="仿宋_GB2312" w:cs="仿宋_GB2312"/>
                <w:b/>
                <w:color w:val="auto"/>
                <w:kern w:val="0"/>
                <w:sz w:val="24"/>
                <w:highlight w:val="none"/>
                <w:lang w:val="zh-CN"/>
              </w:rPr>
              <w:t>投标报价出现下列情形的，投标无效：</w:t>
            </w:r>
          </w:p>
          <w:p>
            <w:pPr>
              <w:snapToGrid w:val="0"/>
              <w:spacing w:line="360" w:lineRule="auto"/>
              <w:ind w:firstLine="241" w:firstLineChars="100"/>
              <w:jc w:val="left"/>
              <w:rPr>
                <w:rFonts w:ascii="仿宋_GB2312" w:hAnsi="仿宋" w:eastAsia="仿宋_GB2312" w:cs="仿宋_GB2312"/>
                <w:b/>
                <w:color w:val="auto"/>
                <w:kern w:val="0"/>
                <w:sz w:val="24"/>
                <w:highlight w:val="none"/>
                <w:lang w:val="zh-CN"/>
              </w:rPr>
            </w:pPr>
            <w:r>
              <w:rPr>
                <w:rFonts w:hint="eastAsia" w:ascii="仿宋_GB2312" w:hAnsi="仿宋" w:eastAsia="仿宋_GB2312" w:cs="仿宋_GB2312"/>
                <w:b/>
                <w:color w:val="auto"/>
                <w:kern w:val="0"/>
                <w:sz w:val="24"/>
                <w:highlight w:val="none"/>
                <w:lang w:val="zh-CN"/>
              </w:rPr>
              <w:t>投标文件出现不是唯一的、有选择性投标报价的；</w:t>
            </w:r>
          </w:p>
          <w:p>
            <w:pPr>
              <w:snapToGrid w:val="0"/>
              <w:spacing w:line="360" w:lineRule="auto"/>
              <w:ind w:firstLine="241" w:firstLineChars="100"/>
              <w:jc w:val="left"/>
              <w:rPr>
                <w:rFonts w:ascii="仿宋_GB2312" w:hAnsi="仿宋" w:eastAsia="仿宋_GB2312"/>
                <w:color w:val="auto"/>
                <w:kern w:val="0"/>
                <w:sz w:val="24"/>
                <w:highlight w:val="none"/>
                <w:lang w:val="zh-CN"/>
              </w:rPr>
            </w:pPr>
            <w:r>
              <w:rPr>
                <w:rFonts w:hint="eastAsia" w:ascii="仿宋_GB2312" w:hAnsi="仿宋" w:eastAsia="仿宋_GB2312" w:cs="仿宋_GB2312"/>
                <w:b/>
                <w:color w:val="auto"/>
                <w:kern w:val="0"/>
                <w:sz w:val="24"/>
                <w:highlight w:val="none"/>
                <w:lang w:val="zh-CN"/>
              </w:rPr>
              <w:t>投标报价超过招标文件中规定的预算金额或者最高限价的</w:t>
            </w:r>
            <w:r>
              <w:rPr>
                <w:rFonts w:ascii="仿宋_GB2312" w:hAnsi="仿宋" w:eastAsia="仿宋_GB2312"/>
                <w:b/>
                <w:color w:val="auto"/>
                <w:kern w:val="0"/>
                <w:sz w:val="24"/>
                <w:highlight w:val="none"/>
                <w:lang w:val="zh-CN"/>
              </w:rPr>
              <w:t>;</w:t>
            </w:r>
          </w:p>
          <w:p>
            <w:pPr>
              <w:spacing w:line="360" w:lineRule="auto"/>
              <w:ind w:firstLine="241" w:firstLineChars="100"/>
              <w:rPr>
                <w:rFonts w:ascii="仿宋_GB2312" w:hAnsi="仿宋" w:eastAsia="仿宋_GB2312" w:cs="仿宋_GB2312"/>
                <w:b/>
                <w:color w:val="auto"/>
                <w:sz w:val="24"/>
                <w:highlight w:val="none"/>
              </w:rPr>
            </w:pPr>
            <w:r>
              <w:rPr>
                <w:rFonts w:hint="eastAsia" w:ascii="仿宋_GB2312" w:hAnsi="仿宋" w:eastAsia="仿宋_GB2312" w:cs="Arial"/>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ascii="仿宋_GB2312" w:hAnsi="仿宋" w:eastAsia="仿宋_GB2312" w:cs="仿宋_GB2312"/>
                <w:b/>
                <w:color w:val="auto"/>
                <w:sz w:val="24"/>
                <w:szCs w:val="21"/>
                <w:highlight w:val="none"/>
              </w:rPr>
              <w:t>;</w:t>
            </w:r>
          </w:p>
          <w:p>
            <w:pPr>
              <w:spacing w:line="360" w:lineRule="auto"/>
              <w:ind w:firstLine="241" w:firstLineChars="100"/>
              <w:rPr>
                <w:rFonts w:ascii="仿宋_GB2312" w:hAnsi="仿宋" w:eastAsia="仿宋_GB2312"/>
                <w:color w:val="auto"/>
                <w:sz w:val="24"/>
                <w:highlight w:val="none"/>
              </w:rPr>
            </w:pPr>
            <w:r>
              <w:rPr>
                <w:rFonts w:hint="eastAsia" w:ascii="仿宋_GB2312" w:hAnsi="仿宋" w:eastAsia="仿宋_GB2312" w:cs="Arial"/>
                <w:b/>
                <w:color w:val="auto"/>
                <w:kern w:val="0"/>
                <w:sz w:val="24"/>
                <w:highlight w:val="none"/>
              </w:rPr>
              <w:t>投标人对根据修正原则修正后的报价不确认的</w:t>
            </w:r>
            <w:r>
              <w:rPr>
                <w:rFonts w:hint="eastAsia" w:ascii="仿宋_GB2312" w:hAnsi="仿宋" w:eastAsia="仿宋_GB2312"/>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w:t>
            </w:r>
          </w:p>
        </w:tc>
        <w:tc>
          <w:tcPr>
            <w:tcW w:w="1691"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分包</w:t>
            </w:r>
          </w:p>
        </w:tc>
        <w:tc>
          <w:tcPr>
            <w:tcW w:w="6247"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s="仿宋_GB2312"/>
                <w:color w:val="auto"/>
                <w:sz w:val="24"/>
                <w:highlight w:val="none"/>
              </w:rPr>
            </w:pPr>
            <w:sdt>
              <w:sdtPr>
                <w:rPr>
                  <w:rFonts w:hint="eastAsia" w:ascii="仿宋_GB2312" w:hAnsi="仿宋" w:eastAsia="仿宋_GB2312" w:cs="Arial"/>
                  <w:color w:val="auto"/>
                  <w:kern w:val="0"/>
                  <w:sz w:val="24"/>
                  <w:highlight w:val="none"/>
                </w:rPr>
                <w:id w:val="1372732092"/>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2142576516"/>
                  </w:sdtPr>
                  <w:sdtEndPr>
                    <w:rPr>
                      <w:rFonts w:hint="eastAsia" w:ascii="仿宋_GB2312" w:hAnsi="仿宋" w:eastAsia="仿宋_GB2312" w:cs="Arial"/>
                      <w:color w:val="auto"/>
                      <w:kern w:val="0"/>
                      <w:sz w:val="24"/>
                      <w:highlight w:val="none"/>
                    </w:rPr>
                  </w:sdtEndPr>
                  <w:sdtContent>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同意将非主体、非关键性的</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u w:val="single"/>
                      </w:rPr>
                      <w:t>施工等</w:t>
                    </w:r>
                    <w:r>
                      <w:rPr>
                        <w:rFonts w:hint="eastAsia" w:ascii="仿宋_GB2312" w:hAnsi="仿宋" w:eastAsia="仿宋_GB2312"/>
                        <w:color w:val="auto"/>
                        <w:sz w:val="24"/>
                        <w:highlight w:val="none"/>
                      </w:rPr>
                      <w:t>工作分包。</w:t>
                    </w:r>
                    <w:sdt>
                      <w:sdtPr>
                        <w:rPr>
                          <w:rFonts w:hint="eastAsia" w:ascii="仿宋_GB2312" w:hAnsi="仿宋" w:eastAsia="仿宋_GB2312" w:cs="Arial"/>
                          <w:color w:val="auto"/>
                          <w:kern w:val="0"/>
                          <w:sz w:val="24"/>
                          <w:highlight w:val="none"/>
                        </w:rPr>
                        <w:id w:val="7237940"/>
                      </w:sdtPr>
                      <w:sdtEndPr>
                        <w:rPr>
                          <w:rFonts w:hint="eastAsia" w:ascii="仿宋_GB2312" w:hAnsi="仿宋" w:eastAsia="仿宋_GB2312" w:cs="Arial"/>
                          <w:color w:val="auto"/>
                          <w:kern w:val="0"/>
                          <w:sz w:val="24"/>
                          <w:highlight w:val="none"/>
                        </w:rPr>
                      </w:sdtEndPr>
                      <w:sdtContent>
                        <w:r>
                          <w:rPr>
                            <w:rFonts w:hint="eastAsia" w:ascii="仿宋_GB2312" w:hAnsi="仿宋" w:eastAsia="仿宋_GB2312" w:cs="Arial"/>
                            <w:color w:val="auto"/>
                            <w:kern w:val="0"/>
                            <w:sz w:val="24"/>
                            <w:highlight w:val="none"/>
                          </w:rPr>
                          <w:t xml:space="preserve"> </w:t>
                        </w:r>
                        <w:sdt>
                          <w:sdtPr>
                            <w:rPr>
                              <w:rFonts w:hint="eastAsia" w:ascii="仿宋_GB2312" w:hAnsi="仿宋" w:eastAsia="仿宋_GB2312" w:cs="Arial"/>
                              <w:color w:val="auto"/>
                              <w:kern w:val="0"/>
                              <w:sz w:val="24"/>
                              <w:highlight w:val="none"/>
                            </w:rPr>
                            <w:id w:val="7237939"/>
                          </w:sdtPr>
                          <w:sdtEndPr>
                            <w:rPr>
                              <w:rFonts w:hint="eastAsia" w:ascii="仿宋_GB2312" w:hAnsi="仿宋" w:eastAsia="仿宋_GB2312" w:cs="Arial"/>
                              <w:color w:val="auto"/>
                              <w:kern w:val="0"/>
                              <w:sz w:val="24"/>
                              <w:highlight w:val="none"/>
                            </w:rPr>
                          </w:sdtEndPr>
                          <w:sdtContent>
                            <w:r>
                              <w:rPr>
                                <w:rFonts w:hint="eastAsia" w:ascii="仿宋_GB2312" w:hAnsi="仿宋" w:eastAsia="仿宋_GB2312" w:cs="Arial"/>
                                <w:color w:val="auto"/>
                                <w:kern w:val="0"/>
                                <w:sz w:val="24"/>
                                <w:highlight w:val="none"/>
                              </w:rPr>
                              <w:t xml:space="preserve">    </w:t>
                            </w:r>
                            <w:r>
                              <w:rPr>
                                <w:rFonts w:ascii="MS Gothic" w:hAnsi="MS Gothic" w:eastAsia="MS Gothic" w:cs="Arial"/>
                                <w:color w:val="auto"/>
                                <w:kern w:val="0"/>
                                <w:sz w:val="24"/>
                                <w:highlight w:val="none"/>
                              </w:rPr>
                              <w:sym w:font="Wingdings" w:char="F0FE"/>
                            </w:r>
                          </w:sdtContent>
                        </w:sdt>
                        <w:r>
                          <w:rPr>
                            <w:rFonts w:ascii="仿宋_GB2312" w:hAnsi="仿宋" w:eastAsia="仿宋_GB2312" w:cs="Arial"/>
                            <w:color w:val="auto"/>
                            <w:kern w:val="0"/>
                            <w:sz w:val="24"/>
                            <w:highlight w:val="none"/>
                          </w:rPr>
                          <w:t>B</w:t>
                        </w:r>
                        <w:r>
                          <w:rPr>
                            <w:rFonts w:hint="eastAsia" w:ascii="仿宋_GB2312" w:hAnsi="仿宋" w:eastAsia="仿宋_GB2312"/>
                            <w:color w:val="auto"/>
                            <w:sz w:val="24"/>
                            <w:highlight w:val="none"/>
                          </w:rPr>
                          <w:t>不同意分包。</w:t>
                        </w:r>
                        <w:r>
                          <w:rPr>
                            <w:rFonts w:hint="eastAsia" w:ascii="仿宋_GB2312" w:hAnsi="仿宋" w:eastAsia="仿宋_GB2312" w:cs="Arial"/>
                            <w:color w:val="auto"/>
                            <w:kern w:val="0"/>
                            <w:sz w:val="24"/>
                            <w:highlight w:val="none"/>
                          </w:rPr>
                          <w:t xml:space="preserve">      </w:t>
                        </w:r>
                      </w:sdtContent>
                    </w:sdt>
                  </w:sdtContent>
                </w:sdt>
              </w:sdtContent>
            </w:sdt>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3</w:t>
            </w:r>
          </w:p>
        </w:tc>
        <w:tc>
          <w:tcPr>
            <w:tcW w:w="1691"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投标人应当提供的资格、资信证明文件</w:t>
            </w:r>
          </w:p>
        </w:tc>
        <w:tc>
          <w:tcPr>
            <w:tcW w:w="6247"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w:t>
            </w:r>
            <w:r>
              <w:rPr>
                <w:rFonts w:ascii="仿宋_GB2312" w:hAnsi="仿宋" w:eastAsia="仿宋_GB2312"/>
                <w:color w:val="auto"/>
                <w:sz w:val="24"/>
                <w:highlight w:val="none"/>
              </w:rPr>
              <w:t>1）资格证明文件：见招标文件第二部分11.1。</w:t>
            </w:r>
          </w:p>
          <w:p>
            <w:pPr>
              <w:spacing w:line="360" w:lineRule="auto"/>
              <w:rPr>
                <w:rFonts w:ascii="Arial" w:hAnsi="Arial" w:eastAsia="黑体" w:cs="Arial"/>
                <w:snapToGrid w:val="0"/>
                <w:color w:val="auto"/>
                <w:kern w:val="0"/>
                <w:szCs w:val="21"/>
                <w:highlight w:val="none"/>
              </w:rPr>
            </w:pPr>
            <w:r>
              <w:rPr>
                <w:rFonts w:hint="eastAsia" w:ascii="仿宋_GB2312" w:hAnsi="仿宋" w:eastAsia="仿宋_GB2312"/>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color w:val="auto"/>
                <w:sz w:val="24"/>
                <w:highlight w:val="none"/>
              </w:rPr>
            </w:pPr>
          </w:p>
        </w:tc>
        <w:tc>
          <w:tcPr>
            <w:tcW w:w="1691"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p>
        </w:tc>
        <w:tc>
          <w:tcPr>
            <w:tcW w:w="6247"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w:t>
            </w:r>
            <w:r>
              <w:rPr>
                <w:rFonts w:ascii="仿宋_GB2312" w:hAnsi="仿宋" w:eastAsia="仿宋_GB2312"/>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4</w:t>
            </w:r>
          </w:p>
        </w:tc>
        <w:tc>
          <w:tcPr>
            <w:tcW w:w="1691"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开标前答疑会或现场考察</w:t>
            </w:r>
          </w:p>
        </w:tc>
        <w:tc>
          <w:tcPr>
            <w:tcW w:w="6247"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7237941"/>
              </w:sdtPr>
              <w:sdtEndPr>
                <w:rPr>
                  <w:rFonts w:hint="eastAsia" w:ascii="仿宋_GB2312" w:hAnsi="仿宋" w:eastAsia="仿宋_GB2312" w:cs="Arial"/>
                  <w:color w:val="auto"/>
                  <w:kern w:val="0"/>
                  <w:sz w:val="24"/>
                  <w:highlight w:val="none"/>
                </w:rPr>
              </w:sdtEndPr>
              <w:sdtContent>
                <w:r>
                  <w:rPr>
                    <w:rFonts w:ascii="仿宋_GB2312" w:hAnsi="仿宋" w:eastAsia="仿宋_GB2312" w:cs="Arial"/>
                    <w:color w:val="auto"/>
                    <w:kern w:val="0"/>
                    <w:sz w:val="24"/>
                    <w:highlight w:val="none"/>
                  </w:rPr>
                  <w:sym w:font="Wingdings" w:char="F0FE"/>
                </w:r>
              </w:sdtContent>
            </w:sdt>
            <w:r>
              <w:rPr>
                <w:rFonts w:hint="eastAsia" w:ascii="仿宋_GB2312" w:hAnsi="仿宋" w:eastAsia="仿宋_GB2312"/>
                <w:color w:val="auto"/>
                <w:sz w:val="24"/>
                <w:highlight w:val="none"/>
              </w:rPr>
              <w:t>不组织。</w:t>
            </w:r>
          </w:p>
          <w:p>
            <w:pPr>
              <w:spacing w:line="360" w:lineRule="auto"/>
              <w:rPr>
                <w:rFonts w:ascii="仿宋_GB2312" w:hAnsi="仿宋" w:eastAsia="仿宋_GB2312"/>
                <w:color w:val="auto"/>
                <w:sz w:val="24"/>
                <w:szCs w:val="20"/>
                <w:highlight w:val="none"/>
              </w:rPr>
            </w:pPr>
            <w:sdt>
              <w:sdtPr>
                <w:rPr>
                  <w:rFonts w:hint="eastAsia" w:ascii="仿宋_GB2312" w:hAnsi="仿宋" w:eastAsia="仿宋_GB2312" w:cs="Arial"/>
                  <w:color w:val="auto"/>
                  <w:kern w:val="0"/>
                  <w:sz w:val="24"/>
                  <w:highlight w:val="none"/>
                </w:rPr>
                <w:id w:val="7237942"/>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r>
              <w:rPr>
                <w:rFonts w:ascii="仿宋_GB2312" w:hAnsi="仿宋" w:eastAsia="仿宋_GB2312"/>
                <w:color w:val="auto"/>
                <w:kern w:val="0"/>
                <w:sz w:val="24"/>
                <w:highlight w:val="none"/>
              </w:rPr>
              <w:t>B组织，</w:t>
            </w:r>
            <w:r>
              <w:rPr>
                <w:rFonts w:hint="eastAsia" w:ascii="仿宋_GB2312" w:hAnsi="仿宋" w:eastAsia="仿宋_GB2312"/>
                <w:color w:val="auto"/>
                <w:sz w:val="24"/>
                <w:highlight w:val="none"/>
              </w:rPr>
              <w:t>时间：</w:t>
            </w:r>
            <w:r>
              <w:rPr>
                <w:rFonts w:ascii="仿宋_GB2312" w:hAnsi="仿宋" w:eastAsia="仿宋_GB2312"/>
                <w:color w:val="auto"/>
                <w:sz w:val="24"/>
                <w:highlight w:val="none"/>
              </w:rPr>
              <w:t>,地点：</w:t>
            </w:r>
            <w:r>
              <w:rPr>
                <w:rFonts w:hint="eastAsia" w:ascii="仿宋_GB2312" w:hAnsi="仿宋" w:eastAsia="仿宋_GB2312"/>
                <w:color w:val="auto"/>
                <w:sz w:val="24"/>
                <w:highlight w:val="none"/>
              </w:rPr>
              <w:t>，联系人：，联系方式：</w:t>
            </w:r>
            <w:r>
              <w:rPr>
                <w:rFonts w:hint="eastAsia" w:ascii="仿宋_GB2312" w:hAnsi="仿宋" w:eastAsia="仿宋_GB2312"/>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5</w:t>
            </w:r>
          </w:p>
        </w:tc>
        <w:tc>
          <w:tcPr>
            <w:tcW w:w="1691"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样品提供</w:t>
            </w:r>
          </w:p>
        </w:tc>
        <w:tc>
          <w:tcPr>
            <w:tcW w:w="6247"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7237943"/>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不要求提供。</w:t>
            </w:r>
          </w:p>
          <w:p>
            <w:pPr>
              <w:spacing w:line="360" w:lineRule="auto"/>
              <w:rPr>
                <w:rFonts w:ascii="仿宋_GB2312" w:hAnsi="仿宋" w:eastAsia="仿宋_GB2312"/>
                <w:color w:val="auto"/>
                <w:kern w:val="0"/>
                <w:sz w:val="24"/>
                <w:highlight w:val="none"/>
              </w:rPr>
            </w:pPr>
            <w:r>
              <w:rPr>
                <w:rFonts w:ascii="MS Gothic" w:hAnsi="MS Gothic" w:eastAsia="MS Gothic" w:cs="Arial"/>
                <w:color w:val="auto"/>
                <w:kern w:val="0"/>
                <w:sz w:val="24"/>
                <w:highlight w:val="none"/>
              </w:rPr>
              <w:sym w:font="Wingdings" w:char="F0FE"/>
            </w:r>
            <w:r>
              <w:rPr>
                <w:rFonts w:ascii="仿宋_GB2312" w:hAnsi="仿宋" w:eastAsia="仿宋_GB2312"/>
                <w:color w:val="auto"/>
                <w:kern w:val="0"/>
                <w:sz w:val="24"/>
                <w:highlight w:val="none"/>
              </w:rPr>
              <w:t>B</w:t>
            </w:r>
            <w:r>
              <w:rPr>
                <w:rFonts w:hint="eastAsia" w:ascii="仿宋_GB2312" w:hAnsi="仿宋" w:eastAsia="仿宋_GB2312"/>
                <w:color w:val="auto"/>
                <w:kern w:val="0"/>
                <w:sz w:val="24"/>
                <w:highlight w:val="none"/>
              </w:rPr>
              <w:t>要求提供，</w:t>
            </w:r>
          </w:p>
          <w:p>
            <w:pPr>
              <w:spacing w:line="360" w:lineRule="auto"/>
              <w:rPr>
                <w:rFonts w:hint="eastAsia" w:ascii="仿宋_GB2312" w:hAnsi="仿宋" w:eastAsia="仿宋_GB2312"/>
                <w:color w:val="auto"/>
                <w:kern w:val="0"/>
                <w:sz w:val="24"/>
                <w:highlight w:val="none"/>
              </w:rPr>
            </w:pPr>
            <w:r>
              <w:rPr>
                <w:rFonts w:hint="eastAsia" w:ascii="仿宋_GB2312" w:hAnsi="仿宋" w:eastAsia="仿宋_GB2312"/>
                <w:color w:val="auto"/>
                <w:kern w:val="0"/>
                <w:sz w:val="24"/>
                <w:highlight w:val="none"/>
              </w:rPr>
              <w:t>（1）样品：</w:t>
            </w:r>
            <w:r>
              <w:rPr>
                <w:rFonts w:hint="eastAsia" w:ascii="仿宋_GB2312" w:hAnsi="仿宋" w:eastAsia="仿宋_GB2312"/>
                <w:color w:val="auto"/>
                <w:kern w:val="0"/>
                <w:sz w:val="24"/>
                <w:highlight w:val="none"/>
                <w:lang w:val="en-US" w:eastAsia="zh-CN"/>
              </w:rPr>
              <w:t>详见评标办法</w:t>
            </w:r>
            <w:r>
              <w:rPr>
                <w:rFonts w:hint="eastAsia" w:ascii="仿宋_GB2312" w:hAnsi="仿宋" w:eastAsia="仿宋_GB2312"/>
                <w:color w:val="auto"/>
                <w:kern w:val="0"/>
                <w:sz w:val="24"/>
                <w:highlight w:val="none"/>
              </w:rPr>
              <w:t>；</w:t>
            </w:r>
          </w:p>
          <w:p>
            <w:pPr>
              <w:spacing w:line="360" w:lineRule="auto"/>
              <w:rPr>
                <w:rFonts w:hint="eastAsia" w:ascii="仿宋_GB2312" w:hAnsi="仿宋" w:eastAsia="仿宋_GB2312"/>
                <w:color w:val="auto"/>
                <w:kern w:val="0"/>
                <w:sz w:val="24"/>
                <w:highlight w:val="none"/>
              </w:rPr>
            </w:pPr>
            <w:r>
              <w:rPr>
                <w:rFonts w:hint="eastAsia" w:ascii="仿宋_GB2312" w:hAnsi="仿宋" w:eastAsia="仿宋_GB2312"/>
                <w:color w:val="auto"/>
                <w:kern w:val="0"/>
                <w:sz w:val="24"/>
                <w:highlight w:val="none"/>
              </w:rPr>
              <w:t>（2）样品</w:t>
            </w:r>
            <w:r>
              <w:rPr>
                <w:rFonts w:hint="eastAsia" w:ascii="仿宋_GB2312" w:hAnsi="仿宋" w:eastAsia="仿宋_GB2312"/>
                <w:color w:val="auto"/>
                <w:kern w:val="0"/>
                <w:sz w:val="24"/>
                <w:highlight w:val="none"/>
                <w:lang w:val="en-US" w:eastAsia="zh-CN"/>
              </w:rPr>
              <w:t>演示</w:t>
            </w:r>
            <w:r>
              <w:rPr>
                <w:rFonts w:hint="eastAsia" w:ascii="仿宋_GB2312" w:hAnsi="仿宋" w:eastAsia="仿宋_GB2312"/>
                <w:color w:val="auto"/>
                <w:kern w:val="0"/>
                <w:sz w:val="24"/>
                <w:highlight w:val="none"/>
              </w:rPr>
              <w:t>的标准和要求：详见评标办法；</w:t>
            </w:r>
          </w:p>
          <w:p>
            <w:pPr>
              <w:spacing w:line="360" w:lineRule="auto"/>
              <w:rPr>
                <w:rFonts w:hint="eastAsia" w:ascii="仿宋_GB2312" w:hAnsi="仿宋" w:eastAsia="仿宋_GB2312"/>
                <w:color w:val="auto"/>
                <w:kern w:val="0"/>
                <w:sz w:val="24"/>
                <w:highlight w:val="none"/>
              </w:rPr>
            </w:pPr>
            <w:r>
              <w:rPr>
                <w:rFonts w:hint="eastAsia" w:ascii="仿宋_GB2312" w:hAnsi="仿宋" w:eastAsia="仿宋_GB2312"/>
                <w:color w:val="auto"/>
                <w:kern w:val="0"/>
                <w:sz w:val="24"/>
                <w:highlight w:val="none"/>
              </w:rPr>
              <w:t>（3）样品的评审方法以及评审标准：详见评标办法；</w:t>
            </w:r>
          </w:p>
          <w:p>
            <w:pPr>
              <w:spacing w:line="360" w:lineRule="auto"/>
              <w:rPr>
                <w:rFonts w:hint="eastAsia" w:ascii="仿宋_GB2312" w:hAnsi="仿宋" w:eastAsia="仿宋_GB2312"/>
                <w:color w:val="auto"/>
                <w:kern w:val="0"/>
                <w:sz w:val="24"/>
                <w:highlight w:val="none"/>
              </w:rPr>
            </w:pPr>
            <w:r>
              <w:rPr>
                <w:rFonts w:hint="eastAsia" w:ascii="仿宋_GB2312" w:hAnsi="仿宋" w:eastAsia="仿宋_GB2312"/>
                <w:color w:val="auto"/>
                <w:kern w:val="0"/>
                <w:sz w:val="24"/>
                <w:highlight w:val="none"/>
              </w:rPr>
              <w:t>（4）是否需要随样品提交检测报告：</w:t>
            </w:r>
            <w:sdt>
              <w:sdtPr>
                <w:rPr>
                  <w:rFonts w:hint="eastAsia" w:ascii="仿宋_GB2312" w:hAnsi="仿宋" w:eastAsia="仿宋_GB2312"/>
                  <w:color w:val="auto"/>
                  <w:kern w:val="0"/>
                  <w:sz w:val="24"/>
                  <w:highlight w:val="none"/>
                </w:rPr>
                <w:id w:val="1303421454"/>
              </w:sdtPr>
              <w:sdtEndPr>
                <w:rPr>
                  <w:rFonts w:hint="eastAsia" w:ascii="仿宋_GB2312" w:hAnsi="仿宋" w:eastAsia="仿宋_GB2312"/>
                  <w:color w:val="auto"/>
                  <w:kern w:val="0"/>
                  <w:sz w:val="24"/>
                  <w:highlight w:val="none"/>
                </w:rPr>
              </w:sdtEndPr>
              <w:sdtContent>
                <w:r>
                  <w:rPr>
                    <w:rFonts w:hint="eastAsia" w:ascii="仿宋_GB2312" w:hAnsi="仿宋" w:eastAsia="仿宋_GB2312"/>
                    <w:color w:val="auto"/>
                    <w:kern w:val="0"/>
                    <w:sz w:val="24"/>
                    <w:highlight w:val="none"/>
                  </w:rPr>
                  <w:t>√</w:t>
                </w:r>
              </w:sdtContent>
            </w:sdt>
            <w:r>
              <w:rPr>
                <w:rFonts w:hint="eastAsia" w:ascii="仿宋_GB2312" w:hAnsi="仿宋" w:eastAsia="仿宋_GB2312"/>
                <w:color w:val="auto"/>
                <w:kern w:val="0"/>
                <w:sz w:val="24"/>
                <w:highlight w:val="none"/>
              </w:rPr>
              <w:t>否；</w:t>
            </w:r>
            <w:sdt>
              <w:sdtPr>
                <w:rPr>
                  <w:rFonts w:hint="eastAsia" w:ascii="仿宋_GB2312" w:hAnsi="仿宋" w:eastAsia="仿宋_GB2312"/>
                  <w:color w:val="auto"/>
                  <w:kern w:val="0"/>
                  <w:sz w:val="24"/>
                  <w:highlight w:val="none"/>
                </w:rPr>
                <w:id w:val="1621728433"/>
              </w:sdtPr>
              <w:sdtEndPr>
                <w:rPr>
                  <w:rFonts w:hint="eastAsia" w:ascii="仿宋_GB2312" w:hAnsi="仿宋" w:eastAsia="仿宋_GB2312"/>
                  <w:color w:val="auto"/>
                  <w:kern w:val="0"/>
                  <w:sz w:val="24"/>
                  <w:highlight w:val="none"/>
                </w:rPr>
              </w:sdtEndPr>
              <w:sdtContent>
                <w:r>
                  <w:rPr>
                    <w:rFonts w:hint="eastAsia" w:ascii="仿宋_GB2312" w:hAnsi="仿宋" w:eastAsia="仿宋_GB2312"/>
                    <w:color w:val="auto"/>
                    <w:kern w:val="0"/>
                    <w:sz w:val="24"/>
                    <w:highlight w:val="none"/>
                  </w:rPr>
                  <w:t>☐</w:t>
                </w:r>
              </w:sdtContent>
            </w:sdt>
            <w:r>
              <w:rPr>
                <w:rFonts w:hint="eastAsia" w:ascii="仿宋_GB2312" w:hAnsi="仿宋" w:eastAsia="仿宋_GB2312"/>
                <w:color w:val="auto"/>
                <w:kern w:val="0"/>
                <w:sz w:val="24"/>
                <w:highlight w:val="none"/>
              </w:rPr>
              <w:t>是，检测机构的要求：；检测内容：。</w:t>
            </w:r>
          </w:p>
          <w:p>
            <w:pPr>
              <w:spacing w:line="360" w:lineRule="auto"/>
              <w:rPr>
                <w:rFonts w:hint="eastAsia" w:ascii="仿宋_GB2312" w:hAnsi="仿宋" w:eastAsia="仿宋_GB2312"/>
                <w:color w:val="auto"/>
                <w:kern w:val="0"/>
                <w:sz w:val="24"/>
                <w:highlight w:val="none"/>
              </w:rPr>
            </w:pPr>
            <w:r>
              <w:rPr>
                <w:rFonts w:hint="eastAsia" w:ascii="仿宋_GB2312" w:hAnsi="仿宋" w:eastAsia="仿宋_GB2312"/>
                <w:color w:val="auto"/>
                <w:kern w:val="0"/>
                <w:sz w:val="24"/>
                <w:highlight w:val="none"/>
              </w:rPr>
              <w:t>（5）提供样品的时间：</w:t>
            </w:r>
            <w:r>
              <w:rPr>
                <w:rFonts w:hint="eastAsia" w:ascii="仿宋_GB2312" w:hAnsi="仿宋" w:eastAsia="仿宋_GB2312"/>
                <w:color w:val="auto"/>
                <w:kern w:val="0"/>
                <w:sz w:val="24"/>
                <w:highlight w:val="none"/>
                <w:lang w:val="en-US" w:eastAsia="zh-CN"/>
              </w:rPr>
              <w:t>样</w:t>
            </w:r>
            <w:r>
              <w:rPr>
                <w:rFonts w:hint="eastAsia" w:ascii="仿宋_GB2312" w:hAnsi="仿宋" w:eastAsia="仿宋_GB2312"/>
                <w:color w:val="auto"/>
                <w:kern w:val="0"/>
                <w:sz w:val="24"/>
                <w:highlight w:val="none"/>
              </w:rPr>
              <w:t>品需在202</w:t>
            </w:r>
            <w:r>
              <w:rPr>
                <w:rFonts w:hint="eastAsia" w:ascii="仿宋_GB2312" w:hAnsi="仿宋" w:eastAsia="仿宋_GB2312"/>
                <w:color w:val="auto"/>
                <w:kern w:val="0"/>
                <w:sz w:val="24"/>
                <w:highlight w:val="none"/>
                <w:lang w:val="en-US" w:eastAsia="zh-CN"/>
              </w:rPr>
              <w:t>3</w:t>
            </w:r>
            <w:r>
              <w:rPr>
                <w:rFonts w:hint="eastAsia" w:ascii="仿宋_GB2312" w:hAnsi="仿宋" w:eastAsia="仿宋_GB2312"/>
                <w:color w:val="auto"/>
                <w:kern w:val="0"/>
                <w:sz w:val="24"/>
                <w:highlight w:val="none"/>
              </w:rPr>
              <w:t>年</w:t>
            </w:r>
            <w:r>
              <w:rPr>
                <w:rFonts w:hint="eastAsia" w:ascii="仿宋_GB2312" w:hAnsi="仿宋" w:eastAsia="仿宋_GB2312"/>
                <w:color w:val="auto"/>
                <w:kern w:val="0"/>
                <w:sz w:val="24"/>
                <w:highlight w:val="none"/>
                <w:lang w:val="en-US" w:eastAsia="zh-CN"/>
              </w:rPr>
              <w:t>03</w:t>
            </w:r>
            <w:r>
              <w:rPr>
                <w:rFonts w:hint="eastAsia" w:ascii="仿宋_GB2312" w:hAnsi="仿宋" w:eastAsia="仿宋_GB2312"/>
                <w:color w:val="auto"/>
                <w:kern w:val="0"/>
                <w:sz w:val="24"/>
                <w:highlight w:val="none"/>
              </w:rPr>
              <w:t>月</w:t>
            </w:r>
            <w:r>
              <w:rPr>
                <w:rFonts w:hint="eastAsia" w:ascii="仿宋_GB2312" w:hAnsi="仿宋" w:eastAsia="仿宋_GB2312"/>
                <w:color w:val="auto"/>
                <w:kern w:val="0"/>
                <w:sz w:val="24"/>
                <w:highlight w:val="none"/>
                <w:lang w:val="en-US" w:eastAsia="zh-CN"/>
              </w:rPr>
              <w:t>10</w:t>
            </w:r>
            <w:r>
              <w:rPr>
                <w:rFonts w:hint="eastAsia" w:ascii="仿宋_GB2312" w:hAnsi="仿宋" w:eastAsia="仿宋_GB2312"/>
                <w:color w:val="auto"/>
                <w:kern w:val="0"/>
                <w:sz w:val="24"/>
                <w:highlight w:val="none"/>
              </w:rPr>
              <w:t>日</w:t>
            </w:r>
            <w:r>
              <w:rPr>
                <w:rFonts w:hint="eastAsia" w:ascii="仿宋_GB2312" w:hAnsi="仿宋" w:eastAsia="仿宋_GB2312"/>
                <w:color w:val="auto"/>
                <w:kern w:val="0"/>
                <w:sz w:val="24"/>
                <w:highlight w:val="none"/>
                <w:lang w:val="en-US" w:eastAsia="zh-CN"/>
              </w:rPr>
              <w:t>09</w:t>
            </w:r>
            <w:r>
              <w:rPr>
                <w:rFonts w:hint="eastAsia" w:ascii="仿宋_GB2312" w:hAnsi="仿宋" w:eastAsia="仿宋_GB2312"/>
                <w:color w:val="auto"/>
                <w:kern w:val="0"/>
                <w:sz w:val="24"/>
                <w:highlight w:val="none"/>
              </w:rPr>
              <w:t>:00前送至</w:t>
            </w:r>
            <w:r>
              <w:rPr>
                <w:rFonts w:hint="eastAsia" w:ascii="仿宋_GB2312" w:hAnsi="仿宋" w:eastAsia="仿宋_GB2312"/>
                <w:color w:val="auto"/>
                <w:kern w:val="0"/>
                <w:sz w:val="24"/>
                <w:highlight w:val="none"/>
                <w:lang w:val="en-US" w:eastAsia="zh-CN"/>
              </w:rPr>
              <w:t>江山市公共资源交易中心3号评标室</w:t>
            </w:r>
            <w:r>
              <w:rPr>
                <w:rFonts w:hint="eastAsia" w:ascii="仿宋_GB2312" w:hAnsi="仿宋" w:eastAsia="仿宋_GB2312"/>
                <w:color w:val="auto"/>
                <w:kern w:val="0"/>
                <w:sz w:val="24"/>
                <w:highlight w:val="none"/>
              </w:rPr>
              <w:t>（地址：江山市鹿溪北路228幢振辉商务广场9楼901室，联系人：周女士，电话：15957012209），样品需填写好公司及项目名称，如在202</w:t>
            </w:r>
            <w:r>
              <w:rPr>
                <w:rFonts w:hint="eastAsia" w:ascii="仿宋_GB2312" w:hAnsi="仿宋" w:eastAsia="仿宋_GB2312"/>
                <w:color w:val="auto"/>
                <w:kern w:val="0"/>
                <w:sz w:val="24"/>
                <w:highlight w:val="none"/>
                <w:lang w:val="en-US" w:eastAsia="zh-CN"/>
              </w:rPr>
              <w:t>3</w:t>
            </w:r>
            <w:r>
              <w:rPr>
                <w:rFonts w:hint="eastAsia" w:ascii="仿宋_GB2312" w:hAnsi="仿宋" w:eastAsia="仿宋_GB2312"/>
                <w:color w:val="auto"/>
                <w:kern w:val="0"/>
                <w:sz w:val="24"/>
                <w:highlight w:val="none"/>
              </w:rPr>
              <w:t>年</w:t>
            </w:r>
            <w:r>
              <w:rPr>
                <w:rFonts w:hint="eastAsia" w:ascii="仿宋_GB2312" w:hAnsi="仿宋" w:eastAsia="仿宋_GB2312"/>
                <w:color w:val="auto"/>
                <w:kern w:val="0"/>
                <w:sz w:val="24"/>
                <w:highlight w:val="none"/>
                <w:lang w:val="en-US" w:eastAsia="zh-CN"/>
              </w:rPr>
              <w:t>03</w:t>
            </w:r>
            <w:r>
              <w:rPr>
                <w:rFonts w:hint="eastAsia" w:ascii="仿宋_GB2312" w:hAnsi="仿宋" w:eastAsia="仿宋_GB2312"/>
                <w:color w:val="auto"/>
                <w:kern w:val="0"/>
                <w:sz w:val="24"/>
                <w:highlight w:val="none"/>
              </w:rPr>
              <w:t>月</w:t>
            </w:r>
            <w:r>
              <w:rPr>
                <w:rFonts w:hint="eastAsia" w:ascii="仿宋_GB2312" w:hAnsi="仿宋" w:eastAsia="仿宋_GB2312"/>
                <w:color w:val="auto"/>
                <w:kern w:val="0"/>
                <w:sz w:val="24"/>
                <w:highlight w:val="none"/>
                <w:lang w:val="en-US" w:eastAsia="zh-CN"/>
              </w:rPr>
              <w:t>10</w:t>
            </w:r>
            <w:r>
              <w:rPr>
                <w:rFonts w:hint="eastAsia" w:ascii="仿宋_GB2312" w:hAnsi="仿宋" w:eastAsia="仿宋_GB2312"/>
                <w:color w:val="auto"/>
                <w:kern w:val="0"/>
                <w:sz w:val="24"/>
                <w:highlight w:val="none"/>
              </w:rPr>
              <w:t>日</w:t>
            </w:r>
            <w:r>
              <w:rPr>
                <w:rFonts w:hint="eastAsia" w:ascii="仿宋_GB2312" w:hAnsi="仿宋" w:eastAsia="仿宋_GB2312"/>
                <w:color w:val="auto"/>
                <w:kern w:val="0"/>
                <w:sz w:val="24"/>
                <w:highlight w:val="none"/>
                <w:lang w:val="en-US" w:eastAsia="zh-CN"/>
              </w:rPr>
              <w:t>09</w:t>
            </w:r>
            <w:r>
              <w:rPr>
                <w:rFonts w:hint="eastAsia" w:ascii="仿宋_GB2312" w:hAnsi="仿宋" w:eastAsia="仿宋_GB2312"/>
                <w:color w:val="auto"/>
                <w:kern w:val="0"/>
                <w:sz w:val="24"/>
                <w:highlight w:val="none"/>
              </w:rPr>
              <w:t>:00前未收到样品视作放弃样品展示，样品运输途中产生的各种费用由供应商自己承担。</w:t>
            </w:r>
          </w:p>
          <w:p>
            <w:pPr>
              <w:spacing w:line="360" w:lineRule="auto"/>
              <w:rPr>
                <w:rFonts w:hint="eastAsia" w:ascii="仿宋_GB2312" w:hAnsi="仿宋" w:eastAsia="仿宋_GB2312"/>
                <w:color w:val="auto"/>
                <w:kern w:val="0"/>
                <w:sz w:val="24"/>
                <w:highlight w:val="none"/>
              </w:rPr>
            </w:pPr>
            <w:r>
              <w:rPr>
                <w:rFonts w:hint="eastAsia" w:ascii="仿宋_GB2312" w:hAnsi="仿宋" w:eastAsia="仿宋_GB2312"/>
                <w:color w:val="auto"/>
                <w:kern w:val="0"/>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spacing w:line="360" w:lineRule="auto"/>
              <w:rPr>
                <w:rFonts w:ascii="仿宋_GB2312" w:hAnsi="仿宋" w:eastAsia="仿宋_GB2312"/>
                <w:b/>
                <w:color w:val="auto"/>
                <w:sz w:val="24"/>
                <w:highlight w:val="none"/>
              </w:rPr>
            </w:pPr>
            <w:r>
              <w:rPr>
                <w:rFonts w:hint="eastAsia" w:ascii="仿宋_GB2312" w:hAnsi="仿宋" w:eastAsia="仿宋_GB2312"/>
                <w:color w:val="auto"/>
                <w:kern w:val="0"/>
                <w:sz w:val="24"/>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6</w:t>
            </w:r>
          </w:p>
        </w:tc>
        <w:tc>
          <w:tcPr>
            <w:tcW w:w="169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Cs/>
                <w:color w:val="auto"/>
                <w:sz w:val="24"/>
                <w:highlight w:val="none"/>
              </w:rPr>
            </w:pPr>
            <w:r>
              <w:rPr>
                <w:rFonts w:hint="eastAsia" w:ascii="仿宋_GB2312" w:hAnsi="仿宋" w:eastAsia="仿宋_GB2312" w:cs="仿宋_GB2312"/>
                <w:b/>
                <w:color w:val="auto"/>
                <w:sz w:val="24"/>
                <w:highlight w:val="none"/>
              </w:rPr>
              <w:t>方案讲解演示</w:t>
            </w:r>
          </w:p>
        </w:tc>
        <w:tc>
          <w:tcPr>
            <w:tcW w:w="6247"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026831988"/>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不组织。</w:t>
            </w:r>
          </w:p>
          <w:p>
            <w:pPr>
              <w:spacing w:line="360" w:lineRule="auto"/>
              <w:rPr>
                <w:rFonts w:ascii="仿宋_GB2312" w:hAnsi="仿宋" w:eastAsia="仿宋_GB2312" w:cs="仿宋_GB2312"/>
                <w:b/>
                <w:color w:val="auto"/>
                <w:kern w:val="0"/>
                <w:sz w:val="24"/>
                <w:highlight w:val="none"/>
                <w:lang w:val="zh-CN"/>
              </w:rPr>
            </w:pPr>
            <w:sdt>
              <w:sdtPr>
                <w:rPr>
                  <w:rFonts w:hint="eastAsia" w:ascii="仿宋_GB2312" w:hAnsi="仿宋" w:eastAsia="仿宋_GB2312" w:cs="Arial"/>
                  <w:color w:val="auto"/>
                  <w:kern w:val="0"/>
                  <w:sz w:val="24"/>
                  <w:highlight w:val="none"/>
                </w:rPr>
                <w:id w:val="1174071719"/>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7237944"/>
                  </w:sdtPr>
                  <w:sdtEndPr>
                    <w:rPr>
                      <w:rFonts w:hint="eastAsia" w:ascii="仿宋_GB2312" w:hAnsi="仿宋" w:eastAsia="仿宋_GB2312" w:cs="Arial"/>
                      <w:color w:val="auto"/>
                      <w:kern w:val="0"/>
                      <w:sz w:val="24"/>
                      <w:highlight w:val="none"/>
                    </w:rPr>
                  </w:sdtEndPr>
                  <w:sdtContent>
                    <w:sdt>
                      <w:sdtPr>
                        <w:rPr>
                          <w:rFonts w:hint="eastAsia" w:ascii="MS Gothic" w:hAnsi="MS Gothic" w:eastAsia="仿宋_GB2312" w:cs="Arial"/>
                          <w:color w:val="auto"/>
                          <w:kern w:val="0"/>
                          <w:sz w:val="24"/>
                          <w:highlight w:val="none"/>
                        </w:rPr>
                        <w:id w:val="1026831988"/>
                        <w:showingPlcHdr/>
                      </w:sdtPr>
                      <w:sdtEndPr>
                        <w:rPr>
                          <w:rFonts w:hint="eastAsia" w:ascii="MS Gothic" w:hAnsi="MS Gothic" w:eastAsia="仿宋_GB2312" w:cs="Arial"/>
                          <w:color w:val="auto"/>
                          <w:kern w:val="0"/>
                          <w:sz w:val="24"/>
                          <w:highlight w:val="none"/>
                        </w:rPr>
                      </w:sdtEndPr>
                      <w:sdtContent>
                        <w:r>
                          <w:rPr>
                            <w:rFonts w:ascii="MS Gothic" w:hAnsi="MS Gothic" w:eastAsia="仿宋_GB2312" w:cs="Arial"/>
                            <w:color w:val="auto"/>
                            <w:kern w:val="0"/>
                            <w:sz w:val="24"/>
                            <w:highlight w:val="none"/>
                          </w:rPr>
                          <w:sym w:font="Wingdings" w:char="F0FE"/>
                        </w:r>
                      </w:sdtContent>
                    </w:sdt>
                  </w:sdtContent>
                </w:sdt>
              </w:sdtContent>
            </w:sdt>
            <w:r>
              <w:rPr>
                <w:rFonts w:ascii="仿宋_GB2312" w:hAnsi="仿宋" w:eastAsia="仿宋_GB2312"/>
                <w:color w:val="auto"/>
                <w:kern w:val="0"/>
                <w:sz w:val="24"/>
                <w:highlight w:val="none"/>
              </w:rPr>
              <w:t>B组织。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7</w:t>
            </w:r>
          </w:p>
        </w:tc>
        <w:tc>
          <w:tcPr>
            <w:tcW w:w="169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是否允许采购进口产品</w:t>
            </w:r>
          </w:p>
        </w:tc>
        <w:tc>
          <w:tcPr>
            <w:tcW w:w="6247"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sym w:font="Wingdings" w:char="F0FE"/>
            </w:r>
            <w:r>
              <w:rPr>
                <w:rFonts w:hint="eastAsia" w:ascii="仿宋_GB2312" w:hAnsi="仿宋" w:eastAsia="仿宋_GB2312" w:cs="Arial"/>
                <w:color w:val="auto"/>
                <w:kern w:val="0"/>
                <w:sz w:val="24"/>
                <w:highlight w:val="none"/>
              </w:rPr>
              <w:t>本项目不允许采购进口产品。</w:t>
            </w:r>
          </w:p>
          <w:p>
            <w:pPr>
              <w:spacing w:line="360" w:lineRule="auto"/>
              <w:rPr>
                <w:color w:val="auto"/>
                <w:highlight w:val="none"/>
              </w:rPr>
            </w:pPr>
            <w:r>
              <w:rPr>
                <w:rFonts w:ascii="MS Gothic" w:hAnsi="MS Gothic" w:eastAsia="MS Gothic" w:cs="Arial"/>
                <w:color w:val="auto"/>
                <w:kern w:val="0"/>
                <w:sz w:val="24"/>
                <w:highlight w:val="none"/>
              </w:rPr>
              <w:t>☐</w:t>
            </w:r>
            <w:r>
              <w:rPr>
                <w:rFonts w:hint="eastAsia" w:ascii="仿宋_GB2312" w:hAnsi="仿宋" w:eastAsia="仿宋_GB2312" w:cs="Arial"/>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8</w:t>
            </w:r>
          </w:p>
        </w:tc>
        <w:tc>
          <w:tcPr>
            <w:tcW w:w="169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项目属性与核心产品</w:t>
            </w:r>
          </w:p>
        </w:tc>
        <w:tc>
          <w:tcPr>
            <w:tcW w:w="6247"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18727868"/>
              </w:sdtPr>
              <w:sdtEndPr>
                <w:rPr>
                  <w:rFonts w:hint="eastAsia" w:ascii="仿宋_GB2312" w:hAnsi="仿宋" w:eastAsia="仿宋_GB2312" w:cs="Arial"/>
                  <w:color w:val="auto"/>
                  <w:kern w:val="0"/>
                  <w:sz w:val="24"/>
                  <w:highlight w:val="none"/>
                </w:rPr>
              </w:sdtEndPr>
              <w:sdtContent>
                <w:r>
                  <w:rPr>
                    <w:rFonts w:ascii="Wingdings" w:hAnsi="Wingdings" w:eastAsia="仿宋_GB2312" w:cs="Arial"/>
                    <w:color w:val="auto"/>
                    <w:kern w:val="0"/>
                    <w:sz w:val="24"/>
                    <w:highlight w:val="none"/>
                  </w:rPr>
                  <w:t></w:t>
                </w:r>
              </w:sdtContent>
            </w:sdt>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货物类，单一产品或</w:t>
            </w:r>
            <w:r>
              <w:rPr>
                <w:rFonts w:hint="eastAsia" w:ascii="仿宋_GB2312" w:hAnsi="仿宋" w:eastAsia="仿宋_GB2312"/>
                <w:color w:val="auto"/>
                <w:kern w:val="0"/>
                <w:sz w:val="24"/>
                <w:highlight w:val="none"/>
              </w:rPr>
              <w:t>核心产品为：</w:t>
            </w:r>
            <w:r>
              <w:rPr>
                <w:rFonts w:hint="eastAsia" w:ascii="仿宋_GB2312" w:hAnsi="仿宋" w:eastAsia="仿宋_GB2312"/>
                <w:color w:val="auto"/>
                <w:kern w:val="0"/>
                <w:sz w:val="24"/>
                <w:highlight w:val="none"/>
                <w:lang w:val="en-US" w:eastAsia="zh-CN"/>
              </w:rPr>
              <w:t xml:space="preserve"> </w:t>
            </w:r>
            <w:r>
              <w:rPr>
                <w:rFonts w:hint="eastAsia" w:ascii="仿宋_GB2312" w:hAnsi="仿宋" w:eastAsia="仿宋_GB2312"/>
                <w:color w:val="auto"/>
                <w:kern w:val="0"/>
                <w:sz w:val="24"/>
                <w:highlight w:val="none"/>
                <w:u w:val="single"/>
                <w:lang w:val="en-US" w:eastAsia="zh-CN"/>
              </w:rPr>
              <w:t>生安眼终端</w:t>
            </w:r>
            <w:r>
              <w:rPr>
                <w:rFonts w:hint="eastAsia" w:ascii="仿宋_GB2312" w:hAnsi="仿宋" w:eastAsia="仿宋_GB2312"/>
                <w:color w:val="auto"/>
                <w:kern w:val="0"/>
                <w:sz w:val="24"/>
                <w:highlight w:val="none"/>
                <w:u w:val="single"/>
              </w:rPr>
              <w:t>。</w:t>
            </w:r>
          </w:p>
          <w:p>
            <w:pPr>
              <w:spacing w:line="360" w:lineRule="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474885559"/>
              </w:sdtPr>
              <w:sdtEndPr>
                <w:rPr>
                  <w:rFonts w:hint="eastAsia" w:ascii="仿宋_GB2312" w:hAnsi="仿宋" w:eastAsia="仿宋_GB2312" w:cs="Arial"/>
                  <w:color w:val="auto"/>
                  <w:kern w:val="0"/>
                  <w:sz w:val="24"/>
                  <w:highlight w:val="none"/>
                </w:rPr>
              </w:sdtEndPr>
              <w:sdtContent>
                <w:r>
                  <w:rPr>
                    <w:rFonts w:ascii="MS Gothic" w:hAnsi="MS Gothic" w:eastAsia="仿宋_GB2312" w:cs="Arial"/>
                    <w:color w:val="auto"/>
                    <w:kern w:val="0"/>
                    <w:sz w:val="24"/>
                    <w:highlight w:val="none"/>
                  </w:rPr>
                  <w:t>☐</w:t>
                </w:r>
              </w:sdtContent>
            </w:sdt>
            <w:r>
              <w:rPr>
                <w:rFonts w:ascii="仿宋_GB2312" w:hAnsi="仿宋" w:eastAsia="仿宋_GB2312" w:cs="Arial"/>
                <w:color w:val="auto"/>
                <w:kern w:val="0"/>
                <w:sz w:val="24"/>
                <w:highlight w:val="none"/>
              </w:rPr>
              <w:t>B</w:t>
            </w:r>
            <w:r>
              <w:rPr>
                <w:rFonts w:hint="eastAsia" w:ascii="仿宋_GB2312" w:hAnsi="仿宋" w:eastAsia="仿宋_GB2312"/>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9</w:t>
            </w:r>
          </w:p>
        </w:tc>
        <w:tc>
          <w:tcPr>
            <w:tcW w:w="169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采购标的对应的中小企业划分标准所属行业</w:t>
            </w:r>
          </w:p>
        </w:tc>
        <w:tc>
          <w:tcPr>
            <w:tcW w:w="6247"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color w:val="auto"/>
                <w:highlight w:val="none"/>
              </w:rPr>
            </w:pPr>
            <w:r>
              <w:rPr>
                <w:rFonts w:hint="eastAsia" w:ascii="仿宋_GB2312" w:hAnsi="仿宋" w:eastAsia="仿宋_GB2312" w:cs="Arial"/>
                <w:color w:val="auto"/>
                <w:kern w:val="0"/>
                <w:sz w:val="24"/>
                <w:highlight w:val="none"/>
              </w:rPr>
              <w:t>（</w:t>
            </w:r>
            <w:r>
              <w:rPr>
                <w:rFonts w:ascii="仿宋_GB2312" w:hAnsi="仿宋" w:eastAsia="仿宋_GB2312" w:cs="Arial"/>
                <w:color w:val="auto"/>
                <w:kern w:val="0"/>
                <w:sz w:val="24"/>
                <w:highlight w:val="none"/>
              </w:rPr>
              <w:t>1</w:t>
            </w:r>
            <w:r>
              <w:rPr>
                <w:rFonts w:hint="eastAsia" w:ascii="仿宋_GB2312" w:hAnsi="仿宋" w:eastAsia="仿宋_GB2312" w:cs="Arial"/>
                <w:color w:val="auto"/>
                <w:kern w:val="0"/>
                <w:sz w:val="24"/>
                <w:highlight w:val="none"/>
              </w:rPr>
              <w:t>）标的：</w:t>
            </w:r>
            <w:r>
              <w:rPr>
                <w:rFonts w:hint="eastAsia" w:ascii="仿宋_GB2312" w:hAnsi="仿宋" w:eastAsia="仿宋_GB2312"/>
                <w:bCs/>
                <w:color w:val="auto"/>
                <w:sz w:val="24"/>
                <w:highlight w:val="none"/>
                <w:u w:val="single"/>
                <w:lang w:eastAsia="zh-CN"/>
              </w:rPr>
              <w:t>江山市卫生健康局生物安全在线数智监管系统技术服务项目</w:t>
            </w:r>
            <w:r>
              <w:rPr>
                <w:rFonts w:hint="eastAsia" w:ascii="仿宋_GB2312" w:hAnsi="仿宋" w:eastAsia="仿宋_GB2312" w:cs="Arial"/>
                <w:color w:val="auto"/>
                <w:kern w:val="0"/>
                <w:sz w:val="24"/>
                <w:highlight w:val="none"/>
              </w:rPr>
              <w:t>，属于</w:t>
            </w:r>
            <w:r>
              <w:rPr>
                <w:rFonts w:hint="eastAsia" w:ascii="仿宋_GB2312" w:hAnsi="仿宋" w:eastAsia="仿宋_GB2312" w:cs="Arial"/>
                <w:color w:val="auto"/>
                <w:kern w:val="0"/>
                <w:sz w:val="24"/>
                <w:highlight w:val="none"/>
                <w:u w:val="single"/>
              </w:rPr>
              <w:t>工业</w:t>
            </w:r>
            <w:r>
              <w:rPr>
                <w:rFonts w:hint="eastAsia" w:ascii="仿宋_GB2312" w:hAnsi="仿宋" w:eastAsia="仿宋_GB2312" w:cs="Arial"/>
                <w:color w:val="auto"/>
                <w:kern w:val="0"/>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10</w:t>
            </w:r>
          </w:p>
        </w:tc>
        <w:tc>
          <w:tcPr>
            <w:tcW w:w="169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节能产品、环境标志产品</w:t>
            </w:r>
          </w:p>
        </w:tc>
        <w:tc>
          <w:tcPr>
            <w:tcW w:w="6247"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eastAsia="仿宋"/>
                <w:color w:val="auto"/>
                <w:highlight w:val="none"/>
              </w:rPr>
            </w:pPr>
            <w:r>
              <w:rPr>
                <w:rFonts w:hint="eastAsia" w:ascii="仿宋_GB2312" w:hAnsi="仿宋" w:eastAsia="仿宋_GB2312" w:cs="Arial"/>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2177" w:hRule="atLeast"/>
          <w:tblHeader/>
        </w:trPr>
        <w:tc>
          <w:tcPr>
            <w:tcW w:w="629" w:type="dxa"/>
            <w:tcBorders>
              <w:top w:val="single" w:color="auto" w:sz="4" w:space="0"/>
              <w:left w:val="single" w:color="000000" w:sz="8" w:space="0"/>
              <w:right w:val="single" w:color="000000" w:sz="2" w:space="0"/>
            </w:tcBorders>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w:t>
            </w:r>
          </w:p>
        </w:tc>
        <w:tc>
          <w:tcPr>
            <w:tcW w:w="1691" w:type="dxa"/>
            <w:tcBorders>
              <w:top w:val="single" w:color="000000" w:sz="8" w:space="0"/>
              <w:left w:val="single" w:color="000000" w:sz="2"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中小企业信用融资</w:t>
            </w:r>
          </w:p>
        </w:tc>
        <w:tc>
          <w:tcPr>
            <w:tcW w:w="6247" w:type="dxa"/>
            <w:tcBorders>
              <w:top w:val="single" w:color="000000" w:sz="8" w:space="0"/>
              <w:left w:val="single" w:color="000000" w:sz="2" w:space="0"/>
              <w:right w:val="single" w:color="000000" w:sz="8" w:space="0"/>
            </w:tcBorders>
            <w:vAlign w:val="center"/>
          </w:tcPr>
          <w:p>
            <w:pPr>
              <w:spacing w:line="360" w:lineRule="auto"/>
              <w:rPr>
                <w:rFonts w:ascii="仿宋_GB2312" w:hAnsi="仿宋" w:eastAsia="仿宋_GB2312"/>
                <w:snapToGrid w:val="0"/>
                <w:color w:val="auto"/>
                <w:kern w:val="28"/>
                <w:sz w:val="24"/>
                <w:highlight w:val="none"/>
              </w:rPr>
            </w:pPr>
            <w:r>
              <w:rPr>
                <w:rFonts w:hint="eastAsia" w:ascii="仿宋_GB2312" w:hAnsi="仿宋" w:eastAsia="仿宋_GB2312"/>
                <w:snapToGrid w:val="0"/>
                <w:color w:val="auto"/>
                <w:kern w:val="28"/>
                <w:sz w:val="24"/>
                <w:highlight w:val="none"/>
              </w:rPr>
              <w:t>供应商中标后也可在“政采云”平台申请政采贷：操作路径：登录政采云平台 - 金融服务中心 -【融资服务】，可在热门申请中选择产品直接申请，或者在可申请项目中根据该项目进行申请。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12</w:t>
            </w:r>
          </w:p>
        </w:tc>
        <w:tc>
          <w:tcPr>
            <w:tcW w:w="1691" w:type="dxa"/>
            <w:tcBorders>
              <w:top w:val="single" w:color="000000" w:sz="8" w:space="0"/>
              <w:left w:val="single" w:color="000000" w:sz="2" w:space="0"/>
              <w:bottom w:val="single" w:color="000000" w:sz="8" w:space="0"/>
              <w:right w:val="single" w:color="000000" w:sz="8" w:space="0"/>
            </w:tcBorders>
            <w:vAlign w:val="center"/>
          </w:tcPr>
          <w:p>
            <w:pPr>
              <w:pStyle w:val="36"/>
              <w:spacing w:line="380" w:lineRule="exact"/>
              <w:rPr>
                <w:rFonts w:ascii="仿宋_GB2312" w:hAnsi="仿宋" w:eastAsia="仿宋_GB2312" w:cs="仿宋_GB2312"/>
                <w:b/>
                <w:color w:val="auto"/>
                <w:sz w:val="24"/>
                <w:highlight w:val="none"/>
              </w:rPr>
            </w:pPr>
            <w:r>
              <w:rPr>
                <w:rFonts w:hint="eastAsia" w:hAnsi="宋体" w:cs="宋体"/>
                <w:color w:val="auto"/>
                <w:sz w:val="24"/>
                <w:szCs w:val="32"/>
                <w:highlight w:val="none"/>
              </w:rPr>
              <w:t>备份文件</w:t>
            </w:r>
          </w:p>
        </w:tc>
        <w:tc>
          <w:tcPr>
            <w:tcW w:w="6247" w:type="dxa"/>
            <w:tcBorders>
              <w:top w:val="single" w:color="000000" w:sz="8" w:space="0"/>
              <w:left w:val="single" w:color="000000" w:sz="2" w:space="0"/>
              <w:bottom w:val="single" w:color="000000" w:sz="8" w:space="0"/>
              <w:right w:val="single" w:color="000000" w:sz="8" w:space="0"/>
            </w:tcBorders>
            <w:vAlign w:val="center"/>
          </w:tcPr>
          <w:p>
            <w:pPr>
              <w:ind w:firstLine="480" w:firstLineChars="200"/>
              <w:rPr>
                <w:rFonts w:ascii="仿宋_GB2312" w:hAnsi="仿宋" w:eastAsia="仿宋_GB2312"/>
                <w:snapToGrid w:val="0"/>
                <w:color w:val="auto"/>
                <w:kern w:val="28"/>
                <w:sz w:val="24"/>
                <w:highlight w:val="none"/>
              </w:rPr>
            </w:pPr>
            <w:r>
              <w:rPr>
                <w:rFonts w:hint="eastAsia" w:ascii="仿宋_GB2312" w:hAnsi="仿宋" w:eastAsia="仿宋_GB2312" w:cs="Arial"/>
                <w:color w:val="auto"/>
                <w:kern w:val="0"/>
                <w:sz w:val="24"/>
                <w:highlight w:val="none"/>
              </w:rPr>
              <w:t>为确保采购项目顺利实施，避免因政采云上电子投标文件解密失败导致投标方投标无效，投标方可在</w:t>
            </w:r>
            <w:r>
              <w:rPr>
                <w:rFonts w:hint="eastAsia" w:ascii="仿宋_GB2312" w:hAnsi="仿宋" w:eastAsia="仿宋_GB2312" w:cs="Arial"/>
                <w:color w:val="auto"/>
                <w:kern w:val="0"/>
                <w:sz w:val="24"/>
                <w:highlight w:val="none"/>
                <w:u w:val="single"/>
              </w:rPr>
              <w:t>202</w:t>
            </w:r>
            <w:r>
              <w:rPr>
                <w:rFonts w:hint="eastAsia" w:ascii="仿宋_GB2312" w:hAnsi="仿宋" w:eastAsia="仿宋_GB2312" w:cs="Arial"/>
                <w:color w:val="auto"/>
                <w:kern w:val="0"/>
                <w:sz w:val="24"/>
                <w:highlight w:val="none"/>
                <w:u w:val="single"/>
                <w:lang w:val="en-US" w:eastAsia="zh-CN"/>
              </w:rPr>
              <w:t>3</w:t>
            </w:r>
            <w:r>
              <w:rPr>
                <w:rFonts w:hint="eastAsia" w:ascii="仿宋_GB2312" w:hAnsi="仿宋" w:eastAsia="仿宋_GB2312" w:cs="Arial"/>
                <w:color w:val="auto"/>
                <w:kern w:val="0"/>
                <w:sz w:val="24"/>
                <w:highlight w:val="none"/>
                <w:u w:val="single"/>
              </w:rPr>
              <w:t xml:space="preserve">年 </w:t>
            </w:r>
            <w:r>
              <w:rPr>
                <w:rFonts w:hint="eastAsia" w:ascii="仿宋_GB2312" w:hAnsi="仿宋" w:eastAsia="仿宋_GB2312" w:cs="Arial"/>
                <w:color w:val="auto"/>
                <w:kern w:val="0"/>
                <w:sz w:val="24"/>
                <w:highlight w:val="none"/>
                <w:u w:val="single"/>
                <w:lang w:val="en-US" w:eastAsia="zh-CN"/>
              </w:rPr>
              <w:t>03</w:t>
            </w:r>
            <w:r>
              <w:rPr>
                <w:rFonts w:hint="eastAsia" w:ascii="仿宋_GB2312" w:hAnsi="仿宋" w:eastAsia="仿宋_GB2312" w:cs="Arial"/>
                <w:color w:val="auto"/>
                <w:kern w:val="0"/>
                <w:sz w:val="24"/>
                <w:highlight w:val="none"/>
                <w:u w:val="single"/>
              </w:rPr>
              <w:t xml:space="preserve"> 月 </w:t>
            </w:r>
            <w:r>
              <w:rPr>
                <w:rFonts w:hint="eastAsia" w:ascii="仿宋_GB2312" w:hAnsi="仿宋" w:eastAsia="仿宋_GB2312" w:cs="Arial"/>
                <w:color w:val="auto"/>
                <w:kern w:val="0"/>
                <w:sz w:val="24"/>
                <w:highlight w:val="none"/>
                <w:u w:val="single"/>
                <w:lang w:val="en-US" w:eastAsia="zh-CN"/>
              </w:rPr>
              <w:t>10</w:t>
            </w:r>
            <w:r>
              <w:rPr>
                <w:rFonts w:hint="eastAsia" w:ascii="仿宋_GB2312" w:hAnsi="仿宋" w:eastAsia="仿宋_GB2312" w:cs="Arial"/>
                <w:color w:val="auto"/>
                <w:kern w:val="0"/>
                <w:sz w:val="24"/>
                <w:highlight w:val="none"/>
                <w:u w:val="single"/>
              </w:rPr>
              <w:t>日9时00</w:t>
            </w:r>
            <w:r>
              <w:rPr>
                <w:rFonts w:hint="eastAsia" w:ascii="仿宋_GB2312" w:hAnsi="仿宋" w:eastAsia="仿宋_GB2312" w:cs="Arial"/>
                <w:color w:val="auto"/>
                <w:kern w:val="0"/>
                <w:sz w:val="24"/>
                <w:highlight w:val="none"/>
              </w:rPr>
              <w:t>分前将在政采云平台上最后生成的具备电子签章的备份加密投标文件（文件名后缀为备份文件四字的首字母）以电子邮件方式传送至邮箱（jshjxxjs2020@163.com），传送的备份电子投标文件需打包压缩并加密，加密密码由投标方自行保管，如政采云上电子投标文件出现解密失败情况（开标后半小时内进行解密），投标方可按照自身意愿确认是否同意提供加密密码解密传送至邮箱（jshjxxjs2020@163.com）的备份文件，并以备份文件作为替代电子投标文件，如投标方未按照规定时间及要求提供有效备份文件，同时政采云上投标文件解密失败的，将导致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13</w:t>
            </w:r>
          </w:p>
        </w:tc>
        <w:tc>
          <w:tcPr>
            <w:tcW w:w="169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特别说明</w:t>
            </w:r>
          </w:p>
        </w:tc>
        <w:tc>
          <w:tcPr>
            <w:tcW w:w="6247"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olor w:val="auto"/>
                <w:kern w:val="28"/>
                <w:sz w:val="24"/>
                <w:highlight w:val="none"/>
                <w:u w:val="single"/>
                <w:lang w:val="zh-CN"/>
              </w:rPr>
            </w:pPr>
            <w:sdt>
              <w:sdtPr>
                <w:rPr>
                  <w:rFonts w:hint="eastAsia" w:ascii="仿宋_GB2312" w:hAnsi="仿宋" w:eastAsia="仿宋_GB2312" w:cs="Arial"/>
                  <w:color w:val="auto"/>
                  <w:kern w:val="0"/>
                  <w:sz w:val="24"/>
                  <w:highlight w:val="none"/>
                </w:rPr>
                <w:id w:val="21172207"/>
              </w:sdtPr>
              <w:sdtEndPr>
                <w:rPr>
                  <w:rFonts w:hint="eastAsia" w:ascii="仿宋_GB2312" w:hAnsi="仿宋" w:eastAsia="仿宋_GB2312" w:cs="Arial"/>
                  <w:color w:val="auto"/>
                  <w:kern w:val="0"/>
                  <w:sz w:val="24"/>
                  <w:highlight w:val="none"/>
                </w:rPr>
              </w:sdtEndPr>
              <w:sdtContent>
                <w:sdt>
                  <w:sdtPr>
                    <w:rPr>
                      <w:rFonts w:hint="eastAsia" w:cs="Arial"/>
                      <w:color w:val="auto"/>
                      <w:kern w:val="0"/>
                      <w:sz w:val="24"/>
                      <w:highlight w:val="none"/>
                    </w:rPr>
                    <w:id w:val="21172208"/>
                    <w:showingPlcHdr/>
                  </w:sdtPr>
                  <w:sdtEndPr>
                    <w:rPr>
                      <w:rFonts w:hint="eastAsia" w:cs="Arial"/>
                      <w:color w:val="auto"/>
                      <w:kern w:val="0"/>
                      <w:sz w:val="24"/>
                      <w:highlight w:val="none"/>
                    </w:rPr>
                  </w:sdtEndPr>
                  <w:sdtContent>
                    <w:r>
                      <w:rPr>
                        <w:rFonts w:ascii="Wingdings" w:hAnsi="Wingdings" w:cs="Arial"/>
                        <w:color w:val="auto"/>
                        <w:kern w:val="0"/>
                        <w:sz w:val="24"/>
                        <w:highlight w:val="none"/>
                      </w:rPr>
                      <w:t></w:t>
                    </w:r>
                  </w:sdtContent>
                </w:sdt>
              </w:sdtContent>
            </w:sdt>
            <w:r>
              <w:rPr>
                <w:rFonts w:hint="eastAsia" w:ascii="仿宋_GB2312" w:hAnsi="仿宋" w:eastAsia="仿宋_GB2312" w:cs="Arial"/>
                <w:color w:val="auto"/>
                <w:kern w:val="0"/>
                <w:sz w:val="24"/>
                <w:highlight w:val="none"/>
              </w:rPr>
              <w:t>有。具体说明：</w:t>
            </w:r>
            <w:r>
              <w:rPr>
                <w:rFonts w:hint="eastAsia" w:ascii="仿宋_GB2312" w:hAnsi="仿宋" w:eastAsia="仿宋_GB2312"/>
                <w:color w:val="auto"/>
                <w:kern w:val="28"/>
                <w:sz w:val="24"/>
                <w:highlight w:val="none"/>
                <w:u w:val="single"/>
                <w:lang w:val="zh-CN"/>
              </w:rPr>
              <w:t>中标单位须提供纸质响应文件各二套给代理公司备案。</w:t>
            </w:r>
          </w:p>
          <w:p>
            <w:pPr>
              <w:pStyle w:val="4"/>
              <w:rPr>
                <w:color w:val="auto"/>
                <w:highlight w:val="none"/>
                <w:lang w:val="en-US"/>
              </w:rPr>
            </w:pPr>
            <w:bookmarkStart w:id="16" w:name="_Toc23317"/>
            <w:bookmarkStart w:id="17" w:name="_Toc373"/>
            <w:r>
              <w:rPr>
                <w:rFonts w:ascii="MS Gothic" w:hAnsi="MS Gothic" w:cs="Arial"/>
                <w:color w:val="auto"/>
                <w:kern w:val="0"/>
                <w:sz w:val="24"/>
                <w:highlight w:val="none"/>
              </w:rPr>
              <w:t>☐</w:t>
            </w:r>
            <w:r>
              <w:rPr>
                <w:rFonts w:hint="eastAsia" w:cs="Arial"/>
                <w:color w:val="auto"/>
                <w:kern w:val="0"/>
                <w:sz w:val="24"/>
                <w:highlight w:val="none"/>
              </w:rPr>
              <w:t>无。</w:t>
            </w:r>
            <w:bookmarkEnd w:id="16"/>
            <w:bookmarkEnd w:id="17"/>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14</w:t>
            </w:r>
          </w:p>
        </w:tc>
        <w:tc>
          <w:tcPr>
            <w:tcW w:w="169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宋体" w:hAnsi="宋体" w:cs="宋体"/>
                <w:b/>
                <w:color w:val="auto"/>
                <w:sz w:val="24"/>
                <w:highlight w:val="none"/>
              </w:rPr>
              <w:t>项目代理费</w:t>
            </w:r>
          </w:p>
        </w:tc>
        <w:tc>
          <w:tcPr>
            <w:tcW w:w="6247" w:type="dxa"/>
            <w:tcBorders>
              <w:top w:val="single" w:color="000000" w:sz="8" w:space="0"/>
              <w:left w:val="single" w:color="000000" w:sz="2" w:space="0"/>
              <w:bottom w:val="single" w:color="000000" w:sz="8" w:space="0"/>
              <w:right w:val="single" w:color="000000" w:sz="8" w:space="0"/>
            </w:tcBorders>
            <w:vAlign w:val="center"/>
          </w:tcPr>
          <w:p>
            <w:pPr>
              <w:tabs>
                <w:tab w:val="left" w:pos="709"/>
                <w:tab w:val="left" w:pos="4820"/>
              </w:tabs>
              <w:jc w:val="left"/>
              <w:rPr>
                <w:color w:val="auto"/>
                <w:highlight w:val="none"/>
              </w:rPr>
            </w:pPr>
            <w:r>
              <w:rPr>
                <w:rFonts w:hint="eastAsia" w:ascii="宋体" w:hAnsi="宋体"/>
                <w:color w:val="auto"/>
                <w:sz w:val="24"/>
                <w:highlight w:val="none"/>
              </w:rPr>
              <w:t>代理服务费按国家计委计价格［</w:t>
            </w:r>
            <w:r>
              <w:rPr>
                <w:rFonts w:ascii="宋体" w:hAnsi="宋体"/>
                <w:color w:val="auto"/>
                <w:sz w:val="24"/>
                <w:highlight w:val="none"/>
              </w:rPr>
              <w:t>2002</w:t>
            </w:r>
            <w:r>
              <w:rPr>
                <w:rFonts w:hint="eastAsia" w:ascii="宋体" w:hAnsi="宋体"/>
                <w:color w:val="auto"/>
                <w:sz w:val="24"/>
                <w:highlight w:val="none"/>
              </w:rPr>
              <w:t>］</w:t>
            </w:r>
            <w:r>
              <w:rPr>
                <w:rFonts w:ascii="宋体" w:hAnsi="宋体"/>
                <w:color w:val="auto"/>
                <w:sz w:val="24"/>
                <w:highlight w:val="none"/>
              </w:rPr>
              <w:t>1980</w:t>
            </w:r>
            <w:r>
              <w:rPr>
                <w:rFonts w:hint="eastAsia" w:ascii="宋体" w:hAnsi="宋体"/>
                <w:color w:val="auto"/>
                <w:sz w:val="24"/>
                <w:highlight w:val="none"/>
              </w:rPr>
              <w:t>号文件《招标代理服务费管理暂行办法》规定收费标准计取(货物类)</w:t>
            </w:r>
            <w:r>
              <w:rPr>
                <w:rFonts w:hint="eastAsia" w:ascii="宋体" w:hAnsi="宋体" w:cs="宋体"/>
                <w:color w:val="auto"/>
                <w:kern w:val="0"/>
                <w:sz w:val="24"/>
                <w:szCs w:val="27"/>
                <w:highlight w:val="none"/>
              </w:rPr>
              <w:t>，由中标单位承担，在中标单位领取中标通知书时支付给采购代理机构。</w:t>
            </w:r>
          </w:p>
          <w:p>
            <w:pPr>
              <w:pStyle w:val="4"/>
              <w:ind w:left="0" w:firstLine="0"/>
              <w:rPr>
                <w:rFonts w:ascii="MS Gothic" w:hAnsi="MS Gothic" w:cs="Arial"/>
                <w:color w:val="auto"/>
                <w:kern w:val="0"/>
                <w:sz w:val="24"/>
                <w:highlight w:val="none"/>
              </w:rPr>
            </w:pPr>
          </w:p>
        </w:tc>
      </w:tr>
    </w:tbl>
    <w:p>
      <w:pPr>
        <w:snapToGrid w:val="0"/>
        <w:spacing w:line="360" w:lineRule="auto"/>
        <w:jc w:val="center"/>
        <w:rPr>
          <w:rFonts w:ascii="仿宋" w:hAnsi="仿宋" w:eastAsia="仿宋" w:cs="仿宋_GB2312"/>
          <w:b/>
          <w:color w:val="auto"/>
          <w:sz w:val="32"/>
          <w:szCs w:val="20"/>
          <w:highlight w:val="none"/>
        </w:rPr>
      </w:pPr>
    </w:p>
    <w:p>
      <w:pPr>
        <w:pStyle w:val="15"/>
        <w:rPr>
          <w:color w:val="auto"/>
          <w:highlight w:val="none"/>
        </w:rPr>
      </w:pPr>
    </w:p>
    <w:bookmarkEnd w:id="11"/>
    <w:p>
      <w:pPr>
        <w:adjustRightInd/>
        <w:spacing w:line="360" w:lineRule="auto"/>
        <w:ind w:firstLine="3845" w:firstLineChars="1197"/>
        <w:outlineLvl w:val="0"/>
        <w:rPr>
          <w:rFonts w:ascii="仿宋_GB2312" w:hAnsi="仿宋" w:eastAsia="仿宋_GB2312" w:cs="仿宋_GB2312"/>
          <w:b/>
          <w:color w:val="auto"/>
          <w:sz w:val="32"/>
          <w:szCs w:val="20"/>
          <w:highlight w:val="none"/>
        </w:rPr>
      </w:pPr>
      <w:bookmarkStart w:id="18" w:name="_Toc14335"/>
      <w:bookmarkStart w:id="19" w:name="_Toc12767"/>
      <w:bookmarkStart w:id="20" w:name="_Toc164416483"/>
      <w:bookmarkStart w:id="21" w:name="第三部分"/>
      <w:r>
        <w:rPr>
          <w:rFonts w:hint="eastAsia" w:ascii="仿宋_GB2312" w:hAnsi="仿宋" w:eastAsia="仿宋_GB2312" w:cs="仿宋_GB2312"/>
          <w:b/>
          <w:color w:val="auto"/>
          <w:sz w:val="32"/>
          <w:szCs w:val="20"/>
          <w:highlight w:val="none"/>
        </w:rPr>
        <w:t>一、总则</w:t>
      </w:r>
      <w:bookmarkEnd w:id="18"/>
      <w:bookmarkEnd w:id="19"/>
    </w:p>
    <w:p>
      <w:pPr>
        <w:snapToGrid w:val="0"/>
        <w:spacing w:line="360" w:lineRule="auto"/>
        <w:ind w:firstLine="361" w:firstLineChars="150"/>
        <w:jc w:val="left"/>
        <w:outlineLvl w:val="1"/>
        <w:rPr>
          <w:rFonts w:ascii="仿宋_GB2312" w:hAnsi="仿宋" w:eastAsia="仿宋_GB2312"/>
          <w:b/>
          <w:color w:val="auto"/>
          <w:sz w:val="24"/>
          <w:highlight w:val="none"/>
        </w:rPr>
      </w:pPr>
      <w:bookmarkStart w:id="22" w:name="_Toc20737"/>
      <w:bookmarkStart w:id="23" w:name="_Toc14900"/>
      <w:r>
        <w:rPr>
          <w:rFonts w:ascii="仿宋_GB2312" w:hAnsi="仿宋" w:eastAsia="仿宋_GB2312"/>
          <w:b/>
          <w:color w:val="auto"/>
          <w:sz w:val="24"/>
          <w:highlight w:val="none"/>
        </w:rPr>
        <w:t xml:space="preserve">1. </w:t>
      </w:r>
      <w:r>
        <w:rPr>
          <w:rFonts w:hint="eastAsia" w:ascii="仿宋_GB2312" w:hAnsi="仿宋" w:eastAsia="仿宋_GB2312"/>
          <w:b/>
          <w:color w:val="auto"/>
          <w:sz w:val="24"/>
          <w:highlight w:val="none"/>
        </w:rPr>
        <w:t>适用范围</w:t>
      </w:r>
      <w:bookmarkEnd w:id="22"/>
      <w:bookmarkEnd w:id="23"/>
    </w:p>
    <w:p>
      <w:pPr>
        <w:snapToGrid w:val="0"/>
        <w:spacing w:line="360" w:lineRule="auto"/>
        <w:ind w:firstLine="480" w:firstLineChars="200"/>
        <w:jc w:val="left"/>
        <w:rPr>
          <w:rFonts w:ascii="仿宋_GB2312" w:hAnsi="仿宋" w:eastAsia="仿宋_GB2312"/>
          <w:color w:val="auto"/>
          <w:sz w:val="24"/>
          <w:highlight w:val="none"/>
        </w:rPr>
      </w:pPr>
      <w:r>
        <w:rPr>
          <w:rFonts w:hint="eastAsia" w:ascii="仿宋_GB2312" w:hAnsi="仿宋" w:eastAsia="仿宋_GB2312"/>
          <w:color w:val="auto"/>
          <w:sz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ascii="仿宋_GB2312" w:hAnsi="仿宋" w:eastAsia="仿宋_GB2312" w:cs="仿宋_GB2312"/>
          <w:b/>
          <w:color w:val="auto"/>
          <w:sz w:val="24"/>
          <w:highlight w:val="none"/>
        </w:rPr>
      </w:pPr>
      <w:bookmarkStart w:id="24" w:name="_Toc31942"/>
      <w:bookmarkStart w:id="25" w:name="_Toc15875"/>
      <w:r>
        <w:rPr>
          <w:rFonts w:ascii="仿宋_GB2312" w:hAnsi="仿宋" w:eastAsia="仿宋_GB2312" w:cs="仿宋_GB2312"/>
          <w:b/>
          <w:color w:val="auto"/>
          <w:sz w:val="24"/>
          <w:highlight w:val="none"/>
        </w:rPr>
        <w:t>2.定义</w:t>
      </w:r>
      <w:bookmarkEnd w:id="24"/>
      <w:bookmarkEnd w:id="25"/>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2.1 </w:t>
      </w:r>
      <w:r>
        <w:rPr>
          <w:rFonts w:hint="eastAsia" w:ascii="仿宋_GB2312" w:hAnsi="仿宋" w:eastAsia="仿宋_GB2312"/>
          <w:color w:val="auto"/>
          <w:sz w:val="24"/>
          <w:highlight w:val="none"/>
        </w:rPr>
        <w:t>“采购人”系指招标公告中载明的本项目的采购人。</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2.2 </w:t>
      </w:r>
      <w:r>
        <w:rPr>
          <w:rFonts w:hint="eastAsia" w:ascii="仿宋_GB2312" w:hAnsi="仿宋" w:eastAsia="仿宋_GB2312"/>
          <w:color w:val="auto"/>
          <w:sz w:val="24"/>
          <w:highlight w:val="none"/>
        </w:rPr>
        <w:t>“采购机构”系指招标公告中载明的本项目的采购机构。</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2.3 </w:t>
      </w:r>
      <w:r>
        <w:rPr>
          <w:rFonts w:hint="eastAsia" w:ascii="仿宋_GB2312" w:hAnsi="仿宋" w:eastAsia="仿宋_GB2312"/>
          <w:color w:val="auto"/>
          <w:sz w:val="24"/>
          <w:highlight w:val="none"/>
        </w:rPr>
        <w:t>“投标人”系指是指响应招标、参加投标竞争的法人、其他组织或者自然人。</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2.4 </w:t>
      </w:r>
      <w:r>
        <w:rPr>
          <w:rFonts w:hint="eastAsia" w:ascii="仿宋_GB2312" w:hAnsi="仿宋" w:eastAsia="仿宋_GB2312"/>
          <w:color w:val="auto"/>
          <w:sz w:val="24"/>
          <w:highlight w:val="none"/>
        </w:rPr>
        <w:t>“负责人”系指法人企业的法定负责人，或其他组织为法律、行政法规规定代表单位行使职权的主要负责人，或自然人本人。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color w:val="auto"/>
          <w:sz w:val="24"/>
          <w:highlight w:val="none"/>
        </w:rPr>
      </w:pPr>
      <w:r>
        <w:rPr>
          <w:rFonts w:ascii="仿宋_GB2312" w:hAnsi="仿宋" w:eastAsia="仿宋_GB2312"/>
          <w:color w:val="auto"/>
          <w:sz w:val="24"/>
          <w:highlight w:val="none"/>
        </w:rPr>
        <w:t>2.5“电子签名”系指数据电文中以电子形式所含、所附用于识别签名人身份并表明签名人认可其中内容的数据；</w:t>
      </w:r>
      <w:r>
        <w:rPr>
          <w:rFonts w:hint="eastAsia" w:ascii="仿宋_GB2312" w:hAnsi="仿宋_GB2312" w:eastAsia="仿宋_GB2312" w:cs="仿宋_GB2312"/>
          <w:color w:val="auto"/>
          <w:sz w:val="24"/>
          <w:highlight w:val="none"/>
        </w:rPr>
        <w:t>“公章”系指单位法定名称章。因特殊原因需要使用冠以法定名称的业务专用章的，投标时须提供《业务专用章使用说明函》（附件4）</w:t>
      </w:r>
      <w:r>
        <w:rPr>
          <w:rFonts w:hint="eastAsia" w:ascii="宋体" w:hAnsi="宋体" w:cs="宋体"/>
          <w:color w:val="auto"/>
          <w:sz w:val="24"/>
          <w:highlight w:val="none"/>
        </w:rPr>
        <w:t>。</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2.6“电子交易平台”是指本项目政府采购活动所依托的政府采购云平台（https://www.zcygov.cn/）。</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2.7 </w:t>
      </w:r>
      <w:r>
        <w:rPr>
          <w:rFonts w:hint="eastAsia" w:ascii="仿宋_GB2312" w:hAnsi="仿宋" w:eastAsia="仿宋_GB2312"/>
          <w:color w:val="auto"/>
          <w:sz w:val="24"/>
          <w:highlight w:val="none"/>
        </w:rPr>
        <w:t>“▲”系指实质性要求条款，“</w:t>
      </w:r>
      <w:sdt>
        <w:sdtPr>
          <w:rPr>
            <w:rFonts w:hint="eastAsia" w:ascii="仿宋_GB2312" w:hAnsi="仿宋" w:eastAsia="仿宋_GB2312" w:cs="Arial"/>
            <w:color w:val="auto"/>
            <w:kern w:val="0"/>
            <w:sz w:val="24"/>
            <w:highlight w:val="none"/>
          </w:rPr>
          <w:id w:val="512970236"/>
        </w:sdtPr>
        <w:sdtEndPr>
          <w:rPr>
            <w:rFonts w:hint="eastAsia" w:ascii="仿宋_GB2312" w:hAnsi="仿宋" w:eastAsia="仿宋_GB2312" w:cs="Arial"/>
            <w:color w:val="auto"/>
            <w:kern w:val="0"/>
            <w:sz w:val="24"/>
            <w:highlight w:val="none"/>
          </w:rPr>
        </w:sdtEndPr>
        <w:sdtContent>
          <w:r>
            <w:rPr>
              <w:rFonts w:ascii="Wingdings" w:hAnsi="Wingdings" w:eastAsia="仿宋_GB2312" w:cs="Arial"/>
              <w:color w:val="auto"/>
              <w:kern w:val="0"/>
              <w:sz w:val="24"/>
              <w:highlight w:val="none"/>
            </w:rPr>
            <w:t></w:t>
          </w:r>
        </w:sdtContent>
      </w:sdt>
      <w:r>
        <w:rPr>
          <w:rFonts w:hint="eastAsia" w:ascii="仿宋_GB2312" w:hAnsi="仿宋" w:eastAsia="仿宋_GB2312"/>
          <w:color w:val="auto"/>
          <w:sz w:val="24"/>
          <w:highlight w:val="none"/>
        </w:rPr>
        <w:t>”系指适用本项目的要求，“</w:t>
      </w:r>
      <w:sdt>
        <w:sdtPr>
          <w:rPr>
            <w:rFonts w:hint="eastAsia" w:ascii="仿宋_GB2312" w:hAnsi="仿宋" w:eastAsia="仿宋_GB2312" w:cs="Arial"/>
            <w:color w:val="auto"/>
            <w:kern w:val="0"/>
            <w:sz w:val="24"/>
            <w:highlight w:val="none"/>
          </w:rPr>
          <w:id w:val="404888855"/>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r>
        <w:rPr>
          <w:rFonts w:hint="eastAsia" w:ascii="仿宋_GB2312" w:hAnsi="仿宋" w:eastAsia="仿宋_GB2312"/>
          <w:color w:val="auto"/>
          <w:sz w:val="24"/>
          <w:highlight w:val="none"/>
        </w:rPr>
        <w:t>”系指不适用本项目的要求。</w:t>
      </w:r>
    </w:p>
    <w:p>
      <w:pPr>
        <w:spacing w:line="360" w:lineRule="auto"/>
        <w:ind w:firstLine="241" w:firstLineChars="100"/>
        <w:rPr>
          <w:rFonts w:ascii="仿宋_GB2312" w:hAnsi="仿宋" w:eastAsia="仿宋_GB2312"/>
          <w:b/>
          <w:color w:val="auto"/>
          <w:sz w:val="24"/>
          <w:highlight w:val="none"/>
        </w:rPr>
      </w:pPr>
      <w:r>
        <w:rPr>
          <w:rFonts w:ascii="仿宋_GB2312" w:hAnsi="仿宋" w:eastAsia="仿宋_GB2312"/>
          <w:b/>
          <w:color w:val="auto"/>
          <w:sz w:val="24"/>
          <w:highlight w:val="none"/>
        </w:rPr>
        <w:t>3.</w:t>
      </w:r>
      <w:r>
        <w:rPr>
          <w:rFonts w:hint="eastAsia" w:ascii="仿宋_GB2312" w:hAnsi="仿宋" w:eastAsia="仿宋_GB2312"/>
          <w:b/>
          <w:color w:val="auto"/>
          <w:sz w:val="24"/>
          <w:highlight w:val="none"/>
        </w:rPr>
        <w:t>采购项目需要落实的政府采购政策</w:t>
      </w:r>
    </w:p>
    <w:p>
      <w:pPr>
        <w:spacing w:line="360" w:lineRule="auto"/>
        <w:ind w:firstLine="240" w:firstLineChars="100"/>
        <w:rPr>
          <w:rFonts w:ascii="仿宋_GB2312" w:hAnsi="仿宋" w:eastAsia="仿宋_GB2312"/>
          <w:color w:val="auto"/>
          <w:sz w:val="24"/>
          <w:highlight w:val="none"/>
        </w:rPr>
      </w:pPr>
      <w:r>
        <w:rPr>
          <w:rFonts w:ascii="仿宋_GB2312" w:hAnsi="仿宋" w:eastAsia="仿宋_GB2312"/>
          <w:color w:val="auto"/>
          <w:sz w:val="24"/>
          <w:highlight w:val="none"/>
        </w:rPr>
        <w:t xml:space="preserve">3.1 </w:t>
      </w:r>
      <w:r>
        <w:rPr>
          <w:rFonts w:hint="eastAsia" w:ascii="仿宋_GB2312" w:hAnsi="仿宋" w:eastAsia="仿宋_GB2312"/>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360" w:lineRule="auto"/>
        <w:ind w:firstLine="240" w:firstLineChars="100"/>
        <w:rPr>
          <w:rFonts w:ascii="仿宋_GB2312" w:hAnsi="仿宋" w:eastAsia="仿宋_GB2312"/>
          <w:color w:val="auto"/>
          <w:sz w:val="24"/>
          <w:highlight w:val="none"/>
        </w:rPr>
      </w:pPr>
      <w:r>
        <w:rPr>
          <w:rFonts w:ascii="仿宋_GB2312" w:hAnsi="仿宋" w:eastAsia="仿宋_GB2312"/>
          <w:color w:val="auto"/>
          <w:sz w:val="24"/>
          <w:highlight w:val="none"/>
        </w:rPr>
        <w:t xml:space="preserve">3.2 </w:t>
      </w:r>
      <w:r>
        <w:rPr>
          <w:rFonts w:hint="eastAsia" w:ascii="仿宋_GB2312" w:hAnsi="仿宋" w:eastAsia="仿宋_GB2312"/>
          <w:color w:val="auto"/>
          <w:sz w:val="24"/>
          <w:highlight w:val="none"/>
        </w:rPr>
        <w:t>支持绿色发展</w:t>
      </w:r>
    </w:p>
    <w:p>
      <w:pPr>
        <w:spacing w:line="360" w:lineRule="auto"/>
        <w:ind w:firstLine="480" w:firstLineChars="200"/>
        <w:rPr>
          <w:rFonts w:ascii="仿宋_GB2312" w:hAnsi="仿宋" w:eastAsia="仿宋_GB2312"/>
          <w:b/>
          <w:color w:val="auto"/>
          <w:sz w:val="24"/>
          <w:highlight w:val="none"/>
        </w:rPr>
      </w:pPr>
      <w:r>
        <w:rPr>
          <w:rFonts w:ascii="仿宋_GB2312" w:hAnsi="仿宋" w:eastAsia="仿宋_GB2312"/>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_GB2312" w:hAnsi="仿宋" w:eastAsia="仿宋_GB2312"/>
          <w:b/>
          <w:color w:val="auto"/>
          <w:sz w:val="24"/>
          <w:highlight w:val="none"/>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color w:val="auto"/>
          <w:sz w:val="24"/>
          <w:highlight w:val="none"/>
        </w:rPr>
      </w:pPr>
      <w:r>
        <w:rPr>
          <w:rFonts w:ascii="仿宋_GB2312" w:hAnsi="仿宋" w:eastAsia="仿宋_GB2312"/>
          <w:color w:val="auto"/>
          <w:sz w:val="24"/>
          <w:highlight w:val="none"/>
        </w:rPr>
        <w:t xml:space="preserve">3.2.2 </w:t>
      </w:r>
      <w:r>
        <w:rPr>
          <w:rFonts w:hint="eastAsia" w:ascii="仿宋_GB2312" w:hAnsi="仿宋" w:eastAsia="仿宋_GB2312"/>
          <w:color w:val="auto"/>
          <w:sz w:val="24"/>
          <w:highlight w:val="none"/>
        </w:rPr>
        <w:t>修缮、装修类项目采购建材的，采购人应将绿色建筑和绿色建材性能、指标等作为实质性条件纳入招标文件和合同。</w:t>
      </w:r>
    </w:p>
    <w:p>
      <w:pPr>
        <w:spacing w:line="360" w:lineRule="auto"/>
        <w:ind w:firstLine="480" w:firstLineChars="200"/>
        <w:rPr>
          <w:color w:val="auto"/>
          <w:sz w:val="24"/>
          <w:highlight w:val="none"/>
        </w:rPr>
      </w:pPr>
      <w:r>
        <w:rPr>
          <w:rFonts w:ascii="仿宋_GB2312" w:hAnsi="仿宋" w:eastAsia="仿宋_GB2312"/>
          <w:color w:val="auto"/>
          <w:sz w:val="24"/>
          <w:highlight w:val="none"/>
        </w:rPr>
        <w:t>3.2.3</w:t>
      </w:r>
      <w:r>
        <w:rPr>
          <w:rFonts w:hint="eastAsia" w:ascii="仿宋_GB2312" w:hAnsi="仿宋" w:eastAsia="仿宋_GB2312"/>
          <w:color w:val="auto"/>
          <w:sz w:val="24"/>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240" w:firstLineChars="100"/>
        <w:rPr>
          <w:rFonts w:ascii="仿宋_GB2312" w:hAnsi="仿宋" w:eastAsia="仿宋_GB2312"/>
          <w:color w:val="auto"/>
          <w:sz w:val="24"/>
          <w:highlight w:val="none"/>
        </w:rPr>
      </w:pPr>
      <w:r>
        <w:rPr>
          <w:rFonts w:ascii="仿宋_GB2312" w:hAnsi="仿宋" w:eastAsia="仿宋_GB2312"/>
          <w:color w:val="auto"/>
          <w:sz w:val="24"/>
          <w:highlight w:val="none"/>
        </w:rPr>
        <w:t>3.3支持中小企业发展</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符合中小企业划分标准的个体工商户，在政府采购活动中视同中小企业。</w:t>
      </w:r>
    </w:p>
    <w:p>
      <w:pPr>
        <w:widowControl/>
        <w:spacing w:line="360" w:lineRule="auto"/>
        <w:ind w:firstLine="480" w:firstLineChars="200"/>
        <w:jc w:val="left"/>
        <w:rPr>
          <w:rFonts w:ascii="仿宋_GB2312" w:hAnsi="宋体" w:eastAsia="仿宋_GB2312" w:cs="宋体"/>
          <w:color w:val="auto"/>
          <w:kern w:val="0"/>
          <w:sz w:val="24"/>
          <w:highlight w:val="none"/>
        </w:rPr>
      </w:pPr>
      <w:r>
        <w:rPr>
          <w:rFonts w:ascii="仿宋_GB2312" w:eastAsia="仿宋_GB2312"/>
          <w:bCs/>
          <w:color w:val="auto"/>
          <w:sz w:val="24"/>
          <w:highlight w:val="none"/>
        </w:rPr>
        <w:t>3.3.2</w:t>
      </w:r>
      <w:r>
        <w:rPr>
          <w:rFonts w:hint="eastAsia" w:ascii="仿宋_GB2312" w:hAnsi="宋体" w:eastAsia="仿宋_GB2312" w:cs="宋体"/>
          <w:color w:val="auto"/>
          <w:kern w:val="0"/>
          <w:sz w:val="24"/>
          <w:highlight w:val="none"/>
        </w:rPr>
        <w:t>在政府采购活动中，投标人提供的货物、工程或者服务符合下列情形的，享受中小企业扶持政策：</w:t>
      </w:r>
    </w:p>
    <w:p>
      <w:pPr>
        <w:widowControl/>
        <w:spacing w:line="360" w:lineRule="auto"/>
        <w:ind w:firstLine="480" w:firstLineChars="200"/>
        <w:jc w:val="left"/>
        <w:rPr>
          <w:rFonts w:ascii="仿宋_GB2312" w:hAnsi="宋体" w:eastAsia="仿宋_GB2312" w:cs="宋体"/>
          <w:color w:val="auto"/>
          <w:kern w:val="0"/>
          <w:sz w:val="24"/>
          <w:highlight w:val="none"/>
        </w:rPr>
      </w:pPr>
      <w:r>
        <w:rPr>
          <w:rFonts w:ascii="仿宋_GB2312" w:hAnsi="宋体" w:eastAsia="仿宋_GB2312" w:cs="宋体"/>
          <w:color w:val="auto"/>
          <w:kern w:val="0"/>
          <w:sz w:val="24"/>
          <w:highlight w:val="none"/>
        </w:rPr>
        <w:t>3.3.2.1在货物采购项目中，货物由中小企业制造，即货物由中小企业生产且使用该中小企业商号或者注册商标；</w:t>
      </w:r>
    </w:p>
    <w:p>
      <w:pPr>
        <w:widowControl/>
        <w:spacing w:line="360" w:lineRule="auto"/>
        <w:ind w:firstLine="480" w:firstLineChars="200"/>
        <w:jc w:val="left"/>
        <w:rPr>
          <w:rFonts w:ascii="仿宋_GB2312" w:hAnsi="宋体" w:eastAsia="仿宋_GB2312" w:cs="宋体"/>
          <w:color w:val="auto"/>
          <w:kern w:val="0"/>
          <w:sz w:val="24"/>
          <w:highlight w:val="none"/>
        </w:rPr>
      </w:pPr>
      <w:r>
        <w:rPr>
          <w:rFonts w:ascii="仿宋_GB2312" w:hAnsi="宋体" w:eastAsia="仿宋_GB2312" w:cs="宋体"/>
          <w:color w:val="auto"/>
          <w:kern w:val="0"/>
          <w:sz w:val="24"/>
          <w:highlight w:val="none"/>
        </w:rPr>
        <w:t>3.3.2.2在工程采购项目中，工程由中小企业承建，即工程施工单位为中小企业；</w:t>
      </w:r>
    </w:p>
    <w:p>
      <w:pPr>
        <w:widowControl/>
        <w:spacing w:line="360" w:lineRule="auto"/>
        <w:ind w:firstLine="480" w:firstLineChars="200"/>
        <w:jc w:val="left"/>
        <w:rPr>
          <w:rFonts w:ascii="仿宋_GB2312" w:hAnsi="宋体" w:eastAsia="仿宋_GB2312" w:cs="宋体"/>
          <w:color w:val="auto"/>
          <w:kern w:val="0"/>
          <w:sz w:val="24"/>
          <w:highlight w:val="none"/>
        </w:rPr>
      </w:pPr>
      <w:r>
        <w:rPr>
          <w:rFonts w:ascii="仿宋_GB2312" w:hAnsi="宋体" w:eastAsia="仿宋_GB2312" w:cs="宋体"/>
          <w:color w:val="auto"/>
          <w:kern w:val="0"/>
          <w:sz w:val="24"/>
          <w:highlight w:val="none"/>
        </w:rPr>
        <w:t>3.3.2.3在服务采购项目中，服务由中小企业承接，即提供服务的人员为中小企业依照《中华人民共和国劳动合同法》订立劳动合同的从业人员。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以联合体形式参加政府采购活动，联合体各方均为中小企业的，联合体视同中小企业。其中，联合体各方均为小微企业的，联合体视同小微企业，联合体家各方数不得超过2家。</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3.3.3</w:t>
      </w:r>
      <w:r>
        <w:rPr>
          <w:rFonts w:hint="eastAsia" w:ascii="仿宋_GB2312" w:hAnsi="仿宋" w:eastAsia="仿宋_GB2312"/>
          <w:color w:val="auto"/>
          <w:sz w:val="24"/>
          <w:highlight w:val="none"/>
        </w:rPr>
        <w:t>对于未预留份额专门面向中小企业的政府采购货物或服务项目，以及预留份额政府采购货物或服务项目中的非预留部分标项，对小型和微型企业的投标报价给予</w:t>
      </w:r>
      <w:r>
        <w:rPr>
          <w:rFonts w:hint="eastAsia" w:ascii="仿宋_GB2312" w:hAnsi="仿宋" w:eastAsia="仿宋_GB2312"/>
          <w:color w:val="auto"/>
          <w:sz w:val="24"/>
          <w:highlight w:val="none"/>
          <w:lang w:val="en-US" w:eastAsia="zh-CN"/>
        </w:rPr>
        <w:t>2</w:t>
      </w:r>
      <w:r>
        <w:rPr>
          <w:rFonts w:ascii="仿宋_GB2312" w:hAnsi="仿宋" w:eastAsia="仿宋_GB2312"/>
          <w:color w:val="auto"/>
          <w:sz w:val="24"/>
          <w:highlight w:val="none"/>
        </w:rPr>
        <w:t>0%的扣除，用扣除后的价格参与评审。接受大中型企业与小微企业组成联合体或者允许大中型企业向一家或者多家小微企业分包的</w:t>
      </w:r>
      <w:r>
        <w:rPr>
          <w:rFonts w:hint="eastAsia" w:ascii="仿宋_GB2312" w:hAnsi="仿宋" w:eastAsia="仿宋_GB2312"/>
          <w:color w:val="auto"/>
          <w:sz w:val="24"/>
          <w:highlight w:val="none"/>
        </w:rPr>
        <w:t>政府</w:t>
      </w:r>
      <w:r>
        <w:rPr>
          <w:rFonts w:ascii="仿宋_GB2312" w:hAnsi="仿宋" w:eastAsia="仿宋_GB2312"/>
          <w:color w:val="auto"/>
          <w:sz w:val="24"/>
          <w:highlight w:val="none"/>
        </w:rPr>
        <w:t>采购</w:t>
      </w:r>
      <w:r>
        <w:rPr>
          <w:rFonts w:hint="eastAsia" w:ascii="仿宋_GB2312" w:hAnsi="仿宋" w:eastAsia="仿宋_GB2312"/>
          <w:color w:val="auto"/>
          <w:sz w:val="24"/>
          <w:highlight w:val="none"/>
        </w:rPr>
        <w:t>货物或服务</w:t>
      </w:r>
      <w:r>
        <w:rPr>
          <w:rFonts w:ascii="仿宋_GB2312" w:hAnsi="仿宋" w:eastAsia="仿宋_GB2312"/>
          <w:color w:val="auto"/>
          <w:sz w:val="24"/>
          <w:highlight w:val="none"/>
        </w:rPr>
        <w:t>项目，对于联合协议或者分包意向协议约定小微企业的合同份额占到合同总金额30%以上的，对联合体或者大中型企业的报价给予</w:t>
      </w:r>
      <w:r>
        <w:rPr>
          <w:rFonts w:hint="eastAsia" w:ascii="仿宋_GB2312" w:hAnsi="仿宋" w:eastAsia="仿宋_GB2312"/>
          <w:color w:val="auto"/>
          <w:sz w:val="24"/>
          <w:highlight w:val="none"/>
          <w:lang w:val="en-US" w:eastAsia="zh-CN"/>
        </w:rPr>
        <w:t>6</w:t>
      </w:r>
      <w:r>
        <w:rPr>
          <w:rFonts w:ascii="仿宋_GB2312" w:hAnsi="仿宋" w:eastAsia="仿宋_GB2312"/>
          <w:color w:val="auto"/>
          <w:sz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3.3.6</w:t>
      </w:r>
      <w:r>
        <w:rPr>
          <w:rFonts w:hint="eastAsia" w:ascii="仿宋_GB2312" w:hAnsi="仿宋" w:eastAsia="仿宋_GB2312"/>
          <w:color w:val="auto"/>
          <w:sz w:val="24"/>
          <w:highlight w:val="none"/>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3.3.7中小企业享受扶持政策获得政府采购合同的，小微企业不得将合同分包给大中型企业，中型企业不得将合同分包给大型企业</w:t>
      </w:r>
      <w:r>
        <w:rPr>
          <w:rFonts w:hint="eastAsia" w:ascii="仿宋_GB2312" w:hAnsi="仿宋" w:eastAsia="仿宋_GB2312"/>
          <w:color w:val="auto"/>
          <w:sz w:val="24"/>
          <w:highlight w:val="none"/>
        </w:rPr>
        <w:t>。</w:t>
      </w:r>
    </w:p>
    <w:p>
      <w:pPr>
        <w:spacing w:line="360" w:lineRule="auto"/>
        <w:ind w:firstLine="240" w:firstLineChars="100"/>
        <w:rPr>
          <w:rFonts w:ascii="仿宋_GB2312" w:hAnsi="仿宋" w:eastAsia="仿宋_GB2312"/>
          <w:color w:val="auto"/>
          <w:sz w:val="24"/>
          <w:highlight w:val="none"/>
        </w:rPr>
      </w:pPr>
      <w:r>
        <w:rPr>
          <w:rFonts w:ascii="仿宋_GB2312" w:hAnsi="仿宋" w:eastAsia="仿宋_GB2312"/>
          <w:color w:val="auto"/>
          <w:sz w:val="24"/>
          <w:highlight w:val="none"/>
        </w:rPr>
        <w:t>3.4</w:t>
      </w:r>
      <w:r>
        <w:rPr>
          <w:rFonts w:hint="eastAsia" w:ascii="仿宋_GB2312" w:eastAsia="仿宋_GB2312"/>
          <w:bCs/>
          <w:color w:val="auto"/>
          <w:sz w:val="24"/>
          <w:highlight w:val="none"/>
        </w:rPr>
        <w:t>支持创新发展</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3.4.1 采购人优先采购被认定</w:t>
      </w:r>
      <w:r>
        <w:rPr>
          <w:rFonts w:hint="eastAsia" w:ascii="仿宋_GB2312" w:hAnsi="仿宋" w:eastAsia="仿宋_GB2312"/>
          <w:color w:val="auto"/>
          <w:sz w:val="24"/>
          <w:highlight w:val="none"/>
        </w:rPr>
        <w:t>为首台套产品和“制造精品”的自主创新产品。</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3.4.2首台套产品</w:t>
      </w:r>
      <w:r>
        <w:rPr>
          <w:rFonts w:hint="eastAsia" w:ascii="仿宋_GB2312" w:hAnsi="仿宋" w:eastAsia="仿宋_GB2312"/>
          <w:color w:val="auto"/>
          <w:sz w:val="24"/>
          <w:highlight w:val="none"/>
        </w:rPr>
        <w:t>被纳入《首台套产品推广应用指导目录》之日起</w:t>
      </w:r>
      <w:r>
        <w:rPr>
          <w:rFonts w:ascii="仿宋_GB2312" w:hAnsi="仿宋" w:eastAsia="仿宋_GB2312"/>
          <w:color w:val="auto"/>
          <w:sz w:val="24"/>
          <w:highlight w:val="none"/>
        </w:rPr>
        <w:t>2年内，以及产品核心技术高于国内领先水平，并具有明晰自主知识产权的“制造精品”产品，</w:t>
      </w:r>
      <w:r>
        <w:rPr>
          <w:rFonts w:hint="eastAsia" w:ascii="仿宋_GB2312" w:hAnsi="仿宋" w:eastAsia="仿宋_GB2312"/>
          <w:color w:val="auto"/>
          <w:sz w:val="24"/>
          <w:highlight w:val="none"/>
        </w:rPr>
        <w:t>自认定之日起</w:t>
      </w:r>
      <w:r>
        <w:rPr>
          <w:rFonts w:ascii="仿宋_GB2312" w:hAnsi="仿宋" w:eastAsia="仿宋_GB2312"/>
          <w:color w:val="auto"/>
          <w:sz w:val="24"/>
          <w:highlight w:val="none"/>
        </w:rPr>
        <w:t>2年内视同已具备相应销售业绩，参加政府采购活动</w:t>
      </w:r>
      <w:r>
        <w:rPr>
          <w:rFonts w:hint="eastAsia" w:ascii="仿宋_GB2312" w:hAnsi="仿宋" w:eastAsia="仿宋_GB2312"/>
          <w:color w:val="auto"/>
          <w:sz w:val="24"/>
          <w:highlight w:val="none"/>
        </w:rPr>
        <w:t>时业绩分值为满分。</w:t>
      </w:r>
    </w:p>
    <w:p>
      <w:pPr>
        <w:spacing w:line="360" w:lineRule="auto"/>
        <w:rPr>
          <w:rFonts w:ascii="仿宋_GB2312" w:hAnsi="仿宋" w:eastAsia="仿宋_GB2312"/>
          <w:b/>
          <w:color w:val="auto"/>
          <w:sz w:val="24"/>
          <w:highlight w:val="none"/>
        </w:rPr>
      </w:pPr>
      <w:r>
        <w:rPr>
          <w:rFonts w:ascii="仿宋_GB2312" w:hAnsi="仿宋" w:eastAsia="仿宋_GB2312"/>
          <w:color w:val="auto"/>
          <w:sz w:val="24"/>
          <w:highlight w:val="none"/>
        </w:rPr>
        <w:cr/>
      </w:r>
      <w:r>
        <w:rPr>
          <w:rFonts w:ascii="仿宋_GB2312" w:hAnsi="仿宋" w:eastAsia="仿宋_GB2312"/>
          <w:b/>
          <w:color w:val="auto"/>
          <w:sz w:val="24"/>
          <w:highlight w:val="none"/>
        </w:rPr>
        <w:t xml:space="preserve">4. </w:t>
      </w:r>
      <w:r>
        <w:rPr>
          <w:rFonts w:hint="eastAsia" w:ascii="仿宋_GB2312" w:hAnsi="仿宋" w:eastAsia="仿宋_GB2312"/>
          <w:b/>
          <w:color w:val="auto"/>
          <w:sz w:val="24"/>
          <w:highlight w:val="none"/>
        </w:rPr>
        <w:t>询问、质疑、投诉</w:t>
      </w:r>
    </w:p>
    <w:p>
      <w:pPr>
        <w:autoSpaceDE w:val="0"/>
        <w:autoSpaceDN w:val="0"/>
        <w:spacing w:line="360" w:lineRule="auto"/>
        <w:ind w:firstLine="240" w:firstLineChars="100"/>
        <w:jc w:val="left"/>
        <w:rPr>
          <w:rFonts w:ascii="仿宋_GB2312" w:hAnsi="仿宋" w:eastAsia="仿宋_GB2312" w:cs="微软雅黑"/>
          <w:color w:val="auto"/>
          <w:kern w:val="0"/>
          <w:sz w:val="24"/>
          <w:highlight w:val="none"/>
          <w:lang w:val="zh-CN"/>
        </w:rPr>
      </w:pPr>
      <w:r>
        <w:rPr>
          <w:rFonts w:ascii="仿宋_GB2312" w:hAnsi="仿宋" w:eastAsia="仿宋_GB2312" w:cs="微软雅黑"/>
          <w:color w:val="auto"/>
          <w:kern w:val="0"/>
          <w:sz w:val="24"/>
          <w:highlight w:val="none"/>
          <w:lang w:val="zh-CN"/>
        </w:rPr>
        <w:t>4.1供应商询问</w:t>
      </w:r>
    </w:p>
    <w:p>
      <w:pPr>
        <w:autoSpaceDE w:val="0"/>
        <w:autoSpaceDN w:val="0"/>
        <w:spacing w:line="360" w:lineRule="auto"/>
        <w:ind w:firstLine="480" w:firstLineChars="200"/>
        <w:jc w:val="left"/>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供应商对政府采购活动事项有疑问的，可以提出询问，采购人或者采购代理机构应当在</w:t>
      </w:r>
      <w:r>
        <w:rPr>
          <w:rFonts w:ascii="仿宋_GB2312" w:hAnsi="仿宋" w:eastAsia="仿宋_GB2312" w:cs="微软雅黑"/>
          <w:color w:val="auto"/>
          <w:kern w:val="0"/>
          <w:sz w:val="24"/>
          <w:highlight w:val="none"/>
          <w:lang w:val="zh-CN"/>
        </w:rPr>
        <w:t>3个工作日内对供应</w:t>
      </w:r>
      <w:r>
        <w:rPr>
          <w:rFonts w:hint="eastAsia" w:ascii="仿宋_GB2312" w:hAnsi="仿宋" w:eastAsia="仿宋_GB2312" w:cs="微软雅黑"/>
          <w:color w:val="auto"/>
          <w:kern w:val="0"/>
          <w:sz w:val="24"/>
          <w:highlight w:val="none"/>
          <w:lang w:val="zh-CN"/>
        </w:rPr>
        <w:t>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仿宋_GB2312" w:hAnsi="仿宋" w:eastAsia="仿宋_GB2312" w:cs="微软雅黑"/>
          <w:color w:val="auto"/>
          <w:kern w:val="0"/>
          <w:sz w:val="24"/>
          <w:highlight w:val="none"/>
          <w:lang w:val="zh-CN"/>
        </w:rPr>
      </w:pPr>
      <w:r>
        <w:rPr>
          <w:rFonts w:ascii="仿宋_GB2312" w:hAnsi="仿宋" w:eastAsia="仿宋_GB2312" w:cs="微软雅黑"/>
          <w:color w:val="auto"/>
          <w:kern w:val="0"/>
          <w:sz w:val="24"/>
          <w:highlight w:val="none"/>
          <w:lang w:val="zh-CN"/>
        </w:rPr>
        <w:t>4.2供应商质疑</w:t>
      </w:r>
    </w:p>
    <w:p>
      <w:pPr>
        <w:pStyle w:val="36"/>
        <w:spacing w:line="360" w:lineRule="auto"/>
        <w:ind w:firstLine="480" w:firstLineChars="200"/>
        <w:rPr>
          <w:rFonts w:ascii="仿宋_GB2312" w:hAnsi="仿宋" w:eastAsia="仿宋_GB2312"/>
          <w:color w:val="auto"/>
          <w:sz w:val="24"/>
          <w:highlight w:val="none"/>
        </w:rPr>
      </w:pPr>
      <w:r>
        <w:rPr>
          <w:rFonts w:ascii="仿宋_GB2312" w:hAnsi="仿宋" w:eastAsia="仿宋_GB2312" w:cs="微软雅黑"/>
          <w:color w:val="auto"/>
          <w:kern w:val="0"/>
          <w:sz w:val="24"/>
          <w:highlight w:val="none"/>
          <w:lang w:val="zh-CN"/>
        </w:rPr>
        <w:t>4.2</w:t>
      </w:r>
      <w:r>
        <w:rPr>
          <w:rFonts w:ascii="仿宋_GB2312" w:hAnsi="仿宋" w:eastAsia="仿宋_GB2312"/>
          <w:color w:val="auto"/>
          <w:sz w:val="24"/>
          <w:highlight w:val="none"/>
        </w:rPr>
        <w:t>.1提出质疑的供应商应当是参与所质疑项目采购活动的供应商。潜在供应商已依法获取其可质疑的招标文件的，可以对该文件提出质疑。</w:t>
      </w:r>
    </w:p>
    <w:p>
      <w:pPr>
        <w:pStyle w:val="36"/>
        <w:spacing w:line="360" w:lineRule="auto"/>
        <w:ind w:firstLine="480" w:firstLineChars="200"/>
        <w:rPr>
          <w:rFonts w:ascii="仿宋_GB2312" w:hAnsi="仿宋" w:eastAsia="仿宋_GB2312"/>
          <w:color w:val="auto"/>
          <w:sz w:val="24"/>
          <w:highlight w:val="none"/>
        </w:rPr>
      </w:pPr>
      <w:r>
        <w:rPr>
          <w:rFonts w:ascii="仿宋_GB2312" w:hAnsi="仿宋" w:eastAsia="仿宋_GB2312" w:cs="微软雅黑"/>
          <w:color w:val="auto"/>
          <w:kern w:val="0"/>
          <w:sz w:val="24"/>
          <w:highlight w:val="none"/>
          <w:lang w:val="zh-CN"/>
        </w:rPr>
        <w:t>4.2</w:t>
      </w:r>
      <w:r>
        <w:rPr>
          <w:rFonts w:ascii="仿宋_GB2312" w:hAnsi="仿宋" w:eastAsia="仿宋_GB2312"/>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21"/>
        <w:spacing w:line="360" w:lineRule="auto"/>
        <w:ind w:firstLine="480" w:firstLineChars="200"/>
        <w:rPr>
          <w:rFonts w:ascii="仿宋_GB2312" w:hAnsi="仿宋" w:eastAsia="仿宋_GB2312"/>
          <w:snapToGrid/>
          <w:color w:val="auto"/>
          <w:kern w:val="2"/>
          <w:sz w:val="24"/>
          <w:highlight w:val="none"/>
        </w:rPr>
      </w:pPr>
      <w:r>
        <w:rPr>
          <w:rFonts w:ascii="仿宋_GB2312" w:hAnsi="仿宋" w:eastAsia="仿宋_GB2312"/>
          <w:snapToGrid/>
          <w:color w:val="auto"/>
          <w:kern w:val="2"/>
          <w:sz w:val="24"/>
          <w:highlight w:val="none"/>
        </w:rPr>
        <w:t>4.2.2.1对招标文件提出质疑的，质疑期限为供应商获得招标文件之日或者招标文件公告期限届满之日起计算。</w:t>
      </w:r>
    </w:p>
    <w:p>
      <w:pPr>
        <w:pStyle w:val="36"/>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4.2.2.2对采购过程提出质疑的，质疑期限为各采购程序环节结束之日起计算。对同一采购程序环节的质疑，供应商须一次性提出。</w:t>
      </w:r>
    </w:p>
    <w:p>
      <w:pPr>
        <w:pStyle w:val="36"/>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4.2.2.3对采购结果提出质疑的，质疑期限自采购结果公告期限届满之日起计算。</w:t>
      </w:r>
    </w:p>
    <w:p>
      <w:pPr>
        <w:pStyle w:val="36"/>
        <w:spacing w:line="360" w:lineRule="auto"/>
        <w:ind w:firstLine="480" w:firstLineChars="200"/>
        <w:rPr>
          <w:rFonts w:ascii="仿宋_GB2312" w:hAnsi="仿宋" w:eastAsia="仿宋_GB2312" w:cs="微软雅黑"/>
          <w:color w:val="auto"/>
          <w:kern w:val="0"/>
          <w:sz w:val="24"/>
          <w:highlight w:val="none"/>
          <w:lang w:val="zh-CN"/>
        </w:rPr>
      </w:pPr>
      <w:r>
        <w:rPr>
          <w:rFonts w:ascii="仿宋_GB2312" w:hAnsi="仿宋" w:eastAsia="仿宋_GB2312" w:cs="微软雅黑"/>
          <w:color w:val="auto"/>
          <w:kern w:val="0"/>
          <w:sz w:val="24"/>
          <w:highlight w:val="none"/>
          <w:lang w:val="zh-CN"/>
        </w:rPr>
        <w:t>4.2.3</w:t>
      </w:r>
      <w:r>
        <w:rPr>
          <w:rFonts w:hint="eastAsia" w:ascii="仿宋_GB2312" w:hAnsi="仿宋" w:eastAsia="仿宋_GB2312"/>
          <w:color w:val="auto"/>
          <w:sz w:val="24"/>
          <w:highlight w:val="none"/>
        </w:rPr>
        <w:t>供应商提出质疑应当提交质疑函和必要的证明材料。质疑函应当包括下列内容：</w:t>
      </w:r>
    </w:p>
    <w:p>
      <w:pPr>
        <w:pStyle w:val="36"/>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4.2.3.1</w:t>
      </w:r>
      <w:r>
        <w:rPr>
          <w:rFonts w:hint="eastAsia" w:ascii="仿宋_GB2312" w:hAnsi="仿宋" w:eastAsia="仿宋_GB2312" w:cs="微软雅黑"/>
          <w:color w:val="auto"/>
          <w:kern w:val="0"/>
          <w:sz w:val="24"/>
          <w:highlight w:val="none"/>
          <w:lang w:val="zh-CN"/>
        </w:rPr>
        <w:t>供应商的姓名或者名称、地址、邮编、联系人及联系电话；</w:t>
      </w:r>
    </w:p>
    <w:p>
      <w:pPr>
        <w:pStyle w:val="36"/>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4.2.3.2</w:t>
      </w:r>
      <w:r>
        <w:rPr>
          <w:rFonts w:hint="eastAsia" w:ascii="仿宋_GB2312" w:hAnsi="仿宋" w:eastAsia="仿宋_GB2312" w:cs="微软雅黑"/>
          <w:color w:val="auto"/>
          <w:kern w:val="0"/>
          <w:sz w:val="24"/>
          <w:highlight w:val="none"/>
          <w:lang w:val="zh-CN"/>
        </w:rPr>
        <w:t>质疑项目的名称、编号；</w:t>
      </w:r>
    </w:p>
    <w:p>
      <w:pPr>
        <w:pStyle w:val="36"/>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4.2.3.3</w:t>
      </w:r>
      <w:r>
        <w:rPr>
          <w:rFonts w:hint="eastAsia" w:ascii="仿宋_GB2312" w:hAnsi="仿宋" w:eastAsia="仿宋_GB2312" w:cs="微软雅黑"/>
          <w:color w:val="auto"/>
          <w:kern w:val="0"/>
          <w:sz w:val="24"/>
          <w:highlight w:val="none"/>
          <w:lang w:val="zh-CN"/>
        </w:rPr>
        <w:t>具体、明确的质疑事项和与质疑事项相关的请求；</w:t>
      </w:r>
    </w:p>
    <w:p>
      <w:pPr>
        <w:pStyle w:val="36"/>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4.2.3.4</w:t>
      </w:r>
      <w:r>
        <w:rPr>
          <w:rFonts w:hint="eastAsia" w:ascii="仿宋_GB2312" w:hAnsi="仿宋" w:eastAsia="仿宋_GB2312" w:cs="微软雅黑"/>
          <w:color w:val="auto"/>
          <w:kern w:val="0"/>
          <w:sz w:val="24"/>
          <w:highlight w:val="none"/>
          <w:lang w:val="zh-CN"/>
        </w:rPr>
        <w:t>事实依据；</w:t>
      </w:r>
    </w:p>
    <w:p>
      <w:pPr>
        <w:pStyle w:val="36"/>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4.2.3.5</w:t>
      </w:r>
      <w:r>
        <w:rPr>
          <w:rFonts w:hint="eastAsia" w:ascii="仿宋_GB2312" w:hAnsi="仿宋" w:eastAsia="仿宋_GB2312" w:cs="微软雅黑"/>
          <w:color w:val="auto"/>
          <w:kern w:val="0"/>
          <w:sz w:val="24"/>
          <w:highlight w:val="none"/>
          <w:lang w:val="zh-CN"/>
        </w:rPr>
        <w:t>必要的法律依据；</w:t>
      </w:r>
    </w:p>
    <w:p>
      <w:pPr>
        <w:pStyle w:val="36"/>
        <w:spacing w:line="360" w:lineRule="auto"/>
        <w:ind w:firstLine="960" w:firstLineChars="400"/>
        <w:rPr>
          <w:rFonts w:ascii="仿宋_GB2312" w:hAnsi="仿宋" w:eastAsia="仿宋_GB2312" w:cs="微软雅黑"/>
          <w:color w:val="auto"/>
          <w:kern w:val="0"/>
          <w:sz w:val="24"/>
          <w:highlight w:val="none"/>
          <w:lang w:val="zh-CN"/>
        </w:rPr>
      </w:pPr>
      <w:r>
        <w:rPr>
          <w:rFonts w:ascii="仿宋_GB2312" w:hAnsi="仿宋" w:eastAsia="仿宋_GB2312" w:cs="微软雅黑"/>
          <w:color w:val="auto"/>
          <w:kern w:val="0"/>
          <w:sz w:val="24"/>
          <w:highlight w:val="none"/>
          <w:lang w:val="zh-CN"/>
        </w:rPr>
        <w:t>4.2.3.6</w:t>
      </w:r>
      <w:r>
        <w:rPr>
          <w:rFonts w:hint="eastAsia" w:ascii="仿宋_GB2312" w:hAnsi="仿宋" w:eastAsia="仿宋_GB2312" w:cs="微软雅黑"/>
          <w:color w:val="auto"/>
          <w:kern w:val="0"/>
          <w:sz w:val="24"/>
          <w:highlight w:val="none"/>
          <w:lang w:val="zh-CN"/>
        </w:rPr>
        <w:t>提出质疑的日期。</w:t>
      </w:r>
    </w:p>
    <w:p>
      <w:pPr>
        <w:pStyle w:val="888"/>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olor w:val="auto"/>
          <w:highlight w:val="none"/>
        </w:rPr>
        <w:t>供应商提交的质疑函需一式三份。供应商为自然人的，应当由本人签字；供应商为法人或者其他组织的，应当由法定代表人、主要负责人，或者其授权代表签字</w:t>
      </w:r>
      <w:r>
        <w:rPr>
          <w:rFonts w:hint="eastAsia" w:ascii="仿宋_GB2312" w:hAnsi="仿宋" w:eastAsia="仿宋_GB2312"/>
          <w:b/>
          <w:color w:val="auto"/>
          <w:highlight w:val="none"/>
        </w:rPr>
        <w:t>（授权代表提供投标前三个月的在本公司的社保证明）</w:t>
      </w:r>
      <w:r>
        <w:rPr>
          <w:rFonts w:hint="eastAsia" w:ascii="仿宋_GB2312" w:hAnsi="仿宋" w:eastAsia="仿宋_GB2312"/>
          <w:color w:val="auto"/>
          <w:highlight w:val="none"/>
        </w:rPr>
        <w:t>或者盖章，并加盖公章。</w:t>
      </w:r>
    </w:p>
    <w:p>
      <w:pPr>
        <w:pStyle w:val="888"/>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olor w:val="auto"/>
          <w:highlight w:val="none"/>
        </w:rPr>
        <w:t>质疑函范本及制作说明详见附件</w:t>
      </w:r>
      <w:r>
        <w:rPr>
          <w:rFonts w:ascii="仿宋_GB2312" w:hAnsi="仿宋" w:eastAsia="仿宋_GB2312"/>
          <w:color w:val="auto"/>
          <w:highlight w:val="none"/>
        </w:rPr>
        <w:t>2。</w:t>
      </w:r>
    </w:p>
    <w:p>
      <w:pPr>
        <w:pStyle w:val="888"/>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s="微软雅黑"/>
          <w:color w:val="auto"/>
          <w:highlight w:val="none"/>
          <w:lang w:val="zh-CN"/>
        </w:rPr>
        <w:t>4.2</w:t>
      </w:r>
      <w:r>
        <w:rPr>
          <w:rFonts w:ascii="仿宋_GB2312" w:hAnsi="仿宋" w:eastAsia="仿宋_GB2312"/>
          <w:color w:val="auto"/>
          <w:highlight w:val="none"/>
        </w:rPr>
        <w:t>.4</w:t>
      </w:r>
      <w:r>
        <w:rPr>
          <w:rFonts w:hint="eastAsia" w:ascii="仿宋_GB2312" w:hAnsi="仿宋" w:eastAsia="仿宋_GB2312"/>
          <w:color w:val="auto"/>
          <w:highlight w:val="none"/>
        </w:rPr>
        <w:t>采购人或者采购机构应当在收到供应商的书面质疑后七个工作日内作出答复，并以书面形式通知质疑供应商和其他与质疑处理结果有利害关系的政府采购当事人，但答复的内容不得涉及商业秘密。采购人或者采购代理机构在质疑回复后</w:t>
      </w:r>
      <w:r>
        <w:rPr>
          <w:rFonts w:ascii="仿宋_GB2312" w:hAnsi="仿宋" w:eastAsia="仿宋_GB2312"/>
          <w:color w:val="auto"/>
          <w:highlight w:val="none"/>
        </w:rPr>
        <w:t>5个工作日内，在浙江政府采购网的“其他公告”栏目公开质疑答复，答复内容应当完整。质疑</w:t>
      </w:r>
      <w:r>
        <w:rPr>
          <w:rFonts w:hint="eastAsia" w:ascii="仿宋_GB2312" w:hAnsi="仿宋" w:eastAsia="仿宋_GB2312"/>
          <w:color w:val="auto"/>
          <w:highlight w:val="none"/>
        </w:rPr>
        <w:t>函作为附件上传。</w:t>
      </w:r>
    </w:p>
    <w:p>
      <w:pPr>
        <w:pStyle w:val="888"/>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s="微软雅黑"/>
          <w:color w:val="auto"/>
          <w:highlight w:val="none"/>
          <w:lang w:val="zh-CN"/>
        </w:rPr>
        <w:t>4.2</w:t>
      </w:r>
      <w:r>
        <w:rPr>
          <w:rFonts w:ascii="仿宋_GB2312" w:hAnsi="仿宋" w:eastAsia="仿宋_GB2312"/>
          <w:color w:val="auto"/>
          <w:highlight w:val="none"/>
        </w:rPr>
        <w:t>.5询问或者质疑事项可能影响采购结果的，采购人应当暂停签订合同，已经签订合同的，应当中止履行合同。</w:t>
      </w:r>
    </w:p>
    <w:p>
      <w:pPr>
        <w:pStyle w:val="888"/>
        <w:shd w:val="clear" w:color="auto" w:fill="FFFFFF"/>
        <w:snapToGrid w:val="0"/>
        <w:spacing w:after="240" w:afterAutospacing="0" w:line="360" w:lineRule="auto"/>
        <w:ind w:firstLine="480" w:firstLineChars="200"/>
        <w:contextualSpacing/>
        <w:rPr>
          <w:rFonts w:ascii="仿宋_GB2312" w:hAnsi="仿宋" w:eastAsia="仿宋_GB2312" w:cs="微软雅黑"/>
          <w:color w:val="auto"/>
          <w:highlight w:val="none"/>
          <w:lang w:val="zh-CN"/>
        </w:rPr>
      </w:pPr>
      <w:r>
        <w:rPr>
          <w:rFonts w:ascii="仿宋_GB2312" w:hAnsi="仿宋" w:eastAsia="仿宋_GB2312" w:cs="微软雅黑"/>
          <w:color w:val="auto"/>
          <w:highlight w:val="none"/>
          <w:lang w:val="zh-CN"/>
        </w:rPr>
        <w:t>4.3供应商投诉</w:t>
      </w:r>
    </w:p>
    <w:p>
      <w:pPr>
        <w:pStyle w:val="888"/>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olor w:val="auto"/>
          <w:highlight w:val="none"/>
        </w:rPr>
        <w:t>4.3.1质疑供应商对采购人、采购</w:t>
      </w:r>
      <w:r>
        <w:rPr>
          <w:rFonts w:hint="eastAsia" w:ascii="仿宋_GB2312" w:hAnsi="仿宋" w:eastAsia="仿宋_GB2312"/>
          <w:color w:val="auto"/>
          <w:highlight w:val="none"/>
        </w:rPr>
        <w:t>代理</w:t>
      </w:r>
      <w:r>
        <w:rPr>
          <w:rFonts w:ascii="仿宋_GB2312" w:hAnsi="仿宋" w:eastAsia="仿宋_GB2312"/>
          <w:color w:val="auto"/>
          <w:highlight w:val="none"/>
        </w:rPr>
        <w:t>机构的答复不满意或者采购人、采购</w:t>
      </w:r>
      <w:r>
        <w:rPr>
          <w:rFonts w:hint="eastAsia" w:ascii="仿宋_GB2312" w:hAnsi="仿宋" w:eastAsia="仿宋_GB2312"/>
          <w:color w:val="auto"/>
          <w:highlight w:val="none"/>
        </w:rPr>
        <w:t>代理</w:t>
      </w:r>
      <w:r>
        <w:rPr>
          <w:rFonts w:ascii="仿宋_GB2312" w:hAnsi="仿宋" w:eastAsia="仿宋_GB2312"/>
          <w:color w:val="auto"/>
          <w:highlight w:val="none"/>
        </w:rPr>
        <w:t>机构未在规定的时间内</w:t>
      </w:r>
      <w:r>
        <w:rPr>
          <w:rFonts w:hint="eastAsia" w:ascii="仿宋_GB2312" w:hAnsi="仿宋" w:eastAsia="仿宋_GB2312"/>
          <w:color w:val="auto"/>
          <w:highlight w:val="none"/>
        </w:rPr>
        <w:t>作出答复的，可以在答复期满后十五个工作日内向同级政府采购监督管理部门提出投诉。</w:t>
      </w:r>
    </w:p>
    <w:p>
      <w:pPr>
        <w:pStyle w:val="888"/>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olor w:val="auto"/>
          <w:highlight w:val="none"/>
        </w:rPr>
        <w:t>4.3.</w:t>
      </w:r>
      <w:r>
        <w:rPr>
          <w:rFonts w:ascii="仿宋_GB2312" w:hAnsi="仿宋" w:eastAsia="仿宋_GB2312" w:cs="微软雅黑"/>
          <w:color w:val="auto"/>
          <w:highlight w:val="none"/>
          <w:lang w:val="zh-CN"/>
        </w:rPr>
        <w:t>2</w:t>
      </w:r>
      <w:r>
        <w:rPr>
          <w:rFonts w:hint="eastAsia" w:ascii="仿宋_GB2312" w:hAnsi="仿宋" w:eastAsia="仿宋_GB2312"/>
          <w:color w:val="auto"/>
          <w:highlight w:val="none"/>
        </w:rPr>
        <w:t>供应商投诉的事项不得超出已质疑事项的范围，基于质疑答复内容提出的投诉事项除外。</w:t>
      </w:r>
    </w:p>
    <w:p>
      <w:pPr>
        <w:pStyle w:val="888"/>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olor w:val="auto"/>
          <w:highlight w:val="none"/>
        </w:rPr>
        <w:t>4.3.3供应</w:t>
      </w:r>
      <w:r>
        <w:rPr>
          <w:rFonts w:hint="eastAsia" w:ascii="仿宋_GB2312" w:hAnsi="仿宋" w:eastAsia="仿宋_GB2312"/>
          <w:color w:val="auto"/>
          <w:highlight w:val="none"/>
        </w:rPr>
        <w:t>商投诉应当有明确的请求和必要的证明材料。</w:t>
      </w:r>
    </w:p>
    <w:p>
      <w:pPr>
        <w:pStyle w:val="888"/>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olor w:val="auto"/>
          <w:highlight w:val="none"/>
        </w:rPr>
        <w:t xml:space="preserve">4.3.5 </w:t>
      </w:r>
      <w:r>
        <w:rPr>
          <w:rFonts w:hint="eastAsia" w:ascii="仿宋_GB2312" w:hAnsi="仿宋" w:eastAsia="仿宋_GB2312"/>
          <w:color w:val="auto"/>
          <w:highlight w:val="none"/>
        </w:rPr>
        <w:t>以联合体形式参加政府采购活动的，其投诉应当由组成联合体的所有供应商共同提出。</w:t>
      </w:r>
    </w:p>
    <w:p>
      <w:pPr>
        <w:pStyle w:val="888"/>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olor w:val="auto"/>
          <w:highlight w:val="none"/>
        </w:rPr>
        <w:t>投诉书范本及制作说明详见附件</w:t>
      </w:r>
      <w:r>
        <w:rPr>
          <w:rFonts w:ascii="仿宋_GB2312" w:hAnsi="仿宋" w:eastAsia="仿宋_GB2312"/>
          <w:color w:val="auto"/>
          <w:highlight w:val="none"/>
        </w:rPr>
        <w:t>3。</w:t>
      </w:r>
    </w:p>
    <w:p>
      <w:pPr>
        <w:pStyle w:val="131"/>
        <w:snapToGrid w:val="0"/>
        <w:spacing w:before="0"/>
        <w:ind w:firstLine="360"/>
        <w:rPr>
          <w:rFonts w:ascii="仿宋_GB2312" w:hAnsi="仿宋" w:eastAsia="仿宋_GB2312" w:cs="仿宋_GB2312"/>
          <w:color w:val="auto"/>
          <w:sz w:val="18"/>
          <w:szCs w:val="18"/>
          <w:highlight w:val="none"/>
        </w:rPr>
      </w:pPr>
    </w:p>
    <w:p>
      <w:pPr>
        <w:adjustRightInd/>
        <w:spacing w:line="360" w:lineRule="auto"/>
        <w:jc w:val="center"/>
        <w:outlineLvl w:val="0"/>
        <w:rPr>
          <w:rFonts w:ascii="仿宋_GB2312" w:hAnsi="仿宋" w:eastAsia="仿宋_GB2312" w:cs="仿宋_GB2312"/>
          <w:b/>
          <w:color w:val="auto"/>
          <w:sz w:val="32"/>
          <w:szCs w:val="20"/>
          <w:highlight w:val="none"/>
        </w:rPr>
      </w:pPr>
      <w:bookmarkStart w:id="26" w:name="_Toc23883"/>
      <w:bookmarkStart w:id="27" w:name="_Toc17686"/>
      <w:r>
        <w:rPr>
          <w:rFonts w:ascii="仿宋_GB2312" w:hAnsi="仿宋" w:eastAsia="仿宋_GB2312" w:cs="仿宋_GB2312"/>
          <w:b/>
          <w:color w:val="auto"/>
          <w:sz w:val="32"/>
          <w:szCs w:val="20"/>
          <w:highlight w:val="none"/>
        </w:rPr>
        <w:t>二、招标文件的构成、澄清、修改</w:t>
      </w:r>
      <w:bookmarkEnd w:id="26"/>
      <w:bookmarkEnd w:id="27"/>
    </w:p>
    <w:p>
      <w:pPr>
        <w:pStyle w:val="36"/>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5．招标文件的构成</w:t>
      </w:r>
    </w:p>
    <w:p>
      <w:pPr>
        <w:pStyle w:val="36"/>
        <w:spacing w:line="360" w:lineRule="auto"/>
        <w:ind w:firstLine="480" w:firstLineChars="2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 xml:space="preserve">5.1 </w:t>
      </w:r>
      <w:r>
        <w:rPr>
          <w:rFonts w:hint="eastAsia" w:ascii="仿宋_GB2312" w:hAnsi="仿宋" w:eastAsia="仿宋_GB2312" w:cs="仿宋_GB2312"/>
          <w:color w:val="auto"/>
          <w:sz w:val="24"/>
          <w:szCs w:val="24"/>
          <w:highlight w:val="none"/>
        </w:rPr>
        <w:t>招标文件包括下列文件及附件：</w:t>
      </w:r>
    </w:p>
    <w:p>
      <w:pPr>
        <w:pStyle w:val="36"/>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5.1.1招标公告；</w:t>
      </w:r>
    </w:p>
    <w:p>
      <w:pPr>
        <w:pStyle w:val="36"/>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5.1.2投标人须知；</w:t>
      </w:r>
    </w:p>
    <w:p>
      <w:pPr>
        <w:pStyle w:val="36"/>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5.1.3采购需求；</w:t>
      </w:r>
    </w:p>
    <w:p>
      <w:pPr>
        <w:pStyle w:val="36"/>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5.1.4评标</w:t>
      </w:r>
      <w:r>
        <w:rPr>
          <w:rFonts w:hint="eastAsia" w:ascii="仿宋_GB2312" w:hAnsi="仿宋" w:eastAsia="仿宋_GB2312" w:cs="仿宋_GB2312"/>
          <w:color w:val="auto"/>
          <w:sz w:val="24"/>
          <w:szCs w:val="24"/>
          <w:highlight w:val="none"/>
        </w:rPr>
        <w:t>办</w:t>
      </w:r>
      <w:r>
        <w:rPr>
          <w:rFonts w:ascii="仿宋_GB2312" w:hAnsi="仿宋" w:eastAsia="仿宋_GB2312" w:cs="仿宋_GB2312"/>
          <w:color w:val="auto"/>
          <w:sz w:val="24"/>
          <w:szCs w:val="24"/>
          <w:highlight w:val="none"/>
        </w:rPr>
        <w:t>法；</w:t>
      </w:r>
    </w:p>
    <w:p>
      <w:pPr>
        <w:pStyle w:val="36"/>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5.1.5</w:t>
      </w:r>
      <w:r>
        <w:rPr>
          <w:rFonts w:hint="eastAsia" w:ascii="仿宋_GB2312" w:hAnsi="仿宋" w:eastAsia="仿宋_GB2312" w:cs="仿宋_GB2312"/>
          <w:color w:val="auto"/>
          <w:sz w:val="24"/>
          <w:szCs w:val="24"/>
          <w:highlight w:val="none"/>
        </w:rPr>
        <w:t>拟签订的合同文本；</w:t>
      </w:r>
    </w:p>
    <w:p>
      <w:pPr>
        <w:pStyle w:val="36"/>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highlight w:val="none"/>
        </w:rPr>
        <w:t>5.1.6</w:t>
      </w:r>
      <w:r>
        <w:rPr>
          <w:rFonts w:hint="eastAsia" w:ascii="仿宋_GB2312" w:hAnsi="仿宋" w:eastAsia="仿宋_GB2312" w:cs="仿宋_GB2312"/>
          <w:color w:val="auto"/>
          <w:sz w:val="24"/>
          <w:szCs w:val="24"/>
          <w:highlight w:val="none"/>
        </w:rPr>
        <w:t>应提交的有关格式范例。</w:t>
      </w:r>
    </w:p>
    <w:p>
      <w:pPr>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olor w:val="auto"/>
          <w:sz w:val="24"/>
          <w:highlight w:val="none"/>
        </w:rPr>
        <w:t>5.2与本项目有关的</w:t>
      </w:r>
      <w:r>
        <w:rPr>
          <w:rFonts w:hint="eastAsia" w:ascii="仿宋_GB2312" w:hAnsi="仿宋" w:eastAsia="仿宋_GB2312"/>
          <w:bCs/>
          <w:color w:val="auto"/>
          <w:sz w:val="24"/>
          <w:highlight w:val="none"/>
        </w:rPr>
        <w:t>澄清或者修改的内容为招标文件的组成部分</w:t>
      </w:r>
      <w:r>
        <w:rPr>
          <w:rFonts w:hint="eastAsia" w:ascii="仿宋_GB2312" w:hAnsi="仿宋" w:eastAsia="仿宋_GB2312" w:cs="仿宋_GB2312"/>
          <w:color w:val="auto"/>
          <w:sz w:val="24"/>
          <w:highlight w:val="none"/>
        </w:rPr>
        <w:t>。</w:t>
      </w:r>
    </w:p>
    <w:p>
      <w:pPr>
        <w:pStyle w:val="36"/>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 xml:space="preserve">6. </w:t>
      </w:r>
      <w:r>
        <w:rPr>
          <w:rFonts w:hint="eastAsia" w:ascii="仿宋_GB2312" w:hAnsi="仿宋" w:eastAsia="仿宋_GB2312" w:cs="仿宋_GB2312"/>
          <w:b/>
          <w:color w:val="auto"/>
          <w:sz w:val="24"/>
          <w:szCs w:val="24"/>
          <w:highlight w:val="none"/>
        </w:rPr>
        <w:t>招标文件的澄清、修改</w:t>
      </w:r>
    </w:p>
    <w:p>
      <w:pPr>
        <w:pStyle w:val="131"/>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6.1已获取招标文件的潜在投标人，若有问题需要澄清，应于投标截止时间前，以书面形式向采购机构提出。</w:t>
      </w:r>
    </w:p>
    <w:p>
      <w:pPr>
        <w:pStyle w:val="131"/>
        <w:snapToGrid w:val="0"/>
        <w:spacing w:before="0"/>
        <w:ind w:firstLine="480"/>
        <w:rPr>
          <w:rFonts w:ascii="仿宋_GB2312" w:hAnsi="仿宋" w:eastAsia="仿宋_GB2312"/>
          <w:color w:val="auto"/>
          <w:highlight w:val="none"/>
        </w:rPr>
      </w:pPr>
      <w:r>
        <w:rPr>
          <w:rFonts w:ascii="仿宋_GB2312" w:hAnsi="仿宋" w:eastAsia="仿宋_GB2312"/>
          <w:color w:val="auto"/>
          <w:highlight w:val="none"/>
        </w:rPr>
        <w:t xml:space="preserve">6.2 </w:t>
      </w:r>
      <w:r>
        <w:rPr>
          <w:rFonts w:hint="eastAsia" w:ascii="仿宋_GB2312" w:hAnsi="仿宋" w:eastAsia="仿宋_GB2312"/>
          <w:color w:val="auto"/>
          <w:highlight w:val="none"/>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16"/>
        <w:rPr>
          <w:rFonts w:ascii="仿宋_GB2312" w:hAnsi="仿宋" w:eastAsia="仿宋_GB2312" w:cs="仿宋_GB2312"/>
          <w:color w:val="auto"/>
          <w:sz w:val="18"/>
          <w:szCs w:val="18"/>
          <w:highlight w:val="none"/>
          <w:lang w:val="en-US"/>
        </w:rPr>
      </w:pPr>
    </w:p>
    <w:p>
      <w:pPr>
        <w:adjustRightInd/>
        <w:spacing w:line="360" w:lineRule="auto"/>
        <w:jc w:val="center"/>
        <w:outlineLvl w:val="0"/>
        <w:rPr>
          <w:rFonts w:ascii="仿宋_GB2312" w:hAnsi="仿宋" w:eastAsia="仿宋_GB2312" w:cs="仿宋_GB2312"/>
          <w:b/>
          <w:color w:val="auto"/>
          <w:sz w:val="30"/>
          <w:szCs w:val="20"/>
          <w:highlight w:val="none"/>
        </w:rPr>
      </w:pPr>
      <w:bookmarkStart w:id="28" w:name="_Toc8965"/>
      <w:bookmarkStart w:id="29" w:name="_Toc21055"/>
      <w:r>
        <w:rPr>
          <w:rFonts w:hint="eastAsia" w:ascii="仿宋_GB2312" w:hAnsi="仿宋" w:eastAsia="仿宋_GB2312" w:cs="仿宋_GB2312"/>
          <w:b/>
          <w:color w:val="auto"/>
          <w:sz w:val="30"/>
          <w:szCs w:val="20"/>
          <w:highlight w:val="none"/>
        </w:rPr>
        <w:t>三、投标</w:t>
      </w:r>
      <w:bookmarkEnd w:id="28"/>
      <w:bookmarkEnd w:id="29"/>
    </w:p>
    <w:p>
      <w:pPr>
        <w:pStyle w:val="36"/>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 xml:space="preserve">7. </w:t>
      </w:r>
      <w:r>
        <w:rPr>
          <w:rFonts w:hint="eastAsia" w:ascii="仿宋_GB2312" w:hAnsi="仿宋" w:eastAsia="仿宋_GB2312" w:cs="仿宋_GB2312"/>
          <w:b/>
          <w:color w:val="auto"/>
          <w:sz w:val="24"/>
          <w:szCs w:val="24"/>
          <w:highlight w:val="none"/>
        </w:rPr>
        <w:t>招标文件的获取</w:t>
      </w:r>
    </w:p>
    <w:p>
      <w:pPr>
        <w:spacing w:line="360" w:lineRule="auto"/>
        <w:ind w:firstLine="480" w:firstLineChars="200"/>
        <w:rPr>
          <w:rFonts w:ascii="仿宋_GB2312" w:hAnsi="仿宋" w:eastAsia="仿宋_GB2312" w:cs="仿宋_GB2312"/>
          <w:snapToGrid w:val="0"/>
          <w:color w:val="auto"/>
          <w:kern w:val="28"/>
          <w:sz w:val="24"/>
          <w:highlight w:val="none"/>
        </w:rPr>
      </w:pPr>
      <w:r>
        <w:rPr>
          <w:rFonts w:hint="eastAsia" w:ascii="仿宋_GB2312" w:hAnsi="仿宋" w:eastAsia="仿宋_GB2312" w:cs="仿宋_GB2312"/>
          <w:snapToGrid w:val="0"/>
          <w:color w:val="auto"/>
          <w:kern w:val="28"/>
          <w:sz w:val="24"/>
          <w:highlight w:val="none"/>
        </w:rPr>
        <w:t>详见招标公告中获取招标文件的时间期限、地点、方式及招标文件售价。</w:t>
      </w:r>
    </w:p>
    <w:p>
      <w:pPr>
        <w:pStyle w:val="36"/>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8.开标前答疑会或现场考察</w:t>
      </w:r>
    </w:p>
    <w:p>
      <w:pPr>
        <w:pStyle w:val="36"/>
        <w:spacing w:line="360" w:lineRule="auto"/>
        <w:ind w:firstLine="480" w:firstLineChars="200"/>
        <w:rPr>
          <w:rFonts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采购人组织潜在投标人现场考察或者召开开标前答疑会的，潜在投标人按第二部分投标人须知前附表的规定参加现场考察或者开标前答疑会。</w:t>
      </w:r>
    </w:p>
    <w:p>
      <w:pPr>
        <w:pStyle w:val="36"/>
        <w:spacing w:line="360" w:lineRule="auto"/>
        <w:rPr>
          <w:rFonts w:ascii="仿宋_GB2312" w:hAnsi="仿宋" w:eastAsia="仿宋_GB2312" w:cs="仿宋_GB2312"/>
          <w:b/>
          <w:color w:val="auto"/>
          <w:szCs w:val="24"/>
          <w:highlight w:val="none"/>
        </w:rPr>
      </w:pPr>
      <w:r>
        <w:rPr>
          <w:rFonts w:ascii="仿宋_GB2312" w:hAnsi="仿宋" w:eastAsia="仿宋_GB2312"/>
          <w:b/>
          <w:color w:val="auto"/>
          <w:kern w:val="28"/>
          <w:sz w:val="24"/>
          <w:szCs w:val="24"/>
          <w:highlight w:val="none"/>
        </w:rPr>
        <w:t>9.投标保证金</w:t>
      </w:r>
    </w:p>
    <w:p>
      <w:pPr>
        <w:pStyle w:val="21"/>
        <w:spacing w:line="360" w:lineRule="auto"/>
        <w:ind w:firstLine="470" w:firstLineChars="196"/>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本项目不需缴纳投标保证金。</w:t>
      </w:r>
    </w:p>
    <w:p>
      <w:pPr>
        <w:pStyle w:val="36"/>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 xml:space="preserve">10. </w:t>
      </w:r>
      <w:r>
        <w:rPr>
          <w:rFonts w:hint="eastAsia" w:ascii="仿宋_GB2312" w:hAnsi="仿宋" w:eastAsia="仿宋_GB2312" w:cs="仿宋_GB2312"/>
          <w:b/>
          <w:color w:val="auto"/>
          <w:sz w:val="24"/>
          <w:szCs w:val="24"/>
          <w:highlight w:val="none"/>
        </w:rPr>
        <w:t>投标文件的语言</w:t>
      </w:r>
    </w:p>
    <w:p>
      <w:pPr>
        <w:autoSpaceDE w:val="0"/>
        <w:autoSpaceDN w:val="0"/>
        <w:spacing w:line="360" w:lineRule="auto"/>
        <w:ind w:firstLine="480" w:firstLineChars="200"/>
        <w:rPr>
          <w:rFonts w:ascii="仿宋_GB2312" w:hAnsi="仿宋" w:eastAsia="仿宋_GB2312" w:cs="仿宋_GB2312"/>
          <w:color w:val="auto"/>
          <w:sz w:val="24"/>
          <w:highlight w:val="none"/>
          <w:lang w:val="zh-CN"/>
        </w:rPr>
      </w:pPr>
      <w:r>
        <w:rPr>
          <w:rFonts w:hint="eastAsia" w:ascii="仿宋_GB2312" w:hAnsi="仿宋" w:eastAsia="仿宋_GB2312" w:cs="仿宋_GB2312"/>
          <w:color w:val="auto"/>
          <w:sz w:val="24"/>
          <w:highlight w:val="none"/>
        </w:rPr>
        <w:t>投标文件及投标人与采购有关的来往通知、函件和文件均应使用中文。</w:t>
      </w:r>
    </w:p>
    <w:p>
      <w:pPr>
        <w:pStyle w:val="36"/>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 xml:space="preserve">11. </w:t>
      </w:r>
      <w:r>
        <w:rPr>
          <w:rFonts w:hint="eastAsia" w:ascii="仿宋_GB2312" w:hAnsi="仿宋" w:eastAsia="仿宋_GB2312" w:cs="仿宋_GB2312"/>
          <w:b/>
          <w:color w:val="auto"/>
          <w:sz w:val="24"/>
          <w:szCs w:val="24"/>
          <w:highlight w:val="none"/>
        </w:rPr>
        <w:t>投标文件的组成</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11.1</w:t>
      </w:r>
      <w:r>
        <w:rPr>
          <w:rFonts w:hint="eastAsia" w:ascii="仿宋_GB2312" w:hAnsi="仿宋" w:eastAsia="仿宋_GB2312" w:cs="仿宋_GB2312"/>
          <w:b/>
          <w:color w:val="auto"/>
          <w:sz w:val="24"/>
          <w:highlight w:val="none"/>
        </w:rPr>
        <w:t>资格文件</w:t>
      </w:r>
      <w:r>
        <w:rPr>
          <w:rFonts w:hint="eastAsia" w:ascii="仿宋_GB2312" w:hAnsi="仿宋" w:eastAsia="仿宋_GB2312" w:cs="仿宋_GB2312"/>
          <w:color w:val="auto"/>
          <w:sz w:val="24"/>
          <w:highlight w:val="none"/>
        </w:rPr>
        <w:t>：</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11.1.1</w:t>
      </w:r>
      <w:r>
        <w:rPr>
          <w:rFonts w:hint="eastAsia" w:ascii="仿宋_GB2312" w:hAnsi="仿宋" w:eastAsia="仿宋_GB2312" w:cs="仿宋_GB2312"/>
          <w:color w:val="auto"/>
          <w:sz w:val="24"/>
          <w:highlight w:val="none"/>
        </w:rPr>
        <w:t>资格文件封面；</w:t>
      </w:r>
    </w:p>
    <w:p>
      <w:pPr>
        <w:snapToGrid w:val="0"/>
        <w:spacing w:line="360" w:lineRule="auto"/>
        <w:ind w:firstLine="960" w:firstLineChars="4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11.1.2</w:t>
      </w:r>
      <w:r>
        <w:rPr>
          <w:rFonts w:hint="eastAsia" w:ascii="宋体" w:hAnsi="宋体" w:cs="宋体"/>
          <w:color w:val="auto"/>
          <w:sz w:val="24"/>
          <w:highlight w:val="none"/>
        </w:rPr>
        <w:t>▲</w:t>
      </w:r>
      <w:r>
        <w:rPr>
          <w:rFonts w:ascii="仿宋_GB2312" w:hAnsi="仿宋" w:eastAsia="仿宋_GB2312" w:cs="仿宋_GB2312"/>
          <w:color w:val="auto"/>
          <w:sz w:val="24"/>
          <w:highlight w:val="none"/>
        </w:rPr>
        <w:t>符合参加政府采购活动应当具备的一般条件的承诺函；</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11.1.</w:t>
      </w:r>
      <w:r>
        <w:rPr>
          <w:rFonts w:hint="eastAsia" w:ascii="仿宋_GB2312" w:hAnsi="仿宋" w:eastAsia="仿宋_GB2312" w:cs="仿宋_GB2312"/>
          <w:color w:val="auto"/>
          <w:sz w:val="24"/>
          <w:highlight w:val="none"/>
        </w:rPr>
        <w:t>3</w:t>
      </w:r>
      <w:r>
        <w:rPr>
          <w:rFonts w:ascii="仿宋_GB2312" w:hAnsi="仿宋" w:eastAsia="仿宋_GB2312" w:cs="仿宋_GB2312"/>
          <w:color w:val="auto"/>
          <w:sz w:val="24"/>
          <w:highlight w:val="none"/>
        </w:rPr>
        <w:t>落实政府采购政策需满足的资格要求；</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11.1.</w:t>
      </w:r>
      <w:r>
        <w:rPr>
          <w:rFonts w:hint="eastAsia" w:ascii="仿宋_GB2312" w:hAnsi="仿宋" w:eastAsia="仿宋_GB2312" w:cs="仿宋_GB2312"/>
          <w:color w:val="auto"/>
          <w:sz w:val="24"/>
          <w:highlight w:val="none"/>
        </w:rPr>
        <w:t>4</w:t>
      </w:r>
      <w:r>
        <w:rPr>
          <w:rFonts w:hint="eastAsia" w:ascii="宋体" w:hAnsi="宋体" w:cs="宋体"/>
          <w:color w:val="auto"/>
          <w:sz w:val="24"/>
          <w:highlight w:val="none"/>
        </w:rPr>
        <w:t>▲</w:t>
      </w:r>
      <w:r>
        <w:rPr>
          <w:rFonts w:hint="eastAsia" w:ascii="仿宋_GB2312" w:hAnsi="仿宋" w:eastAsia="仿宋_GB2312" w:cs="仿宋_GB2312"/>
          <w:color w:val="auto"/>
          <w:sz w:val="24"/>
          <w:highlight w:val="none"/>
        </w:rPr>
        <w:t>有效的《企业法人营业执照》副本扫描件；</w:t>
      </w:r>
    </w:p>
    <w:p>
      <w:pPr>
        <w:snapToGrid w:val="0"/>
        <w:spacing w:line="360" w:lineRule="auto"/>
        <w:ind w:firstLine="960" w:firstLineChars="4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11.1.5</w:t>
      </w:r>
      <w:r>
        <w:rPr>
          <w:rFonts w:ascii="仿宋_GB2312" w:hAnsi="仿宋" w:eastAsia="仿宋_GB2312" w:cs="仿宋_GB2312"/>
          <w:color w:val="auto"/>
          <w:sz w:val="24"/>
          <w:highlight w:val="none"/>
        </w:rPr>
        <w:t>授权委托书或法定代表人（单位负责人、自然人本人）身份证明；</w:t>
      </w:r>
      <w:r>
        <w:rPr>
          <w:rFonts w:hint="eastAsia" w:ascii="仿宋_GB2312" w:hAnsi="仿宋" w:eastAsia="仿宋_GB2312" w:cs="仿宋_GB2312"/>
          <w:color w:val="auto"/>
          <w:sz w:val="24"/>
          <w:highlight w:val="none"/>
        </w:rPr>
        <w:t>被授权人身份证明、被授权人投标前3个月在本单位社保证明</w:t>
      </w:r>
      <w:r>
        <w:rPr>
          <w:rFonts w:ascii="仿宋_GB2312" w:hAnsi="仿宋" w:eastAsia="仿宋_GB2312" w:cs="仿宋_GB2312"/>
          <w:color w:val="auto"/>
          <w:sz w:val="24"/>
          <w:highlight w:val="none"/>
        </w:rPr>
        <w:t>。</w:t>
      </w:r>
    </w:p>
    <w:p>
      <w:pPr>
        <w:snapToGrid w:val="0"/>
        <w:spacing w:line="360" w:lineRule="auto"/>
        <w:ind w:firstLine="960" w:firstLineChars="4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11.1.6</w:t>
      </w:r>
      <w:r>
        <w:rPr>
          <w:rFonts w:hint="eastAsia" w:ascii="宋体" w:hAnsi="宋体" w:cs="宋体"/>
          <w:color w:val="auto"/>
          <w:sz w:val="24"/>
          <w:highlight w:val="none"/>
        </w:rPr>
        <w:t>▲</w:t>
      </w:r>
      <w:r>
        <w:rPr>
          <w:rFonts w:ascii="仿宋_GB2312" w:hAnsi="仿宋" w:eastAsia="仿宋_GB2312" w:cs="仿宋_GB2312"/>
          <w:color w:val="auto"/>
          <w:sz w:val="24"/>
          <w:highlight w:val="none"/>
        </w:rPr>
        <w:t>投标函</w:t>
      </w:r>
      <w:r>
        <w:rPr>
          <w:rFonts w:hint="eastAsia" w:ascii="仿宋_GB2312" w:hAnsi="仿宋" w:eastAsia="仿宋_GB2312" w:cs="仿宋_GB2312"/>
          <w:color w:val="auto"/>
          <w:sz w:val="24"/>
          <w:highlight w:val="none"/>
        </w:rPr>
        <w:t>；</w:t>
      </w:r>
    </w:p>
    <w:p>
      <w:pPr>
        <w:snapToGrid w:val="0"/>
        <w:spacing w:line="360" w:lineRule="auto"/>
        <w:ind w:firstLine="960" w:firstLineChars="4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11.1.7信用中国等网站信用查询结果；</w:t>
      </w:r>
    </w:p>
    <w:p>
      <w:pPr>
        <w:snapToGrid w:val="0"/>
        <w:spacing w:line="360" w:lineRule="auto"/>
        <w:ind w:firstLine="960" w:firstLineChars="400"/>
        <w:rPr>
          <w:rFonts w:ascii="仿宋_GB2312" w:hAnsi="仿宋" w:eastAsia="仿宋_GB2312" w:cs="仿宋_GB2312"/>
          <w:color w:val="auto"/>
          <w:sz w:val="24"/>
          <w:highlight w:val="none"/>
          <w:lang w:val="zh-CN"/>
        </w:rPr>
      </w:pPr>
      <w:r>
        <w:rPr>
          <w:rFonts w:hint="eastAsia" w:ascii="仿宋_GB2312" w:hAnsi="仿宋" w:eastAsia="仿宋_GB2312" w:cs="仿宋_GB2312"/>
          <w:color w:val="auto"/>
          <w:sz w:val="24"/>
          <w:highlight w:val="none"/>
        </w:rPr>
        <w:t>11.1.8</w:t>
      </w:r>
      <w:r>
        <w:rPr>
          <w:rFonts w:hint="eastAsia" w:ascii="仿宋_GB2312" w:hAnsi="仿宋" w:eastAsia="仿宋_GB2312" w:cs="仿宋_GB2312"/>
          <w:color w:val="auto"/>
          <w:sz w:val="24"/>
          <w:highlight w:val="none"/>
          <w:lang w:val="zh-CN"/>
        </w:rPr>
        <w:t>政府采购活动现场确认声明书；</w:t>
      </w:r>
    </w:p>
    <w:p>
      <w:pPr>
        <w:snapToGrid w:val="0"/>
        <w:spacing w:line="360" w:lineRule="auto"/>
        <w:ind w:firstLine="960" w:firstLineChars="4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11.1.9</w:t>
      </w:r>
      <w:r>
        <w:rPr>
          <w:rFonts w:hint="eastAsia" w:ascii="宋体" w:hAnsi="宋体" w:cs="宋体"/>
          <w:color w:val="auto"/>
          <w:sz w:val="24"/>
          <w:highlight w:val="none"/>
        </w:rPr>
        <w:t>▲</w:t>
      </w:r>
      <w:r>
        <w:rPr>
          <w:rFonts w:hint="eastAsia" w:ascii="仿宋_GB2312" w:hAnsi="仿宋" w:eastAsia="仿宋_GB2312" w:cs="仿宋_GB2312"/>
          <w:color w:val="auto"/>
          <w:sz w:val="24"/>
          <w:highlight w:val="none"/>
          <w:lang w:val="zh-CN"/>
        </w:rPr>
        <w:t>政府采购供应商廉洁自律承诺书；</w:t>
      </w:r>
    </w:p>
    <w:p>
      <w:pPr>
        <w:snapToGrid w:val="0"/>
        <w:spacing w:line="360" w:lineRule="auto"/>
        <w:ind w:firstLine="480" w:firstLineChars="200"/>
        <w:rPr>
          <w:rFonts w:ascii="仿宋_GB2312" w:hAnsi="仿宋" w:eastAsia="仿宋_GB2312" w:cs="仿宋_GB2312"/>
          <w:color w:val="auto"/>
          <w:sz w:val="24"/>
          <w:highlight w:val="none"/>
          <w:lang w:val="zh-CN"/>
        </w:rPr>
      </w:pPr>
      <w:r>
        <w:rPr>
          <w:rFonts w:ascii="仿宋_GB2312" w:hAnsi="仿宋" w:eastAsia="仿宋_GB2312" w:cs="仿宋_GB2312"/>
          <w:color w:val="auto"/>
          <w:sz w:val="24"/>
          <w:highlight w:val="none"/>
          <w:lang w:val="zh-CN"/>
        </w:rPr>
        <w:t>11.</w:t>
      </w:r>
      <w:r>
        <w:rPr>
          <w:rFonts w:ascii="仿宋_GB2312" w:hAnsi="仿宋" w:eastAsia="仿宋_GB2312" w:cs="仿宋_GB2312"/>
          <w:color w:val="auto"/>
          <w:sz w:val="24"/>
          <w:highlight w:val="none"/>
        </w:rPr>
        <w:t>2</w:t>
      </w:r>
      <w:r>
        <w:rPr>
          <w:rFonts w:hint="eastAsia" w:ascii="仿宋_GB2312" w:hAnsi="仿宋" w:eastAsia="仿宋_GB2312" w:cs="仿宋_GB2312"/>
          <w:color w:val="auto"/>
          <w:sz w:val="24"/>
          <w:highlight w:val="none"/>
        </w:rPr>
        <w:t>商务技术</w:t>
      </w:r>
      <w:r>
        <w:rPr>
          <w:rFonts w:hint="eastAsia" w:ascii="仿宋_GB2312" w:hAnsi="仿宋" w:eastAsia="仿宋_GB2312" w:cs="仿宋_GB2312"/>
          <w:color w:val="auto"/>
          <w:sz w:val="24"/>
          <w:highlight w:val="none"/>
          <w:lang w:val="zh-CN"/>
        </w:rPr>
        <w:t>文件：</w:t>
      </w:r>
    </w:p>
    <w:p>
      <w:pPr>
        <w:snapToGrid w:val="0"/>
        <w:spacing w:line="360" w:lineRule="auto"/>
        <w:ind w:firstLine="960" w:firstLineChars="400"/>
        <w:rPr>
          <w:rFonts w:ascii="仿宋_GB2312" w:hAnsi="仿宋" w:eastAsia="仿宋_GB2312" w:cs="仿宋_GB2312"/>
          <w:b/>
          <w:bCs/>
          <w:color w:val="auto"/>
          <w:sz w:val="24"/>
          <w:highlight w:val="none"/>
        </w:rPr>
      </w:pPr>
      <w:r>
        <w:rPr>
          <w:rFonts w:ascii="仿宋_GB2312" w:hAnsi="仿宋" w:eastAsia="仿宋_GB2312" w:cs="仿宋_GB2312"/>
          <w:color w:val="auto"/>
          <w:sz w:val="24"/>
          <w:highlight w:val="none"/>
        </w:rPr>
        <w:t>11.2.1</w:t>
      </w:r>
      <w:r>
        <w:rPr>
          <w:rFonts w:hint="eastAsia" w:ascii="仿宋_GB2312" w:hAnsi="仿宋" w:eastAsia="仿宋_GB2312" w:cs="仿宋_GB2312"/>
          <w:color w:val="auto"/>
          <w:sz w:val="24"/>
          <w:highlight w:val="none"/>
        </w:rPr>
        <w:t>商务技术</w:t>
      </w:r>
      <w:r>
        <w:rPr>
          <w:rFonts w:hint="eastAsia" w:ascii="仿宋_GB2312" w:hAnsi="仿宋" w:eastAsia="仿宋_GB2312" w:cs="仿宋_GB2312"/>
          <w:color w:val="auto"/>
          <w:sz w:val="24"/>
          <w:highlight w:val="none"/>
          <w:lang w:val="zh-CN"/>
        </w:rPr>
        <w:t>文件封面；</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w:t>
      </w:r>
      <w:r>
        <w:rPr>
          <w:rFonts w:hint="eastAsia" w:ascii="仿宋_GB2312" w:hAnsi="仿宋" w:eastAsia="仿宋_GB2312" w:cs="仿宋_GB2312"/>
          <w:color w:val="auto"/>
          <w:sz w:val="24"/>
          <w:highlight w:val="none"/>
        </w:rPr>
        <w:t>2</w:t>
      </w:r>
      <w:r>
        <w:rPr>
          <w:rFonts w:ascii="仿宋_GB2312" w:hAnsi="仿宋" w:eastAsia="仿宋_GB2312" w:cs="仿宋_GB2312"/>
          <w:color w:val="auto"/>
          <w:sz w:val="24"/>
          <w:highlight w:val="none"/>
        </w:rPr>
        <w:t>符合性审查资料；</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w:t>
      </w:r>
      <w:r>
        <w:rPr>
          <w:rFonts w:hint="eastAsia" w:ascii="仿宋_GB2312" w:hAnsi="仿宋" w:eastAsia="仿宋_GB2312" w:cs="仿宋_GB2312"/>
          <w:color w:val="auto"/>
          <w:sz w:val="24"/>
          <w:highlight w:val="none"/>
        </w:rPr>
        <w:t>3</w:t>
      </w:r>
      <w:r>
        <w:rPr>
          <w:rFonts w:ascii="仿宋_GB2312" w:hAnsi="仿宋" w:eastAsia="仿宋_GB2312" w:cs="仿宋_GB2312"/>
          <w:color w:val="auto"/>
          <w:sz w:val="24"/>
          <w:highlight w:val="none"/>
        </w:rPr>
        <w:t>评标标准相应的商务技术资料；</w:t>
      </w:r>
    </w:p>
    <w:p>
      <w:pPr>
        <w:snapToGrid w:val="0"/>
        <w:spacing w:line="360" w:lineRule="auto"/>
        <w:ind w:firstLine="960" w:firstLineChars="400"/>
        <w:rPr>
          <w:rFonts w:ascii="仿宋_GB2312" w:hAnsi="仿宋" w:eastAsia="仿宋_GB2312" w:cs="仿宋_GB2312"/>
          <w:color w:val="auto"/>
          <w:sz w:val="24"/>
          <w:highlight w:val="none"/>
          <w:lang w:val="zh-CN"/>
        </w:rPr>
      </w:pPr>
      <w:r>
        <w:rPr>
          <w:rFonts w:ascii="仿宋_GB2312" w:hAnsi="仿宋" w:eastAsia="仿宋_GB2312" w:cs="仿宋_GB2312"/>
          <w:color w:val="auto"/>
          <w:sz w:val="24"/>
          <w:highlight w:val="none"/>
        </w:rPr>
        <w:t>11.2.</w:t>
      </w:r>
      <w:r>
        <w:rPr>
          <w:rFonts w:hint="eastAsia" w:ascii="仿宋_GB2312" w:hAnsi="仿宋" w:eastAsia="仿宋_GB2312" w:cs="仿宋_GB2312"/>
          <w:color w:val="auto"/>
          <w:sz w:val="24"/>
          <w:highlight w:val="none"/>
        </w:rPr>
        <w:t>4</w:t>
      </w:r>
      <w:r>
        <w:rPr>
          <w:rFonts w:ascii="仿宋_GB2312" w:hAnsi="仿宋" w:eastAsia="仿宋_GB2312" w:cs="仿宋_GB2312"/>
          <w:color w:val="auto"/>
          <w:sz w:val="24"/>
          <w:highlight w:val="none"/>
        </w:rPr>
        <w:t>商务技术偏离表；</w:t>
      </w:r>
    </w:p>
    <w:p>
      <w:pPr>
        <w:snapToGrid w:val="0"/>
        <w:spacing w:line="360" w:lineRule="auto"/>
        <w:ind w:firstLine="480" w:firstLineChars="200"/>
        <w:rPr>
          <w:rFonts w:ascii="仿宋_GB2312" w:hAnsi="仿宋" w:eastAsia="仿宋_GB2312" w:cs="仿宋_GB2312"/>
          <w:color w:val="auto"/>
          <w:sz w:val="24"/>
          <w:highlight w:val="none"/>
          <w:u w:val="single"/>
          <w:lang w:val="zh-CN"/>
        </w:rPr>
      </w:pPr>
      <w:r>
        <w:rPr>
          <w:rFonts w:ascii="仿宋_GB2312" w:hAnsi="仿宋" w:eastAsia="仿宋_GB2312" w:cs="仿宋_GB2312"/>
          <w:color w:val="auto"/>
          <w:kern w:val="0"/>
          <w:sz w:val="24"/>
          <w:highlight w:val="none"/>
          <w:lang w:val="zh-CN"/>
        </w:rPr>
        <w:t>11.</w:t>
      </w:r>
      <w:r>
        <w:rPr>
          <w:rFonts w:ascii="仿宋_GB2312" w:hAnsi="仿宋" w:eastAsia="仿宋_GB2312" w:cs="仿宋_GB2312"/>
          <w:color w:val="auto"/>
          <w:kern w:val="0"/>
          <w:sz w:val="24"/>
          <w:highlight w:val="none"/>
        </w:rPr>
        <w:t>3</w:t>
      </w:r>
      <w:r>
        <w:rPr>
          <w:rFonts w:hint="eastAsia" w:ascii="仿宋_GB2312" w:hAnsi="仿宋" w:eastAsia="仿宋_GB2312" w:cs="仿宋_GB2312"/>
          <w:b/>
          <w:color w:val="auto"/>
          <w:sz w:val="24"/>
          <w:highlight w:val="none"/>
        </w:rPr>
        <w:t>报价文件：</w:t>
      </w:r>
    </w:p>
    <w:p>
      <w:pPr>
        <w:snapToGrid w:val="0"/>
        <w:spacing w:line="360" w:lineRule="auto"/>
        <w:ind w:firstLine="960" w:firstLineChars="400"/>
        <w:rPr>
          <w:rFonts w:ascii="仿宋_GB2312" w:hAnsi="仿宋" w:eastAsia="仿宋_GB2312" w:cs="仿宋_GB2312"/>
          <w:color w:val="auto"/>
          <w:sz w:val="24"/>
          <w:highlight w:val="none"/>
          <w:lang w:val="zh-CN"/>
        </w:rPr>
      </w:pPr>
      <w:r>
        <w:rPr>
          <w:rFonts w:ascii="仿宋_GB2312" w:hAnsi="仿宋" w:eastAsia="仿宋_GB2312" w:cs="仿宋_GB2312"/>
          <w:color w:val="auto"/>
          <w:sz w:val="24"/>
          <w:highlight w:val="none"/>
        </w:rPr>
        <w:t>11.3.1</w:t>
      </w:r>
      <w:r>
        <w:rPr>
          <w:rFonts w:hint="eastAsia" w:ascii="仿宋_GB2312" w:hAnsi="仿宋" w:eastAsia="仿宋_GB2312" w:cs="仿宋_GB2312"/>
          <w:color w:val="auto"/>
          <w:sz w:val="24"/>
          <w:highlight w:val="none"/>
          <w:lang w:val="zh-CN"/>
        </w:rPr>
        <w:t>报价文件封面；</w:t>
      </w:r>
    </w:p>
    <w:p>
      <w:pPr>
        <w:snapToGrid w:val="0"/>
        <w:spacing w:line="360" w:lineRule="auto"/>
        <w:ind w:firstLine="960" w:firstLineChars="4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11.3.2</w:t>
      </w:r>
      <w:r>
        <w:rPr>
          <w:rFonts w:hint="eastAsia" w:ascii="宋体" w:hAnsi="宋体" w:cs="宋体"/>
          <w:color w:val="auto"/>
          <w:sz w:val="24"/>
          <w:highlight w:val="none"/>
        </w:rPr>
        <w:t>▲</w:t>
      </w:r>
      <w:r>
        <w:rPr>
          <w:rFonts w:ascii="仿宋_GB2312" w:hAnsi="仿宋" w:eastAsia="仿宋_GB2312" w:cs="仿宋_GB2312"/>
          <w:color w:val="auto"/>
          <w:sz w:val="24"/>
          <w:highlight w:val="none"/>
        </w:rPr>
        <w:t>开标一览表（报价表）；</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11.3.</w:t>
      </w:r>
      <w:r>
        <w:rPr>
          <w:rFonts w:hint="eastAsia" w:ascii="仿宋_GB2312" w:hAnsi="仿宋" w:eastAsia="仿宋_GB2312" w:cs="仿宋_GB2312"/>
          <w:color w:val="auto"/>
          <w:sz w:val="24"/>
          <w:highlight w:val="none"/>
        </w:rPr>
        <w:t>3</w:t>
      </w:r>
      <w:r>
        <w:rPr>
          <w:rFonts w:ascii="仿宋_GB2312" w:hAnsi="仿宋" w:eastAsia="仿宋_GB2312" w:cs="仿宋_GB2312"/>
          <w:color w:val="auto"/>
          <w:sz w:val="24"/>
          <w:highlight w:val="none"/>
        </w:rPr>
        <w:t>中小企业声明函。</w:t>
      </w:r>
    </w:p>
    <w:p>
      <w:pPr>
        <w:spacing w:line="360" w:lineRule="auto"/>
        <w:ind w:firstLine="723" w:firstLineChars="300"/>
        <w:rPr>
          <w:rFonts w:ascii="仿宋_GB2312" w:hAnsi="仿宋" w:eastAsia="仿宋_GB2312" w:cs="仿宋_GB2312"/>
          <w:b/>
          <w:color w:val="auto"/>
          <w:sz w:val="24"/>
          <w:szCs w:val="21"/>
          <w:highlight w:val="none"/>
        </w:rPr>
      </w:pPr>
      <w:r>
        <w:rPr>
          <w:rFonts w:hint="eastAsia" w:ascii="仿宋_GB2312" w:hAnsi="仿宋" w:eastAsia="仿宋_GB2312"/>
          <w:b/>
          <w:color w:val="auto"/>
          <w:sz w:val="24"/>
          <w:highlight w:val="none"/>
        </w:rPr>
        <w:t>投标人提供虚假材料投标的，投标无效。</w:t>
      </w:r>
    </w:p>
    <w:p>
      <w:pPr>
        <w:pStyle w:val="131"/>
        <w:snapToGrid w:val="0"/>
        <w:spacing w:before="0"/>
        <w:ind w:firstLine="0" w:firstLineChars="0"/>
        <w:outlineLvl w:val="0"/>
        <w:rPr>
          <w:rFonts w:ascii="仿宋_GB2312" w:hAnsi="仿宋" w:eastAsia="仿宋_GB2312" w:cs="仿宋_GB2312"/>
          <w:b/>
          <w:color w:val="auto"/>
          <w:szCs w:val="24"/>
          <w:highlight w:val="none"/>
        </w:rPr>
      </w:pPr>
      <w:bookmarkStart w:id="30" w:name="_Toc16973"/>
      <w:bookmarkStart w:id="31" w:name="_Toc22389"/>
      <w:r>
        <w:rPr>
          <w:rFonts w:ascii="仿宋_GB2312" w:hAnsi="仿宋" w:eastAsia="仿宋_GB2312" w:cs="仿宋_GB2312"/>
          <w:b/>
          <w:color w:val="auto"/>
          <w:szCs w:val="24"/>
          <w:highlight w:val="none"/>
        </w:rPr>
        <w:t>12</w:t>
      </w:r>
      <w:r>
        <w:rPr>
          <w:rFonts w:ascii="仿宋_GB2312" w:hAnsi="仿宋" w:eastAsia="仿宋_GB2312" w:cs="仿宋_GB2312"/>
          <w:b/>
          <w:color w:val="auto"/>
          <w:kern w:val="0"/>
          <w:szCs w:val="24"/>
          <w:highlight w:val="none"/>
          <w:lang w:val="zh-CN"/>
        </w:rPr>
        <w:t xml:space="preserve">. </w:t>
      </w:r>
      <w:r>
        <w:rPr>
          <w:rFonts w:hint="eastAsia" w:ascii="仿宋_GB2312" w:hAnsi="仿宋" w:eastAsia="仿宋_GB2312" w:cs="仿宋_GB2312"/>
          <w:b/>
          <w:color w:val="auto"/>
          <w:szCs w:val="24"/>
          <w:highlight w:val="none"/>
        </w:rPr>
        <w:t>投标文件的编制</w:t>
      </w:r>
      <w:bookmarkEnd w:id="30"/>
      <w:bookmarkEnd w:id="31"/>
    </w:p>
    <w:p>
      <w:pPr>
        <w:spacing w:line="360" w:lineRule="auto"/>
        <w:ind w:firstLine="480" w:firstLineChars="200"/>
        <w:rPr>
          <w:rFonts w:ascii="仿宋_GB2312" w:hAnsi="仿宋" w:eastAsia="仿宋_GB2312" w:cs="仿宋_GB2312"/>
          <w:b/>
          <w:color w:val="auto"/>
          <w:sz w:val="24"/>
          <w:highlight w:val="none"/>
        </w:rPr>
      </w:pPr>
      <w:r>
        <w:rPr>
          <w:rFonts w:ascii="仿宋_GB2312" w:hAnsi="仿宋" w:eastAsia="仿宋_GB2312" w:cs="仿宋_GB2312"/>
          <w:color w:val="auto"/>
          <w:kern w:val="0"/>
          <w:sz w:val="24"/>
          <w:highlight w:val="none"/>
          <w:lang w:val="zh-CN"/>
        </w:rPr>
        <w:t>12.1投标文件分为资格文件、商务技术文件、报价文件三部分。各投标人在编制投标文件时请按照招标文件第六部</w:t>
      </w:r>
      <w:r>
        <w:rPr>
          <w:rFonts w:hint="eastAsia" w:ascii="仿宋_GB2312" w:hAnsi="仿宋" w:eastAsia="仿宋_GB2312" w:cs="仿宋_GB2312"/>
          <w:color w:val="auto"/>
          <w:kern w:val="0"/>
          <w:sz w:val="24"/>
          <w:highlight w:val="none"/>
          <w:lang w:val="zh-CN"/>
        </w:rPr>
        <w:t>分规定的格式进行，混乱的编排导致投标文件被误读或评标委员会查找不到有效文件是投标人的风险。</w:t>
      </w:r>
    </w:p>
    <w:p>
      <w:pPr>
        <w:spacing w:line="360" w:lineRule="auto"/>
        <w:ind w:firstLine="480" w:firstLineChars="200"/>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12.2投标人进行电子投标应安装客户端软件—“政</w:t>
      </w:r>
      <w:r>
        <w:rPr>
          <w:rFonts w:hint="eastAsia" w:ascii="仿宋_GB2312" w:hAnsi="仿宋" w:eastAsia="仿宋_GB2312" w:cs="仿宋_GB2312"/>
          <w:color w:val="auto"/>
          <w:kern w:val="0"/>
          <w:sz w:val="24"/>
          <w:highlight w:val="none"/>
          <w:lang w:val="zh-CN"/>
        </w:rPr>
        <w:t>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12.3使用“政</w:t>
      </w:r>
      <w:r>
        <w:rPr>
          <w:rFonts w:hint="eastAsia" w:ascii="仿宋_GB2312" w:hAnsi="仿宋" w:eastAsia="仿宋_GB2312" w:cs="仿宋_GB2312"/>
          <w:color w:val="auto"/>
          <w:kern w:val="0"/>
          <w:sz w:val="24"/>
          <w:highlight w:val="none"/>
          <w:lang w:val="zh-CN"/>
        </w:rPr>
        <w:t>采云电子交易客户端”需要提前申领</w:t>
      </w:r>
      <w:r>
        <w:rPr>
          <w:rFonts w:ascii="仿宋_GB2312" w:hAnsi="仿宋" w:eastAsia="仿宋_GB2312" w:cs="仿宋_GB2312"/>
          <w:color w:val="auto"/>
          <w:kern w:val="0"/>
          <w:sz w:val="24"/>
          <w:highlight w:val="none"/>
          <w:lang w:val="zh-CN"/>
        </w:rPr>
        <w:t>CA数字证书，申领流程请自行前往“浙江政府采购网-下载专区-电子交易客户端-CA驱动和申领流程”进行查阅。</w:t>
      </w:r>
    </w:p>
    <w:p>
      <w:pPr>
        <w:snapToGrid w:val="0"/>
        <w:spacing w:line="360" w:lineRule="auto"/>
        <w:rPr>
          <w:rFonts w:ascii="仿宋_GB2312" w:hAnsi="仿宋" w:eastAsia="仿宋_GB2312"/>
          <w:b/>
          <w:color w:val="auto"/>
          <w:sz w:val="24"/>
          <w:highlight w:val="none"/>
        </w:rPr>
      </w:pPr>
      <w:r>
        <w:rPr>
          <w:rFonts w:ascii="仿宋_GB2312" w:hAnsi="仿宋" w:eastAsia="仿宋_GB2312"/>
          <w:b/>
          <w:color w:val="auto"/>
          <w:sz w:val="24"/>
          <w:highlight w:val="none"/>
        </w:rPr>
        <w:t>13.投标文件的签署、盖章</w:t>
      </w:r>
    </w:p>
    <w:p>
      <w:pPr>
        <w:pStyle w:val="131"/>
        <w:snapToGrid w:val="0"/>
        <w:spacing w:before="0"/>
        <w:ind w:firstLine="480"/>
        <w:rPr>
          <w:rFonts w:ascii="仿宋_GB2312" w:hAnsi="仿宋" w:eastAsia="仿宋_GB2312" w:cs="仿宋_GB2312"/>
          <w:b/>
          <w:color w:val="auto"/>
          <w:highlight w:val="none"/>
        </w:rPr>
      </w:pPr>
      <w:r>
        <w:rPr>
          <w:rFonts w:ascii="仿宋_GB2312" w:hAnsi="仿宋" w:eastAsia="仿宋_GB2312" w:cs="仿宋_GB2312"/>
          <w:color w:val="auto"/>
          <w:szCs w:val="24"/>
          <w:highlight w:val="none"/>
        </w:rPr>
        <w:t>13.1投标文件按照招标文件第六部分格式要</w:t>
      </w:r>
      <w:r>
        <w:rPr>
          <w:rFonts w:hint="eastAsia" w:ascii="仿宋_GB2312" w:hAnsi="仿宋" w:eastAsia="仿宋_GB2312" w:cs="仿宋_GB2312"/>
          <w:color w:val="auto"/>
          <w:highlight w:val="none"/>
        </w:rPr>
        <w:t>求进行签署、盖章。</w:t>
      </w:r>
      <w:r>
        <w:rPr>
          <w:rFonts w:hint="eastAsia" w:ascii="仿宋_GB2312" w:hAnsi="仿宋" w:eastAsia="仿宋_GB2312" w:cs="仿宋_GB2312"/>
          <w:b/>
          <w:color w:val="auto"/>
          <w:highlight w:val="none"/>
        </w:rPr>
        <w:t>投标人的投标文件未按照招标文件要求签署、盖章的，其投标无效</w:t>
      </w:r>
      <w:r>
        <w:rPr>
          <w:rFonts w:hint="eastAsia" w:ascii="仿宋_GB2312" w:hAnsi="仿宋" w:eastAsia="仿宋_GB2312" w:cs="仿宋_GB2312"/>
          <w:color w:val="auto"/>
          <w:szCs w:val="24"/>
          <w:highlight w:val="none"/>
        </w:rPr>
        <w:t>。</w:t>
      </w:r>
    </w:p>
    <w:p>
      <w:pPr>
        <w:pStyle w:val="131"/>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13.2为确保网上操作合法、有效和安全，投标人应当在投标截止时间前完成在“政府采购云平台”的身份认证，确保在电子投标过程中能够对相关数据电文进行加密和使用电子签</w:t>
      </w:r>
      <w:r>
        <w:rPr>
          <w:rFonts w:hint="eastAsia" w:ascii="仿宋_GB2312" w:hAnsi="仿宋" w:eastAsia="仿宋_GB2312" w:cs="仿宋_GB2312"/>
          <w:color w:val="auto"/>
          <w:highlight w:val="none"/>
        </w:rPr>
        <w:t>章</w:t>
      </w:r>
      <w:r>
        <w:rPr>
          <w:rFonts w:ascii="仿宋_GB2312" w:hAnsi="仿宋" w:eastAsia="仿宋_GB2312" w:cs="仿宋_GB2312"/>
          <w:color w:val="auto"/>
          <w:highlight w:val="none"/>
        </w:rPr>
        <w:t>。</w:t>
      </w:r>
    </w:p>
    <w:p>
      <w:pPr>
        <w:pStyle w:val="131"/>
        <w:snapToGrid w:val="0"/>
        <w:spacing w:before="0"/>
        <w:ind w:firstLine="480"/>
        <w:rPr>
          <w:rFonts w:ascii="仿宋_GB2312" w:hAnsi="仿宋" w:eastAsia="仿宋_GB2312" w:cs="仿宋_GB2312"/>
          <w:color w:val="auto"/>
          <w:szCs w:val="24"/>
          <w:highlight w:val="none"/>
        </w:rPr>
      </w:pPr>
      <w:r>
        <w:rPr>
          <w:rFonts w:ascii="仿宋_GB2312" w:hAnsi="仿宋" w:eastAsia="仿宋_GB2312" w:cs="仿宋_GB2312"/>
          <w:color w:val="auto"/>
          <w:highlight w:val="none"/>
        </w:rPr>
        <w:t>13.3招标文件对投标文件盖章的要求适用于电子签</w:t>
      </w:r>
      <w:r>
        <w:rPr>
          <w:rFonts w:hint="eastAsia" w:ascii="仿宋_GB2312" w:hAnsi="仿宋" w:eastAsia="仿宋_GB2312" w:cs="仿宋_GB2312"/>
          <w:color w:val="auto"/>
          <w:highlight w:val="none"/>
        </w:rPr>
        <w:t>章</w:t>
      </w:r>
      <w:r>
        <w:rPr>
          <w:rFonts w:ascii="仿宋_GB2312" w:hAnsi="仿宋" w:eastAsia="仿宋_GB2312" w:cs="仿宋_GB2312"/>
          <w:color w:val="auto"/>
          <w:highlight w:val="none"/>
        </w:rPr>
        <w:t>。</w:t>
      </w:r>
    </w:p>
    <w:p>
      <w:pPr>
        <w:pStyle w:val="131"/>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 xml:space="preserve">14. </w:t>
      </w:r>
      <w:r>
        <w:rPr>
          <w:rFonts w:hint="eastAsia" w:ascii="仿宋_GB2312" w:hAnsi="仿宋" w:eastAsia="仿宋_GB2312" w:cs="仿宋_GB2312"/>
          <w:b/>
          <w:color w:val="auto"/>
          <w:szCs w:val="24"/>
          <w:highlight w:val="none"/>
        </w:rPr>
        <w:t>投标文件的提交、补充、修改、撤回</w:t>
      </w:r>
    </w:p>
    <w:p>
      <w:pPr>
        <w:pStyle w:val="131"/>
        <w:ind w:firstLine="480"/>
        <w:rPr>
          <w:rFonts w:ascii="仿宋_GB2312" w:hAnsi="仿宋" w:eastAsia="仿宋_GB2312" w:cs="仿宋_GB2312"/>
          <w:color w:val="auto"/>
          <w:szCs w:val="24"/>
          <w:highlight w:val="none"/>
        </w:rPr>
      </w:pPr>
      <w:r>
        <w:rPr>
          <w:rFonts w:ascii="仿宋_GB2312" w:hAnsi="仿宋" w:eastAsia="仿宋_GB2312" w:cs="仿宋_GB2312"/>
          <w:color w:val="auto"/>
          <w:szCs w:val="24"/>
          <w:highlight w:val="none"/>
        </w:rPr>
        <w:t xml:space="preserve">14.1 </w:t>
      </w:r>
      <w:r>
        <w:rPr>
          <w:rFonts w:hint="eastAsia" w:ascii="仿宋_GB2312" w:hAnsi="仿宋" w:eastAsia="仿宋_GB2312" w:cs="仿宋_GB2312"/>
          <w:color w:val="auto"/>
          <w:szCs w:val="24"/>
          <w:highlight w:val="none"/>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1"/>
        <w:spacing w:before="0"/>
        <w:ind w:firstLine="480"/>
        <w:rPr>
          <w:rFonts w:ascii="仿宋_GB2312" w:hAnsi="仿宋" w:eastAsia="仿宋_GB2312" w:cs="仿宋_GB2312"/>
          <w:color w:val="auto"/>
          <w:szCs w:val="24"/>
          <w:highlight w:val="none"/>
        </w:rPr>
      </w:pPr>
      <w:r>
        <w:rPr>
          <w:rFonts w:ascii="仿宋_GB2312" w:hAnsi="仿宋" w:eastAsia="仿宋_GB2312" w:cs="仿宋_GB2312"/>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31"/>
        <w:spacing w:before="0"/>
        <w:ind w:firstLine="480"/>
        <w:rPr>
          <w:rFonts w:ascii="仿宋_GB2312" w:hAnsi="仿宋" w:eastAsia="仿宋_GB2312" w:cs="仿宋_GB2312"/>
          <w:color w:val="auto"/>
          <w:szCs w:val="24"/>
          <w:highlight w:val="none"/>
        </w:rPr>
      </w:pPr>
      <w:r>
        <w:rPr>
          <w:rFonts w:ascii="仿宋_GB2312" w:hAnsi="仿宋" w:eastAsia="仿宋_GB2312" w:cs="仿宋_GB2312"/>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pPr>
        <w:pStyle w:val="36"/>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15.备份投标文件</w:t>
      </w:r>
    </w:p>
    <w:p>
      <w:pPr>
        <w:pStyle w:val="36"/>
        <w:spacing w:line="360" w:lineRule="auto"/>
        <w:ind w:firstLine="360" w:firstLineChars="150"/>
        <w:rPr>
          <w:rFonts w:ascii="仿宋_GB2312" w:hAnsi="仿宋" w:eastAsia="仿宋_GB2312" w:cs="仿宋_GB2312"/>
          <w:b/>
          <w:color w:val="auto"/>
          <w:sz w:val="24"/>
          <w:szCs w:val="24"/>
          <w:highlight w:val="none"/>
        </w:rPr>
      </w:pPr>
      <w:r>
        <w:rPr>
          <w:rFonts w:ascii="仿宋_GB2312" w:hAnsi="仿宋" w:eastAsia="仿宋_GB2312" w:cs="仿宋_GB2312"/>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_GB2312" w:hAnsi="仿宋" w:eastAsia="仿宋_GB2312" w:cs="仿宋_GB2312"/>
          <w:b/>
          <w:color w:val="auto"/>
          <w:sz w:val="24"/>
          <w:szCs w:val="24"/>
          <w:highlight w:val="none"/>
        </w:rPr>
        <w:t>但采购人、采购机构不强制或变相强制投标人提交备份投标文件。</w:t>
      </w:r>
    </w:p>
    <w:p>
      <w:pPr>
        <w:pStyle w:val="36"/>
        <w:spacing w:line="360" w:lineRule="auto"/>
        <w:ind w:firstLine="480" w:firstLineChars="200"/>
        <w:rPr>
          <w:rFonts w:ascii="仿宋_GB2312" w:hAnsi="仿宋" w:eastAsia="仿宋_GB2312" w:cs="仿宋_GB2312"/>
          <w:b/>
          <w:color w:val="auto"/>
          <w:sz w:val="24"/>
          <w:szCs w:val="24"/>
          <w:highlight w:val="none"/>
        </w:rPr>
      </w:pPr>
      <w:r>
        <w:rPr>
          <w:rFonts w:ascii="仿宋_GB2312" w:hAnsi="仿宋" w:eastAsia="仿宋_GB2312" w:cs="仿宋_GB2312"/>
          <w:color w:val="auto"/>
          <w:sz w:val="24"/>
          <w:szCs w:val="24"/>
          <w:highlight w:val="none"/>
        </w:rPr>
        <w:t>15.2备份投标文件须在“政</w:t>
      </w:r>
      <w:r>
        <w:rPr>
          <w:rFonts w:hint="eastAsia" w:ascii="仿宋_GB2312" w:hAnsi="仿宋" w:eastAsia="仿宋_GB2312" w:cs="仿宋_GB2312"/>
          <w:color w:val="auto"/>
          <w:sz w:val="24"/>
          <w:szCs w:val="24"/>
          <w:highlight w:val="none"/>
        </w:rPr>
        <w:t>采云投标客户端”制作生成，并储存在</w:t>
      </w:r>
      <w:r>
        <w:rPr>
          <w:rFonts w:ascii="仿宋_GB2312" w:hAnsi="仿宋" w:eastAsia="仿宋_GB2312"/>
          <w:color w:val="auto"/>
          <w:sz w:val="24"/>
          <w:highlight w:val="none"/>
        </w:rPr>
        <w:t>DVD光盘</w:t>
      </w:r>
      <w:r>
        <w:rPr>
          <w:rFonts w:hint="eastAsia" w:ascii="仿宋_GB2312" w:hAnsi="仿宋" w:eastAsia="仿宋_GB2312" w:cs="仿宋_GB2312"/>
          <w:color w:val="auto"/>
          <w:sz w:val="24"/>
          <w:szCs w:val="24"/>
          <w:highlight w:val="none"/>
        </w:rPr>
        <w:t>中。备份投标文件应当密封包装并在包装上加盖公章并注明投标项目名称，投标人名称</w:t>
      </w:r>
      <w:r>
        <w:rPr>
          <w:rFonts w:ascii="仿宋_GB2312" w:hAnsi="仿宋" w:eastAsia="仿宋_GB2312" w:cs="仿宋_GB2312"/>
          <w:color w:val="auto"/>
          <w:sz w:val="24"/>
          <w:szCs w:val="24"/>
          <w:highlight w:val="none"/>
        </w:rPr>
        <w:t>(联合体投标的，包装物封面需注明联合体投标，并注明联合体成员各方的名称和联合协议中约定的牵头人的名称)。</w:t>
      </w:r>
      <w:r>
        <w:rPr>
          <w:rFonts w:hint="eastAsia" w:ascii="仿宋_GB2312" w:hAnsi="仿宋" w:eastAsia="仿宋_GB2312"/>
          <w:b/>
          <w:color w:val="auto"/>
          <w:sz w:val="24"/>
          <w:highlight w:val="none"/>
        </w:rPr>
        <w:t>不符合上述制作、</w:t>
      </w:r>
      <w:r>
        <w:rPr>
          <w:rFonts w:hint="eastAsia" w:ascii="仿宋_GB2312" w:hAnsi="仿宋" w:eastAsia="仿宋_GB2312" w:cs="仿宋_GB2312"/>
          <w:b/>
          <w:color w:val="auto"/>
          <w:sz w:val="24"/>
          <w:szCs w:val="24"/>
          <w:highlight w:val="none"/>
        </w:rPr>
        <w:t>存储、密封规定的备份投标文件将被视为无效或者被拒绝接收。</w:t>
      </w:r>
    </w:p>
    <w:p>
      <w:pPr>
        <w:pStyle w:val="36"/>
        <w:spacing w:line="360" w:lineRule="auto"/>
        <w:ind w:firstLine="480" w:firstLineChars="2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pPr>
        <w:pStyle w:val="36"/>
        <w:spacing w:line="360" w:lineRule="auto"/>
        <w:ind w:firstLine="480" w:firstLineChars="2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_GB2312" w:hAnsi="仿宋" w:eastAsia="仿宋_GB2312" w:cs="仿宋_GB2312"/>
          <w:snapToGrid/>
          <w:color w:val="auto"/>
          <w:sz w:val="24"/>
          <w:szCs w:val="24"/>
          <w:highlight w:val="none"/>
        </w:rPr>
        <w:t>招标文件第二部分投标人须知前附表规定的备份投标文件送达地点；</w:t>
      </w:r>
      <w:r>
        <w:rPr>
          <w:rFonts w:hint="eastAsia" w:ascii="仿宋_GB2312" w:hAnsi="仿宋" w:eastAsia="仿宋_GB2312" w:cs="仿宋_GB2312"/>
          <w:color w:val="auto"/>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pPr>
        <w:pStyle w:val="36"/>
        <w:spacing w:line="360" w:lineRule="auto"/>
        <w:ind w:firstLine="477" w:firstLineChars="199"/>
        <w:rPr>
          <w:rFonts w:ascii="仿宋_GB2312" w:hAnsi="仿宋" w:eastAsia="仿宋_GB2312" w:cs="仿宋_GB2312"/>
          <w:bCs/>
          <w:color w:val="auto"/>
          <w:sz w:val="24"/>
          <w:szCs w:val="24"/>
          <w:highlight w:val="none"/>
        </w:rPr>
      </w:pPr>
      <w:r>
        <w:rPr>
          <w:rFonts w:ascii="仿宋_GB2312" w:hAnsi="仿宋" w:eastAsia="仿宋_GB2312" w:cs="仿宋_GB2312"/>
          <w:bCs/>
          <w:color w:val="auto"/>
          <w:sz w:val="24"/>
          <w:szCs w:val="24"/>
          <w:highlight w:val="none"/>
        </w:rPr>
        <w:t>15.5投标人仅提交备份投标文件，没有在电子交易平台传输递交投标文件的，投标无效。</w:t>
      </w:r>
    </w:p>
    <w:p>
      <w:pPr>
        <w:pStyle w:val="131"/>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16.投标文件的无效处理</w:t>
      </w:r>
    </w:p>
    <w:p>
      <w:pPr>
        <w:pStyle w:val="28"/>
        <w:spacing w:line="360" w:lineRule="auto"/>
        <w:ind w:firstLine="360" w:firstLineChars="150"/>
        <w:rPr>
          <w:rFonts w:ascii="仿宋_GB2312" w:hAnsi="仿宋" w:eastAsia="仿宋_GB2312" w:cs="仿宋_GB2312"/>
          <w:color w:val="auto"/>
          <w:szCs w:val="21"/>
          <w:highlight w:val="none"/>
        </w:rPr>
      </w:pPr>
      <w:r>
        <w:rPr>
          <w:rFonts w:hint="eastAsia" w:ascii="仿宋_GB2312" w:hAnsi="仿宋" w:eastAsia="仿宋_GB2312" w:cs="仿宋_GB2312"/>
          <w:color w:val="auto"/>
          <w:szCs w:val="21"/>
          <w:highlight w:val="none"/>
        </w:rPr>
        <w:t>有招标文件第四部分</w:t>
      </w:r>
      <w:r>
        <w:rPr>
          <w:rFonts w:hint="eastAsia" w:ascii="仿宋_GB2312" w:hAnsi="仿宋" w:eastAsia="仿宋_GB2312"/>
          <w:color w:val="auto"/>
          <w:highlight w:val="none"/>
        </w:rPr>
        <w:t>第</w:t>
      </w:r>
      <w:r>
        <w:rPr>
          <w:rFonts w:ascii="仿宋_GB2312" w:hAnsi="仿宋" w:eastAsia="仿宋_GB2312"/>
          <w:color w:val="auto"/>
          <w:highlight w:val="none"/>
        </w:rPr>
        <w:t>13项规定</w:t>
      </w:r>
      <w:r>
        <w:rPr>
          <w:rFonts w:hint="eastAsia" w:ascii="仿宋_GB2312" w:hAnsi="仿宋" w:eastAsia="仿宋_GB2312" w:cs="仿宋_GB2312"/>
          <w:color w:val="auto"/>
          <w:szCs w:val="21"/>
          <w:highlight w:val="none"/>
        </w:rPr>
        <w:t>的情形之一的，投标无效：</w:t>
      </w:r>
    </w:p>
    <w:p>
      <w:pPr>
        <w:pStyle w:val="131"/>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17.投标有效期</w:t>
      </w:r>
    </w:p>
    <w:p>
      <w:pPr>
        <w:spacing w:line="360" w:lineRule="auto"/>
        <w:ind w:firstLine="480" w:firstLineChars="200"/>
        <w:rPr>
          <w:rFonts w:ascii="仿宋_GB2312" w:hAnsi="仿宋" w:eastAsia="仿宋_GB2312" w:cs="仿宋_GB2312"/>
          <w:b/>
          <w:color w:val="auto"/>
          <w:sz w:val="24"/>
          <w:szCs w:val="21"/>
          <w:highlight w:val="none"/>
        </w:rPr>
      </w:pPr>
      <w:r>
        <w:rPr>
          <w:rFonts w:ascii="仿宋_GB2312" w:hAnsi="仿宋" w:eastAsia="仿宋_GB2312" w:cs="仿宋_GB2312"/>
          <w:color w:val="auto"/>
          <w:sz w:val="24"/>
          <w:szCs w:val="20"/>
          <w:highlight w:val="none"/>
        </w:rPr>
        <w:t>17.1投标有效期为从提交投标文件的截止之日起90天。</w:t>
      </w:r>
      <w:r>
        <w:rPr>
          <w:rFonts w:hint="eastAsia" w:ascii="仿宋_GB2312" w:hAnsi="仿宋" w:eastAsia="仿宋_GB2312" w:cs="仿宋_GB2312"/>
          <w:b/>
          <w:color w:val="auto"/>
          <w:sz w:val="24"/>
          <w:szCs w:val="20"/>
          <w:highlight w:val="none"/>
        </w:rPr>
        <w:t>投标人的投标文件中承</w:t>
      </w:r>
      <w:r>
        <w:rPr>
          <w:rFonts w:hint="eastAsia" w:ascii="仿宋_GB2312" w:hAnsi="仿宋" w:eastAsia="仿宋_GB2312" w:cs="仿宋_GB2312"/>
          <w:b/>
          <w:color w:val="auto"/>
          <w:sz w:val="24"/>
          <w:szCs w:val="21"/>
          <w:highlight w:val="none"/>
        </w:rPr>
        <w:t>诺的投标有效期少于招标文件中载明的投标有效期的，投标无效。</w:t>
      </w:r>
    </w:p>
    <w:p>
      <w:pPr>
        <w:pStyle w:val="131"/>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17.2投标文件合格投递后，自投标截止日期起，在投标有效期内有效。</w:t>
      </w:r>
    </w:p>
    <w:p>
      <w:pPr>
        <w:pStyle w:val="131"/>
        <w:spacing w:before="0"/>
        <w:ind w:firstLine="643"/>
        <w:rPr>
          <w:rFonts w:ascii="仿宋_GB2312" w:hAnsi="仿宋" w:eastAsia="仿宋_GB2312" w:cs="仿宋_GB2312"/>
          <w:b/>
          <w:color w:val="auto"/>
          <w:sz w:val="32"/>
          <w:highlight w:val="none"/>
        </w:rPr>
      </w:pPr>
    </w:p>
    <w:p>
      <w:pPr>
        <w:pStyle w:val="131"/>
        <w:spacing w:before="0"/>
        <w:ind w:firstLine="1928" w:firstLineChars="600"/>
        <w:rPr>
          <w:rFonts w:ascii="仿宋_GB2312" w:hAnsi="仿宋" w:eastAsia="仿宋_GB2312" w:cs="仿宋_GB2312"/>
          <w:b/>
          <w:color w:val="auto"/>
          <w:sz w:val="32"/>
          <w:highlight w:val="none"/>
        </w:rPr>
      </w:pPr>
      <w:r>
        <w:rPr>
          <w:rFonts w:hint="eastAsia" w:ascii="仿宋_GB2312" w:hAnsi="仿宋" w:eastAsia="仿宋_GB2312" w:cs="仿宋_GB2312"/>
          <w:b/>
          <w:color w:val="auto"/>
          <w:sz w:val="32"/>
          <w:highlight w:val="none"/>
        </w:rPr>
        <w:t>四、开标、资格审查与信用信息查询</w:t>
      </w:r>
    </w:p>
    <w:p>
      <w:pPr>
        <w:pStyle w:val="557"/>
        <w:spacing w:before="0" w:line="360" w:lineRule="auto"/>
        <w:ind w:left="0" w:firstLine="241" w:firstLineChars="100"/>
        <w:contextualSpacing/>
        <w:rPr>
          <w:rFonts w:ascii="仿宋_GB2312" w:eastAsia="仿宋_GB2312"/>
          <w:color w:val="auto"/>
          <w:sz w:val="24"/>
          <w:highlight w:val="none"/>
        </w:rPr>
      </w:pPr>
      <w:r>
        <w:rPr>
          <w:rFonts w:ascii="仿宋_GB2312" w:hAnsi="仿宋" w:eastAsia="仿宋_GB2312" w:cs="仿宋_GB2312"/>
          <w:b/>
          <w:color w:val="auto"/>
          <w:sz w:val="24"/>
          <w:szCs w:val="24"/>
          <w:highlight w:val="none"/>
        </w:rPr>
        <w:t>18.开标</w:t>
      </w:r>
    </w:p>
    <w:p>
      <w:pPr>
        <w:pStyle w:val="557"/>
        <w:spacing w:before="0" w:line="360" w:lineRule="auto"/>
        <w:ind w:left="0" w:firstLine="480" w:firstLineChars="200"/>
        <w:contextualSpacing/>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18.1采购机构按照招标文件规定的时间通过电子交易平台组织开标，所有投标人均应当准时在线参加。投标人不足3家的，不得开标。</w:t>
      </w:r>
    </w:p>
    <w:p>
      <w:pPr>
        <w:pStyle w:val="557"/>
        <w:spacing w:before="0" w:line="360" w:lineRule="auto"/>
        <w:ind w:left="0" w:firstLine="240" w:firstLineChars="100"/>
        <w:contextualSpacing/>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　</w:t>
      </w:r>
      <w:r>
        <w:rPr>
          <w:rFonts w:ascii="仿宋_GB2312" w:hAnsi="仿宋" w:eastAsia="仿宋_GB2312" w:cs="仿宋_GB2312"/>
          <w:color w:val="auto"/>
          <w:sz w:val="24"/>
          <w:highlight w:val="none"/>
        </w:rPr>
        <w:t>18.2开标时，电子交易平台按开标时间自动提取所有投标文件。采购机构依托电子交易平台发起开始解密指令，投标人按照平台提示和招标文件的规定在</w:t>
      </w:r>
      <w:r>
        <w:rPr>
          <w:rFonts w:hint="eastAsia" w:ascii="仿宋_GB2312" w:hAnsi="仿宋" w:eastAsia="仿宋_GB2312" w:cs="仿宋_GB2312"/>
          <w:b/>
          <w:color w:val="auto"/>
          <w:sz w:val="24"/>
          <w:highlight w:val="none"/>
        </w:rPr>
        <w:t>1小时内</w:t>
      </w:r>
      <w:r>
        <w:rPr>
          <w:rFonts w:ascii="仿宋_GB2312" w:hAnsi="仿宋" w:eastAsia="仿宋_GB2312" w:cs="仿宋_GB2312"/>
          <w:color w:val="auto"/>
          <w:sz w:val="24"/>
          <w:highlight w:val="none"/>
        </w:rPr>
        <w:t>完成在线解密。</w:t>
      </w:r>
    </w:p>
    <w:p>
      <w:pPr>
        <w:pStyle w:val="557"/>
        <w:spacing w:before="0" w:line="360" w:lineRule="auto"/>
        <w:ind w:left="0" w:firstLine="240" w:firstLineChars="100"/>
        <w:contextualSpacing/>
        <w:rPr>
          <w:rFonts w:ascii="仿宋_GB2312" w:hAnsi="仿宋" w:eastAsia="仿宋_GB2312" w:cs="仿宋_GB2312"/>
          <w:b/>
          <w:color w:val="auto"/>
          <w:sz w:val="24"/>
          <w:highlight w:val="none"/>
        </w:rPr>
      </w:pPr>
      <w:r>
        <w:rPr>
          <w:rFonts w:hint="eastAsia" w:ascii="仿宋_GB2312" w:hAnsi="仿宋" w:eastAsia="仿宋_GB2312" w:cs="仿宋_GB2312"/>
          <w:color w:val="auto"/>
          <w:sz w:val="24"/>
          <w:highlight w:val="none"/>
        </w:rPr>
        <w:t>　</w:t>
      </w:r>
      <w:r>
        <w:rPr>
          <w:rFonts w:ascii="仿宋_GB2312" w:hAnsi="仿宋" w:eastAsia="仿宋_GB2312" w:cs="仿宋_GB2312"/>
          <w:color w:val="auto"/>
          <w:sz w:val="24"/>
          <w:highlight w:val="none"/>
        </w:rPr>
        <w:t>18.3</w:t>
      </w:r>
      <w:r>
        <w:rPr>
          <w:rFonts w:hint="eastAsia" w:ascii="仿宋_GB2312" w:hAnsi="仿宋" w:eastAsia="仿宋_GB2312" w:cs="仿宋_GB2312"/>
          <w:b/>
          <w:color w:val="auto"/>
          <w:sz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　</w:t>
      </w:r>
      <w:r>
        <w:rPr>
          <w:rFonts w:ascii="仿宋_GB2312" w:hAnsi="仿宋" w:eastAsia="仿宋_GB2312" w:cs="仿宋_GB2312"/>
          <w:b/>
          <w:color w:val="auto"/>
          <w:sz w:val="24"/>
          <w:szCs w:val="20"/>
          <w:highlight w:val="none"/>
        </w:rPr>
        <w:t>19、资格审查</w:t>
      </w:r>
    </w:p>
    <w:p>
      <w:pPr>
        <w:pStyle w:val="131"/>
        <w:spacing w:before="0"/>
        <w:ind w:firstLine="480"/>
        <w:rPr>
          <w:rFonts w:ascii="仿宋_GB2312" w:hAnsi="仿宋" w:eastAsia="仿宋_GB2312" w:cs="Arial"/>
          <w:color w:val="auto"/>
          <w:kern w:val="0"/>
          <w:szCs w:val="24"/>
          <w:highlight w:val="none"/>
        </w:rPr>
      </w:pPr>
      <w:r>
        <w:rPr>
          <w:rFonts w:ascii="仿宋_GB2312" w:hAnsi="仿宋" w:eastAsia="仿宋_GB2312" w:cs="Arial"/>
          <w:color w:val="auto"/>
          <w:kern w:val="0"/>
          <w:szCs w:val="24"/>
          <w:highlight w:val="none"/>
        </w:rPr>
        <w:t>19.1开标后，采购人或采购机构将依法对投标人的资格进行审查。</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Arial"/>
          <w:color w:val="auto"/>
          <w:kern w:val="0"/>
          <w:sz w:val="24"/>
          <w:highlight w:val="none"/>
        </w:rPr>
        <w:t>19.2</w:t>
      </w:r>
      <w:r>
        <w:rPr>
          <w:rFonts w:hint="eastAsia" w:ascii="仿宋_GB2312" w:hAnsi="仿宋" w:eastAsia="仿宋_GB2312" w:cs="仿宋_GB2312"/>
          <w:color w:val="auto"/>
          <w:sz w:val="24"/>
          <w:highlight w:val="none"/>
        </w:rPr>
        <w:t>采购人或采购机构依据法律法规和招标文件的规定，对投标人的基本资格条件、特定资格条件进行审查。</w:t>
      </w:r>
    </w:p>
    <w:p>
      <w:pPr>
        <w:pStyle w:val="131"/>
        <w:spacing w:before="0"/>
        <w:ind w:firstLine="480"/>
        <w:rPr>
          <w:rFonts w:ascii="仿宋_GB2312" w:hAnsi="仿宋" w:eastAsia="仿宋_GB2312" w:cs="仿宋_GB2312"/>
          <w:color w:val="auto"/>
          <w:highlight w:val="none"/>
        </w:rPr>
      </w:pPr>
      <w:r>
        <w:rPr>
          <w:rFonts w:ascii="仿宋_GB2312" w:hAnsi="仿宋" w:eastAsia="仿宋_GB2312" w:cs="Arial"/>
          <w:color w:val="auto"/>
          <w:kern w:val="0"/>
          <w:szCs w:val="24"/>
          <w:highlight w:val="none"/>
        </w:rPr>
        <w:t>19.3投标人未按照招标文件要求提供与</w:t>
      </w:r>
      <w:r>
        <w:rPr>
          <w:rFonts w:hint="eastAsia" w:ascii="仿宋_GB2312" w:hAnsi="仿宋" w:eastAsia="仿宋_GB2312" w:cs="仿宋_GB2312"/>
          <w:color w:val="auto"/>
          <w:highlight w:val="none"/>
        </w:rPr>
        <w:t>基本资格条件、特定资格条件相应的</w:t>
      </w:r>
      <w:r>
        <w:rPr>
          <w:rFonts w:hint="eastAsia" w:ascii="仿宋_GB2312" w:hAnsi="仿宋" w:eastAsia="仿宋_GB2312" w:cs="Arial"/>
          <w:color w:val="auto"/>
          <w:kern w:val="0"/>
          <w:szCs w:val="24"/>
          <w:highlight w:val="none"/>
        </w:rPr>
        <w:t>有效资格证明材料的，视为</w:t>
      </w:r>
      <w:r>
        <w:rPr>
          <w:rFonts w:hint="eastAsia" w:ascii="仿宋_GB2312" w:hAnsi="仿宋" w:eastAsia="仿宋_GB2312" w:cs="仿宋_GB2312"/>
          <w:color w:val="auto"/>
          <w:highlight w:val="none"/>
        </w:rPr>
        <w:t>投标人不具备招标文件中规定的资格要求，其投标无效。</w:t>
      </w:r>
    </w:p>
    <w:p>
      <w:pPr>
        <w:pStyle w:val="131"/>
        <w:spacing w:before="0"/>
        <w:ind w:firstLine="480"/>
        <w:rPr>
          <w:rFonts w:ascii="仿宋_GB2312" w:hAnsi="仿宋" w:eastAsia="仿宋_GB2312" w:cs="仿宋_GB2312"/>
          <w:color w:val="auto"/>
          <w:highlight w:val="none"/>
        </w:rPr>
      </w:pPr>
      <w:r>
        <w:rPr>
          <w:rFonts w:ascii="仿宋_GB2312" w:hAnsi="仿宋" w:eastAsia="仿宋_GB2312" w:cs="Arial"/>
          <w:color w:val="auto"/>
          <w:kern w:val="0"/>
          <w:szCs w:val="24"/>
          <w:highlight w:val="none"/>
        </w:rPr>
        <w:t>19.</w:t>
      </w:r>
      <w:r>
        <w:rPr>
          <w:rFonts w:ascii="仿宋_GB2312" w:hAnsi="仿宋" w:eastAsia="仿宋_GB2312" w:cs="仿宋_GB2312"/>
          <w:color w:val="auto"/>
          <w:highlight w:val="none"/>
        </w:rPr>
        <w:t>4对未通过资格审查的投标人，采购人或采购机构告知其未通过的原因。</w:t>
      </w:r>
    </w:p>
    <w:p>
      <w:pPr>
        <w:pStyle w:val="131"/>
        <w:spacing w:before="0"/>
        <w:ind w:firstLine="480"/>
        <w:rPr>
          <w:rFonts w:ascii="仿宋_GB2312" w:hAnsi="仿宋" w:eastAsia="仿宋_GB2312" w:cs="仿宋_GB2312"/>
          <w:color w:val="auto"/>
          <w:highlight w:val="none"/>
        </w:rPr>
      </w:pPr>
      <w:r>
        <w:rPr>
          <w:rFonts w:ascii="仿宋_GB2312" w:hAnsi="仿宋" w:eastAsia="仿宋_GB2312" w:cs="Arial"/>
          <w:color w:val="auto"/>
          <w:kern w:val="0"/>
          <w:szCs w:val="24"/>
          <w:highlight w:val="none"/>
        </w:rPr>
        <w:t>19.</w:t>
      </w:r>
      <w:r>
        <w:rPr>
          <w:rFonts w:ascii="仿宋_GB2312" w:hAnsi="仿宋" w:eastAsia="仿宋_GB2312" w:cs="仿宋_GB2312"/>
          <w:color w:val="auto"/>
          <w:highlight w:val="none"/>
        </w:rPr>
        <w:t>5合格投标人不足3家的，不再评标。</w:t>
      </w:r>
    </w:p>
    <w:p>
      <w:pPr>
        <w:pStyle w:val="131"/>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20、信用信息查询</w:t>
      </w:r>
    </w:p>
    <w:p>
      <w:pPr>
        <w:pStyle w:val="131"/>
        <w:spacing w:before="0"/>
        <w:ind w:firstLine="495" w:firstLineChars="0"/>
        <w:rPr>
          <w:rFonts w:ascii="仿宋_GB2312" w:hAnsi="仿宋" w:eastAsia="仿宋_GB2312" w:cs="Arial"/>
          <w:color w:val="auto"/>
          <w:kern w:val="0"/>
          <w:szCs w:val="24"/>
          <w:highlight w:val="none"/>
        </w:rPr>
      </w:pPr>
      <w:r>
        <w:rPr>
          <w:rFonts w:ascii="仿宋_GB2312" w:hAnsi="仿宋" w:eastAsia="仿宋_GB2312" w:cs="Arial"/>
          <w:color w:val="auto"/>
          <w:kern w:val="0"/>
          <w:szCs w:val="24"/>
          <w:highlight w:val="none"/>
        </w:rPr>
        <w:t>20.1信用信息查询渠道及截止时间：采购机构将通过“信用中国”网站(www.creditchina.gov.cn)、中国政府采购网(www.ccgp.gov.cn)渠道查询投标人投标截止时间当天的信用记录。</w:t>
      </w:r>
    </w:p>
    <w:p>
      <w:pPr>
        <w:pStyle w:val="131"/>
        <w:spacing w:before="0"/>
        <w:ind w:firstLine="495" w:firstLineChars="0"/>
        <w:rPr>
          <w:rFonts w:ascii="仿宋_GB2312" w:hAnsi="仿宋" w:eastAsia="仿宋_GB2312" w:cs="Arial"/>
          <w:color w:val="auto"/>
          <w:kern w:val="0"/>
          <w:szCs w:val="24"/>
          <w:highlight w:val="none"/>
        </w:rPr>
      </w:pPr>
      <w:r>
        <w:rPr>
          <w:rFonts w:ascii="仿宋_GB2312" w:hAnsi="仿宋" w:eastAsia="仿宋_GB2312" w:cs="Arial"/>
          <w:color w:val="auto"/>
          <w:kern w:val="0"/>
          <w:szCs w:val="24"/>
          <w:highlight w:val="none"/>
        </w:rPr>
        <w:t>20.2信用信息查询记录和证据留存的具体方式：现场查询的投标人的信用记录、查询结果经确认后将与采购文件一起存档。</w:t>
      </w:r>
    </w:p>
    <w:p>
      <w:pPr>
        <w:pStyle w:val="131"/>
        <w:spacing w:before="0"/>
        <w:ind w:firstLine="495" w:firstLineChars="0"/>
        <w:rPr>
          <w:rFonts w:ascii="仿宋_GB2312" w:hAnsi="仿宋" w:eastAsia="仿宋_GB2312" w:cs="Arial"/>
          <w:color w:val="auto"/>
          <w:kern w:val="0"/>
          <w:szCs w:val="24"/>
          <w:highlight w:val="none"/>
        </w:rPr>
      </w:pPr>
      <w:r>
        <w:rPr>
          <w:rFonts w:ascii="仿宋_GB2312" w:hAnsi="仿宋" w:eastAsia="仿宋_GB2312" w:cs="Arial"/>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31"/>
        <w:spacing w:before="0"/>
        <w:ind w:firstLine="480"/>
        <w:rPr>
          <w:rFonts w:ascii="仿宋_GB2312" w:hAnsi="仿宋" w:eastAsia="仿宋_GB2312" w:cs="仿宋_GB2312"/>
          <w:color w:val="auto"/>
          <w:highlight w:val="none"/>
        </w:rPr>
      </w:pPr>
      <w:r>
        <w:rPr>
          <w:rFonts w:ascii="仿宋_GB2312" w:hAnsi="仿宋" w:eastAsia="仿宋_GB2312" w:cs="Arial"/>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_GB2312" w:hAnsi="仿宋" w:eastAsia="仿宋_GB2312" w:cs="仿宋_GB2312"/>
          <w:color w:val="auto"/>
          <w:highlight w:val="none"/>
        </w:rPr>
        <w:t>。</w:t>
      </w:r>
    </w:p>
    <w:p>
      <w:pPr>
        <w:pStyle w:val="131"/>
        <w:spacing w:before="0"/>
        <w:ind w:firstLine="0" w:firstLineChars="0"/>
        <w:rPr>
          <w:rFonts w:ascii="仿宋_GB2312" w:hAnsi="仿宋" w:eastAsia="仿宋_GB2312" w:cs="Arial"/>
          <w:color w:val="auto"/>
          <w:kern w:val="0"/>
          <w:szCs w:val="24"/>
          <w:highlight w:val="none"/>
        </w:rPr>
      </w:pPr>
    </w:p>
    <w:p>
      <w:pPr>
        <w:snapToGrid w:val="0"/>
        <w:spacing w:line="360" w:lineRule="auto"/>
        <w:jc w:val="center"/>
        <w:outlineLvl w:val="0"/>
        <w:rPr>
          <w:rFonts w:ascii="仿宋_GB2312" w:hAnsi="仿宋" w:eastAsia="仿宋_GB2312" w:cs="仿宋_GB2312"/>
          <w:b/>
          <w:color w:val="auto"/>
          <w:sz w:val="36"/>
          <w:szCs w:val="36"/>
          <w:highlight w:val="none"/>
        </w:rPr>
      </w:pPr>
      <w:bookmarkStart w:id="32" w:name="_Toc3603"/>
      <w:bookmarkStart w:id="33" w:name="_Toc6236"/>
      <w:r>
        <w:rPr>
          <w:rFonts w:hint="eastAsia" w:ascii="仿宋_GB2312" w:hAnsi="仿宋" w:eastAsia="仿宋_GB2312" w:cs="仿宋_GB2312"/>
          <w:b/>
          <w:color w:val="auto"/>
          <w:sz w:val="36"/>
          <w:szCs w:val="36"/>
          <w:highlight w:val="none"/>
        </w:rPr>
        <w:t>五、评标</w:t>
      </w:r>
      <w:bookmarkEnd w:id="32"/>
      <w:bookmarkEnd w:id="33"/>
    </w:p>
    <w:p>
      <w:pPr>
        <w:spacing w:line="360" w:lineRule="auto"/>
        <w:rPr>
          <w:rFonts w:ascii="仿宋_GB2312" w:hAnsi="仿宋" w:eastAsia="仿宋_GB2312" w:cs="仿宋_GB2312"/>
          <w:b/>
          <w:color w:val="auto"/>
          <w:sz w:val="24"/>
          <w:highlight w:val="none"/>
        </w:rPr>
      </w:pPr>
      <w:bookmarkStart w:id="34" w:name="_Toc91899903"/>
      <w:r>
        <w:rPr>
          <w:rFonts w:ascii="仿宋_GB2312" w:hAnsi="仿宋" w:eastAsia="仿宋_GB2312" w:cs="仿宋_GB2312"/>
          <w:b/>
          <w:color w:val="auto"/>
          <w:sz w:val="24"/>
          <w:highlight w:val="none"/>
        </w:rPr>
        <w:t>21.</w:t>
      </w:r>
      <w:r>
        <w:rPr>
          <w:rFonts w:hint="eastAsia" w:ascii="仿宋_GB2312" w:hAnsi="仿宋" w:eastAsia="仿宋_GB2312" w:cs="仿宋_GB2312"/>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_GB2312" w:hAnsi="仿宋" w:eastAsia="仿宋_GB2312" w:cs="仿宋_GB2312"/>
          <w:b/>
          <w:color w:val="auto"/>
          <w:sz w:val="24"/>
          <w:highlight w:val="none"/>
        </w:rPr>
        <w:t>详见招标文件第四部分评标办法。</w:t>
      </w:r>
    </w:p>
    <w:p>
      <w:pPr>
        <w:spacing w:line="360" w:lineRule="auto"/>
        <w:rPr>
          <w:rFonts w:ascii="仿宋_GB2312" w:hAnsi="仿宋" w:eastAsia="仿宋_GB2312" w:cs="仿宋_GB2312"/>
          <w:b/>
          <w:color w:val="auto"/>
          <w:sz w:val="24"/>
          <w:highlight w:val="none"/>
        </w:rPr>
      </w:pPr>
    </w:p>
    <w:p>
      <w:pPr>
        <w:snapToGrid w:val="0"/>
        <w:spacing w:line="360" w:lineRule="auto"/>
        <w:jc w:val="center"/>
        <w:outlineLvl w:val="0"/>
        <w:rPr>
          <w:rFonts w:ascii="仿宋_GB2312" w:hAnsi="仿宋" w:eastAsia="仿宋_GB2312" w:cs="仿宋_GB2312"/>
          <w:b/>
          <w:color w:val="auto"/>
          <w:sz w:val="36"/>
          <w:szCs w:val="36"/>
          <w:highlight w:val="none"/>
        </w:rPr>
      </w:pPr>
      <w:bookmarkStart w:id="35" w:name="_Toc8241"/>
      <w:bookmarkStart w:id="36" w:name="_Toc31968"/>
      <w:r>
        <w:rPr>
          <w:rFonts w:hint="eastAsia" w:ascii="仿宋_GB2312" w:hAnsi="仿宋" w:eastAsia="仿宋_GB2312" w:cs="仿宋_GB2312"/>
          <w:b/>
          <w:color w:val="auto"/>
          <w:sz w:val="36"/>
          <w:szCs w:val="36"/>
          <w:highlight w:val="none"/>
        </w:rPr>
        <w:t>六、定标</w:t>
      </w:r>
      <w:bookmarkEnd w:id="35"/>
      <w:bookmarkEnd w:id="36"/>
    </w:p>
    <w:p>
      <w:pPr>
        <w:pStyle w:val="28"/>
        <w:spacing w:line="360" w:lineRule="auto"/>
        <w:ind w:left="479" w:hanging="479" w:hangingChars="199"/>
        <w:rPr>
          <w:rFonts w:ascii="仿宋_GB2312" w:hAnsi="仿宋" w:eastAsia="仿宋_GB2312" w:cs="仿宋_GB2312"/>
          <w:b/>
          <w:color w:val="auto"/>
          <w:highlight w:val="none"/>
        </w:rPr>
      </w:pPr>
      <w:r>
        <w:rPr>
          <w:rFonts w:ascii="仿宋_GB2312" w:hAnsi="仿宋" w:eastAsia="仿宋_GB2312" w:cs="仿宋_GB2312"/>
          <w:b/>
          <w:color w:val="auto"/>
          <w:highlight w:val="none"/>
        </w:rPr>
        <w:t xml:space="preserve">22. </w:t>
      </w:r>
      <w:r>
        <w:rPr>
          <w:rFonts w:hint="eastAsia" w:ascii="仿宋_GB2312" w:hAnsi="仿宋" w:eastAsia="仿宋_GB2312" w:cs="仿宋_GB2312"/>
          <w:b/>
          <w:color w:val="auto"/>
          <w:highlight w:val="none"/>
        </w:rPr>
        <w:t>确定中标供应商</w:t>
      </w:r>
    </w:p>
    <w:p>
      <w:pPr>
        <w:pStyle w:val="131"/>
        <w:snapToGrid w:val="0"/>
        <w:spacing w:before="0"/>
        <w:ind w:firstLine="480"/>
        <w:rPr>
          <w:rFonts w:ascii="仿宋_GB2312" w:hAnsi="仿宋" w:eastAsia="仿宋_GB2312" w:cs="仿宋_GB2312"/>
          <w:b/>
          <w:color w:val="auto"/>
          <w:szCs w:val="24"/>
          <w:highlight w:val="none"/>
        </w:rPr>
      </w:pPr>
      <w:r>
        <w:rPr>
          <w:rFonts w:hint="eastAsia" w:ascii="仿宋_GB2312" w:hAnsi="仿宋" w:eastAsia="仿宋_GB2312" w:cs="仿宋_GB2312"/>
          <w:color w:val="auto"/>
          <w:szCs w:val="24"/>
          <w:highlight w:val="none"/>
        </w:rPr>
        <w:t>采购人将自收到评审报告之日起</w:t>
      </w:r>
      <w:r>
        <w:rPr>
          <w:rFonts w:ascii="仿宋_GB2312" w:hAnsi="仿宋" w:eastAsia="仿宋_GB2312" w:cs="仿宋_GB2312"/>
          <w:color w:val="auto"/>
          <w:szCs w:val="24"/>
          <w:highlight w:val="none"/>
        </w:rPr>
        <w:t>5个工作日内通过电子交易平台在评审报告推荐的中标候选人中按顺序确定中标供应商。</w:t>
      </w:r>
    </w:p>
    <w:p>
      <w:pPr>
        <w:pStyle w:val="131"/>
        <w:snapToGrid w:val="0"/>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 xml:space="preserve">23. </w:t>
      </w:r>
      <w:r>
        <w:rPr>
          <w:rFonts w:hint="eastAsia" w:ascii="仿宋_GB2312" w:hAnsi="仿宋" w:eastAsia="仿宋_GB2312" w:cs="仿宋_GB2312"/>
          <w:b/>
          <w:color w:val="auto"/>
          <w:szCs w:val="24"/>
          <w:highlight w:val="none"/>
        </w:rPr>
        <w:t>中标通知与中标结果公告</w:t>
      </w:r>
    </w:p>
    <w:p>
      <w:pPr>
        <w:widowControl/>
        <w:shd w:val="clear" w:color="auto" w:fill="FFFFFF"/>
        <w:spacing w:line="360" w:lineRule="auto"/>
        <w:ind w:firstLine="480"/>
        <w:jc w:val="left"/>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23.1自中标人确定之日起2个工作日内，采购机构通过电子交易平台向中标人发出中标通知书，</w:t>
      </w:r>
      <w:r>
        <w:rPr>
          <w:rFonts w:hint="eastAsia" w:ascii="仿宋_GB2312" w:hAnsi="仿宋" w:eastAsia="仿宋_GB2312" w:cs="仿宋_GB2312"/>
          <w:color w:val="auto"/>
          <w:sz w:val="24"/>
          <w:highlight w:val="none"/>
        </w:rPr>
        <w:t>同时编制发布采购结果公告。采购机构也可以以纸质形式进行中标通知。</w:t>
      </w:r>
    </w:p>
    <w:p>
      <w:pPr>
        <w:widowControl/>
        <w:shd w:val="clear" w:color="auto" w:fill="FFFFFF"/>
        <w:spacing w:line="360" w:lineRule="auto"/>
        <w:ind w:firstLine="480"/>
        <w:jc w:val="left"/>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w:t>
      </w:r>
      <w:r>
        <w:rPr>
          <w:rFonts w:hint="eastAsia" w:ascii="仿宋_GB2312" w:hAnsi="仿宋" w:eastAsia="仿宋_GB2312" w:cs="仿宋_GB2312"/>
          <w:color w:val="auto"/>
          <w:sz w:val="24"/>
          <w:highlight w:val="none"/>
        </w:rPr>
        <w:t>2</w:t>
      </w:r>
      <w:r>
        <w:rPr>
          <w:rFonts w:ascii="仿宋_GB2312" w:hAnsi="仿宋" w:eastAsia="仿宋_GB2312" w:cs="仿宋_GB2312"/>
          <w:color w:val="auto"/>
          <w:sz w:val="24"/>
          <w:highlight w:val="none"/>
        </w:rPr>
        <w:t>公告期限为1个工作日。</w:t>
      </w:r>
    </w:p>
    <w:p>
      <w:pPr>
        <w:snapToGrid w:val="0"/>
        <w:spacing w:line="360" w:lineRule="auto"/>
        <w:ind w:left="120" w:leftChars="57" w:firstLine="482" w:firstLineChars="150"/>
        <w:jc w:val="center"/>
        <w:rPr>
          <w:rFonts w:ascii="仿宋_GB2312" w:hAnsi="仿宋" w:eastAsia="仿宋_GB2312" w:cs="仿宋_GB2312"/>
          <w:b/>
          <w:color w:val="auto"/>
          <w:sz w:val="32"/>
          <w:highlight w:val="none"/>
        </w:rPr>
      </w:pPr>
    </w:p>
    <w:p>
      <w:pPr>
        <w:snapToGrid w:val="0"/>
        <w:spacing w:line="360" w:lineRule="auto"/>
        <w:ind w:left="120" w:leftChars="57" w:firstLine="482" w:firstLineChars="150"/>
        <w:jc w:val="center"/>
        <w:rPr>
          <w:rFonts w:ascii="仿宋_GB2312" w:hAnsi="仿宋" w:eastAsia="仿宋_GB2312" w:cs="仿宋_GB2312"/>
          <w:b/>
          <w:color w:val="auto"/>
          <w:sz w:val="32"/>
          <w:highlight w:val="none"/>
        </w:rPr>
      </w:pPr>
      <w:r>
        <w:rPr>
          <w:rFonts w:hint="eastAsia" w:ascii="仿宋_GB2312" w:hAnsi="仿宋" w:eastAsia="仿宋_GB2312" w:cs="仿宋_GB2312"/>
          <w:b/>
          <w:color w:val="auto"/>
          <w:sz w:val="32"/>
          <w:highlight w:val="none"/>
        </w:rPr>
        <w:t>七、合同授予</w:t>
      </w:r>
    </w:p>
    <w:p>
      <w:pPr>
        <w:pStyle w:val="28"/>
        <w:spacing w:line="360" w:lineRule="auto"/>
        <w:ind w:left="479" w:hanging="479" w:hangingChars="199"/>
        <w:rPr>
          <w:rFonts w:ascii="仿宋_GB2312" w:hAnsi="仿宋" w:eastAsia="仿宋_GB2312" w:cs="仿宋_GB2312"/>
          <w:b/>
          <w:color w:val="auto"/>
          <w:highlight w:val="none"/>
        </w:rPr>
      </w:pPr>
      <w:r>
        <w:rPr>
          <w:rFonts w:ascii="仿宋_GB2312" w:hAnsi="仿宋" w:eastAsia="仿宋_GB2312" w:cs="仿宋_GB2312"/>
          <w:b/>
          <w:color w:val="auto"/>
          <w:highlight w:val="none"/>
        </w:rPr>
        <w:t xml:space="preserve">24. </w:t>
      </w:r>
      <w:r>
        <w:rPr>
          <w:rFonts w:hint="eastAsia" w:ascii="仿宋_GB2312" w:hAnsi="仿宋" w:eastAsia="仿宋_GB2312" w:cs="仿宋_GB2312"/>
          <w:color w:val="auto"/>
          <w:highlight w:val="none"/>
        </w:rPr>
        <w:t>合同主要条款详见第五部分拟签订的合同文本。</w:t>
      </w:r>
    </w:p>
    <w:p>
      <w:pPr>
        <w:pStyle w:val="28"/>
        <w:spacing w:line="360" w:lineRule="auto"/>
        <w:ind w:left="479" w:hanging="479" w:hangingChars="199"/>
        <w:rPr>
          <w:rFonts w:ascii="仿宋_GB2312" w:hAnsi="仿宋" w:eastAsia="仿宋_GB2312" w:cs="仿宋_GB2312"/>
          <w:b/>
          <w:color w:val="auto"/>
          <w:highlight w:val="none"/>
        </w:rPr>
      </w:pPr>
      <w:r>
        <w:rPr>
          <w:rFonts w:ascii="仿宋_GB2312" w:hAnsi="仿宋" w:eastAsia="仿宋_GB2312" w:cs="仿宋_GB2312"/>
          <w:b/>
          <w:color w:val="auto"/>
          <w:highlight w:val="none"/>
        </w:rPr>
        <w:t xml:space="preserve">25. </w:t>
      </w:r>
      <w:r>
        <w:rPr>
          <w:rFonts w:hint="eastAsia" w:ascii="仿宋_GB2312" w:hAnsi="仿宋" w:eastAsia="仿宋_GB2312" w:cs="仿宋_GB2312"/>
          <w:b/>
          <w:color w:val="auto"/>
          <w:highlight w:val="none"/>
        </w:rPr>
        <w:t>合同的签订</w:t>
      </w:r>
    </w:p>
    <w:p>
      <w:pPr>
        <w:widowControl/>
        <w:shd w:val="clear" w:color="auto" w:fill="FFFFFF"/>
        <w:spacing w:line="360" w:lineRule="auto"/>
        <w:ind w:firstLine="480"/>
        <w:jc w:val="left"/>
        <w:rPr>
          <w:rFonts w:ascii="仿宋_GB2312" w:hAnsi="仿宋" w:eastAsia="仿宋_GB2312" w:cs="Arial"/>
          <w:color w:val="auto"/>
          <w:kern w:val="0"/>
          <w:sz w:val="24"/>
          <w:highlight w:val="none"/>
        </w:rPr>
      </w:pPr>
      <w:r>
        <w:rPr>
          <w:rFonts w:ascii="仿宋_GB2312" w:hAnsi="仿宋" w:eastAsia="仿宋_GB2312" w:cs="仿宋_GB2312"/>
          <w:color w:val="auto"/>
          <w:sz w:val="24"/>
          <w:highlight w:val="none"/>
        </w:rPr>
        <w:t>25.1</w:t>
      </w:r>
      <w:r>
        <w:rPr>
          <w:rFonts w:ascii="仿宋_GB2312" w:hAnsi="仿宋" w:eastAsia="仿宋_GB2312" w:cs="Arial"/>
          <w:color w:val="auto"/>
          <w:kern w:val="0"/>
          <w:sz w:val="24"/>
          <w:highlight w:val="none"/>
        </w:rPr>
        <w:t xml:space="preserve"> 采购人与中标人应当通过电子交易平台在中标通知书发出之日起三十日内，按照招标文件确定的事项签订政府采购合同，并在</w:t>
      </w:r>
      <w:r>
        <w:rPr>
          <w:rFonts w:hint="eastAsia" w:ascii="仿宋_GB2312" w:hAnsi="仿宋" w:eastAsia="仿宋_GB2312" w:cs="Arial"/>
          <w:color w:val="auto"/>
          <w:kern w:val="0"/>
          <w:sz w:val="24"/>
          <w:highlight w:val="none"/>
        </w:rPr>
        <w:t>合同签订之日起2个工作日</w:t>
      </w:r>
      <w:r>
        <w:rPr>
          <w:rFonts w:ascii="仿宋_GB2312" w:hAnsi="仿宋" w:eastAsia="仿宋_GB2312" w:cs="Arial"/>
          <w:color w:val="auto"/>
          <w:kern w:val="0"/>
          <w:sz w:val="24"/>
          <w:highlight w:val="none"/>
        </w:rPr>
        <w:t>内依法发布合同公告。</w:t>
      </w:r>
    </w:p>
    <w:p>
      <w:pPr>
        <w:pStyle w:val="131"/>
        <w:snapToGrid w:val="0"/>
        <w:spacing w:before="0"/>
        <w:ind w:firstLine="480"/>
        <w:rPr>
          <w:rFonts w:ascii="仿宋_GB2312" w:hAnsi="仿宋" w:eastAsia="仿宋_GB2312"/>
          <w:color w:val="auto"/>
          <w:kern w:val="0"/>
          <w:highlight w:val="none"/>
        </w:rPr>
      </w:pPr>
      <w:r>
        <w:rPr>
          <w:rFonts w:ascii="仿宋_GB2312" w:hAnsi="仿宋" w:eastAsia="仿宋_GB2312" w:cs="仿宋_GB2312"/>
          <w:color w:val="auto"/>
          <w:kern w:val="0"/>
          <w:highlight w:val="none"/>
          <w:lang w:val="zh-CN"/>
        </w:rPr>
        <w:t>25.2</w:t>
      </w:r>
      <w:r>
        <w:rPr>
          <w:rFonts w:hint="eastAsia" w:ascii="仿宋_GB2312" w:hAnsi="仿宋" w:eastAsia="仿宋_GB2312"/>
          <w:color w:val="auto"/>
          <w:kern w:val="0"/>
          <w:highlight w:val="none"/>
          <w:lang w:val="zh-CN"/>
        </w:rPr>
        <w:t>中标人按规定的日期、时间、地点，由法定代表人或其授权代表与采购人代表签订合同。如中标人为联合体的，由联合体成员各方法定代表人或其授权代表与采购人代表签订合同。</w:t>
      </w:r>
    </w:p>
    <w:p>
      <w:pPr>
        <w:pStyle w:val="131"/>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25.3如签订合同并生效后，供应商无故拒绝或延期，除按照合同条款处理外，列入不良行为记录一次，并给予通报。</w:t>
      </w:r>
    </w:p>
    <w:p>
      <w:pPr>
        <w:pStyle w:val="131"/>
        <w:snapToGrid w:val="0"/>
        <w:spacing w:before="0" w:after="12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25.</w:t>
      </w:r>
      <w:r>
        <w:rPr>
          <w:rFonts w:hint="eastAsia" w:ascii="仿宋_GB2312" w:hAnsi="仿宋" w:eastAsia="仿宋_GB2312" w:cs="仿宋_GB2312"/>
          <w:color w:val="auto"/>
          <w:highlight w:val="none"/>
        </w:rPr>
        <w:t>4</w:t>
      </w:r>
      <w:r>
        <w:rPr>
          <w:rFonts w:ascii="仿宋_GB2312" w:hAnsi="仿宋" w:eastAsia="仿宋_GB2312" w:cs="仿宋_GB2312"/>
          <w:color w:val="auto"/>
          <w:highlight w:val="none"/>
        </w:rPr>
        <w:t>采购合同由采购人与中标供应商根据</w:t>
      </w:r>
      <w:r>
        <w:rPr>
          <w:rFonts w:hint="eastAsia" w:ascii="仿宋_GB2312" w:hAnsi="仿宋" w:eastAsia="仿宋_GB2312" w:cs="仿宋_GB2312"/>
          <w:color w:val="auto"/>
          <w:highlight w:val="none"/>
        </w:rPr>
        <w:t>招标文件、投标文件等内容通过政府采购电子交易平台在线签订，并备案。</w:t>
      </w:r>
    </w:p>
    <w:p>
      <w:pPr>
        <w:pStyle w:val="28"/>
        <w:spacing w:line="360" w:lineRule="auto"/>
        <w:ind w:left="479" w:hanging="479" w:hangingChars="199"/>
        <w:rPr>
          <w:rFonts w:ascii="仿宋_GB2312" w:hAnsi="仿宋" w:eastAsia="仿宋_GB2312" w:cs="仿宋_GB2312"/>
          <w:b/>
          <w:color w:val="auto"/>
          <w:highlight w:val="none"/>
        </w:rPr>
      </w:pPr>
      <w:r>
        <w:rPr>
          <w:rFonts w:ascii="仿宋_GB2312" w:hAnsi="仿宋" w:eastAsia="仿宋_GB2312" w:cs="仿宋_GB2312"/>
          <w:b/>
          <w:color w:val="auto"/>
          <w:highlight w:val="none"/>
        </w:rPr>
        <w:t xml:space="preserve">26. </w:t>
      </w:r>
      <w:r>
        <w:rPr>
          <w:rFonts w:hint="eastAsia" w:ascii="仿宋_GB2312" w:hAnsi="仿宋" w:eastAsia="仿宋_GB2312" w:cs="仿宋_GB2312"/>
          <w:b/>
          <w:color w:val="auto"/>
          <w:highlight w:val="none"/>
        </w:rPr>
        <w:t>履约保证金</w:t>
      </w:r>
    </w:p>
    <w:p>
      <w:pPr>
        <w:tabs>
          <w:tab w:val="left" w:pos="0"/>
        </w:tabs>
        <w:spacing w:line="360" w:lineRule="auto"/>
        <w:ind w:firstLine="482"/>
        <w:rPr>
          <w:rFonts w:ascii="仿宋_GB2312" w:hAnsi="仿宋" w:eastAsia="仿宋_GB2312"/>
          <w:b/>
          <w:color w:val="auto"/>
          <w:sz w:val="24"/>
          <w:highlight w:val="none"/>
        </w:rPr>
      </w:pPr>
      <w:r>
        <w:rPr>
          <w:rFonts w:hint="eastAsia" w:ascii="仿宋_GB2312" w:hAnsi="仿宋" w:eastAsia="仿宋_GB2312" w:cs="Helvetica"/>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_GB2312" w:hAnsi="仿宋" w:eastAsia="仿宋_GB2312"/>
          <w:color w:val="auto"/>
          <w:sz w:val="24"/>
          <w:highlight w:val="none"/>
        </w:rPr>
        <w:t>。履约保证金的数额不得超过政府采购合同金额的</w:t>
      </w:r>
      <w:r>
        <w:rPr>
          <w:rFonts w:hint="eastAsia" w:ascii="仿宋_GB2312" w:hAnsi="仿宋" w:eastAsia="仿宋_GB2312"/>
          <w:color w:val="auto"/>
          <w:sz w:val="24"/>
          <w:highlight w:val="none"/>
          <w:lang w:val="en-US" w:eastAsia="zh-CN"/>
        </w:rPr>
        <w:t>1</w:t>
      </w:r>
      <w:r>
        <w:rPr>
          <w:rFonts w:ascii="仿宋_GB2312" w:hAnsi="仿宋" w:eastAsia="仿宋_GB2312"/>
          <w:color w:val="auto"/>
          <w:sz w:val="24"/>
          <w:highlight w:val="none"/>
        </w:rPr>
        <w:t>%。</w:t>
      </w:r>
      <w:r>
        <w:rPr>
          <w:rFonts w:hint="eastAsia" w:ascii="仿宋_GB2312" w:hAnsi="仿宋" w:eastAsia="仿宋_GB2312"/>
          <w:color w:val="auto"/>
          <w:sz w:val="24"/>
          <w:highlight w:val="none"/>
        </w:rPr>
        <w:t>鼓励和支持供应商以银行、保险公司出具的保函形式提供履约保证金。</w:t>
      </w:r>
      <w:r>
        <w:rPr>
          <w:rFonts w:hint="eastAsia" w:ascii="仿宋_GB2312" w:hAnsi="仿宋" w:eastAsia="仿宋_GB2312"/>
          <w:b/>
          <w:color w:val="auto"/>
          <w:sz w:val="24"/>
          <w:highlight w:val="none"/>
        </w:rPr>
        <w:t>采购人不得拒收履约保函。</w:t>
      </w:r>
    </w:p>
    <w:p>
      <w:pPr>
        <w:tabs>
          <w:tab w:val="left" w:pos="0"/>
        </w:tabs>
        <w:spacing w:line="360" w:lineRule="auto"/>
        <w:ind w:firstLine="482"/>
        <w:rPr>
          <w:rFonts w:ascii="仿宋_GB2312" w:hAnsi="仿宋" w:eastAsia="仿宋_GB2312" w:cs="Helvetica"/>
          <w:color w:val="auto"/>
          <w:kern w:val="0"/>
          <w:sz w:val="24"/>
          <w:highlight w:val="none"/>
        </w:rPr>
      </w:pPr>
      <w:r>
        <w:rPr>
          <w:rFonts w:hint="eastAsia" w:ascii="仿宋_GB2312" w:hAnsi="仿宋" w:eastAsia="仿宋_GB2312" w:cs="Helvetica"/>
          <w:color w:val="auto"/>
          <w:kern w:val="0"/>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napToGrid w:val="0"/>
        <w:spacing w:line="360" w:lineRule="auto"/>
        <w:ind w:firstLine="3357" w:firstLineChars="1045"/>
        <w:rPr>
          <w:rFonts w:ascii="仿宋_GB2312" w:hAnsi="仿宋" w:eastAsia="仿宋_GB2312" w:cs="仿宋_GB2312"/>
          <w:b/>
          <w:color w:val="auto"/>
          <w:sz w:val="32"/>
          <w:highlight w:val="none"/>
        </w:rPr>
      </w:pPr>
    </w:p>
    <w:p>
      <w:pPr>
        <w:snapToGrid w:val="0"/>
        <w:spacing w:line="360" w:lineRule="auto"/>
        <w:ind w:firstLine="3357" w:firstLineChars="1045"/>
        <w:rPr>
          <w:rFonts w:ascii="仿宋_GB2312" w:hAnsi="仿宋" w:eastAsia="仿宋_GB2312"/>
          <w:b/>
          <w:color w:val="auto"/>
          <w:sz w:val="24"/>
          <w:highlight w:val="none"/>
        </w:rPr>
      </w:pPr>
      <w:r>
        <w:rPr>
          <w:rFonts w:hint="eastAsia" w:ascii="仿宋_GB2312" w:hAnsi="仿宋" w:eastAsia="仿宋_GB2312" w:cs="仿宋_GB2312"/>
          <w:b/>
          <w:color w:val="auto"/>
          <w:sz w:val="32"/>
          <w:highlight w:val="none"/>
        </w:rPr>
        <w:t>八、电子交易活动的中止</w:t>
      </w:r>
    </w:p>
    <w:p>
      <w:pPr>
        <w:pStyle w:val="131"/>
        <w:snapToGrid w:val="0"/>
        <w:spacing w:before="0"/>
        <w:ind w:firstLine="0" w:firstLineChars="0"/>
        <w:rPr>
          <w:rFonts w:ascii="仿宋_GB2312" w:hAnsi="仿宋" w:eastAsia="仿宋_GB2312" w:cs="仿宋_GB2312"/>
          <w:color w:val="auto"/>
          <w:highlight w:val="none"/>
        </w:rPr>
      </w:pPr>
      <w:r>
        <w:rPr>
          <w:rFonts w:ascii="仿宋_GB2312" w:hAnsi="仿宋" w:eastAsia="仿宋_GB2312" w:cs="仿宋_GB2312"/>
          <w:color w:val="auto"/>
          <w:highlight w:val="none"/>
        </w:rPr>
        <w:t>2</w:t>
      </w:r>
      <w:r>
        <w:rPr>
          <w:rFonts w:ascii="仿宋_GB2312" w:hAnsi="仿宋" w:eastAsia="仿宋_GB2312" w:cs="仿宋_GB2312"/>
          <w:b/>
          <w:color w:val="auto"/>
          <w:szCs w:val="24"/>
          <w:highlight w:val="none"/>
        </w:rPr>
        <w:t xml:space="preserve">7. </w:t>
      </w:r>
      <w:r>
        <w:rPr>
          <w:rFonts w:hint="eastAsia" w:ascii="仿宋_GB2312" w:hAnsi="仿宋" w:eastAsia="仿宋_GB2312" w:cs="仿宋_GB2312"/>
          <w:b/>
          <w:color w:val="auto"/>
          <w:szCs w:val="24"/>
          <w:highlight w:val="none"/>
        </w:rPr>
        <w:t>电子交易活动的中止。</w:t>
      </w:r>
      <w:r>
        <w:rPr>
          <w:rFonts w:hint="eastAsia" w:ascii="仿宋_GB2312" w:hAnsi="仿宋" w:eastAsia="仿宋_GB2312" w:cs="仿宋_GB2312"/>
          <w:color w:val="auto"/>
          <w:highlight w:val="none"/>
        </w:rPr>
        <w:t>采购过程中出现以下情形，导致电子交易平台无法正常运行，或者无法保证电子交易的公平、公正和安全时，采购机构可中止电子交易活动：</w:t>
      </w:r>
    </w:p>
    <w:p>
      <w:pPr>
        <w:pStyle w:val="131"/>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 xml:space="preserve">27.1电子交易平台发生故障而无法登录访问的； </w:t>
      </w:r>
    </w:p>
    <w:p>
      <w:pPr>
        <w:pStyle w:val="131"/>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27.2电子交易平台应用或数据库出现错误，不能进行正常操作的；</w:t>
      </w:r>
    </w:p>
    <w:p>
      <w:pPr>
        <w:pStyle w:val="131"/>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27.3电子交易平台发现严重安全漏洞，有潜在泄密危险的；</w:t>
      </w:r>
    </w:p>
    <w:p>
      <w:pPr>
        <w:pStyle w:val="131"/>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 xml:space="preserve">27.4病毒发作导致不能进行正常操作的； </w:t>
      </w:r>
    </w:p>
    <w:p>
      <w:pPr>
        <w:pStyle w:val="131"/>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27.5其他无法保证电子交易的公平、公正和安全的情况。</w:t>
      </w:r>
    </w:p>
    <w:p>
      <w:pPr>
        <w:pStyle w:val="131"/>
        <w:snapToGrid w:val="0"/>
        <w:spacing w:before="0"/>
        <w:ind w:firstLine="0" w:firstLineChars="0"/>
        <w:rPr>
          <w:rFonts w:ascii="仿宋_GB2312" w:hAnsi="仿宋" w:eastAsia="仿宋_GB2312" w:cs="仿宋_GB2312"/>
          <w:color w:val="auto"/>
          <w:highlight w:val="none"/>
        </w:rPr>
      </w:pPr>
      <w:r>
        <w:rPr>
          <w:rFonts w:ascii="仿宋_GB2312" w:hAnsi="仿宋" w:eastAsia="仿宋_GB2312" w:cs="仿宋_GB2312"/>
          <w:color w:val="auto"/>
          <w:highlight w:val="none"/>
        </w:rPr>
        <w:t xml:space="preserve"> 28.出现以上情形，不影响采购公平、公正性的，采购组织机构可以待上述情形消除后继续组织电子交易活动；影响或可能影响采购公平、公正性的，应当重新采购。</w:t>
      </w:r>
    </w:p>
    <w:p>
      <w:pPr>
        <w:tabs>
          <w:tab w:val="left" w:pos="0"/>
        </w:tabs>
        <w:spacing w:line="360" w:lineRule="auto"/>
        <w:ind w:firstLine="480"/>
        <w:rPr>
          <w:rFonts w:ascii="仿宋_GB2312" w:hAnsi="仿宋" w:eastAsia="仿宋_GB2312"/>
          <w:color w:val="auto"/>
          <w:sz w:val="24"/>
          <w:highlight w:val="none"/>
        </w:rPr>
      </w:pPr>
    </w:p>
    <w:p>
      <w:pPr>
        <w:snapToGrid w:val="0"/>
        <w:spacing w:line="360" w:lineRule="auto"/>
        <w:ind w:left="120" w:leftChars="57" w:firstLine="482" w:firstLineChars="150"/>
        <w:jc w:val="center"/>
        <w:rPr>
          <w:rFonts w:ascii="仿宋_GB2312" w:hAnsi="仿宋" w:eastAsia="仿宋_GB2312" w:cs="仿宋_GB2312"/>
          <w:b/>
          <w:color w:val="auto"/>
          <w:sz w:val="32"/>
          <w:highlight w:val="none"/>
        </w:rPr>
      </w:pPr>
      <w:r>
        <w:rPr>
          <w:rFonts w:hint="eastAsia" w:ascii="仿宋_GB2312" w:hAnsi="仿宋" w:eastAsia="仿宋_GB2312" w:cs="仿宋_GB2312"/>
          <w:b/>
          <w:color w:val="auto"/>
          <w:sz w:val="32"/>
          <w:highlight w:val="none"/>
        </w:rPr>
        <w:t>九、验收</w:t>
      </w:r>
    </w:p>
    <w:p>
      <w:pPr>
        <w:pStyle w:val="28"/>
        <w:spacing w:line="360" w:lineRule="auto"/>
        <w:ind w:firstLine="0" w:firstLineChars="0"/>
        <w:rPr>
          <w:rFonts w:ascii="仿宋_GB2312" w:hAnsi="仿宋" w:eastAsia="仿宋_GB2312" w:cs="仿宋_GB2312"/>
          <w:b/>
          <w:color w:val="auto"/>
          <w:highlight w:val="none"/>
        </w:rPr>
      </w:pPr>
      <w:r>
        <w:rPr>
          <w:rFonts w:ascii="仿宋_GB2312" w:hAnsi="仿宋" w:eastAsia="仿宋_GB2312" w:cs="仿宋_GB2312"/>
          <w:b/>
          <w:color w:val="auto"/>
          <w:highlight w:val="none"/>
        </w:rPr>
        <w:t>29.验收</w:t>
      </w:r>
    </w:p>
    <w:p>
      <w:pPr>
        <w:tabs>
          <w:tab w:val="left" w:pos="0"/>
        </w:tabs>
        <w:spacing w:line="360" w:lineRule="auto"/>
        <w:ind w:firstLine="480"/>
        <w:rPr>
          <w:rFonts w:ascii="仿宋_GB2312" w:hAnsi="仿宋" w:eastAsia="仿宋_GB2312" w:cs="Helvetica"/>
          <w:color w:val="auto"/>
          <w:kern w:val="0"/>
          <w:sz w:val="24"/>
          <w:highlight w:val="none"/>
        </w:rPr>
      </w:pPr>
      <w:r>
        <w:rPr>
          <w:rFonts w:ascii="仿宋_GB2312" w:hAnsi="仿宋" w:eastAsia="仿宋_GB2312" w:cs="Helvetica"/>
          <w:color w:val="auto"/>
          <w:kern w:val="0"/>
          <w:sz w:val="24"/>
          <w:highlight w:val="none"/>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仿宋_GB2312" w:hAnsi="仿宋" w:eastAsia="仿宋_GB2312" w:cs="Helvetica"/>
          <w:color w:val="auto"/>
          <w:kern w:val="0"/>
          <w:sz w:val="24"/>
          <w:highlight w:val="none"/>
        </w:rPr>
      </w:pPr>
      <w:r>
        <w:rPr>
          <w:rFonts w:ascii="仿宋_GB2312" w:hAnsi="仿宋" w:eastAsia="仿宋_GB2312" w:cs="Helvetica"/>
          <w:color w:val="auto"/>
          <w:kern w:val="0"/>
          <w:sz w:val="24"/>
          <w:highlight w:val="none"/>
        </w:rPr>
        <w:t>29.2采购人可以邀请参加本项目的其他投标人或者第三方机构参与验收。参与验收的投标人或者第三方机构的意见作为</w:t>
      </w:r>
      <w:r>
        <w:rPr>
          <w:rFonts w:hint="eastAsia" w:ascii="仿宋_GB2312" w:hAnsi="仿宋" w:eastAsia="仿宋_GB2312" w:cs="Helvetica"/>
          <w:color w:val="auto"/>
          <w:kern w:val="0"/>
          <w:sz w:val="24"/>
          <w:highlight w:val="none"/>
        </w:rPr>
        <w:t>验收书的参考资料一并存档。</w:t>
      </w:r>
    </w:p>
    <w:p>
      <w:pPr>
        <w:tabs>
          <w:tab w:val="left" w:pos="0"/>
        </w:tabs>
        <w:spacing w:line="360" w:lineRule="auto"/>
        <w:ind w:firstLine="480"/>
        <w:rPr>
          <w:rFonts w:ascii="仿宋_GB2312" w:hAnsi="仿宋" w:eastAsia="仿宋_GB2312" w:cs="Helvetica"/>
          <w:color w:val="auto"/>
          <w:kern w:val="0"/>
          <w:sz w:val="24"/>
          <w:highlight w:val="none"/>
        </w:rPr>
      </w:pPr>
      <w:r>
        <w:rPr>
          <w:rFonts w:ascii="仿宋_GB2312" w:hAnsi="仿宋" w:eastAsia="仿宋_GB2312" w:cs="Helvetica"/>
          <w:color w:val="auto"/>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仿宋_GB2312" w:hAnsi="仿宋" w:eastAsia="仿宋_GB2312" w:cs="仿宋_GB2312"/>
          <w:color w:val="auto"/>
          <w:sz w:val="18"/>
          <w:szCs w:val="18"/>
          <w:highlight w:val="none"/>
        </w:rPr>
      </w:pPr>
      <w:r>
        <w:rPr>
          <w:rFonts w:ascii="仿宋_GB2312" w:hAnsi="仿宋" w:eastAsia="仿宋_GB2312" w:cs="Helvetica"/>
          <w:color w:val="auto"/>
          <w:kern w:val="0"/>
          <w:sz w:val="24"/>
          <w:highlight w:val="none"/>
        </w:rPr>
        <w:t>29.4验收合格的项目，采购人将根据采购合同的约定及时向供应商支付采购资金、退还</w:t>
      </w:r>
      <w:bookmarkStart w:id="460" w:name="_GoBack"/>
      <w:r>
        <w:rPr>
          <w:rFonts w:ascii="仿宋_GB2312" w:hAnsi="仿宋" w:eastAsia="仿宋_GB2312" w:cs="Helvetica"/>
          <w:color w:val="auto"/>
          <w:kern w:val="0"/>
          <w:sz w:val="24"/>
          <w:highlight w:val="none"/>
        </w:rPr>
        <w:t>履约</w:t>
      </w:r>
      <w:bookmarkEnd w:id="460"/>
      <w:r>
        <w:rPr>
          <w:rFonts w:ascii="仿宋_GB2312" w:hAnsi="仿宋" w:eastAsia="仿宋_GB2312" w:cs="Helvetica"/>
          <w:color w:val="auto"/>
          <w:kern w:val="0"/>
          <w:sz w:val="24"/>
          <w:highlight w:val="none"/>
        </w:rPr>
        <w:t>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34"/>
    <w:p>
      <w:pPr>
        <w:tabs>
          <w:tab w:val="left" w:pos="0"/>
        </w:tabs>
        <w:spacing w:line="360" w:lineRule="auto"/>
        <w:ind w:firstLine="480"/>
        <w:rPr>
          <w:rFonts w:ascii="仿宋_GB2312" w:hAnsi="仿宋" w:eastAsia="仿宋_GB2312" w:cs="Helvetica"/>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37" w:name="_Hlt68072990"/>
      <w:bookmarkEnd w:id="37"/>
      <w:bookmarkStart w:id="38" w:name="_Hlt74714665"/>
      <w:bookmarkEnd w:id="38"/>
      <w:bookmarkStart w:id="39" w:name="_Hlt68072998"/>
      <w:bookmarkEnd w:id="39"/>
      <w:bookmarkStart w:id="40" w:name="_Hlt74707468"/>
      <w:bookmarkEnd w:id="40"/>
      <w:bookmarkStart w:id="41" w:name="_Hlt68057669"/>
      <w:bookmarkEnd w:id="41"/>
      <w:bookmarkStart w:id="42" w:name="_Hlt75236290"/>
      <w:bookmarkEnd w:id="42"/>
      <w:bookmarkStart w:id="43" w:name="_Hlt75236011"/>
      <w:bookmarkEnd w:id="43"/>
      <w:bookmarkStart w:id="44" w:name="_Hlt74730295"/>
      <w:bookmarkEnd w:id="44"/>
      <w:bookmarkStart w:id="45" w:name="_Hlt74729768"/>
      <w:bookmarkEnd w:id="45"/>
      <w:bookmarkStart w:id="46" w:name="_Hlt68073093"/>
      <w:bookmarkEnd w:id="46"/>
      <w:bookmarkStart w:id="47" w:name="_Hlt68403820"/>
      <w:bookmarkEnd w:id="47"/>
      <w:bookmarkStart w:id="48" w:name="_Hlt75236101"/>
      <w:bookmarkEnd w:id="48"/>
    </w:p>
    <w:bookmarkEnd w:id="20"/>
    <w:bookmarkEnd w:id="21"/>
    <w:p>
      <w:pPr>
        <w:spacing w:line="360" w:lineRule="auto"/>
        <w:jc w:val="center"/>
        <w:outlineLvl w:val="0"/>
        <w:rPr>
          <w:rFonts w:ascii="仿宋" w:hAnsi="仿宋" w:eastAsia="仿宋" w:cs="仿宋"/>
          <w:b/>
          <w:color w:val="auto"/>
          <w:sz w:val="44"/>
          <w:szCs w:val="44"/>
          <w:highlight w:val="none"/>
        </w:rPr>
      </w:pPr>
      <w:bookmarkStart w:id="49" w:name="_Toc14727"/>
      <w:bookmarkStart w:id="50" w:name="_Toc2126"/>
      <w:bookmarkStart w:id="51" w:name="第四部分"/>
      <w:r>
        <w:rPr>
          <w:rFonts w:hint="eastAsia" w:ascii="仿宋" w:hAnsi="仿宋" w:eastAsia="仿宋" w:cs="仿宋"/>
          <w:b/>
          <w:color w:val="auto"/>
          <w:sz w:val="44"/>
          <w:szCs w:val="44"/>
          <w:highlight w:val="none"/>
        </w:rPr>
        <w:t>第三部分采购需求</w:t>
      </w:r>
      <w:bookmarkEnd w:id="49"/>
      <w:bookmarkEnd w:id="50"/>
    </w:p>
    <w:p>
      <w:pPr>
        <w:pStyle w:val="17"/>
        <w:rPr>
          <w:rFonts w:ascii="宋体" w:hAnsi="宋体" w:cs="宋体"/>
          <w:color w:val="auto"/>
          <w:szCs w:val="21"/>
          <w:highlight w:val="none"/>
        </w:rPr>
      </w:pPr>
    </w:p>
    <w:p>
      <w:pPr>
        <w:rPr>
          <w:rFonts w:ascii="宋体" w:hAnsi="宋体" w:cs="宋体"/>
          <w:color w:val="auto"/>
          <w:szCs w:val="21"/>
          <w:highlight w:val="none"/>
        </w:rPr>
      </w:pPr>
    </w:p>
    <w:p>
      <w:pPr>
        <w:pStyle w:val="3"/>
        <w:pageBreakBefore w:val="0"/>
        <w:widowControl w:val="0"/>
        <w:numPr>
          <w:ilvl w:val="0"/>
          <w:numId w:val="3"/>
        </w:numPr>
        <w:kinsoku/>
        <w:wordWrap/>
        <w:overflowPunct/>
        <w:topLinePunct w:val="0"/>
        <w:autoSpaceDE/>
        <w:autoSpaceDN/>
        <w:bidi w:val="0"/>
        <w:snapToGrid/>
        <w:spacing w:beforeLines="0" w:afterLines="0" w:line="240" w:lineRule="auto"/>
        <w:ind w:right="0" w:rightChars="0"/>
        <w:textAlignment w:val="auto"/>
        <w:rPr>
          <w:rFonts w:hint="eastAsia"/>
          <w:sz w:val="36"/>
        </w:rPr>
      </w:pPr>
      <w:r>
        <w:rPr>
          <w:rFonts w:hint="eastAsia"/>
          <w:sz w:val="36"/>
        </w:rPr>
        <w:t>技术参数要求</w:t>
      </w:r>
    </w:p>
    <w:p>
      <w:pPr>
        <w:pStyle w:val="4"/>
        <w:pageBreakBefore w:val="0"/>
        <w:widowControl w:val="0"/>
        <w:kinsoku/>
        <w:wordWrap/>
        <w:overflowPunct/>
        <w:topLinePunct w:val="0"/>
        <w:autoSpaceDE/>
        <w:autoSpaceDN/>
        <w:bidi w:val="0"/>
        <w:snapToGrid/>
        <w:spacing w:beforeLines="0" w:afterLines="0" w:line="240" w:lineRule="auto"/>
        <w:ind w:right="0" w:rightChars="0"/>
        <w:textAlignment w:val="auto"/>
        <w:rPr>
          <w:rFonts w:hint="eastAsia"/>
          <w:sz w:val="28"/>
        </w:rPr>
      </w:pPr>
      <w:r>
        <w:rPr>
          <w:rFonts w:hint="eastAsia"/>
          <w:sz w:val="28"/>
          <w:lang w:val="en-US" w:eastAsia="zh-CN"/>
        </w:rPr>
        <w:t>1、</w:t>
      </w:r>
      <w:r>
        <w:rPr>
          <w:rFonts w:hint="eastAsia"/>
          <w:sz w:val="28"/>
        </w:rPr>
        <w:t>AI摄像头（含AI算法）</w:t>
      </w:r>
      <w:r>
        <w:rPr>
          <w:rFonts w:hint="eastAsia"/>
          <w:sz w:val="28"/>
          <w:lang w:val="en-US" w:eastAsia="zh-CN"/>
        </w:rPr>
        <w:t>21台</w:t>
      </w:r>
    </w:p>
    <w:p>
      <w:pPr>
        <w:pStyle w:val="971"/>
        <w:numPr>
          <w:ilvl w:val="0"/>
          <w:numId w:val="4"/>
        </w:numPr>
        <w:ind w:firstLineChars="0"/>
      </w:pPr>
      <w:r>
        <w:t>感光面尺寸：1/2.7及以上</w:t>
      </w:r>
    </w:p>
    <w:p>
      <w:pPr>
        <w:pStyle w:val="971"/>
        <w:numPr>
          <w:ilvl w:val="0"/>
          <w:numId w:val="4"/>
        </w:numPr>
        <w:ind w:firstLineChars="0"/>
      </w:pPr>
      <w:r>
        <w:t>图像尺寸：5MP 2560(H)*1920(V)及以上</w:t>
      </w:r>
    </w:p>
    <w:p>
      <w:pPr>
        <w:pStyle w:val="971"/>
        <w:numPr>
          <w:ilvl w:val="0"/>
          <w:numId w:val="4"/>
        </w:numPr>
        <w:ind w:firstLineChars="0"/>
      </w:pPr>
      <w:r>
        <w:t>镜头视角：W端 ≥水平95°； T端 ≤水平33°</w:t>
      </w:r>
    </w:p>
    <w:p>
      <w:pPr>
        <w:pStyle w:val="971"/>
        <w:numPr>
          <w:ilvl w:val="0"/>
          <w:numId w:val="4"/>
        </w:numPr>
        <w:ind w:firstLineChars="0"/>
      </w:pPr>
      <w:r>
        <w:t>处理器：内置CPU、GPU、NPU一体化芯片</w:t>
      </w:r>
    </w:p>
    <w:p>
      <w:pPr>
        <w:pStyle w:val="971"/>
        <w:numPr>
          <w:ilvl w:val="0"/>
          <w:numId w:val="4"/>
        </w:numPr>
        <w:ind w:firstLineChars="0"/>
      </w:pPr>
      <w:r>
        <w:t>镜头：500W变焦镜头，2.8mm-12mm</w:t>
      </w:r>
    </w:p>
    <w:p>
      <w:pPr>
        <w:pStyle w:val="971"/>
        <w:numPr>
          <w:ilvl w:val="0"/>
          <w:numId w:val="4"/>
        </w:numPr>
        <w:ind w:firstLineChars="0"/>
      </w:pPr>
      <w:r>
        <w:t>补光：支持红外补光识别100米距离目标</w:t>
      </w:r>
    </w:p>
    <w:p>
      <w:pPr>
        <w:pStyle w:val="971"/>
        <w:numPr>
          <w:ilvl w:val="0"/>
          <w:numId w:val="4"/>
        </w:numPr>
        <w:ind w:firstLineChars="0"/>
      </w:pPr>
      <w:r>
        <w:t>电源：DC12V、PoE(IEEE 802.3af)</w:t>
      </w:r>
    </w:p>
    <w:p>
      <w:pPr>
        <w:pStyle w:val="971"/>
        <w:numPr>
          <w:ilvl w:val="0"/>
          <w:numId w:val="4"/>
        </w:numPr>
        <w:ind w:firstLineChars="0"/>
      </w:pPr>
      <w:r>
        <w:t>内存：DDR4 1.0GB</w:t>
      </w:r>
    </w:p>
    <w:p>
      <w:pPr>
        <w:pStyle w:val="971"/>
        <w:numPr>
          <w:ilvl w:val="0"/>
          <w:numId w:val="4"/>
        </w:numPr>
        <w:ind w:firstLineChars="0"/>
      </w:pPr>
      <w:r>
        <w:t>★智能编码：在同一静止场景相同图像质量情况下，H.265编码开启智能编码功能和不开启智能编码相比，码率节约85%（需提供第三方权威机构出具的检验检测报告）</w:t>
      </w:r>
    </w:p>
    <w:p>
      <w:pPr>
        <w:pStyle w:val="971"/>
        <w:numPr>
          <w:ilvl w:val="0"/>
          <w:numId w:val="4"/>
        </w:numPr>
        <w:ind w:firstLineChars="0"/>
      </w:pPr>
      <w:r>
        <w:t>最低照度：彩色:0.0002Lux(F1.6,AGC ON),黑白:0.0001Lux(F1.6,AGC ON),0Lux(红外开启)（需提供第三方权威机构出具的检验检测报告）</w:t>
      </w:r>
    </w:p>
    <w:p>
      <w:pPr>
        <w:pStyle w:val="971"/>
        <w:numPr>
          <w:ilvl w:val="0"/>
          <w:numId w:val="4"/>
        </w:numPr>
        <w:ind w:firstLineChars="0"/>
      </w:pPr>
      <w:r>
        <w:t>外部接口：SD接口支持最大容量 提供MicroSD卡插槽，支持MicroSDHC/MicroSDXC，支持最大容量256GB内存卡</w:t>
      </w:r>
    </w:p>
    <w:p>
      <w:pPr>
        <w:pStyle w:val="971"/>
        <w:numPr>
          <w:ilvl w:val="0"/>
          <w:numId w:val="4"/>
        </w:numPr>
        <w:ind w:firstLineChars="0"/>
      </w:pPr>
      <w:r>
        <w:t>音频输入接口：支持(1路LINE IN或1路外置MIC)</w:t>
      </w:r>
    </w:p>
    <w:p>
      <w:pPr>
        <w:pStyle w:val="971"/>
        <w:numPr>
          <w:ilvl w:val="0"/>
          <w:numId w:val="4"/>
        </w:numPr>
        <w:ind w:firstLineChars="0"/>
      </w:pPr>
      <w:r>
        <w:t>音频输出接口：支持(1路LINE OUT)</w:t>
      </w:r>
    </w:p>
    <w:p>
      <w:pPr>
        <w:pStyle w:val="971"/>
        <w:numPr>
          <w:ilvl w:val="0"/>
          <w:numId w:val="4"/>
        </w:numPr>
        <w:ind w:firstLineChars="0"/>
      </w:pPr>
      <w:r>
        <w:t>RS485接口：支持，1个半双工RS485接口</w:t>
      </w:r>
    </w:p>
    <w:p>
      <w:pPr>
        <w:pStyle w:val="971"/>
        <w:numPr>
          <w:ilvl w:val="0"/>
          <w:numId w:val="4"/>
        </w:numPr>
        <w:ind w:firstLineChars="0"/>
      </w:pPr>
      <w:r>
        <w:t>开关量接口：支持，2路输入/1路输出</w:t>
      </w:r>
    </w:p>
    <w:p>
      <w:pPr>
        <w:pStyle w:val="971"/>
        <w:numPr>
          <w:ilvl w:val="0"/>
          <w:numId w:val="4"/>
        </w:numPr>
        <w:ind w:firstLineChars="0"/>
      </w:pPr>
      <w:r>
        <w:t>以太网络接口：1个RJ45 10M/100M自适应以太网口</w:t>
      </w:r>
    </w:p>
    <w:p>
      <w:pPr>
        <w:pStyle w:val="971"/>
        <w:numPr>
          <w:ilvl w:val="0"/>
          <w:numId w:val="4"/>
        </w:numPr>
        <w:ind w:firstLineChars="0"/>
      </w:pPr>
      <w:r>
        <w:t>通信协议：GB/T 28181(2011，2016协议规格),SDK(私有协议),Rest API(私有协议),GA/T 1400</w:t>
      </w:r>
    </w:p>
    <w:p>
      <w:pPr>
        <w:pStyle w:val="971"/>
        <w:numPr>
          <w:ilvl w:val="0"/>
          <w:numId w:val="4"/>
        </w:numPr>
        <w:ind w:firstLineChars="0"/>
      </w:pPr>
      <w:r>
        <w:t>防护等级：IP67</w:t>
      </w:r>
    </w:p>
    <w:p>
      <w:pPr>
        <w:pStyle w:val="971"/>
        <w:numPr>
          <w:ilvl w:val="0"/>
          <w:numId w:val="4"/>
        </w:numPr>
        <w:ind w:firstLineChars="0"/>
      </w:pPr>
      <w:r>
        <w:t>★多算法切换：支持4种算法切换运行。（需提供第三方权威机构出具的检验检测报告）</w:t>
      </w:r>
    </w:p>
    <w:p>
      <w:pPr>
        <w:pStyle w:val="971"/>
        <w:numPr>
          <w:ilvl w:val="0"/>
          <w:numId w:val="4"/>
        </w:numPr>
        <w:ind w:firstLineChars="0"/>
      </w:pPr>
      <w:r>
        <w:t>★场景自适应：支持自动识别背光、运动速度、雾（雨）天、正常等场景，并能在＜1s的时间内快速自适应调整相应的图像参数。（需提供第三方权威机构出具的检验检测报告）</w:t>
      </w:r>
    </w:p>
    <w:p>
      <w:pPr>
        <w:pStyle w:val="971"/>
        <w:numPr>
          <w:ilvl w:val="0"/>
          <w:numId w:val="4"/>
        </w:numPr>
        <w:ind w:firstLineChars="0"/>
      </w:pPr>
      <w:r>
        <w:t>★软件定义：使用开放架构，支持快速集成智能算法或应用APP，智能算法或APP可以独立升级；支持智能算法模块动态加载，加载过程中，视频业务不中断。（需提供第三方权威机构出具的检验检测报告）</w:t>
      </w:r>
    </w:p>
    <w:p>
      <w:pPr>
        <w:pStyle w:val="971"/>
        <w:numPr>
          <w:ilvl w:val="0"/>
          <w:numId w:val="4"/>
        </w:numPr>
        <w:ind w:firstLineChars="0"/>
      </w:pPr>
      <w:r>
        <w:t>★图像质量诊断：支持图像诊断雪花、偏色、画面冻结、增益失衡、摄像机抖动、条纹噪声设置选项。（需提供第三方权威机构出具的检验检测报告）</w:t>
      </w:r>
    </w:p>
    <w:p>
      <w:pPr>
        <w:pStyle w:val="971"/>
        <w:numPr>
          <w:ilvl w:val="0"/>
          <w:numId w:val="4"/>
        </w:numPr>
        <w:ind w:firstLineChars="0"/>
      </w:pPr>
      <w:r>
        <w:t>行为分析：快速移动检测,越线检测,入侵检测,区域进入/离开检测,徘徊检测</w:t>
      </w:r>
    </w:p>
    <w:p>
      <w:pPr>
        <w:pStyle w:val="971"/>
        <w:numPr>
          <w:ilvl w:val="0"/>
          <w:numId w:val="4"/>
        </w:numPr>
        <w:ind w:firstLineChars="0"/>
      </w:pPr>
      <w:r>
        <w:t>目标检测：目标检测,目标属性检测,目标识别</w:t>
      </w:r>
    </w:p>
    <w:p>
      <w:pPr>
        <w:pStyle w:val="971"/>
        <w:numPr>
          <w:ilvl w:val="0"/>
          <w:numId w:val="4"/>
        </w:numPr>
        <w:ind w:firstLineChars="0"/>
      </w:pPr>
      <w:r>
        <w:t>设备防入侵检测：具有防入侵检测联动告警设置选项，具有网卡混杂模式检查、系统敏感文件检查、非法超级账户检测、僵尸网络检测、rootkit检测、程序白名单、挖矿恶意进程检测等设置选项。（需提供第三方权威机构出具的检验检测报告）</w:t>
      </w:r>
    </w:p>
    <w:p>
      <w:pPr>
        <w:pStyle w:val="971"/>
        <w:numPr>
          <w:ilvl w:val="0"/>
          <w:numId w:val="4"/>
        </w:numPr>
        <w:ind w:firstLineChars="0"/>
      </w:pPr>
      <w:r>
        <w:t>★设备安全启动功能：设备支持安全启动设置选项，具有在启动过程中，OS+应用软件逐级校验uboot的设置选项。（需提供第三方权威机构出具的检验检测报告）</w:t>
      </w:r>
    </w:p>
    <w:p>
      <w:pPr>
        <w:pStyle w:val="971"/>
        <w:pageBreakBefore w:val="0"/>
        <w:widowControl w:val="0"/>
        <w:numPr>
          <w:ilvl w:val="0"/>
          <w:numId w:val="4"/>
        </w:numPr>
        <w:kinsoku/>
        <w:wordWrap/>
        <w:overflowPunct/>
        <w:topLinePunct w:val="0"/>
        <w:autoSpaceDE/>
        <w:autoSpaceDN/>
        <w:bidi w:val="0"/>
        <w:snapToGrid/>
        <w:spacing w:beforeLines="0" w:afterLines="0" w:line="240" w:lineRule="auto"/>
        <w:ind w:right="0" w:rightChars="0" w:firstLineChars="0"/>
        <w:textAlignment w:val="auto"/>
        <w:rPr>
          <w:rFonts w:hint="eastAsia"/>
          <w:sz w:val="21"/>
        </w:rPr>
      </w:pPr>
      <w:r>
        <w:t>★医护穿戴检测：1. 设备支持内嵌医护穿戴检测智能算法，监测医护人员的穿戴是否符合医护穿戴要求，未规范穿戴医护服、医护帽、口罩等防护装备时发出提示;2.可设置多个防区，支持至少16个防区的设置，支持多边形防区设置，多边形防区可设置至少32个边;3.算法不受光线、水雾、灰尘、阴影、摄像机抖动影响，检测率（召回率）97%+，平均每天每百路视频的误报次数不超过10次。</w:t>
      </w:r>
    </w:p>
    <w:p>
      <w:pPr>
        <w:pStyle w:val="4"/>
        <w:pageBreakBefore w:val="0"/>
        <w:widowControl w:val="0"/>
        <w:kinsoku/>
        <w:wordWrap/>
        <w:overflowPunct/>
        <w:topLinePunct w:val="0"/>
        <w:autoSpaceDE/>
        <w:autoSpaceDN/>
        <w:bidi w:val="0"/>
        <w:snapToGrid/>
        <w:spacing w:beforeLines="0" w:afterLines="0" w:line="240" w:lineRule="auto"/>
        <w:ind w:right="0" w:rightChars="0"/>
        <w:textAlignment w:val="auto"/>
        <w:rPr>
          <w:rFonts w:hint="eastAsia"/>
          <w:sz w:val="28"/>
        </w:rPr>
      </w:pPr>
      <w:r>
        <w:rPr>
          <w:rFonts w:hint="eastAsia"/>
          <w:sz w:val="28"/>
          <w:lang w:val="en-US" w:eastAsia="zh-CN"/>
        </w:rPr>
        <w:t>2、</w:t>
      </w:r>
      <w:r>
        <w:rPr>
          <w:rFonts w:hint="eastAsia"/>
          <w:sz w:val="28"/>
        </w:rPr>
        <w:t>8T生安眼终端（含AI算法）</w:t>
      </w:r>
      <w:r>
        <w:rPr>
          <w:rFonts w:hint="eastAsia"/>
          <w:sz w:val="28"/>
          <w:lang w:val="en-US" w:eastAsia="zh-CN"/>
        </w:rPr>
        <w:t>5台</w:t>
      </w:r>
    </w:p>
    <w:p>
      <w:pPr>
        <w:pStyle w:val="971"/>
        <w:numPr>
          <w:ilvl w:val="0"/>
          <w:numId w:val="5"/>
        </w:numPr>
        <w:ind w:firstLineChars="0"/>
      </w:pPr>
      <w:r>
        <w:rPr>
          <w:rFonts w:hint="eastAsia"/>
        </w:rPr>
        <w:t>尺寸</w:t>
      </w:r>
      <w:r>
        <w:t>：≤长500mm*宽430mm*高285mm</w:t>
      </w:r>
    </w:p>
    <w:p>
      <w:pPr>
        <w:pStyle w:val="971"/>
        <w:numPr>
          <w:ilvl w:val="0"/>
          <w:numId w:val="5"/>
        </w:numPr>
        <w:ind w:firstLineChars="0"/>
      </w:pPr>
      <w:r>
        <w:rPr>
          <w:rFonts w:hint="eastAsia"/>
        </w:rPr>
        <w:t>工作温度</w:t>
      </w:r>
      <w:r>
        <w:t>：-10℃～55℃</w:t>
      </w:r>
    </w:p>
    <w:p>
      <w:pPr>
        <w:pStyle w:val="971"/>
        <w:numPr>
          <w:ilvl w:val="0"/>
          <w:numId w:val="5"/>
        </w:numPr>
        <w:ind w:firstLineChars="0"/>
      </w:pPr>
      <w:r>
        <w:rPr>
          <w:rFonts w:hint="eastAsia"/>
        </w:rPr>
        <w:t>存储温度</w:t>
      </w:r>
      <w:r>
        <w:t>：-20℃～60℃</w:t>
      </w:r>
    </w:p>
    <w:p>
      <w:pPr>
        <w:pStyle w:val="971"/>
        <w:numPr>
          <w:ilvl w:val="0"/>
          <w:numId w:val="5"/>
        </w:numPr>
        <w:ind w:firstLineChars="0"/>
      </w:pPr>
      <w:r>
        <w:rPr>
          <w:rFonts w:hint="eastAsia"/>
        </w:rPr>
        <w:t>湿度</w:t>
      </w:r>
      <w:r>
        <w:t>：10%～90%RH（无结冰、无凝露）</w:t>
      </w:r>
    </w:p>
    <w:p>
      <w:pPr>
        <w:pStyle w:val="971"/>
        <w:numPr>
          <w:ilvl w:val="0"/>
          <w:numId w:val="5"/>
        </w:numPr>
        <w:ind w:firstLineChars="0"/>
      </w:pPr>
      <w:r>
        <w:rPr>
          <w:rFonts w:hint="eastAsia"/>
        </w:rPr>
        <w:t>供电电压</w:t>
      </w:r>
      <w:r>
        <w:t>：AC220V±10%(50HZ±5%)</w:t>
      </w:r>
    </w:p>
    <w:p>
      <w:pPr>
        <w:pStyle w:val="971"/>
        <w:numPr>
          <w:ilvl w:val="0"/>
          <w:numId w:val="5"/>
        </w:numPr>
        <w:ind w:firstLineChars="0"/>
      </w:pPr>
      <w:r>
        <w:rPr>
          <w:rFonts w:hint="eastAsia" w:ascii="宋体" w:hAnsi="宋体"/>
          <w:szCs w:val="21"/>
        </w:rPr>
        <w:t>★</w:t>
      </w:r>
      <w:r>
        <w:rPr>
          <w:rFonts w:hint="eastAsia"/>
        </w:rPr>
        <w:t>屏幕</w:t>
      </w:r>
      <w:r>
        <w:t>：</w:t>
      </w:r>
      <w:r>
        <w:rPr>
          <w:rFonts w:hint="eastAsia"/>
        </w:rPr>
        <w:t>≥</w:t>
      </w:r>
      <w:r>
        <w:t>10英寸工业级屏幕</w:t>
      </w:r>
      <w:r>
        <w:rPr>
          <w:rFonts w:hint="eastAsia"/>
        </w:rPr>
        <w:t>，具备实时显示实验室人员进出统计功能，可对环境监测、设备设施、人员违规、风险管控进行实时预警展示，支持对实验室视频监管区域进行实时视频预览并支持不同监管区域的一键切换。（需提供不少于</w:t>
      </w:r>
      <w:r>
        <w:t>3</w:t>
      </w:r>
      <w:r>
        <w:rPr>
          <w:rFonts w:hint="eastAsia"/>
        </w:rPr>
        <w:t>张的体现产品功能的实际应用图片）</w:t>
      </w:r>
    </w:p>
    <w:p>
      <w:pPr>
        <w:pStyle w:val="971"/>
        <w:numPr>
          <w:ilvl w:val="0"/>
          <w:numId w:val="5"/>
        </w:numPr>
        <w:ind w:firstLineChars="0"/>
      </w:pPr>
      <w:r>
        <w:rPr>
          <w:rFonts w:hint="eastAsia"/>
        </w:rPr>
        <w:t>设备重启时间</w:t>
      </w:r>
      <w:r>
        <w:t>：≤120S</w:t>
      </w:r>
    </w:p>
    <w:p>
      <w:pPr>
        <w:pStyle w:val="971"/>
        <w:numPr>
          <w:ilvl w:val="0"/>
          <w:numId w:val="5"/>
        </w:numPr>
        <w:ind w:firstLineChars="0"/>
      </w:pPr>
      <w:r>
        <w:rPr>
          <w:rFonts w:hint="eastAsia"/>
        </w:rPr>
        <w:t>操作系统</w:t>
      </w:r>
      <w:r>
        <w:t>：Linux</w:t>
      </w:r>
    </w:p>
    <w:p>
      <w:pPr>
        <w:pStyle w:val="971"/>
        <w:numPr>
          <w:ilvl w:val="0"/>
          <w:numId w:val="5"/>
        </w:numPr>
        <w:ind w:firstLineChars="0"/>
      </w:pPr>
      <w:r>
        <w:rPr>
          <w:rFonts w:hint="eastAsia"/>
        </w:rPr>
        <w:t>主板</w:t>
      </w:r>
      <w:r>
        <w:t>：专业工业主板</w:t>
      </w:r>
    </w:p>
    <w:p>
      <w:pPr>
        <w:pStyle w:val="971"/>
        <w:numPr>
          <w:ilvl w:val="0"/>
          <w:numId w:val="5"/>
        </w:numPr>
        <w:ind w:firstLineChars="0"/>
      </w:pPr>
      <w:r>
        <w:t>CPU</w:t>
      </w:r>
      <w:r>
        <w:rPr>
          <w:rFonts w:hint="eastAsia"/>
        </w:rPr>
        <w:t>：</w:t>
      </w:r>
      <w:r>
        <w:t>主频</w:t>
      </w:r>
      <w:r>
        <w:rPr>
          <w:rFonts w:hint="eastAsia"/>
        </w:rPr>
        <w:t>≥</w:t>
      </w:r>
      <w:r>
        <w:t>2.6GHz 睿频</w:t>
      </w:r>
      <w:r>
        <w:rPr>
          <w:rFonts w:hint="eastAsia"/>
        </w:rPr>
        <w:t>≥</w:t>
      </w:r>
      <w:r>
        <w:t>4.4GHz</w:t>
      </w:r>
    </w:p>
    <w:p>
      <w:pPr>
        <w:pStyle w:val="971"/>
        <w:numPr>
          <w:ilvl w:val="0"/>
          <w:numId w:val="5"/>
        </w:numPr>
        <w:ind w:firstLineChars="0"/>
      </w:pPr>
      <w:r>
        <w:rPr>
          <w:rFonts w:hint="eastAsia"/>
        </w:rPr>
        <w:t>内存</w:t>
      </w:r>
      <w:r>
        <w:t>：</w:t>
      </w:r>
      <w:r>
        <w:rPr>
          <w:rFonts w:hint="eastAsia"/>
        </w:rPr>
        <w:t>≥</w:t>
      </w:r>
      <w:r>
        <w:t>16G</w:t>
      </w:r>
    </w:p>
    <w:p>
      <w:pPr>
        <w:pStyle w:val="971"/>
        <w:numPr>
          <w:ilvl w:val="0"/>
          <w:numId w:val="5"/>
        </w:numPr>
        <w:ind w:firstLineChars="0"/>
      </w:pPr>
      <w:r>
        <w:rPr>
          <w:rFonts w:hint="eastAsia"/>
        </w:rPr>
        <w:t>储存</w:t>
      </w:r>
      <w:r>
        <w:t>：</w:t>
      </w:r>
      <w:r>
        <w:rPr>
          <w:rFonts w:hint="eastAsia"/>
        </w:rPr>
        <w:t>≥</w:t>
      </w:r>
      <w:r>
        <w:t>256G固态硬盘</w:t>
      </w:r>
      <w:r>
        <w:rPr>
          <w:rFonts w:hint="eastAsia"/>
        </w:rPr>
        <w:t>；≥</w:t>
      </w:r>
      <w:r>
        <w:t>1T企业级存储RAID1配置</w:t>
      </w:r>
    </w:p>
    <w:p>
      <w:pPr>
        <w:pStyle w:val="971"/>
        <w:numPr>
          <w:ilvl w:val="0"/>
          <w:numId w:val="5"/>
        </w:numPr>
        <w:ind w:firstLineChars="0"/>
      </w:pPr>
      <w:r>
        <w:rPr>
          <w:rFonts w:hint="eastAsia"/>
        </w:rPr>
        <w:t>网络</w:t>
      </w:r>
      <w:r>
        <w:t>：</w:t>
      </w:r>
      <w:r>
        <w:rPr>
          <w:rFonts w:hint="eastAsia"/>
        </w:rPr>
        <w:t>不低于</w:t>
      </w:r>
      <w:r>
        <w:t>2个千兆网卡，1个WAN口、3个LAN口</w:t>
      </w:r>
    </w:p>
    <w:p>
      <w:pPr>
        <w:pStyle w:val="971"/>
        <w:numPr>
          <w:ilvl w:val="0"/>
          <w:numId w:val="5"/>
        </w:numPr>
        <w:ind w:firstLineChars="0"/>
      </w:pPr>
      <w:r>
        <w:rPr>
          <w:rFonts w:hint="eastAsia"/>
        </w:rPr>
        <w:t>网络录像模块</w:t>
      </w:r>
      <w:r>
        <w:t>：</w:t>
      </w:r>
      <w:r>
        <w:rPr>
          <w:rFonts w:hint="eastAsia"/>
        </w:rPr>
        <w:t>≥</w:t>
      </w:r>
      <w:r>
        <w:t>8T专业监控硬盘；支持</w:t>
      </w:r>
      <w:r>
        <w:rPr>
          <w:rFonts w:hint="eastAsia"/>
        </w:rPr>
        <w:t>≥</w:t>
      </w:r>
      <w:r>
        <w:t>2路网络录像机接入，支持H265编码</w:t>
      </w:r>
    </w:p>
    <w:p>
      <w:pPr>
        <w:pStyle w:val="971"/>
        <w:numPr>
          <w:ilvl w:val="0"/>
          <w:numId w:val="5"/>
        </w:numPr>
        <w:ind w:firstLineChars="0"/>
      </w:pPr>
      <w:r>
        <w:rPr>
          <w:rFonts w:hint="eastAsia" w:ascii="宋体" w:hAnsi="宋体"/>
          <w:szCs w:val="21"/>
        </w:rPr>
        <w:t>★</w:t>
      </w:r>
      <w:r>
        <w:rPr>
          <w:rFonts w:hint="eastAsia"/>
        </w:rPr>
        <w:t>视频分析</w:t>
      </w:r>
      <w:r>
        <w:t>AI模块：支持防护服、面罩、手套、护目镜、口罩算法</w:t>
      </w:r>
      <w:r>
        <w:rPr>
          <w:rFonts w:hint="eastAsia"/>
        </w:rPr>
        <w:t>，可对违规行为进行A</w:t>
      </w:r>
      <w:r>
        <w:t>I</w:t>
      </w:r>
      <w:r>
        <w:rPr>
          <w:rFonts w:hint="eastAsia"/>
        </w:rPr>
        <w:t>识别预警。</w:t>
      </w:r>
    </w:p>
    <w:p>
      <w:pPr>
        <w:pStyle w:val="971"/>
        <w:numPr>
          <w:ilvl w:val="0"/>
          <w:numId w:val="5"/>
        </w:numPr>
        <w:ind w:firstLineChars="0"/>
      </w:pPr>
      <w:r>
        <w:rPr>
          <w:rFonts w:hint="eastAsia"/>
        </w:rPr>
        <w:t>★</w:t>
      </w:r>
      <w:r>
        <w:t>AI准确率</w:t>
      </w:r>
      <w:r>
        <w:rPr>
          <w:rFonts w:hint="eastAsia"/>
        </w:rPr>
        <w:t>：</w:t>
      </w:r>
      <w:r>
        <w:t xml:space="preserve">AI准确率90%以上，异常告警错误率5%以下 </w:t>
      </w:r>
    </w:p>
    <w:p>
      <w:pPr>
        <w:pStyle w:val="971"/>
        <w:numPr>
          <w:ilvl w:val="0"/>
          <w:numId w:val="5"/>
        </w:numPr>
        <w:ind w:firstLineChars="0"/>
      </w:pPr>
      <w:r>
        <w:rPr>
          <w:rFonts w:hint="eastAsia"/>
        </w:rPr>
        <w:t>★</w:t>
      </w:r>
      <w:r>
        <w:t>检测任务</w:t>
      </w:r>
      <w:r>
        <w:rPr>
          <w:rFonts w:hint="eastAsia"/>
        </w:rPr>
        <w:t>：</w:t>
      </w:r>
      <w:r>
        <w:t>支持2路检测任务</w:t>
      </w:r>
    </w:p>
    <w:p>
      <w:pPr>
        <w:pStyle w:val="971"/>
        <w:numPr>
          <w:ilvl w:val="0"/>
          <w:numId w:val="5"/>
        </w:numPr>
        <w:ind w:firstLineChars="0"/>
      </w:pPr>
      <w:r>
        <w:rPr>
          <w:rFonts w:hint="eastAsia"/>
        </w:rPr>
        <w:t>功耗</w:t>
      </w:r>
      <w:r>
        <w:t>：≤600W</w:t>
      </w:r>
    </w:p>
    <w:p>
      <w:pPr>
        <w:pStyle w:val="971"/>
        <w:numPr>
          <w:ilvl w:val="0"/>
          <w:numId w:val="5"/>
        </w:numPr>
        <w:ind w:firstLineChars="0"/>
      </w:pPr>
      <w:r>
        <w:rPr>
          <w:rFonts w:hint="eastAsia"/>
        </w:rPr>
        <w:t>可靠性</w:t>
      </w:r>
      <w:r>
        <w:t>：具备7*24小时工作可靠性，年故障时间小于0.5天</w:t>
      </w:r>
    </w:p>
    <w:p>
      <w:pPr>
        <w:pStyle w:val="971"/>
        <w:numPr>
          <w:ilvl w:val="0"/>
          <w:numId w:val="5"/>
        </w:numPr>
        <w:ind w:firstLineChars="0"/>
      </w:pPr>
      <w:r>
        <w:rPr>
          <w:rFonts w:hint="eastAsia"/>
        </w:rPr>
        <w:t>★开箱监测：具备双人双锁，开箱监测功能</w:t>
      </w:r>
      <w:r>
        <w:t>模块</w:t>
      </w:r>
      <w:r>
        <w:rPr>
          <w:rFonts w:hint="eastAsia"/>
        </w:rPr>
        <w:t>；未经授权的开箱行为自动形成告警信息（需提供不少于</w:t>
      </w:r>
      <w:r>
        <w:t>5</w:t>
      </w:r>
      <w:r>
        <w:rPr>
          <w:rFonts w:hint="eastAsia"/>
        </w:rPr>
        <w:t>张的体现产品功能的实际应用图片）。</w:t>
      </w:r>
    </w:p>
    <w:p>
      <w:pPr>
        <w:pStyle w:val="971"/>
        <w:numPr>
          <w:ilvl w:val="0"/>
          <w:numId w:val="5"/>
        </w:numPr>
        <w:ind w:firstLineChars="0"/>
      </w:pPr>
      <w:r>
        <w:rPr>
          <w:rFonts w:hint="eastAsia"/>
        </w:rPr>
        <w:t>★</w:t>
      </w:r>
      <w:r>
        <w:t>系统</w:t>
      </w:r>
      <w:r>
        <w:rPr>
          <w:rFonts w:hint="eastAsia"/>
        </w:rPr>
        <w:t>自检：具备自动检测硬件状态、各接入设备状态和各监控组件情况的功能。（需提供不少于</w:t>
      </w:r>
      <w:r>
        <w:t>2</w:t>
      </w:r>
      <w:r>
        <w:rPr>
          <w:rFonts w:hint="eastAsia"/>
        </w:rPr>
        <w:t>张的体现产品功能的实际应用图片）。</w:t>
      </w:r>
    </w:p>
    <w:p>
      <w:pPr>
        <w:pStyle w:val="971"/>
        <w:numPr>
          <w:ilvl w:val="0"/>
          <w:numId w:val="5"/>
        </w:numPr>
        <w:ind w:firstLineChars="0"/>
      </w:pPr>
      <w:r>
        <w:rPr>
          <w:rFonts w:hint="eastAsia"/>
        </w:rPr>
        <w:t>机箱状态监控：监管终端内置霍尔传感器、陀螺仪、温湿度传感器和控制单元，实时监测机箱闭合状态、机箱倾斜角度和温湿度等环境参数。</w:t>
      </w:r>
    </w:p>
    <w:p>
      <w:pPr>
        <w:pStyle w:val="971"/>
        <w:numPr>
          <w:ilvl w:val="0"/>
          <w:numId w:val="5"/>
        </w:numPr>
        <w:ind w:firstLineChars="0"/>
      </w:pPr>
      <w:r>
        <w:rPr>
          <w:rFonts w:hint="eastAsia"/>
        </w:rPr>
        <w:t>信息展示：监管系统</w:t>
      </w:r>
      <w:r>
        <w:t>首页显示最新的门禁解锁记录、最新AI告警信息和最近5条环境告警信息</w:t>
      </w:r>
    </w:p>
    <w:p>
      <w:pPr>
        <w:pStyle w:val="971"/>
        <w:numPr>
          <w:ilvl w:val="0"/>
          <w:numId w:val="5"/>
        </w:numPr>
        <w:ind w:firstLineChars="0"/>
      </w:pPr>
      <w:r>
        <w:t>环境安全监控</w:t>
      </w:r>
      <w:r>
        <w:rPr>
          <w:rFonts w:hint="eastAsia"/>
        </w:rPr>
        <w:t>：具备</w:t>
      </w:r>
      <w:r>
        <w:t>显示实时环境信息和待处理的环境告警</w:t>
      </w:r>
      <w:r>
        <w:rPr>
          <w:rFonts w:hint="eastAsia"/>
        </w:rPr>
        <w:t>功能</w:t>
      </w:r>
    </w:p>
    <w:p>
      <w:pPr>
        <w:pStyle w:val="971"/>
        <w:numPr>
          <w:ilvl w:val="0"/>
          <w:numId w:val="5"/>
        </w:numPr>
        <w:ind w:firstLineChars="0"/>
      </w:pPr>
      <w:r>
        <w:t>环境状态</w:t>
      </w:r>
      <w:r>
        <w:rPr>
          <w:rFonts w:hint="eastAsia"/>
        </w:rPr>
        <w:t>：</w:t>
      </w:r>
      <w:r>
        <w:t>展示实时环境参数，</w:t>
      </w:r>
      <w:r>
        <w:rPr>
          <w:rFonts w:hint="eastAsia"/>
        </w:rPr>
        <w:t>具有</w:t>
      </w:r>
      <w:r>
        <w:t>“正常”、“异常”和“离线”三种状态</w:t>
      </w:r>
      <w:r>
        <w:rPr>
          <w:rFonts w:hint="eastAsia"/>
        </w:rPr>
        <w:t>展示功能；</w:t>
      </w:r>
      <w:r>
        <w:t>可按照测点名称对环境信息进行模糊查询</w:t>
      </w:r>
      <w:r>
        <w:rPr>
          <w:rFonts w:hint="eastAsia"/>
        </w:rPr>
        <w:t>；支持</w:t>
      </w:r>
      <w:r>
        <w:t>查看不同时间段的数据曲线</w:t>
      </w:r>
      <w:r>
        <w:rPr>
          <w:rFonts w:hint="eastAsia"/>
        </w:rPr>
        <w:t>；支持</w:t>
      </w:r>
      <w:r>
        <w:t>异常数据记录导出至表格或打印</w:t>
      </w:r>
    </w:p>
    <w:p>
      <w:pPr>
        <w:pStyle w:val="971"/>
        <w:numPr>
          <w:ilvl w:val="0"/>
          <w:numId w:val="5"/>
        </w:numPr>
        <w:ind w:firstLineChars="0"/>
      </w:pPr>
      <w:bookmarkStart w:id="52" w:name="_Toc114055967"/>
      <w:r>
        <w:rPr>
          <w:rFonts w:hint="eastAsia"/>
        </w:rPr>
        <w:t>环境</w:t>
      </w:r>
      <w:r>
        <w:t>告警</w:t>
      </w:r>
      <w:bookmarkEnd w:id="52"/>
      <w:r>
        <w:rPr>
          <w:rFonts w:hint="eastAsia"/>
        </w:rPr>
        <w:t>：</w:t>
      </w:r>
      <w:r>
        <w:t>环境数值超过测点规定数值时，产生环境告警记录。异常告警列表显示所有未处理的环境告警</w:t>
      </w:r>
      <w:r>
        <w:rPr>
          <w:rFonts w:hint="eastAsia"/>
        </w:rPr>
        <w:t>信息。</w:t>
      </w:r>
      <w:r>
        <w:t>可按照设备编码对环境告警记录进行模糊搜索。</w:t>
      </w:r>
    </w:p>
    <w:p>
      <w:pPr>
        <w:pStyle w:val="971"/>
        <w:numPr>
          <w:ilvl w:val="0"/>
          <w:numId w:val="5"/>
        </w:numPr>
        <w:ind w:firstLineChars="0"/>
      </w:pPr>
      <w:r>
        <w:rPr>
          <w:rFonts w:hint="eastAsia"/>
        </w:rPr>
        <w:t>门禁出入记录：</w:t>
      </w:r>
      <w:r>
        <w:t>显示实验室所有房间的门禁解锁记录</w:t>
      </w:r>
      <w:r>
        <w:rPr>
          <w:rFonts w:hint="eastAsia"/>
        </w:rPr>
        <w:t>，</w:t>
      </w:r>
      <w:r>
        <w:t>可按照发生时间、验证结果、进出方向、设备sn、人员姓名、人员编码和房间名称对记录列表进行模糊搜索</w:t>
      </w:r>
      <w:r>
        <w:rPr>
          <w:rFonts w:hint="eastAsia"/>
        </w:rPr>
        <w:t>。支持</w:t>
      </w:r>
      <w:r>
        <w:t>门禁记录导出至表格或打印</w:t>
      </w:r>
      <w:r>
        <w:rPr>
          <w:rFonts w:hint="eastAsia"/>
        </w:rPr>
        <w:t>。</w:t>
      </w:r>
    </w:p>
    <w:p>
      <w:pPr>
        <w:pStyle w:val="971"/>
        <w:numPr>
          <w:ilvl w:val="0"/>
          <w:numId w:val="5"/>
        </w:numPr>
        <w:ind w:firstLineChars="0"/>
      </w:pPr>
      <w:r>
        <w:rPr>
          <w:rFonts w:hint="eastAsia"/>
        </w:rPr>
        <w:t>门禁</w:t>
      </w:r>
      <w:r>
        <w:t>人员权限</w:t>
      </w:r>
      <w:r>
        <w:rPr>
          <w:rFonts w:hint="eastAsia"/>
        </w:rPr>
        <w:t>：</w:t>
      </w:r>
      <w:r>
        <w:t>可按照人员编号和人员姓名对人员列表进行模糊搜索</w:t>
      </w:r>
      <w:r>
        <w:rPr>
          <w:rFonts w:hint="eastAsia"/>
        </w:rPr>
        <w:t>，支持</w:t>
      </w:r>
      <w:r>
        <w:t>人员</w:t>
      </w:r>
      <w:r>
        <w:rPr>
          <w:rFonts w:hint="eastAsia"/>
        </w:rPr>
        <w:t>信息</w:t>
      </w:r>
      <w:r>
        <w:t>导出至表格或打印</w:t>
      </w:r>
      <w:r>
        <w:rPr>
          <w:rFonts w:hint="eastAsia"/>
        </w:rPr>
        <w:t>；支持对列表中的人员</w:t>
      </w:r>
      <w:r>
        <w:t>从其所在房间的所有门禁设备上</w:t>
      </w:r>
      <w:r>
        <w:rPr>
          <w:rFonts w:hint="eastAsia"/>
        </w:rPr>
        <w:t>进行删除。</w:t>
      </w:r>
      <w:bookmarkStart w:id="53" w:name="_Hlk116933546"/>
      <w:r>
        <w:rPr>
          <w:rFonts w:hint="eastAsia"/>
        </w:rPr>
        <w:t>该功能需提供不少于</w:t>
      </w:r>
      <w:r>
        <w:t>3</w:t>
      </w:r>
      <w:r>
        <w:rPr>
          <w:rFonts w:hint="eastAsia"/>
        </w:rPr>
        <w:t>张的体现产品功能的实际应用图片。</w:t>
      </w:r>
      <w:bookmarkEnd w:id="53"/>
    </w:p>
    <w:p>
      <w:pPr>
        <w:pStyle w:val="971"/>
        <w:numPr>
          <w:ilvl w:val="0"/>
          <w:numId w:val="5"/>
        </w:numPr>
        <w:ind w:firstLineChars="0"/>
      </w:pPr>
      <w:r>
        <w:t>AI视频监控</w:t>
      </w:r>
      <w:r>
        <w:rPr>
          <w:rFonts w:hint="eastAsia"/>
        </w:rPr>
        <w:t>：</w:t>
      </w:r>
      <w:r>
        <w:t>实时监控显示所有检测任务的实时画面</w:t>
      </w:r>
      <w:r>
        <w:rPr>
          <w:rFonts w:hint="eastAsia"/>
        </w:rPr>
        <w:t>，支持</w:t>
      </w:r>
      <w:r>
        <w:t>切换实时画面的排列方式；</w:t>
      </w:r>
    </w:p>
    <w:p>
      <w:pPr>
        <w:pStyle w:val="971"/>
        <w:numPr>
          <w:ilvl w:val="0"/>
          <w:numId w:val="5"/>
        </w:numPr>
        <w:ind w:firstLineChars="0"/>
      </w:pPr>
      <w:r>
        <w:rPr>
          <w:rFonts w:hint="eastAsia"/>
        </w:rPr>
        <w:t>★</w:t>
      </w:r>
      <w:r>
        <w:t>AI监控</w:t>
      </w:r>
      <w:r>
        <w:rPr>
          <w:rFonts w:hint="eastAsia"/>
        </w:rPr>
        <w:t>异常列表：显示所有不符合检测任务标准的异常情况，可按照发生时间、房间名称和报警行为对异常列表进行模糊搜索（需提供不少于</w:t>
      </w:r>
      <w:r>
        <w:t>3</w:t>
      </w:r>
      <w:r>
        <w:rPr>
          <w:rFonts w:hint="eastAsia"/>
        </w:rPr>
        <w:t>张的体现产品功能的实际应用图片）。</w:t>
      </w:r>
    </w:p>
    <w:p>
      <w:pPr>
        <w:pStyle w:val="971"/>
        <w:numPr>
          <w:ilvl w:val="0"/>
          <w:numId w:val="5"/>
        </w:numPr>
        <w:ind w:firstLineChars="0"/>
      </w:pPr>
      <w:r>
        <w:rPr>
          <w:rFonts w:hint="eastAsia"/>
        </w:rPr>
        <w:t>★</w:t>
      </w:r>
      <w:r>
        <w:t>设备管理</w:t>
      </w:r>
      <w:r>
        <w:rPr>
          <w:rFonts w:hint="eastAsia"/>
        </w:rPr>
        <w:t>：具备对</w:t>
      </w:r>
      <w:r>
        <w:t>门禁设备、环境一体机设备、NVR设备和AI盒子设备的添加、修改</w:t>
      </w:r>
      <w:r>
        <w:rPr>
          <w:rFonts w:hint="eastAsia"/>
        </w:rPr>
        <w:t>、删除</w:t>
      </w:r>
      <w:r>
        <w:t>功能</w:t>
      </w:r>
      <w:r>
        <w:rPr>
          <w:rFonts w:hint="eastAsia"/>
        </w:rPr>
        <w:t>；</w:t>
      </w:r>
      <w:r>
        <w:t>可按照设备编号和设备名称对设备列表进行模糊搜索</w:t>
      </w:r>
      <w:r>
        <w:rPr>
          <w:rFonts w:hint="eastAsia"/>
        </w:rPr>
        <w:t>（需提供不少于</w:t>
      </w:r>
      <w:r>
        <w:t>3</w:t>
      </w:r>
      <w:r>
        <w:rPr>
          <w:rFonts w:hint="eastAsia"/>
        </w:rPr>
        <w:t>张的体现产品功能的实际应用图片）。</w:t>
      </w:r>
    </w:p>
    <w:p>
      <w:pPr>
        <w:pStyle w:val="971"/>
        <w:pageBreakBefore w:val="0"/>
        <w:widowControl w:val="0"/>
        <w:numPr>
          <w:ilvl w:val="0"/>
          <w:numId w:val="5"/>
        </w:numPr>
        <w:kinsoku/>
        <w:wordWrap/>
        <w:overflowPunct/>
        <w:topLinePunct w:val="0"/>
        <w:autoSpaceDE/>
        <w:autoSpaceDN/>
        <w:bidi w:val="0"/>
        <w:snapToGrid/>
        <w:spacing w:beforeLines="0" w:afterLines="0" w:line="240" w:lineRule="auto"/>
        <w:ind w:right="0" w:rightChars="0" w:firstLineChars="0"/>
        <w:textAlignment w:val="auto"/>
        <w:rPr>
          <w:rFonts w:hint="eastAsia"/>
          <w:sz w:val="21"/>
        </w:rPr>
      </w:pPr>
      <w:r>
        <w:rPr>
          <w:rFonts w:hint="eastAsia"/>
        </w:rPr>
        <w:t>系统管理：可对实验室内房间进行规划；可对房间内的测点进行添加、修改和删除操作；可查看生安眼系统平台端为终端分配的实验室信息。</w:t>
      </w:r>
    </w:p>
    <w:p>
      <w:pPr>
        <w:pStyle w:val="4"/>
        <w:pageBreakBefore w:val="0"/>
        <w:widowControl w:val="0"/>
        <w:kinsoku/>
        <w:wordWrap/>
        <w:overflowPunct/>
        <w:topLinePunct w:val="0"/>
        <w:autoSpaceDE/>
        <w:autoSpaceDN/>
        <w:bidi w:val="0"/>
        <w:snapToGrid/>
        <w:spacing w:beforeLines="0" w:afterLines="0" w:line="240" w:lineRule="auto"/>
        <w:ind w:right="0" w:rightChars="0"/>
        <w:textAlignment w:val="auto"/>
        <w:rPr>
          <w:rFonts w:hint="eastAsia"/>
          <w:sz w:val="28"/>
        </w:rPr>
      </w:pPr>
      <w:r>
        <w:rPr>
          <w:rFonts w:hint="eastAsia"/>
          <w:sz w:val="28"/>
          <w:lang w:val="en-US" w:eastAsia="zh-CN"/>
        </w:rPr>
        <w:t>3、</w:t>
      </w:r>
      <w:r>
        <w:rPr>
          <w:rFonts w:hint="eastAsia"/>
          <w:sz w:val="28"/>
        </w:rPr>
        <w:t>16T生安眼终端（含AI算法）</w:t>
      </w:r>
      <w:r>
        <w:rPr>
          <w:rFonts w:hint="eastAsia"/>
          <w:sz w:val="28"/>
          <w:lang w:val="en-US" w:eastAsia="zh-CN"/>
        </w:rPr>
        <w:t>1台</w:t>
      </w:r>
    </w:p>
    <w:p>
      <w:pPr>
        <w:pStyle w:val="971"/>
        <w:numPr>
          <w:ilvl w:val="0"/>
          <w:numId w:val="6"/>
        </w:numPr>
        <w:ind w:firstLineChars="0"/>
      </w:pPr>
      <w:r>
        <w:rPr>
          <w:rFonts w:hint="eastAsia"/>
        </w:rPr>
        <w:t>尺寸</w:t>
      </w:r>
      <w:r>
        <w:t>：≤长500mm*宽430mm*高285mm</w:t>
      </w:r>
    </w:p>
    <w:p>
      <w:pPr>
        <w:pStyle w:val="971"/>
        <w:numPr>
          <w:ilvl w:val="0"/>
          <w:numId w:val="6"/>
        </w:numPr>
        <w:ind w:firstLineChars="0"/>
      </w:pPr>
      <w:r>
        <w:rPr>
          <w:rFonts w:hint="eastAsia"/>
        </w:rPr>
        <w:t>工作温度</w:t>
      </w:r>
      <w:r>
        <w:t>：-10℃～55℃</w:t>
      </w:r>
    </w:p>
    <w:p>
      <w:pPr>
        <w:pStyle w:val="971"/>
        <w:numPr>
          <w:ilvl w:val="0"/>
          <w:numId w:val="6"/>
        </w:numPr>
        <w:ind w:firstLineChars="0"/>
      </w:pPr>
      <w:r>
        <w:rPr>
          <w:rFonts w:hint="eastAsia"/>
        </w:rPr>
        <w:t>存储温度</w:t>
      </w:r>
      <w:r>
        <w:t>：-20℃～60℃</w:t>
      </w:r>
    </w:p>
    <w:p>
      <w:pPr>
        <w:pStyle w:val="971"/>
        <w:numPr>
          <w:ilvl w:val="0"/>
          <w:numId w:val="6"/>
        </w:numPr>
        <w:ind w:firstLineChars="0"/>
      </w:pPr>
      <w:r>
        <w:rPr>
          <w:rFonts w:hint="eastAsia"/>
        </w:rPr>
        <w:t>湿度</w:t>
      </w:r>
      <w:r>
        <w:t>：10%～90%RH（无结冰、无凝露）</w:t>
      </w:r>
    </w:p>
    <w:p>
      <w:pPr>
        <w:pStyle w:val="971"/>
        <w:numPr>
          <w:ilvl w:val="0"/>
          <w:numId w:val="6"/>
        </w:numPr>
        <w:ind w:firstLineChars="0"/>
      </w:pPr>
      <w:r>
        <w:rPr>
          <w:rFonts w:hint="eastAsia"/>
        </w:rPr>
        <w:t>供电电压</w:t>
      </w:r>
      <w:r>
        <w:t>：AC220V±10%(50HZ±5%)</w:t>
      </w:r>
    </w:p>
    <w:p>
      <w:pPr>
        <w:pStyle w:val="971"/>
        <w:numPr>
          <w:ilvl w:val="0"/>
          <w:numId w:val="6"/>
        </w:numPr>
        <w:ind w:firstLineChars="0"/>
      </w:pPr>
      <w:r>
        <w:rPr>
          <w:rFonts w:hint="eastAsia" w:ascii="宋体" w:hAnsi="宋体"/>
          <w:szCs w:val="21"/>
        </w:rPr>
        <w:t>★</w:t>
      </w:r>
      <w:r>
        <w:rPr>
          <w:rFonts w:hint="eastAsia"/>
        </w:rPr>
        <w:t>屏幕</w:t>
      </w:r>
      <w:r>
        <w:t>：</w:t>
      </w:r>
      <w:r>
        <w:rPr>
          <w:rFonts w:hint="eastAsia"/>
        </w:rPr>
        <w:t>≥</w:t>
      </w:r>
      <w:r>
        <w:t>10英寸工业级屏幕</w:t>
      </w:r>
      <w:r>
        <w:rPr>
          <w:rFonts w:hint="eastAsia"/>
        </w:rPr>
        <w:t>，具备实时显示实验室人员进出统计功能，可对环境监测、设备设施、人员违规、风险管控进行实时预警展示，支持对实验室视频监管区域进行实时视频预览并支持不同监管区域的一键切换。（需提供不少于</w:t>
      </w:r>
      <w:r>
        <w:t>3</w:t>
      </w:r>
      <w:r>
        <w:rPr>
          <w:rFonts w:hint="eastAsia"/>
        </w:rPr>
        <w:t>张的体现产品功能的实际应用图片）</w:t>
      </w:r>
    </w:p>
    <w:p>
      <w:pPr>
        <w:pStyle w:val="971"/>
        <w:numPr>
          <w:ilvl w:val="0"/>
          <w:numId w:val="6"/>
        </w:numPr>
        <w:ind w:firstLineChars="0"/>
      </w:pPr>
      <w:r>
        <w:rPr>
          <w:rFonts w:hint="eastAsia"/>
        </w:rPr>
        <w:t>设备重启时间</w:t>
      </w:r>
      <w:r>
        <w:t>：≤120S</w:t>
      </w:r>
    </w:p>
    <w:p>
      <w:pPr>
        <w:pStyle w:val="971"/>
        <w:numPr>
          <w:ilvl w:val="0"/>
          <w:numId w:val="6"/>
        </w:numPr>
        <w:ind w:firstLineChars="0"/>
      </w:pPr>
      <w:r>
        <w:rPr>
          <w:rFonts w:hint="eastAsia"/>
        </w:rPr>
        <w:t>操作系统</w:t>
      </w:r>
      <w:r>
        <w:t>：Linux</w:t>
      </w:r>
    </w:p>
    <w:p>
      <w:pPr>
        <w:pStyle w:val="971"/>
        <w:numPr>
          <w:ilvl w:val="0"/>
          <w:numId w:val="6"/>
        </w:numPr>
        <w:ind w:firstLineChars="0"/>
      </w:pPr>
      <w:r>
        <w:rPr>
          <w:rFonts w:hint="eastAsia"/>
        </w:rPr>
        <w:t>主板</w:t>
      </w:r>
      <w:r>
        <w:t>：专业工业主板</w:t>
      </w:r>
    </w:p>
    <w:p>
      <w:pPr>
        <w:pStyle w:val="971"/>
        <w:numPr>
          <w:ilvl w:val="0"/>
          <w:numId w:val="6"/>
        </w:numPr>
        <w:ind w:firstLineChars="0"/>
      </w:pPr>
      <w:r>
        <w:t>CPU</w:t>
      </w:r>
      <w:r>
        <w:rPr>
          <w:rFonts w:hint="eastAsia"/>
        </w:rPr>
        <w:t>：</w:t>
      </w:r>
      <w:r>
        <w:t>主频</w:t>
      </w:r>
      <w:r>
        <w:rPr>
          <w:rFonts w:hint="eastAsia"/>
        </w:rPr>
        <w:t>≥</w:t>
      </w:r>
      <w:r>
        <w:t>2.9GHz 睿频</w:t>
      </w:r>
      <w:r>
        <w:rPr>
          <w:rFonts w:hint="eastAsia"/>
        </w:rPr>
        <w:t>≥</w:t>
      </w:r>
      <w:r>
        <w:t>4.8GHz</w:t>
      </w:r>
    </w:p>
    <w:p>
      <w:pPr>
        <w:pStyle w:val="971"/>
        <w:numPr>
          <w:ilvl w:val="0"/>
          <w:numId w:val="6"/>
        </w:numPr>
        <w:ind w:firstLineChars="0"/>
      </w:pPr>
      <w:r>
        <w:rPr>
          <w:rFonts w:hint="eastAsia"/>
        </w:rPr>
        <w:t>内存</w:t>
      </w:r>
      <w:r>
        <w:t>：</w:t>
      </w:r>
      <w:r>
        <w:rPr>
          <w:rFonts w:hint="eastAsia"/>
        </w:rPr>
        <w:t>≥</w:t>
      </w:r>
      <w:r>
        <w:t>32G</w:t>
      </w:r>
    </w:p>
    <w:p>
      <w:pPr>
        <w:pStyle w:val="971"/>
        <w:numPr>
          <w:ilvl w:val="0"/>
          <w:numId w:val="6"/>
        </w:numPr>
        <w:ind w:firstLineChars="0"/>
      </w:pPr>
      <w:r>
        <w:rPr>
          <w:rFonts w:hint="eastAsia"/>
        </w:rPr>
        <w:t>储存</w:t>
      </w:r>
      <w:r>
        <w:t>：</w:t>
      </w:r>
      <w:r>
        <w:rPr>
          <w:rFonts w:hint="eastAsia"/>
        </w:rPr>
        <w:t>≥</w:t>
      </w:r>
      <w:r>
        <w:t>256G固态硬盘</w:t>
      </w:r>
      <w:r>
        <w:rPr>
          <w:rFonts w:hint="eastAsia"/>
        </w:rPr>
        <w:t>；≥</w:t>
      </w:r>
      <w:r>
        <w:t>1T企业级存储RAID1配置</w:t>
      </w:r>
    </w:p>
    <w:p>
      <w:pPr>
        <w:pStyle w:val="971"/>
        <w:numPr>
          <w:ilvl w:val="0"/>
          <w:numId w:val="6"/>
        </w:numPr>
        <w:ind w:firstLineChars="0"/>
      </w:pPr>
      <w:r>
        <w:rPr>
          <w:rFonts w:hint="eastAsia"/>
        </w:rPr>
        <w:t>网络</w:t>
      </w:r>
      <w:r>
        <w:t>：2个千兆网卡，1个WAN口、3个LAN口</w:t>
      </w:r>
    </w:p>
    <w:p>
      <w:pPr>
        <w:pStyle w:val="971"/>
        <w:numPr>
          <w:ilvl w:val="0"/>
          <w:numId w:val="6"/>
        </w:numPr>
        <w:ind w:firstLineChars="0"/>
      </w:pPr>
      <w:r>
        <w:rPr>
          <w:rFonts w:hint="eastAsia"/>
        </w:rPr>
        <w:t>网络录像模块</w:t>
      </w:r>
      <w:r>
        <w:t>：</w:t>
      </w:r>
      <w:r>
        <w:rPr>
          <w:rFonts w:hint="eastAsia"/>
        </w:rPr>
        <w:t>≥</w:t>
      </w:r>
      <w:r>
        <w:t>16T企业级硬盘；支持</w:t>
      </w:r>
      <w:r>
        <w:rPr>
          <w:rFonts w:hint="eastAsia"/>
        </w:rPr>
        <w:t>≥</w:t>
      </w:r>
      <w:r>
        <w:t>4路网络录像机接入，支持H265编码</w:t>
      </w:r>
    </w:p>
    <w:p>
      <w:pPr>
        <w:pStyle w:val="971"/>
        <w:numPr>
          <w:ilvl w:val="0"/>
          <w:numId w:val="6"/>
        </w:numPr>
        <w:ind w:firstLineChars="0"/>
      </w:pPr>
      <w:r>
        <w:rPr>
          <w:rFonts w:hint="eastAsia" w:ascii="宋体" w:hAnsi="宋体"/>
          <w:szCs w:val="21"/>
        </w:rPr>
        <w:t>★</w:t>
      </w:r>
      <w:r>
        <w:rPr>
          <w:rFonts w:hint="eastAsia"/>
        </w:rPr>
        <w:t>视频分析</w:t>
      </w:r>
      <w:r>
        <w:t>AI模块：支持防护服、面罩、手套、护目镜、口罩算法</w:t>
      </w:r>
      <w:r>
        <w:rPr>
          <w:rFonts w:hint="eastAsia"/>
        </w:rPr>
        <w:t>，可对违规行为进行A</w:t>
      </w:r>
      <w:r>
        <w:t>I</w:t>
      </w:r>
      <w:r>
        <w:rPr>
          <w:rFonts w:hint="eastAsia"/>
        </w:rPr>
        <w:t>识别预警。</w:t>
      </w:r>
    </w:p>
    <w:p>
      <w:pPr>
        <w:pStyle w:val="971"/>
        <w:numPr>
          <w:ilvl w:val="0"/>
          <w:numId w:val="6"/>
        </w:numPr>
        <w:ind w:firstLineChars="0"/>
      </w:pPr>
      <w:r>
        <w:rPr>
          <w:rFonts w:hint="eastAsia"/>
        </w:rPr>
        <w:t>★</w:t>
      </w:r>
      <w:r>
        <w:t>AI准确率</w:t>
      </w:r>
      <w:r>
        <w:rPr>
          <w:rFonts w:hint="eastAsia"/>
        </w:rPr>
        <w:t>：</w:t>
      </w:r>
      <w:r>
        <w:t xml:space="preserve">AI准确率90%以上，异常告警错误率5%以下 </w:t>
      </w:r>
    </w:p>
    <w:p>
      <w:pPr>
        <w:pStyle w:val="971"/>
        <w:numPr>
          <w:ilvl w:val="0"/>
          <w:numId w:val="6"/>
        </w:numPr>
        <w:ind w:firstLineChars="0"/>
      </w:pPr>
      <w:r>
        <w:rPr>
          <w:rFonts w:hint="eastAsia"/>
        </w:rPr>
        <w:t>★</w:t>
      </w:r>
      <w:r>
        <w:t>检测任务</w:t>
      </w:r>
      <w:r>
        <w:rPr>
          <w:rFonts w:hint="eastAsia"/>
        </w:rPr>
        <w:t>：</w:t>
      </w:r>
      <w:r>
        <w:t>支持4路检测任务</w:t>
      </w:r>
    </w:p>
    <w:p>
      <w:pPr>
        <w:pStyle w:val="971"/>
        <w:numPr>
          <w:ilvl w:val="0"/>
          <w:numId w:val="6"/>
        </w:numPr>
        <w:ind w:firstLineChars="0"/>
      </w:pPr>
      <w:r>
        <w:rPr>
          <w:rFonts w:hint="eastAsia"/>
        </w:rPr>
        <w:t>功耗</w:t>
      </w:r>
      <w:r>
        <w:t>：≤600W</w:t>
      </w:r>
    </w:p>
    <w:p>
      <w:pPr>
        <w:pStyle w:val="971"/>
        <w:numPr>
          <w:ilvl w:val="0"/>
          <w:numId w:val="6"/>
        </w:numPr>
        <w:ind w:firstLineChars="0"/>
      </w:pPr>
      <w:r>
        <w:rPr>
          <w:rFonts w:hint="eastAsia"/>
        </w:rPr>
        <w:t>可靠性</w:t>
      </w:r>
      <w:r>
        <w:t>：具备7*24小时工作可靠性，年故障时间小于0.5天</w:t>
      </w:r>
    </w:p>
    <w:p>
      <w:pPr>
        <w:pStyle w:val="971"/>
        <w:numPr>
          <w:ilvl w:val="0"/>
          <w:numId w:val="6"/>
        </w:numPr>
        <w:ind w:firstLineChars="0"/>
      </w:pPr>
      <w:r>
        <w:rPr>
          <w:rFonts w:hint="eastAsia"/>
        </w:rPr>
        <w:t>★开箱监测：具备双人双锁，开箱监测功能</w:t>
      </w:r>
      <w:r>
        <w:t>模块</w:t>
      </w:r>
      <w:r>
        <w:rPr>
          <w:rFonts w:hint="eastAsia"/>
        </w:rPr>
        <w:t>；未经授权的开箱行为自动形成告警信息（需提供不少于</w:t>
      </w:r>
      <w:r>
        <w:t>5</w:t>
      </w:r>
      <w:r>
        <w:rPr>
          <w:rFonts w:hint="eastAsia"/>
        </w:rPr>
        <w:t>张的体现产品功能的实际应用图片）。</w:t>
      </w:r>
    </w:p>
    <w:p>
      <w:pPr>
        <w:pStyle w:val="971"/>
        <w:numPr>
          <w:ilvl w:val="0"/>
          <w:numId w:val="6"/>
        </w:numPr>
        <w:ind w:firstLineChars="0"/>
      </w:pPr>
      <w:r>
        <w:rPr>
          <w:rFonts w:hint="eastAsia"/>
        </w:rPr>
        <w:t>★</w:t>
      </w:r>
      <w:r>
        <w:t>系统</w:t>
      </w:r>
      <w:r>
        <w:rPr>
          <w:rFonts w:hint="eastAsia"/>
        </w:rPr>
        <w:t>自检：具备自动检测硬件状态、各接入设备状态和各监控组件情况的功能。（需提供不少于</w:t>
      </w:r>
      <w:r>
        <w:t>2</w:t>
      </w:r>
      <w:r>
        <w:rPr>
          <w:rFonts w:hint="eastAsia"/>
        </w:rPr>
        <w:t>张的体现产品功能的实际应用图片）。</w:t>
      </w:r>
    </w:p>
    <w:p>
      <w:pPr>
        <w:pStyle w:val="971"/>
        <w:numPr>
          <w:ilvl w:val="0"/>
          <w:numId w:val="6"/>
        </w:numPr>
        <w:ind w:firstLineChars="0"/>
      </w:pPr>
      <w:r>
        <w:rPr>
          <w:rFonts w:hint="eastAsia"/>
        </w:rPr>
        <w:t>机箱状态监控：监管终端内置霍尔传感器、陀螺仪、温湿度传感器和控制单元，实时监测机箱闭合状态、机箱倾斜角度和温湿度等环境参数。</w:t>
      </w:r>
    </w:p>
    <w:p>
      <w:pPr>
        <w:pStyle w:val="971"/>
        <w:numPr>
          <w:ilvl w:val="0"/>
          <w:numId w:val="6"/>
        </w:numPr>
        <w:ind w:firstLineChars="0"/>
      </w:pPr>
      <w:r>
        <w:rPr>
          <w:rFonts w:hint="eastAsia"/>
        </w:rPr>
        <w:t>信息展示：监管系统</w:t>
      </w:r>
      <w:r>
        <w:t>首页显示最新的门禁解锁记录、最新AI告警信息和最近5条环境告警信息</w:t>
      </w:r>
    </w:p>
    <w:p>
      <w:pPr>
        <w:pStyle w:val="971"/>
        <w:numPr>
          <w:ilvl w:val="0"/>
          <w:numId w:val="6"/>
        </w:numPr>
        <w:ind w:firstLineChars="0"/>
      </w:pPr>
      <w:r>
        <w:t>环境安全监控</w:t>
      </w:r>
      <w:r>
        <w:rPr>
          <w:rFonts w:hint="eastAsia"/>
        </w:rPr>
        <w:t>：具备</w:t>
      </w:r>
      <w:r>
        <w:t>显示实时环境信息和待处理的环境告警</w:t>
      </w:r>
      <w:r>
        <w:rPr>
          <w:rFonts w:hint="eastAsia"/>
        </w:rPr>
        <w:t>功能</w:t>
      </w:r>
    </w:p>
    <w:p>
      <w:pPr>
        <w:pStyle w:val="971"/>
        <w:numPr>
          <w:ilvl w:val="0"/>
          <w:numId w:val="6"/>
        </w:numPr>
        <w:ind w:firstLineChars="0"/>
      </w:pPr>
      <w:r>
        <w:t>环境状态</w:t>
      </w:r>
      <w:r>
        <w:rPr>
          <w:rFonts w:hint="eastAsia"/>
        </w:rPr>
        <w:t>：</w:t>
      </w:r>
      <w:r>
        <w:t>展示实时环境参数，</w:t>
      </w:r>
      <w:r>
        <w:rPr>
          <w:rFonts w:hint="eastAsia"/>
        </w:rPr>
        <w:t>具有</w:t>
      </w:r>
      <w:r>
        <w:t>“正常”、“异常”和“离线”三种状态</w:t>
      </w:r>
      <w:r>
        <w:rPr>
          <w:rFonts w:hint="eastAsia"/>
        </w:rPr>
        <w:t>展示功能；</w:t>
      </w:r>
      <w:r>
        <w:t>可按照测点名称对环境信息进行模糊查询</w:t>
      </w:r>
      <w:r>
        <w:rPr>
          <w:rFonts w:hint="eastAsia"/>
        </w:rPr>
        <w:t>；支持</w:t>
      </w:r>
      <w:r>
        <w:t>查看不同时间段的数据曲线</w:t>
      </w:r>
      <w:r>
        <w:rPr>
          <w:rFonts w:hint="eastAsia"/>
        </w:rPr>
        <w:t>；支持</w:t>
      </w:r>
      <w:r>
        <w:t>异常数据记录导出至表格或打印</w:t>
      </w:r>
    </w:p>
    <w:p>
      <w:pPr>
        <w:pStyle w:val="971"/>
        <w:numPr>
          <w:ilvl w:val="0"/>
          <w:numId w:val="6"/>
        </w:numPr>
        <w:ind w:firstLineChars="0"/>
      </w:pPr>
      <w:r>
        <w:rPr>
          <w:rFonts w:hint="eastAsia"/>
        </w:rPr>
        <w:t>环境</w:t>
      </w:r>
      <w:r>
        <w:t>告警</w:t>
      </w:r>
      <w:r>
        <w:rPr>
          <w:rFonts w:hint="eastAsia"/>
        </w:rPr>
        <w:t>：</w:t>
      </w:r>
      <w:r>
        <w:t>环境数值超过测点规定数值时，产生环境告警记录。异常告警列表显示所有未处理的环境告警</w:t>
      </w:r>
      <w:r>
        <w:rPr>
          <w:rFonts w:hint="eastAsia"/>
        </w:rPr>
        <w:t>信息。</w:t>
      </w:r>
      <w:r>
        <w:t>可按照设备编码对环境告警记录进行模糊搜索。</w:t>
      </w:r>
    </w:p>
    <w:p>
      <w:pPr>
        <w:pStyle w:val="971"/>
        <w:numPr>
          <w:ilvl w:val="0"/>
          <w:numId w:val="6"/>
        </w:numPr>
        <w:ind w:firstLineChars="0"/>
      </w:pPr>
      <w:r>
        <w:rPr>
          <w:rFonts w:hint="eastAsia"/>
        </w:rPr>
        <w:t>门禁出入记录：</w:t>
      </w:r>
      <w:r>
        <w:t>显示实验室所有房间的门禁解锁记录</w:t>
      </w:r>
      <w:r>
        <w:rPr>
          <w:rFonts w:hint="eastAsia"/>
        </w:rPr>
        <w:t>，</w:t>
      </w:r>
      <w:r>
        <w:t>可按照发生时间、验证结果、进出方向、设备sn、人员姓名、人员编码和房间名称对记录列表进行模糊搜索</w:t>
      </w:r>
      <w:r>
        <w:rPr>
          <w:rFonts w:hint="eastAsia"/>
        </w:rPr>
        <w:t>。支持</w:t>
      </w:r>
      <w:r>
        <w:t>门禁记录导出至表格或打印</w:t>
      </w:r>
      <w:r>
        <w:rPr>
          <w:rFonts w:hint="eastAsia"/>
        </w:rPr>
        <w:t>。</w:t>
      </w:r>
    </w:p>
    <w:p>
      <w:pPr>
        <w:pStyle w:val="971"/>
        <w:numPr>
          <w:ilvl w:val="0"/>
          <w:numId w:val="6"/>
        </w:numPr>
        <w:ind w:firstLineChars="0"/>
      </w:pPr>
      <w:r>
        <w:rPr>
          <w:rFonts w:hint="eastAsia"/>
        </w:rPr>
        <w:t>门禁</w:t>
      </w:r>
      <w:r>
        <w:t>人员权限</w:t>
      </w:r>
      <w:r>
        <w:rPr>
          <w:rFonts w:hint="eastAsia"/>
        </w:rPr>
        <w:t>：</w:t>
      </w:r>
      <w:r>
        <w:t>可按照人员编号和人员姓名对人员列表进行模糊搜索</w:t>
      </w:r>
      <w:r>
        <w:rPr>
          <w:rFonts w:hint="eastAsia"/>
        </w:rPr>
        <w:t>，支持</w:t>
      </w:r>
      <w:r>
        <w:t>人员</w:t>
      </w:r>
      <w:r>
        <w:rPr>
          <w:rFonts w:hint="eastAsia"/>
        </w:rPr>
        <w:t>信息</w:t>
      </w:r>
      <w:r>
        <w:t>导出至表格或打印</w:t>
      </w:r>
      <w:r>
        <w:rPr>
          <w:rFonts w:hint="eastAsia"/>
        </w:rPr>
        <w:t>；支持对列表中的人员</w:t>
      </w:r>
      <w:r>
        <w:t>从其所在房间的所有门禁设备上</w:t>
      </w:r>
      <w:r>
        <w:rPr>
          <w:rFonts w:hint="eastAsia"/>
        </w:rPr>
        <w:t>进行删除。该功能需提供不少于</w:t>
      </w:r>
      <w:r>
        <w:t>3</w:t>
      </w:r>
      <w:r>
        <w:rPr>
          <w:rFonts w:hint="eastAsia"/>
        </w:rPr>
        <w:t>张的体现产品功能的实际应用图片。</w:t>
      </w:r>
    </w:p>
    <w:p>
      <w:pPr>
        <w:pStyle w:val="971"/>
        <w:numPr>
          <w:ilvl w:val="0"/>
          <w:numId w:val="6"/>
        </w:numPr>
        <w:ind w:firstLineChars="0"/>
      </w:pPr>
      <w:r>
        <w:t>AI视频监控</w:t>
      </w:r>
      <w:r>
        <w:rPr>
          <w:rFonts w:hint="eastAsia"/>
        </w:rPr>
        <w:t>：</w:t>
      </w:r>
      <w:r>
        <w:t>实时监控显示所有检测任务的实时画面</w:t>
      </w:r>
      <w:r>
        <w:rPr>
          <w:rFonts w:hint="eastAsia"/>
        </w:rPr>
        <w:t>，支持</w:t>
      </w:r>
      <w:r>
        <w:t>切换实时画面的排列方式；</w:t>
      </w:r>
    </w:p>
    <w:p>
      <w:pPr>
        <w:pStyle w:val="971"/>
        <w:numPr>
          <w:ilvl w:val="0"/>
          <w:numId w:val="6"/>
        </w:numPr>
        <w:ind w:firstLineChars="0"/>
      </w:pPr>
      <w:r>
        <w:rPr>
          <w:rFonts w:hint="eastAsia"/>
        </w:rPr>
        <w:t>★</w:t>
      </w:r>
      <w:r>
        <w:t>AI监控</w:t>
      </w:r>
      <w:r>
        <w:rPr>
          <w:rFonts w:hint="eastAsia"/>
        </w:rPr>
        <w:t>异常列表：显示所有不符合检测任务标准的异常情况，可按照发生时间、房间名称和报警行为对异常列表进行模糊搜索（需提供不少于</w:t>
      </w:r>
      <w:r>
        <w:t>3</w:t>
      </w:r>
      <w:r>
        <w:rPr>
          <w:rFonts w:hint="eastAsia"/>
        </w:rPr>
        <w:t>张的体现产品功能的实际应用图片）。</w:t>
      </w:r>
    </w:p>
    <w:p>
      <w:pPr>
        <w:pStyle w:val="971"/>
        <w:numPr>
          <w:ilvl w:val="0"/>
          <w:numId w:val="6"/>
        </w:numPr>
        <w:ind w:firstLineChars="0"/>
      </w:pPr>
      <w:r>
        <w:rPr>
          <w:rFonts w:hint="eastAsia"/>
        </w:rPr>
        <w:t>★</w:t>
      </w:r>
      <w:r>
        <w:t>设备管理</w:t>
      </w:r>
      <w:r>
        <w:rPr>
          <w:rFonts w:hint="eastAsia"/>
        </w:rPr>
        <w:t>：具备对</w:t>
      </w:r>
      <w:r>
        <w:t>门禁设备、环境一体机设备、NVR设备和AI盒子设备的添加、修改</w:t>
      </w:r>
      <w:r>
        <w:rPr>
          <w:rFonts w:hint="eastAsia"/>
        </w:rPr>
        <w:t>、删除</w:t>
      </w:r>
      <w:r>
        <w:t>功能</w:t>
      </w:r>
      <w:r>
        <w:rPr>
          <w:rFonts w:hint="eastAsia"/>
        </w:rPr>
        <w:t>；</w:t>
      </w:r>
      <w:r>
        <w:t>可按照设备编号和设备名称对设备列表进行模糊搜索</w:t>
      </w:r>
      <w:r>
        <w:rPr>
          <w:rFonts w:hint="eastAsia"/>
        </w:rPr>
        <w:t>（需提供不少于</w:t>
      </w:r>
      <w:r>
        <w:t>3</w:t>
      </w:r>
      <w:r>
        <w:rPr>
          <w:rFonts w:hint="eastAsia"/>
        </w:rPr>
        <w:t>张的体现产品功能的实际应用图片）。</w:t>
      </w:r>
    </w:p>
    <w:p>
      <w:pPr>
        <w:pStyle w:val="971"/>
        <w:pageBreakBefore w:val="0"/>
        <w:widowControl w:val="0"/>
        <w:numPr>
          <w:ilvl w:val="0"/>
          <w:numId w:val="6"/>
        </w:numPr>
        <w:kinsoku/>
        <w:wordWrap/>
        <w:overflowPunct/>
        <w:topLinePunct w:val="0"/>
        <w:autoSpaceDE/>
        <w:autoSpaceDN/>
        <w:bidi w:val="0"/>
        <w:snapToGrid/>
        <w:spacing w:beforeLines="0" w:afterLines="0" w:line="240" w:lineRule="auto"/>
        <w:ind w:right="0" w:rightChars="0" w:firstLineChars="0"/>
        <w:textAlignment w:val="auto"/>
        <w:rPr>
          <w:rFonts w:hint="eastAsia"/>
          <w:sz w:val="21"/>
        </w:rPr>
      </w:pPr>
      <w:r>
        <w:rPr>
          <w:rFonts w:hint="eastAsia"/>
        </w:rPr>
        <w:t>系统管理：可对实验室内房间进行规划；可对房间内的测点进行添加、修改和删除操作；可查看生安眼系统平台端为终端分配的实验室信息。</w:t>
      </w:r>
    </w:p>
    <w:p>
      <w:pPr>
        <w:pStyle w:val="4"/>
        <w:pageBreakBefore w:val="0"/>
        <w:widowControl w:val="0"/>
        <w:kinsoku/>
        <w:wordWrap/>
        <w:overflowPunct/>
        <w:topLinePunct w:val="0"/>
        <w:autoSpaceDE/>
        <w:autoSpaceDN/>
        <w:bidi w:val="0"/>
        <w:snapToGrid/>
        <w:spacing w:beforeLines="0" w:afterLines="0" w:line="240" w:lineRule="auto"/>
        <w:ind w:right="0" w:rightChars="0"/>
        <w:textAlignment w:val="auto"/>
        <w:rPr>
          <w:rFonts w:hint="eastAsia"/>
          <w:sz w:val="28"/>
        </w:rPr>
      </w:pPr>
      <w:r>
        <w:rPr>
          <w:rFonts w:hint="eastAsia"/>
          <w:sz w:val="28"/>
          <w:lang w:val="en-US" w:eastAsia="zh-CN"/>
        </w:rPr>
        <w:t>4、</w:t>
      </w:r>
      <w:r>
        <w:rPr>
          <w:rFonts w:hint="eastAsia"/>
          <w:sz w:val="28"/>
        </w:rPr>
        <w:t>32T生安眼终端（含AI算法）</w:t>
      </w:r>
      <w:r>
        <w:rPr>
          <w:rFonts w:hint="eastAsia"/>
          <w:sz w:val="28"/>
          <w:lang w:val="en-US" w:eastAsia="zh-CN"/>
        </w:rPr>
        <w:t>1台</w:t>
      </w:r>
    </w:p>
    <w:p>
      <w:pPr>
        <w:pStyle w:val="971"/>
        <w:numPr>
          <w:ilvl w:val="0"/>
          <w:numId w:val="7"/>
        </w:numPr>
        <w:ind w:firstLineChars="0"/>
      </w:pPr>
      <w:r>
        <w:rPr>
          <w:rFonts w:hint="eastAsia"/>
        </w:rPr>
        <w:t>尺寸</w:t>
      </w:r>
      <w:r>
        <w:t>：≤长500mm*宽430mm*高285mm</w:t>
      </w:r>
    </w:p>
    <w:p>
      <w:pPr>
        <w:pStyle w:val="971"/>
        <w:numPr>
          <w:ilvl w:val="0"/>
          <w:numId w:val="7"/>
        </w:numPr>
        <w:ind w:firstLineChars="0"/>
      </w:pPr>
      <w:r>
        <w:rPr>
          <w:rFonts w:hint="eastAsia"/>
        </w:rPr>
        <w:t>工作温度</w:t>
      </w:r>
      <w:r>
        <w:t>：-10℃～55℃</w:t>
      </w:r>
    </w:p>
    <w:p>
      <w:pPr>
        <w:pStyle w:val="971"/>
        <w:numPr>
          <w:ilvl w:val="0"/>
          <w:numId w:val="7"/>
        </w:numPr>
        <w:ind w:firstLineChars="0"/>
      </w:pPr>
      <w:r>
        <w:rPr>
          <w:rFonts w:hint="eastAsia"/>
        </w:rPr>
        <w:t>存储温度</w:t>
      </w:r>
      <w:r>
        <w:t>：-20℃～60℃</w:t>
      </w:r>
    </w:p>
    <w:p>
      <w:pPr>
        <w:pStyle w:val="971"/>
        <w:numPr>
          <w:ilvl w:val="0"/>
          <w:numId w:val="7"/>
        </w:numPr>
        <w:ind w:firstLineChars="0"/>
      </w:pPr>
      <w:r>
        <w:rPr>
          <w:rFonts w:hint="eastAsia"/>
        </w:rPr>
        <w:t>湿度</w:t>
      </w:r>
      <w:r>
        <w:t>：10%～90%RH（无结冰、无凝露）</w:t>
      </w:r>
    </w:p>
    <w:p>
      <w:pPr>
        <w:pStyle w:val="971"/>
        <w:numPr>
          <w:ilvl w:val="0"/>
          <w:numId w:val="7"/>
        </w:numPr>
        <w:ind w:firstLineChars="0"/>
      </w:pPr>
      <w:r>
        <w:rPr>
          <w:rFonts w:hint="eastAsia"/>
        </w:rPr>
        <w:t>供电电压</w:t>
      </w:r>
      <w:r>
        <w:t>：AC220V±10%(50HZ±5%)</w:t>
      </w:r>
    </w:p>
    <w:p>
      <w:pPr>
        <w:pStyle w:val="971"/>
        <w:numPr>
          <w:ilvl w:val="0"/>
          <w:numId w:val="7"/>
        </w:numPr>
        <w:ind w:firstLineChars="0"/>
      </w:pPr>
      <w:r>
        <w:rPr>
          <w:rFonts w:hint="eastAsia" w:ascii="宋体" w:hAnsi="宋体"/>
          <w:szCs w:val="21"/>
        </w:rPr>
        <w:t>★</w:t>
      </w:r>
      <w:r>
        <w:rPr>
          <w:rFonts w:hint="eastAsia"/>
        </w:rPr>
        <w:t>屏幕</w:t>
      </w:r>
      <w:r>
        <w:t>：</w:t>
      </w:r>
      <w:r>
        <w:rPr>
          <w:rFonts w:hint="eastAsia"/>
        </w:rPr>
        <w:t>≥</w:t>
      </w:r>
      <w:r>
        <w:t>10英寸工业级屏幕</w:t>
      </w:r>
      <w:r>
        <w:rPr>
          <w:rFonts w:hint="eastAsia"/>
        </w:rPr>
        <w:t>，具备实时显示实验室人员进出统计功能，可对环境监测、设备设施、人员违规、风险管控进行实时预警展示，支持对实验室视频监管区域进行实时视频预览并支持不同监管区域的一键切换。（需提供不少于</w:t>
      </w:r>
      <w:r>
        <w:t>3</w:t>
      </w:r>
      <w:r>
        <w:rPr>
          <w:rFonts w:hint="eastAsia"/>
        </w:rPr>
        <w:t>张的体现产品功能的实际应用图片）</w:t>
      </w:r>
    </w:p>
    <w:p>
      <w:pPr>
        <w:pStyle w:val="971"/>
        <w:numPr>
          <w:ilvl w:val="0"/>
          <w:numId w:val="7"/>
        </w:numPr>
        <w:ind w:firstLineChars="0"/>
      </w:pPr>
      <w:r>
        <w:rPr>
          <w:rFonts w:hint="eastAsia"/>
        </w:rPr>
        <w:t>设备重启时间</w:t>
      </w:r>
      <w:r>
        <w:t>：≤120S</w:t>
      </w:r>
    </w:p>
    <w:p>
      <w:pPr>
        <w:pStyle w:val="971"/>
        <w:numPr>
          <w:ilvl w:val="0"/>
          <w:numId w:val="7"/>
        </w:numPr>
        <w:ind w:firstLineChars="0"/>
      </w:pPr>
      <w:r>
        <w:rPr>
          <w:rFonts w:hint="eastAsia"/>
        </w:rPr>
        <w:t>操作系统</w:t>
      </w:r>
      <w:r>
        <w:t>：Linux</w:t>
      </w:r>
    </w:p>
    <w:p>
      <w:pPr>
        <w:pStyle w:val="971"/>
        <w:numPr>
          <w:ilvl w:val="0"/>
          <w:numId w:val="7"/>
        </w:numPr>
        <w:ind w:firstLineChars="0"/>
      </w:pPr>
      <w:r>
        <w:rPr>
          <w:rFonts w:hint="eastAsia"/>
        </w:rPr>
        <w:t>主板</w:t>
      </w:r>
      <w:r>
        <w:t>：专业工业主板</w:t>
      </w:r>
    </w:p>
    <w:p>
      <w:pPr>
        <w:pStyle w:val="971"/>
        <w:numPr>
          <w:ilvl w:val="0"/>
          <w:numId w:val="7"/>
        </w:numPr>
        <w:ind w:firstLineChars="0"/>
      </w:pPr>
      <w:r>
        <w:t>CPU</w:t>
      </w:r>
      <w:r>
        <w:rPr>
          <w:rFonts w:hint="eastAsia"/>
        </w:rPr>
        <w:t>：</w:t>
      </w:r>
      <w:r>
        <w:t>主频</w:t>
      </w:r>
      <w:r>
        <w:rPr>
          <w:rFonts w:hint="eastAsia"/>
        </w:rPr>
        <w:t>≥</w:t>
      </w:r>
      <w:r>
        <w:t>3.5GHz 睿频</w:t>
      </w:r>
      <w:r>
        <w:rPr>
          <w:rFonts w:hint="eastAsia"/>
        </w:rPr>
        <w:t>≥</w:t>
      </w:r>
      <w:r>
        <w:t>5.0 GHz</w:t>
      </w:r>
    </w:p>
    <w:p>
      <w:pPr>
        <w:pStyle w:val="971"/>
        <w:numPr>
          <w:ilvl w:val="0"/>
          <w:numId w:val="7"/>
        </w:numPr>
        <w:ind w:firstLineChars="0"/>
      </w:pPr>
      <w:r>
        <w:rPr>
          <w:rFonts w:hint="eastAsia"/>
        </w:rPr>
        <w:t>内存</w:t>
      </w:r>
      <w:r>
        <w:t>：</w:t>
      </w:r>
      <w:r>
        <w:rPr>
          <w:rFonts w:hint="eastAsia"/>
        </w:rPr>
        <w:t>≥</w:t>
      </w:r>
      <w:r>
        <w:t>64G</w:t>
      </w:r>
    </w:p>
    <w:p>
      <w:pPr>
        <w:pStyle w:val="971"/>
        <w:numPr>
          <w:ilvl w:val="0"/>
          <w:numId w:val="7"/>
        </w:numPr>
        <w:ind w:firstLineChars="0"/>
      </w:pPr>
      <w:r>
        <w:rPr>
          <w:rFonts w:hint="eastAsia"/>
        </w:rPr>
        <w:t>储存</w:t>
      </w:r>
      <w:r>
        <w:t>：</w:t>
      </w:r>
      <w:r>
        <w:rPr>
          <w:rFonts w:hint="eastAsia"/>
        </w:rPr>
        <w:t>≥</w:t>
      </w:r>
      <w:r>
        <w:t>256G固态硬盘</w:t>
      </w:r>
      <w:r>
        <w:rPr>
          <w:rFonts w:hint="eastAsia"/>
        </w:rPr>
        <w:t>；≥</w:t>
      </w:r>
      <w:r>
        <w:t>1T企业级存储RAID1配置</w:t>
      </w:r>
    </w:p>
    <w:p>
      <w:pPr>
        <w:pStyle w:val="971"/>
        <w:numPr>
          <w:ilvl w:val="0"/>
          <w:numId w:val="7"/>
        </w:numPr>
        <w:ind w:firstLineChars="0"/>
      </w:pPr>
      <w:r>
        <w:rPr>
          <w:rFonts w:hint="eastAsia"/>
        </w:rPr>
        <w:t>网络</w:t>
      </w:r>
      <w:r>
        <w:t>：2个千兆网卡，1个WAN口、3个LAN口</w:t>
      </w:r>
    </w:p>
    <w:p>
      <w:pPr>
        <w:pStyle w:val="971"/>
        <w:numPr>
          <w:ilvl w:val="0"/>
          <w:numId w:val="7"/>
        </w:numPr>
        <w:ind w:firstLineChars="0"/>
      </w:pPr>
      <w:r>
        <w:rPr>
          <w:rFonts w:hint="eastAsia"/>
        </w:rPr>
        <w:t>网络录像模块</w:t>
      </w:r>
      <w:r>
        <w:t>：</w:t>
      </w:r>
      <w:r>
        <w:rPr>
          <w:rFonts w:hint="eastAsia"/>
        </w:rPr>
        <w:t>≥</w:t>
      </w:r>
      <w:r>
        <w:t>32T企业级硬盘；</w:t>
      </w:r>
      <w:r>
        <w:rPr>
          <w:rFonts w:hint="eastAsia"/>
        </w:rPr>
        <w:t>支持≥</w:t>
      </w:r>
      <w:r>
        <w:t>8路网络录像机接入，支持H265编码</w:t>
      </w:r>
    </w:p>
    <w:p>
      <w:pPr>
        <w:pStyle w:val="971"/>
        <w:numPr>
          <w:ilvl w:val="0"/>
          <w:numId w:val="7"/>
        </w:numPr>
        <w:ind w:firstLineChars="0"/>
      </w:pPr>
      <w:r>
        <w:rPr>
          <w:rFonts w:hint="eastAsia" w:ascii="宋体" w:hAnsi="宋体"/>
          <w:szCs w:val="21"/>
        </w:rPr>
        <w:t>★</w:t>
      </w:r>
      <w:r>
        <w:rPr>
          <w:rFonts w:hint="eastAsia"/>
        </w:rPr>
        <w:t>视频分析</w:t>
      </w:r>
      <w:r>
        <w:t>AI模块：支持防护服、面罩、手套、护目镜、口罩算法</w:t>
      </w:r>
      <w:r>
        <w:rPr>
          <w:rFonts w:hint="eastAsia"/>
        </w:rPr>
        <w:t>，可对违规行为进行A</w:t>
      </w:r>
      <w:r>
        <w:t>I</w:t>
      </w:r>
      <w:r>
        <w:rPr>
          <w:rFonts w:hint="eastAsia"/>
        </w:rPr>
        <w:t>识别预警。</w:t>
      </w:r>
    </w:p>
    <w:p>
      <w:pPr>
        <w:pStyle w:val="971"/>
        <w:numPr>
          <w:ilvl w:val="0"/>
          <w:numId w:val="7"/>
        </w:numPr>
        <w:ind w:firstLineChars="0"/>
      </w:pPr>
      <w:r>
        <w:rPr>
          <w:rFonts w:hint="eastAsia"/>
        </w:rPr>
        <w:t>★</w:t>
      </w:r>
      <w:r>
        <w:t>AI准确率</w:t>
      </w:r>
      <w:r>
        <w:rPr>
          <w:rFonts w:hint="eastAsia"/>
        </w:rPr>
        <w:t>：</w:t>
      </w:r>
      <w:r>
        <w:t xml:space="preserve">AI准确率90%以上，异常告警错误率5%以下 </w:t>
      </w:r>
    </w:p>
    <w:p>
      <w:pPr>
        <w:pStyle w:val="971"/>
        <w:numPr>
          <w:ilvl w:val="0"/>
          <w:numId w:val="7"/>
        </w:numPr>
        <w:ind w:firstLineChars="0"/>
      </w:pPr>
      <w:r>
        <w:rPr>
          <w:rFonts w:hint="eastAsia"/>
        </w:rPr>
        <w:t>★</w:t>
      </w:r>
      <w:r>
        <w:t>检测任务</w:t>
      </w:r>
      <w:r>
        <w:rPr>
          <w:rFonts w:hint="eastAsia"/>
        </w:rPr>
        <w:t>：</w:t>
      </w:r>
      <w:r>
        <w:t>支持</w:t>
      </w:r>
      <w:r>
        <w:rPr>
          <w:rFonts w:hint="eastAsia"/>
        </w:rPr>
        <w:t>≥</w:t>
      </w:r>
      <w:r>
        <w:t>8路检测任务</w:t>
      </w:r>
    </w:p>
    <w:p>
      <w:pPr>
        <w:pStyle w:val="971"/>
        <w:numPr>
          <w:ilvl w:val="0"/>
          <w:numId w:val="7"/>
        </w:numPr>
        <w:ind w:firstLineChars="0"/>
      </w:pPr>
      <w:r>
        <w:rPr>
          <w:rFonts w:hint="eastAsia"/>
        </w:rPr>
        <w:t>功耗</w:t>
      </w:r>
      <w:r>
        <w:t>：≤600W</w:t>
      </w:r>
    </w:p>
    <w:p>
      <w:pPr>
        <w:pStyle w:val="971"/>
        <w:numPr>
          <w:ilvl w:val="0"/>
          <w:numId w:val="7"/>
        </w:numPr>
        <w:ind w:firstLineChars="0"/>
      </w:pPr>
      <w:r>
        <w:rPr>
          <w:rFonts w:hint="eastAsia"/>
        </w:rPr>
        <w:t>可靠性</w:t>
      </w:r>
      <w:r>
        <w:t>：具备7*24小时工作可靠性，年故障时间小于0.5天</w:t>
      </w:r>
    </w:p>
    <w:p>
      <w:pPr>
        <w:pStyle w:val="971"/>
        <w:numPr>
          <w:ilvl w:val="0"/>
          <w:numId w:val="7"/>
        </w:numPr>
        <w:ind w:firstLineChars="0"/>
      </w:pPr>
      <w:r>
        <w:rPr>
          <w:rFonts w:hint="eastAsia"/>
        </w:rPr>
        <w:t>★开箱监测：具备双人双锁，开箱监测功能</w:t>
      </w:r>
      <w:r>
        <w:t>模块</w:t>
      </w:r>
      <w:r>
        <w:rPr>
          <w:rFonts w:hint="eastAsia"/>
        </w:rPr>
        <w:t>；未经授权的开箱行为自动形成告警信息（需提供不少于</w:t>
      </w:r>
      <w:r>
        <w:t>5</w:t>
      </w:r>
      <w:r>
        <w:rPr>
          <w:rFonts w:hint="eastAsia"/>
        </w:rPr>
        <w:t>张的体现产品功能的实际应用图片）。</w:t>
      </w:r>
    </w:p>
    <w:p>
      <w:pPr>
        <w:pStyle w:val="971"/>
        <w:numPr>
          <w:ilvl w:val="0"/>
          <w:numId w:val="7"/>
        </w:numPr>
        <w:ind w:firstLineChars="0"/>
      </w:pPr>
      <w:r>
        <w:rPr>
          <w:rFonts w:hint="eastAsia"/>
        </w:rPr>
        <w:t>★</w:t>
      </w:r>
      <w:r>
        <w:t>系统</w:t>
      </w:r>
      <w:r>
        <w:rPr>
          <w:rFonts w:hint="eastAsia"/>
        </w:rPr>
        <w:t>自检：具备自动检测硬件状态、各接入设备状态和各监控组件情况的功能。（需提供不少于</w:t>
      </w:r>
      <w:r>
        <w:t>2</w:t>
      </w:r>
      <w:r>
        <w:rPr>
          <w:rFonts w:hint="eastAsia"/>
        </w:rPr>
        <w:t>张的体现产品功能的实际应用图片）。</w:t>
      </w:r>
    </w:p>
    <w:p>
      <w:pPr>
        <w:pStyle w:val="971"/>
        <w:numPr>
          <w:ilvl w:val="0"/>
          <w:numId w:val="7"/>
        </w:numPr>
        <w:ind w:firstLineChars="0"/>
      </w:pPr>
      <w:r>
        <w:rPr>
          <w:rFonts w:hint="eastAsia"/>
        </w:rPr>
        <w:t>机箱状态监控：监管终端内置霍尔传感器、陀螺仪、温湿度传感器和控制单元，实时监测机箱闭合状态、机箱倾斜角度和温湿度等环境参数。</w:t>
      </w:r>
    </w:p>
    <w:p>
      <w:pPr>
        <w:pStyle w:val="971"/>
        <w:numPr>
          <w:ilvl w:val="0"/>
          <w:numId w:val="7"/>
        </w:numPr>
        <w:ind w:firstLineChars="0"/>
      </w:pPr>
      <w:r>
        <w:rPr>
          <w:rFonts w:hint="eastAsia"/>
        </w:rPr>
        <w:t>信息展示：监管系统</w:t>
      </w:r>
      <w:r>
        <w:t>首页显示最新的门禁解锁记录、最新AI告警信息和最近5条环境告警信息</w:t>
      </w:r>
    </w:p>
    <w:p>
      <w:pPr>
        <w:pStyle w:val="971"/>
        <w:numPr>
          <w:ilvl w:val="0"/>
          <w:numId w:val="7"/>
        </w:numPr>
        <w:ind w:firstLineChars="0"/>
      </w:pPr>
      <w:r>
        <w:t>环境安全监控</w:t>
      </w:r>
      <w:r>
        <w:rPr>
          <w:rFonts w:hint="eastAsia"/>
        </w:rPr>
        <w:t>：具备</w:t>
      </w:r>
      <w:r>
        <w:t>显示实时环境信息和待处理的环境告警</w:t>
      </w:r>
      <w:r>
        <w:rPr>
          <w:rFonts w:hint="eastAsia"/>
        </w:rPr>
        <w:t>功能</w:t>
      </w:r>
    </w:p>
    <w:p>
      <w:pPr>
        <w:pStyle w:val="971"/>
        <w:numPr>
          <w:ilvl w:val="0"/>
          <w:numId w:val="7"/>
        </w:numPr>
        <w:ind w:firstLineChars="0"/>
      </w:pPr>
      <w:r>
        <w:t>环境状态</w:t>
      </w:r>
      <w:r>
        <w:rPr>
          <w:rFonts w:hint="eastAsia"/>
        </w:rPr>
        <w:t>：</w:t>
      </w:r>
      <w:r>
        <w:t>展示实时环境参数，</w:t>
      </w:r>
      <w:r>
        <w:rPr>
          <w:rFonts w:hint="eastAsia"/>
        </w:rPr>
        <w:t>具有</w:t>
      </w:r>
      <w:r>
        <w:t>“正常”、“异常”和“离线”三种状态</w:t>
      </w:r>
      <w:r>
        <w:rPr>
          <w:rFonts w:hint="eastAsia"/>
        </w:rPr>
        <w:t>展示功能；</w:t>
      </w:r>
      <w:r>
        <w:t>可按照测点名称对环境信息进行模糊查询</w:t>
      </w:r>
      <w:r>
        <w:rPr>
          <w:rFonts w:hint="eastAsia"/>
        </w:rPr>
        <w:t>；支持</w:t>
      </w:r>
      <w:r>
        <w:t>查看不同时间段的数据曲线</w:t>
      </w:r>
      <w:r>
        <w:rPr>
          <w:rFonts w:hint="eastAsia"/>
        </w:rPr>
        <w:t>；支持</w:t>
      </w:r>
      <w:r>
        <w:t>异常数据记录导出至表格或打印</w:t>
      </w:r>
    </w:p>
    <w:p>
      <w:pPr>
        <w:pStyle w:val="971"/>
        <w:numPr>
          <w:ilvl w:val="0"/>
          <w:numId w:val="7"/>
        </w:numPr>
        <w:ind w:firstLineChars="0"/>
      </w:pPr>
      <w:r>
        <w:rPr>
          <w:rFonts w:hint="eastAsia"/>
        </w:rPr>
        <w:t>环境</w:t>
      </w:r>
      <w:r>
        <w:t>告警</w:t>
      </w:r>
      <w:r>
        <w:rPr>
          <w:rFonts w:hint="eastAsia"/>
        </w:rPr>
        <w:t>：</w:t>
      </w:r>
      <w:r>
        <w:t>环境数值超过测点规定数值时，产生环境告警记录。异常告警列表显示所有未处理的环境告警</w:t>
      </w:r>
      <w:r>
        <w:rPr>
          <w:rFonts w:hint="eastAsia"/>
        </w:rPr>
        <w:t>信息。</w:t>
      </w:r>
      <w:r>
        <w:t>可按照设备编码对环境告警记录进行模糊搜索。</w:t>
      </w:r>
    </w:p>
    <w:p>
      <w:pPr>
        <w:pStyle w:val="971"/>
        <w:numPr>
          <w:ilvl w:val="0"/>
          <w:numId w:val="7"/>
        </w:numPr>
        <w:ind w:firstLineChars="0"/>
      </w:pPr>
      <w:r>
        <w:rPr>
          <w:rFonts w:hint="eastAsia"/>
        </w:rPr>
        <w:t>门禁出入记录：</w:t>
      </w:r>
      <w:r>
        <w:t>显示实验室所有房间的门禁解锁记录</w:t>
      </w:r>
      <w:r>
        <w:rPr>
          <w:rFonts w:hint="eastAsia"/>
        </w:rPr>
        <w:t>，</w:t>
      </w:r>
      <w:r>
        <w:t>可按照发生时间、验证结果、进出方向、设备sn、人员姓名、人员编码和房间名称对记录列表进行模糊搜索</w:t>
      </w:r>
      <w:r>
        <w:rPr>
          <w:rFonts w:hint="eastAsia"/>
        </w:rPr>
        <w:t>。支持</w:t>
      </w:r>
      <w:r>
        <w:t>门禁记录导出至表格或打印</w:t>
      </w:r>
      <w:r>
        <w:rPr>
          <w:rFonts w:hint="eastAsia"/>
        </w:rPr>
        <w:t>。</w:t>
      </w:r>
    </w:p>
    <w:p>
      <w:pPr>
        <w:pStyle w:val="971"/>
        <w:numPr>
          <w:ilvl w:val="0"/>
          <w:numId w:val="7"/>
        </w:numPr>
        <w:ind w:firstLineChars="0"/>
      </w:pPr>
      <w:r>
        <w:rPr>
          <w:rFonts w:hint="eastAsia"/>
        </w:rPr>
        <w:t>门禁</w:t>
      </w:r>
      <w:r>
        <w:t>人员权限</w:t>
      </w:r>
      <w:r>
        <w:rPr>
          <w:rFonts w:hint="eastAsia"/>
        </w:rPr>
        <w:t>：</w:t>
      </w:r>
      <w:r>
        <w:t>可按照人员编号和人员姓名对人员列表进行模糊搜索</w:t>
      </w:r>
      <w:r>
        <w:rPr>
          <w:rFonts w:hint="eastAsia"/>
        </w:rPr>
        <w:t>，支持</w:t>
      </w:r>
      <w:r>
        <w:t>人员</w:t>
      </w:r>
      <w:r>
        <w:rPr>
          <w:rFonts w:hint="eastAsia"/>
        </w:rPr>
        <w:t>信息</w:t>
      </w:r>
      <w:r>
        <w:t>导出至表格或打印</w:t>
      </w:r>
      <w:r>
        <w:rPr>
          <w:rFonts w:hint="eastAsia"/>
        </w:rPr>
        <w:t>；支持对列表中的人员</w:t>
      </w:r>
      <w:r>
        <w:t>从其所在房间的所有门禁设备上</w:t>
      </w:r>
      <w:r>
        <w:rPr>
          <w:rFonts w:hint="eastAsia"/>
        </w:rPr>
        <w:t>进行删除。该功能需提供不少于</w:t>
      </w:r>
      <w:r>
        <w:t>3</w:t>
      </w:r>
      <w:r>
        <w:rPr>
          <w:rFonts w:hint="eastAsia"/>
        </w:rPr>
        <w:t>张的体现产品功能的实际应用图片。</w:t>
      </w:r>
    </w:p>
    <w:p>
      <w:pPr>
        <w:pStyle w:val="971"/>
        <w:numPr>
          <w:ilvl w:val="0"/>
          <w:numId w:val="7"/>
        </w:numPr>
        <w:ind w:firstLineChars="0"/>
      </w:pPr>
      <w:r>
        <w:t>AI视频监控</w:t>
      </w:r>
      <w:r>
        <w:rPr>
          <w:rFonts w:hint="eastAsia"/>
        </w:rPr>
        <w:t>：</w:t>
      </w:r>
      <w:r>
        <w:t>实时监控显示所有检测任务的实时画面</w:t>
      </w:r>
      <w:r>
        <w:rPr>
          <w:rFonts w:hint="eastAsia"/>
        </w:rPr>
        <w:t>，支持</w:t>
      </w:r>
      <w:r>
        <w:t>切换实时画面的排列方式；</w:t>
      </w:r>
    </w:p>
    <w:p>
      <w:pPr>
        <w:pStyle w:val="971"/>
        <w:numPr>
          <w:ilvl w:val="0"/>
          <w:numId w:val="7"/>
        </w:numPr>
        <w:ind w:firstLineChars="0"/>
      </w:pPr>
      <w:r>
        <w:rPr>
          <w:rFonts w:hint="eastAsia"/>
        </w:rPr>
        <w:t>★</w:t>
      </w:r>
      <w:r>
        <w:t>AI监控</w:t>
      </w:r>
      <w:r>
        <w:rPr>
          <w:rFonts w:hint="eastAsia"/>
        </w:rPr>
        <w:t>异常列表：显示所有不符合检测任务标准的异常情况，可按照发生时间、房间名称和报警行为对异常列表进行模糊搜索（需提供不少于</w:t>
      </w:r>
      <w:r>
        <w:t>3</w:t>
      </w:r>
      <w:r>
        <w:rPr>
          <w:rFonts w:hint="eastAsia"/>
        </w:rPr>
        <w:t>张的体现产品功能的实际应用图片）。</w:t>
      </w:r>
    </w:p>
    <w:p>
      <w:pPr>
        <w:pStyle w:val="971"/>
        <w:numPr>
          <w:ilvl w:val="0"/>
          <w:numId w:val="7"/>
        </w:numPr>
        <w:ind w:firstLineChars="0"/>
      </w:pPr>
      <w:r>
        <w:rPr>
          <w:rFonts w:hint="eastAsia"/>
        </w:rPr>
        <w:t>★</w:t>
      </w:r>
      <w:r>
        <w:t>设备管理</w:t>
      </w:r>
      <w:r>
        <w:rPr>
          <w:rFonts w:hint="eastAsia"/>
        </w:rPr>
        <w:t>：具备对</w:t>
      </w:r>
      <w:r>
        <w:t>门禁设备、环境一体机设备、NVR设备和AI盒子设备的添加、修改</w:t>
      </w:r>
      <w:r>
        <w:rPr>
          <w:rFonts w:hint="eastAsia"/>
        </w:rPr>
        <w:t>、删除</w:t>
      </w:r>
      <w:r>
        <w:t>功能</w:t>
      </w:r>
      <w:r>
        <w:rPr>
          <w:rFonts w:hint="eastAsia"/>
        </w:rPr>
        <w:t>；</w:t>
      </w:r>
      <w:r>
        <w:t>可按照设备编号和设备名称对设备列表进行模糊搜索</w:t>
      </w:r>
      <w:r>
        <w:rPr>
          <w:rFonts w:hint="eastAsia"/>
        </w:rPr>
        <w:t>（需提供不少于</w:t>
      </w:r>
      <w:r>
        <w:t>3</w:t>
      </w:r>
      <w:r>
        <w:rPr>
          <w:rFonts w:hint="eastAsia"/>
        </w:rPr>
        <w:t>张的体现产品功能的实际应用图片）。</w:t>
      </w:r>
    </w:p>
    <w:p>
      <w:pPr>
        <w:pStyle w:val="971"/>
        <w:pageBreakBefore w:val="0"/>
        <w:widowControl w:val="0"/>
        <w:numPr>
          <w:ilvl w:val="0"/>
          <w:numId w:val="7"/>
        </w:numPr>
        <w:kinsoku/>
        <w:wordWrap/>
        <w:overflowPunct/>
        <w:topLinePunct w:val="0"/>
        <w:autoSpaceDE/>
        <w:autoSpaceDN/>
        <w:bidi w:val="0"/>
        <w:snapToGrid/>
        <w:spacing w:beforeLines="0" w:afterLines="0" w:line="240" w:lineRule="auto"/>
        <w:ind w:right="0" w:rightChars="0" w:firstLineChars="0"/>
        <w:textAlignment w:val="auto"/>
        <w:rPr>
          <w:rFonts w:hint="eastAsia"/>
          <w:sz w:val="21"/>
        </w:rPr>
      </w:pPr>
      <w:r>
        <w:rPr>
          <w:rFonts w:hint="eastAsia"/>
        </w:rPr>
        <w:t>系统管理：可对实验室内房间进行规划；可对房间内的测点进行添加、修改和删除操作；可查看生安眼系统平台端为终端分配的实验室信息。</w:t>
      </w:r>
    </w:p>
    <w:p>
      <w:pPr>
        <w:pStyle w:val="4"/>
        <w:pageBreakBefore w:val="0"/>
        <w:widowControl w:val="0"/>
        <w:kinsoku/>
        <w:wordWrap/>
        <w:overflowPunct/>
        <w:topLinePunct w:val="0"/>
        <w:autoSpaceDE/>
        <w:autoSpaceDN/>
        <w:bidi w:val="0"/>
        <w:snapToGrid/>
        <w:spacing w:beforeLines="0" w:afterLines="0" w:line="240" w:lineRule="auto"/>
        <w:ind w:right="0" w:rightChars="0"/>
        <w:textAlignment w:val="auto"/>
        <w:rPr>
          <w:rFonts w:hint="eastAsia"/>
          <w:sz w:val="28"/>
        </w:rPr>
      </w:pPr>
      <w:r>
        <w:rPr>
          <w:rFonts w:hint="eastAsia"/>
          <w:sz w:val="28"/>
          <w:lang w:val="en-US" w:eastAsia="zh-CN"/>
        </w:rPr>
        <w:t>5、</w:t>
      </w:r>
      <w:r>
        <w:rPr>
          <w:rFonts w:hint="eastAsia"/>
          <w:sz w:val="28"/>
        </w:rPr>
        <w:t>多合一环境监测</w:t>
      </w:r>
      <w:r>
        <w:rPr>
          <w:rFonts w:hint="eastAsia"/>
          <w:sz w:val="28"/>
          <w:lang w:val="en-US" w:eastAsia="zh-CN"/>
        </w:rPr>
        <w:t>11台</w:t>
      </w:r>
    </w:p>
    <w:p>
      <w:pPr>
        <w:pStyle w:val="971"/>
        <w:numPr>
          <w:ilvl w:val="0"/>
          <w:numId w:val="8"/>
        </w:numPr>
        <w:ind w:firstLineChars="0"/>
      </w:pPr>
      <w:r>
        <w:rPr>
          <w:rFonts w:hint="eastAsia"/>
        </w:rPr>
        <w:t>监测功能</w:t>
      </w:r>
      <w:r>
        <w:t>：监测环境温度、湿度、噪音、气压</w:t>
      </w:r>
    </w:p>
    <w:p>
      <w:pPr>
        <w:pStyle w:val="971"/>
        <w:numPr>
          <w:ilvl w:val="0"/>
          <w:numId w:val="8"/>
        </w:numPr>
        <w:ind w:firstLineChars="0"/>
      </w:pPr>
      <w:r>
        <w:rPr>
          <w:rFonts w:hint="eastAsia"/>
        </w:rPr>
        <w:t>温度监测</w:t>
      </w:r>
      <w:r>
        <w:t>：范围-40 ~ 60℃，精度±0.5℃</w:t>
      </w:r>
    </w:p>
    <w:p>
      <w:pPr>
        <w:pStyle w:val="971"/>
        <w:numPr>
          <w:ilvl w:val="0"/>
          <w:numId w:val="8"/>
        </w:numPr>
        <w:ind w:firstLineChars="0"/>
      </w:pPr>
      <w:r>
        <w:rPr>
          <w:rFonts w:hint="eastAsia"/>
        </w:rPr>
        <w:t>湿度监测</w:t>
      </w:r>
      <w:r>
        <w:t>：范围 0 ~ 99%RH，精度±3%</w:t>
      </w:r>
    </w:p>
    <w:p>
      <w:pPr>
        <w:pStyle w:val="971"/>
        <w:numPr>
          <w:ilvl w:val="0"/>
          <w:numId w:val="8"/>
        </w:numPr>
        <w:ind w:firstLineChars="0"/>
      </w:pPr>
      <w:r>
        <w:rPr>
          <w:rFonts w:hint="eastAsia"/>
        </w:rPr>
        <w:t>噪音监测</w:t>
      </w:r>
      <w:r>
        <w:t xml:space="preserve">：范围30~130db ，精度±0.5db </w:t>
      </w:r>
    </w:p>
    <w:p>
      <w:pPr>
        <w:pStyle w:val="971"/>
        <w:numPr>
          <w:ilvl w:val="0"/>
          <w:numId w:val="8"/>
        </w:numPr>
        <w:ind w:firstLineChars="0"/>
      </w:pPr>
      <w:r>
        <w:rPr>
          <w:rFonts w:hint="eastAsia"/>
        </w:rPr>
        <w:t>气压监测</w:t>
      </w:r>
      <w:r>
        <w:t>：范围 200~1200hPa，精度 ±0.1%</w:t>
      </w:r>
    </w:p>
    <w:p>
      <w:pPr>
        <w:pStyle w:val="971"/>
        <w:numPr>
          <w:ilvl w:val="0"/>
          <w:numId w:val="8"/>
        </w:numPr>
        <w:ind w:firstLineChars="0"/>
      </w:pPr>
      <w:r>
        <w:rPr>
          <w:rFonts w:hint="eastAsia"/>
        </w:rPr>
        <w:t>信号输出</w:t>
      </w:r>
      <w:r>
        <w:t>：TCP/IP</w:t>
      </w:r>
    </w:p>
    <w:p>
      <w:pPr>
        <w:pStyle w:val="971"/>
        <w:numPr>
          <w:ilvl w:val="0"/>
          <w:numId w:val="8"/>
        </w:numPr>
        <w:ind w:firstLineChars="0"/>
      </w:pPr>
      <w:r>
        <w:rPr>
          <w:rFonts w:hint="eastAsia"/>
        </w:rPr>
        <w:t>电源输入</w:t>
      </w:r>
      <w:r>
        <w:t>： DC 12~24</w:t>
      </w:r>
      <w:r>
        <w:rPr>
          <w:rFonts w:hint="eastAsia"/>
        </w:rPr>
        <w:t>V</w:t>
      </w:r>
    </w:p>
    <w:p>
      <w:pPr>
        <w:pStyle w:val="971"/>
        <w:numPr>
          <w:ilvl w:val="0"/>
          <w:numId w:val="8"/>
        </w:numPr>
        <w:ind w:firstLineChars="0"/>
      </w:pPr>
      <w:r>
        <w:rPr>
          <w:rFonts w:hint="eastAsia"/>
        </w:rPr>
        <w:t>电流消耗</w:t>
      </w:r>
      <w:r>
        <w:t>：峰值</w:t>
      </w:r>
      <w:r>
        <w:rPr>
          <w:rFonts w:hint="eastAsia"/>
        </w:rPr>
        <w:t>≤</w:t>
      </w:r>
      <w:r>
        <w:t>600mA</w:t>
      </w:r>
    </w:p>
    <w:p>
      <w:pPr>
        <w:pStyle w:val="971"/>
        <w:numPr>
          <w:ilvl w:val="0"/>
          <w:numId w:val="8"/>
        </w:numPr>
        <w:ind w:firstLineChars="0"/>
      </w:pPr>
      <w:r>
        <w:rPr>
          <w:rFonts w:hint="eastAsia"/>
        </w:rPr>
        <w:t>屏幕尺寸</w:t>
      </w:r>
      <w:r>
        <w:t>：</w:t>
      </w:r>
      <w:r>
        <w:rPr>
          <w:rFonts w:hint="eastAsia"/>
        </w:rPr>
        <w:t>≥</w:t>
      </w:r>
      <w:r>
        <w:t>2.8寸TFT彩屏</w:t>
      </w:r>
    </w:p>
    <w:p>
      <w:pPr>
        <w:pStyle w:val="971"/>
        <w:numPr>
          <w:ilvl w:val="0"/>
          <w:numId w:val="8"/>
        </w:numPr>
        <w:ind w:firstLineChars="0"/>
      </w:pPr>
      <w:r>
        <w:rPr>
          <w:rFonts w:hint="eastAsia"/>
        </w:rPr>
        <w:t>尺寸</w:t>
      </w:r>
      <w:r>
        <w:t>：</w:t>
      </w:r>
      <w:r>
        <w:rPr>
          <w:rFonts w:hint="eastAsia"/>
        </w:rPr>
        <w:t>≤</w:t>
      </w:r>
      <w:r>
        <w:t>133*133*40mm</w:t>
      </w:r>
    </w:p>
    <w:p>
      <w:pPr>
        <w:pStyle w:val="971"/>
        <w:pageBreakBefore w:val="0"/>
        <w:widowControl w:val="0"/>
        <w:numPr>
          <w:ilvl w:val="0"/>
          <w:numId w:val="8"/>
        </w:numPr>
        <w:kinsoku/>
        <w:wordWrap/>
        <w:overflowPunct/>
        <w:topLinePunct w:val="0"/>
        <w:autoSpaceDE/>
        <w:autoSpaceDN/>
        <w:bidi w:val="0"/>
        <w:snapToGrid/>
        <w:spacing w:beforeLines="0" w:afterLines="0" w:line="240" w:lineRule="auto"/>
        <w:ind w:right="0" w:rightChars="0" w:firstLineChars="0"/>
        <w:textAlignment w:val="auto"/>
        <w:rPr>
          <w:rFonts w:hint="eastAsia"/>
          <w:sz w:val="21"/>
        </w:rPr>
      </w:pPr>
      <w:r>
        <w:rPr>
          <w:rFonts w:hint="eastAsia"/>
        </w:rPr>
        <w:t>密封性</w:t>
      </w:r>
      <w:r>
        <w:t>：IP21</w:t>
      </w:r>
    </w:p>
    <w:p>
      <w:pPr>
        <w:pStyle w:val="4"/>
        <w:pageBreakBefore w:val="0"/>
        <w:widowControl w:val="0"/>
        <w:kinsoku/>
        <w:wordWrap/>
        <w:overflowPunct/>
        <w:topLinePunct w:val="0"/>
        <w:autoSpaceDE/>
        <w:autoSpaceDN/>
        <w:bidi w:val="0"/>
        <w:snapToGrid/>
        <w:spacing w:beforeLines="0" w:afterLines="0" w:line="240" w:lineRule="auto"/>
        <w:ind w:right="0" w:rightChars="0"/>
        <w:textAlignment w:val="auto"/>
        <w:rPr>
          <w:rFonts w:hint="eastAsia"/>
          <w:sz w:val="28"/>
        </w:rPr>
      </w:pPr>
      <w:r>
        <w:rPr>
          <w:rFonts w:hint="eastAsia"/>
          <w:sz w:val="28"/>
          <w:lang w:val="en-US" w:eastAsia="zh-CN"/>
        </w:rPr>
        <w:t>6、</w:t>
      </w:r>
      <w:r>
        <w:rPr>
          <w:rFonts w:hint="eastAsia"/>
          <w:sz w:val="28"/>
        </w:rPr>
        <w:t>8口交换机</w:t>
      </w:r>
      <w:r>
        <w:rPr>
          <w:rFonts w:hint="eastAsia"/>
          <w:sz w:val="28"/>
          <w:lang w:val="en-US" w:eastAsia="zh-CN"/>
        </w:rPr>
        <w:t>5台</w:t>
      </w:r>
    </w:p>
    <w:p>
      <w:pPr>
        <w:pStyle w:val="971"/>
        <w:pageBreakBefore w:val="0"/>
        <w:widowControl w:val="0"/>
        <w:numPr>
          <w:ilvl w:val="0"/>
          <w:numId w:val="9"/>
        </w:numPr>
        <w:kinsoku/>
        <w:wordWrap/>
        <w:overflowPunct/>
        <w:topLinePunct w:val="0"/>
        <w:autoSpaceDE/>
        <w:autoSpaceDN/>
        <w:bidi w:val="0"/>
        <w:snapToGrid/>
        <w:spacing w:beforeLines="0" w:afterLines="0" w:line="240" w:lineRule="auto"/>
        <w:ind w:right="0" w:rightChars="0" w:firstLineChars="0"/>
        <w:textAlignment w:val="auto"/>
        <w:rPr>
          <w:rFonts w:hint="eastAsia"/>
          <w:sz w:val="21"/>
        </w:rPr>
      </w:pPr>
      <w:r>
        <w:rPr>
          <w:rFonts w:hint="eastAsia"/>
          <w:sz w:val="21"/>
        </w:rPr>
        <w:t>交换容量≥18Gbps，转发率≥13.4Mpps；</w:t>
      </w:r>
    </w:p>
    <w:p>
      <w:pPr>
        <w:pStyle w:val="971"/>
        <w:pageBreakBefore w:val="0"/>
        <w:widowControl w:val="0"/>
        <w:numPr>
          <w:ilvl w:val="0"/>
          <w:numId w:val="9"/>
        </w:numPr>
        <w:kinsoku/>
        <w:wordWrap/>
        <w:overflowPunct/>
        <w:topLinePunct w:val="0"/>
        <w:autoSpaceDE/>
        <w:autoSpaceDN/>
        <w:bidi w:val="0"/>
        <w:snapToGrid/>
        <w:spacing w:beforeLines="0" w:afterLines="0" w:line="240" w:lineRule="auto"/>
        <w:ind w:right="0" w:rightChars="0" w:firstLineChars="0"/>
        <w:textAlignment w:val="auto"/>
        <w:rPr>
          <w:rFonts w:hint="eastAsia"/>
          <w:sz w:val="21"/>
        </w:rPr>
      </w:pPr>
      <w:r>
        <w:rPr>
          <w:rFonts w:hint="eastAsia"/>
          <w:sz w:val="21"/>
        </w:rPr>
        <w:t>8个千兆电口（POE+）总POE输出≥72W；</w:t>
      </w:r>
    </w:p>
    <w:p>
      <w:pPr>
        <w:pStyle w:val="971"/>
        <w:pageBreakBefore w:val="0"/>
        <w:widowControl w:val="0"/>
        <w:numPr>
          <w:ilvl w:val="0"/>
          <w:numId w:val="9"/>
        </w:numPr>
        <w:kinsoku/>
        <w:wordWrap/>
        <w:overflowPunct/>
        <w:topLinePunct w:val="0"/>
        <w:autoSpaceDE/>
        <w:autoSpaceDN/>
        <w:bidi w:val="0"/>
        <w:snapToGrid/>
        <w:spacing w:beforeLines="0" w:afterLines="0" w:line="240" w:lineRule="auto"/>
        <w:ind w:right="0" w:rightChars="0" w:firstLineChars="0"/>
        <w:textAlignment w:val="auto"/>
        <w:rPr>
          <w:rFonts w:hint="eastAsia"/>
          <w:sz w:val="21"/>
        </w:rPr>
      </w:pPr>
      <w:r>
        <w:rPr>
          <w:rFonts w:hint="eastAsia"/>
          <w:sz w:val="21"/>
        </w:rPr>
        <w:t>MAC 4K，共享缓存架构，支持端口防雷6KV</w:t>
      </w:r>
    </w:p>
    <w:p>
      <w:pPr>
        <w:pStyle w:val="971"/>
        <w:pageBreakBefore w:val="0"/>
        <w:widowControl w:val="0"/>
        <w:numPr>
          <w:ilvl w:val="0"/>
          <w:numId w:val="9"/>
        </w:numPr>
        <w:kinsoku/>
        <w:wordWrap/>
        <w:overflowPunct/>
        <w:topLinePunct w:val="0"/>
        <w:autoSpaceDE/>
        <w:autoSpaceDN/>
        <w:bidi w:val="0"/>
        <w:snapToGrid/>
        <w:spacing w:beforeLines="0" w:afterLines="0" w:line="240" w:lineRule="auto"/>
        <w:ind w:right="0" w:rightChars="0" w:firstLineChars="0"/>
        <w:textAlignment w:val="auto"/>
        <w:rPr>
          <w:rFonts w:hint="eastAsia"/>
          <w:sz w:val="21"/>
        </w:rPr>
      </w:pPr>
      <w:r>
        <w:rPr>
          <w:rFonts w:hint="eastAsia"/>
          <w:sz w:val="21"/>
        </w:rPr>
        <w:t>4级拨码开关（标准交换、一键VLAN、流量控制、汇聚上联四种工作模式）自然散热无风扇设计</w:t>
      </w:r>
    </w:p>
    <w:p>
      <w:pPr>
        <w:pStyle w:val="4"/>
        <w:pageBreakBefore w:val="0"/>
        <w:widowControl w:val="0"/>
        <w:kinsoku/>
        <w:wordWrap/>
        <w:overflowPunct/>
        <w:topLinePunct w:val="0"/>
        <w:autoSpaceDE/>
        <w:autoSpaceDN/>
        <w:bidi w:val="0"/>
        <w:snapToGrid/>
        <w:spacing w:beforeLines="0" w:afterLines="0" w:line="240" w:lineRule="auto"/>
        <w:ind w:right="0" w:rightChars="0"/>
        <w:textAlignment w:val="auto"/>
        <w:rPr>
          <w:rFonts w:hint="default" w:cs="Times New Roman"/>
          <w:sz w:val="28"/>
          <w:lang w:val="en-US" w:eastAsia="zh-CN"/>
        </w:rPr>
      </w:pPr>
      <w:r>
        <w:rPr>
          <w:rFonts w:hint="eastAsia" w:cs="Times New Roman"/>
          <w:sz w:val="28"/>
          <w:lang w:val="en-US" w:eastAsia="zh-CN"/>
        </w:rPr>
        <w:t>7、5口交换机8台</w:t>
      </w:r>
    </w:p>
    <w:p>
      <w:pPr>
        <w:pStyle w:val="971"/>
        <w:pageBreakBefore w:val="0"/>
        <w:widowControl w:val="0"/>
        <w:numPr>
          <w:ilvl w:val="0"/>
          <w:numId w:val="0"/>
        </w:numPr>
        <w:kinsoku/>
        <w:wordWrap/>
        <w:overflowPunct/>
        <w:topLinePunct w:val="0"/>
        <w:autoSpaceDE/>
        <w:autoSpaceDN/>
        <w:bidi w:val="0"/>
        <w:snapToGrid/>
        <w:spacing w:beforeLines="0" w:afterLines="0" w:line="240" w:lineRule="auto"/>
        <w:ind w:leftChars="0" w:right="0" w:rightChars="0"/>
        <w:textAlignment w:val="auto"/>
        <w:rPr>
          <w:rFonts w:hint="eastAsia"/>
          <w:sz w:val="21"/>
        </w:rPr>
      </w:pPr>
      <w:r>
        <w:rPr>
          <w:rFonts w:hint="eastAsia"/>
          <w:sz w:val="21"/>
          <w:lang w:val="en-US" w:eastAsia="zh-CN"/>
        </w:rPr>
        <w:t>百兆POE交换机</w:t>
      </w:r>
    </w:p>
    <w:p>
      <w:pPr>
        <w:pStyle w:val="4"/>
        <w:pageBreakBefore w:val="0"/>
        <w:widowControl w:val="0"/>
        <w:kinsoku/>
        <w:wordWrap/>
        <w:overflowPunct/>
        <w:topLinePunct w:val="0"/>
        <w:autoSpaceDE/>
        <w:autoSpaceDN/>
        <w:bidi w:val="0"/>
        <w:snapToGrid/>
        <w:spacing w:beforeLines="0" w:afterLines="0" w:line="240" w:lineRule="auto"/>
        <w:ind w:right="0" w:rightChars="0"/>
        <w:textAlignment w:val="auto"/>
        <w:rPr>
          <w:rFonts w:hint="eastAsia"/>
          <w:sz w:val="28"/>
        </w:rPr>
      </w:pPr>
      <w:r>
        <w:rPr>
          <w:rFonts w:hint="eastAsia"/>
          <w:sz w:val="28"/>
          <w:lang w:val="en-US" w:eastAsia="zh-CN"/>
        </w:rPr>
        <w:t>8、</w:t>
      </w:r>
      <w:r>
        <w:rPr>
          <w:rFonts w:hint="eastAsia"/>
          <w:sz w:val="28"/>
        </w:rPr>
        <w:t>安全网关</w:t>
      </w:r>
      <w:r>
        <w:rPr>
          <w:rFonts w:hint="eastAsia"/>
          <w:sz w:val="28"/>
          <w:lang w:val="en-US" w:eastAsia="zh-CN"/>
        </w:rPr>
        <w:t xml:space="preserve"> 7台</w:t>
      </w:r>
    </w:p>
    <w:p>
      <w:pPr>
        <w:pStyle w:val="971"/>
        <w:numPr>
          <w:ilvl w:val="0"/>
          <w:numId w:val="10"/>
        </w:numPr>
        <w:ind w:firstLineChars="0"/>
      </w:pPr>
      <w:r>
        <w:rPr>
          <w:rFonts w:hint="eastAsia"/>
        </w:rPr>
        <w:t>★系统架构：1、桌面型产品，采用高性能多核硬件平台和自主安全操作系统；2、≥</w:t>
      </w:r>
      <w:r>
        <w:t>5个千兆电口，≥1个千兆COMBO口。</w:t>
      </w:r>
    </w:p>
    <w:p>
      <w:pPr>
        <w:pStyle w:val="971"/>
        <w:numPr>
          <w:ilvl w:val="0"/>
          <w:numId w:val="10"/>
        </w:numPr>
        <w:ind w:firstLineChars="0"/>
      </w:pPr>
      <w:r>
        <w:rPr>
          <w:rFonts w:hint="eastAsia"/>
        </w:rPr>
        <w:t>★基础性能：1、最大吞吐量≥</w:t>
      </w:r>
      <w:r>
        <w:t>200M；</w:t>
      </w:r>
      <w:r>
        <w:rPr>
          <w:rFonts w:hint="eastAsia"/>
        </w:rPr>
        <w:t>2、最大并发会话数≥</w:t>
      </w:r>
      <w:r>
        <w:t>20万；</w:t>
      </w:r>
      <w:r>
        <w:rPr>
          <w:rFonts w:hint="eastAsia"/>
        </w:rPr>
        <w:t>3、每秒新建会话数≥</w:t>
      </w:r>
      <w:r>
        <w:t>5000。</w:t>
      </w:r>
    </w:p>
    <w:p>
      <w:pPr>
        <w:pStyle w:val="971"/>
        <w:numPr>
          <w:ilvl w:val="0"/>
          <w:numId w:val="10"/>
        </w:numPr>
        <w:ind w:firstLineChars="0"/>
      </w:pPr>
      <w:r>
        <w:rPr>
          <w:rFonts w:hint="eastAsia"/>
        </w:rPr>
        <w:t>工作模式：支持透明、路由、旁路等工作模式。</w:t>
      </w:r>
    </w:p>
    <w:p>
      <w:pPr>
        <w:pStyle w:val="971"/>
        <w:numPr>
          <w:ilvl w:val="0"/>
          <w:numId w:val="10"/>
        </w:numPr>
        <w:ind w:firstLineChars="0"/>
      </w:pPr>
      <w:r>
        <w:t>NAT</w:t>
      </w:r>
      <w:r>
        <w:rPr>
          <w:rFonts w:hint="eastAsia"/>
        </w:rPr>
        <w:t>：支持</w:t>
      </w:r>
      <w:r>
        <w:t>IPv4/IPv6源NAT、目的NAT、静态NAT；</w:t>
      </w:r>
      <w:r>
        <w:rPr>
          <w:rFonts w:hint="eastAsia"/>
        </w:rPr>
        <w:t>支持跨协议</w:t>
      </w:r>
      <w:r>
        <w:t>NAT转换：NAT64、NAT46，具备IVI、嵌入地址、地址池三种转换形式。</w:t>
      </w:r>
    </w:p>
    <w:p>
      <w:pPr>
        <w:pStyle w:val="971"/>
        <w:numPr>
          <w:ilvl w:val="0"/>
          <w:numId w:val="10"/>
        </w:numPr>
        <w:ind w:firstLineChars="0"/>
      </w:pPr>
      <w:r>
        <w:rPr>
          <w:rFonts w:hint="eastAsia"/>
        </w:rPr>
        <w:t>路由：支持基于目的地址、下一跳、出接口的静态路由协议；支持</w:t>
      </w:r>
      <w:r>
        <w:t>RIP、OSPF等动态路由协议；</w:t>
      </w:r>
      <w:r>
        <w:rPr>
          <w:rFonts w:hint="eastAsia"/>
        </w:rPr>
        <w:t>支持基于入接口、源</w:t>
      </w:r>
      <w:r>
        <w:t>/目的地址、用户、服务、应用、时间等多元组策略路由。</w:t>
      </w:r>
    </w:p>
    <w:p>
      <w:pPr>
        <w:pStyle w:val="971"/>
        <w:numPr>
          <w:ilvl w:val="0"/>
          <w:numId w:val="10"/>
        </w:numPr>
        <w:ind w:firstLineChars="0"/>
      </w:pPr>
      <w:r>
        <w:rPr>
          <w:rFonts w:hint="eastAsia"/>
        </w:rPr>
        <w:t>★一体化策略：支持基于</w:t>
      </w:r>
      <w:r>
        <w:t>IPv4/IPv6的一体化安全策略：在一条策略中可基于设备接口/安全域、源/目的IP地址、服务、应用、用户、时间等属性，配置入侵防护、病毒防护、Web访问策略、应用控制等安全防护功能；（需提供产品</w:t>
      </w:r>
      <w:r>
        <w:rPr>
          <w:rFonts w:hint="eastAsia"/>
        </w:rPr>
        <w:t>功能</w:t>
      </w:r>
      <w:r>
        <w:t>截图）</w:t>
      </w:r>
    </w:p>
    <w:p>
      <w:pPr>
        <w:pStyle w:val="971"/>
        <w:numPr>
          <w:ilvl w:val="0"/>
          <w:numId w:val="10"/>
        </w:numPr>
        <w:ind w:firstLineChars="0"/>
      </w:pPr>
      <w:r>
        <w:rPr>
          <w:rFonts w:hint="eastAsia"/>
        </w:rPr>
        <w:t>流量镜像：支持基于接口、源</w:t>
      </w:r>
      <w:r>
        <w:t>/目的地址、服务、用户、应用、时间等维度的流量镜像策略，并提供剥离VLAN、修改目的MAC等网络能力，便于第三方设备进行数据分析或转发。</w:t>
      </w:r>
    </w:p>
    <w:p>
      <w:pPr>
        <w:pStyle w:val="971"/>
        <w:numPr>
          <w:ilvl w:val="0"/>
          <w:numId w:val="10"/>
        </w:numPr>
        <w:ind w:firstLineChars="0"/>
      </w:pPr>
      <w:r>
        <w:rPr>
          <w:rFonts w:hint="eastAsia"/>
        </w:rPr>
        <w:t>用户策略：支持基于</w:t>
      </w:r>
      <w:r>
        <w:t>IPv4/IPv6的用户识别、认证和绑定，提供跨3层IP和MAC地址的绑定功能，可手动导入或导出；</w:t>
      </w:r>
      <w:r>
        <w:rPr>
          <w:rFonts w:hint="eastAsia"/>
        </w:rPr>
        <w:t>支持用户资源访问控制策略，通过认证用户与业务资源绑定，设置访问时间段，精细化管控认证用户的资源访问权限。</w:t>
      </w:r>
    </w:p>
    <w:p>
      <w:pPr>
        <w:pStyle w:val="971"/>
        <w:numPr>
          <w:ilvl w:val="0"/>
          <w:numId w:val="10"/>
        </w:numPr>
        <w:ind w:firstLineChars="0"/>
      </w:pPr>
      <w:r>
        <w:rPr>
          <w:rFonts w:hint="eastAsia"/>
        </w:rPr>
        <w:t>★入侵防御：内置</w:t>
      </w:r>
      <w:r>
        <w:t>IPS检测引擎，支持命令执行、目录遍历、缓冲溢出、安全绕过、信息泄露等10余种特征类别，特征库数量不少于11000条，兼容CVE/CNCVE，特征库可直接查阅事件名称、CVE ID、受影响的系统、事件详情、处理建议、补丁下载等详细信息，支持事件集自动和手动两种更新方式；（需提供产品</w:t>
      </w:r>
      <w:r>
        <w:rPr>
          <w:rFonts w:hint="eastAsia"/>
        </w:rPr>
        <w:t>功能</w:t>
      </w:r>
      <w:r>
        <w:t>截图）</w:t>
      </w:r>
    </w:p>
    <w:p>
      <w:pPr>
        <w:pStyle w:val="971"/>
        <w:numPr>
          <w:ilvl w:val="0"/>
          <w:numId w:val="10"/>
        </w:numPr>
        <w:ind w:firstLineChars="0"/>
      </w:pPr>
      <w:r>
        <w:rPr>
          <w:rFonts w:hint="eastAsia"/>
        </w:rPr>
        <w:t>病毒防护：支持</w:t>
      </w:r>
      <w:r>
        <w:t>HTTP，FTP，POP3，SMTP，IMAP协议的病毒查杀，支持查杀邮件附件、网页下载文件中包含的病毒；</w:t>
      </w:r>
      <w:r>
        <w:rPr>
          <w:rFonts w:hint="eastAsia"/>
        </w:rPr>
        <w:t>支持实时病毒连接阻断，病毒事件日志记录；</w:t>
      </w:r>
      <w:r>
        <w:t xml:space="preserve"> </w:t>
      </w:r>
    </w:p>
    <w:p>
      <w:pPr>
        <w:pStyle w:val="971"/>
        <w:numPr>
          <w:ilvl w:val="0"/>
          <w:numId w:val="10"/>
        </w:numPr>
        <w:ind w:firstLineChars="0"/>
      </w:pPr>
      <w:r>
        <w:rPr>
          <w:rFonts w:hint="eastAsia"/>
        </w:rPr>
        <w:t>风险扫描：支持扫描</w:t>
      </w:r>
      <w:r>
        <w:t>IP网段常用端口或自定义端口，并将扫描结果同步至资产列表；</w:t>
      </w:r>
      <w:r>
        <w:rPr>
          <w:rFonts w:hint="eastAsia"/>
        </w:rPr>
        <w:t>支持</w:t>
      </w:r>
      <w:r>
        <w:t>IPv4/6网络下telnet、ssh、ftp、imap、pop3、smtp、mysql、postgresql、mssql、rlogim、vnc等常见协议的弱密码检测功能，支持快速扫描、全面扫描、自定义扫描、空密码、用户名和密码相同等检测方式，弱口令字典可自定义设置。</w:t>
      </w:r>
    </w:p>
    <w:p>
      <w:pPr>
        <w:pStyle w:val="971"/>
        <w:numPr>
          <w:ilvl w:val="0"/>
          <w:numId w:val="10"/>
        </w:numPr>
        <w:ind w:firstLineChars="0"/>
      </w:pPr>
      <w:r>
        <w:rPr>
          <w:rFonts w:hint="eastAsia"/>
        </w:rPr>
        <w:t>★应用识别：具备对应用程序的识别和控制能力，</w:t>
      </w:r>
      <w:r>
        <w:t>产品内置不少于5000种应用特征，基于覆盖平台、流行度、风险等维度内置不少于20种应用分类，如即时通讯、社交网络、电子邮件、在线视频、文件共享、P2P下载、电子商务、炒股软件、网络游戏、搜索引擎、数据库、代理翻墙等，支持在线更新或手动更新</w:t>
      </w:r>
      <w:r>
        <w:rPr>
          <w:rFonts w:hint="eastAsia"/>
        </w:rPr>
        <w:t>；支持自定义应用，可基于协议、端口、</w:t>
      </w:r>
      <w:r>
        <w:t>IP、域名等维度定义应用。（需提供产品</w:t>
      </w:r>
      <w:r>
        <w:rPr>
          <w:rFonts w:hint="eastAsia"/>
        </w:rPr>
        <w:t>功能</w:t>
      </w:r>
      <w:r>
        <w:t>截图）</w:t>
      </w:r>
    </w:p>
    <w:p>
      <w:pPr>
        <w:pStyle w:val="971"/>
        <w:numPr>
          <w:ilvl w:val="0"/>
          <w:numId w:val="10"/>
        </w:numPr>
        <w:ind w:firstLineChars="0"/>
      </w:pPr>
      <w:r>
        <w:rPr>
          <w:rFonts w:hint="eastAsia"/>
        </w:rPr>
        <w:t>流量控制：支持流量基于用户、</w:t>
      </w:r>
      <w:r>
        <w:t>ip地址、时间、服务以及应用等维度的线路带宽限制与保障策略；</w:t>
      </w:r>
      <w:r>
        <w:rPr>
          <w:rFonts w:hint="eastAsia"/>
        </w:rPr>
        <w:t>支持用户限额策略，可基于流量和时长两种限额类型、日限额和月限额两种统计维度；超过限额阈值，支持终端网页提醒，支持添加到惩罚流控通道或禁止上网的惩罚设置。</w:t>
      </w:r>
    </w:p>
    <w:p>
      <w:pPr>
        <w:pStyle w:val="971"/>
        <w:numPr>
          <w:ilvl w:val="0"/>
          <w:numId w:val="10"/>
        </w:numPr>
        <w:ind w:firstLineChars="0"/>
      </w:pPr>
      <w:r>
        <w:rPr>
          <w:rFonts w:hint="eastAsia"/>
        </w:rPr>
        <w:t>资产管理：支持对</w:t>
      </w:r>
      <w:r>
        <w:t xml:space="preserve">IPv4/IPv6资产进行手动添加、扫描发现和流量自学习，支持资产信息列表的导入导出； </w:t>
      </w:r>
    </w:p>
    <w:p>
      <w:pPr>
        <w:pStyle w:val="971"/>
        <w:numPr>
          <w:ilvl w:val="0"/>
          <w:numId w:val="10"/>
        </w:numPr>
        <w:ind w:firstLineChars="0"/>
      </w:pPr>
      <w:r>
        <w:rPr>
          <w:rFonts w:hint="eastAsia"/>
        </w:rPr>
        <w:t>★安全分析：支持入侵攻击源、目的地图实时展示，支持病毒与入侵事件攻击源、攻击目的、攻击事件</w:t>
      </w:r>
      <w:r>
        <w:t>TOP 10统计；</w:t>
      </w:r>
      <w:r>
        <w:rPr>
          <w:rFonts w:hint="eastAsia"/>
        </w:rPr>
        <w:t>支持基于威胁情报分析安全状态，提供源</w:t>
      </w:r>
      <w:r>
        <w:t>IP、目的IP、情报指标和情报类型的TOP10统计，并可基于统计周期、威胁类型、情报指标、情报来源、风险等级、情报类别等维度进行情报检索；（需提供产品</w:t>
      </w:r>
      <w:r>
        <w:rPr>
          <w:rFonts w:hint="eastAsia"/>
        </w:rPr>
        <w:t>功能</w:t>
      </w:r>
      <w:r>
        <w:t>截图）</w:t>
      </w:r>
    </w:p>
    <w:p>
      <w:pPr>
        <w:pStyle w:val="971"/>
        <w:pageBreakBefore w:val="0"/>
        <w:widowControl w:val="0"/>
        <w:numPr>
          <w:ilvl w:val="0"/>
          <w:numId w:val="10"/>
        </w:numPr>
        <w:kinsoku/>
        <w:wordWrap/>
        <w:overflowPunct/>
        <w:topLinePunct w:val="0"/>
        <w:autoSpaceDE/>
        <w:autoSpaceDN/>
        <w:bidi w:val="0"/>
        <w:snapToGrid/>
        <w:spacing w:beforeLines="0" w:afterLines="0" w:line="240" w:lineRule="auto"/>
        <w:ind w:right="0" w:rightChars="0" w:firstLineChars="0"/>
        <w:textAlignment w:val="auto"/>
        <w:rPr>
          <w:rFonts w:hint="eastAsia"/>
          <w:sz w:val="21"/>
        </w:rPr>
      </w:pPr>
      <w:r>
        <w:rPr>
          <w:rFonts w:hint="eastAsia"/>
        </w:rPr>
        <w:t>产品资质：1、具有公安部颁发的《计算机信息系统安全专用产品销售许可证》；2、具有中华人民共和国国家版权局颁发的《计算机软件著作权登记证书》。</w:t>
      </w:r>
    </w:p>
    <w:p>
      <w:pPr>
        <w:pStyle w:val="4"/>
        <w:pageBreakBefore w:val="0"/>
        <w:widowControl w:val="0"/>
        <w:kinsoku/>
        <w:wordWrap/>
        <w:overflowPunct/>
        <w:topLinePunct w:val="0"/>
        <w:autoSpaceDE/>
        <w:autoSpaceDN/>
        <w:bidi w:val="0"/>
        <w:snapToGrid/>
        <w:spacing w:beforeLines="0" w:afterLines="0" w:line="240" w:lineRule="auto"/>
        <w:ind w:right="0" w:rightChars="0"/>
        <w:textAlignment w:val="auto"/>
        <w:rPr>
          <w:rFonts w:hint="eastAsia"/>
          <w:sz w:val="28"/>
        </w:rPr>
      </w:pPr>
      <w:r>
        <w:rPr>
          <w:rFonts w:hint="eastAsia"/>
          <w:sz w:val="28"/>
          <w:lang w:val="en-US" w:eastAsia="zh-CN"/>
        </w:rPr>
        <w:t>9、</w:t>
      </w:r>
      <w:r>
        <w:rPr>
          <w:rFonts w:hint="eastAsia"/>
          <w:sz w:val="28"/>
        </w:rPr>
        <w:t>移动运输箱</w:t>
      </w:r>
      <w:r>
        <w:rPr>
          <w:rFonts w:hint="eastAsia"/>
          <w:sz w:val="28"/>
          <w:lang w:val="en-US" w:eastAsia="zh-CN"/>
        </w:rPr>
        <w:t>11台</w:t>
      </w:r>
    </w:p>
    <w:p>
      <w:pPr>
        <w:pStyle w:val="971"/>
        <w:numPr>
          <w:ilvl w:val="0"/>
          <w:numId w:val="11"/>
        </w:numPr>
        <w:ind w:firstLineChars="0"/>
      </w:pPr>
      <w:r>
        <w:rPr>
          <w:rFonts w:hint="eastAsia"/>
        </w:rPr>
        <w:t>箱体尺寸：≤长</w:t>
      </w:r>
      <w:r>
        <w:t>420mm*宽320mm*高270mm</w:t>
      </w:r>
    </w:p>
    <w:p>
      <w:pPr>
        <w:pStyle w:val="971"/>
        <w:numPr>
          <w:ilvl w:val="0"/>
          <w:numId w:val="11"/>
        </w:numPr>
        <w:ind w:firstLineChars="0"/>
      </w:pPr>
      <w:r>
        <w:rPr>
          <w:rFonts w:hint="eastAsia"/>
        </w:rPr>
        <w:t>样本存储空间：≥长</w:t>
      </w:r>
      <w:r>
        <w:t>280mm*宽180mm*高210mm</w:t>
      </w:r>
    </w:p>
    <w:p>
      <w:pPr>
        <w:pStyle w:val="971"/>
        <w:numPr>
          <w:ilvl w:val="0"/>
          <w:numId w:val="11"/>
        </w:numPr>
        <w:ind w:firstLineChars="0"/>
      </w:pPr>
      <w:r>
        <w:rPr>
          <w:rFonts w:hint="eastAsia"/>
        </w:rPr>
        <w:t>★外包装材质：高强度航空铝</w:t>
      </w:r>
    </w:p>
    <w:p>
      <w:pPr>
        <w:pStyle w:val="971"/>
        <w:numPr>
          <w:ilvl w:val="0"/>
          <w:numId w:val="11"/>
        </w:numPr>
        <w:ind w:firstLineChars="0"/>
      </w:pPr>
      <w:r>
        <w:rPr>
          <w:rFonts w:hint="eastAsia"/>
        </w:rPr>
        <w:t>绝热保温层材质：高密度聚苯乙烯泡沫</w:t>
      </w:r>
    </w:p>
    <w:p>
      <w:pPr>
        <w:pStyle w:val="971"/>
        <w:numPr>
          <w:ilvl w:val="0"/>
          <w:numId w:val="11"/>
        </w:numPr>
        <w:ind w:firstLineChars="0"/>
      </w:pPr>
      <w:r>
        <w:rPr>
          <w:rFonts w:hint="eastAsia"/>
        </w:rPr>
        <w:t>通信能力：支持</w:t>
      </w:r>
      <w:r>
        <w:t>4G、5G通信</w:t>
      </w:r>
    </w:p>
    <w:p>
      <w:pPr>
        <w:pStyle w:val="971"/>
        <w:numPr>
          <w:ilvl w:val="0"/>
          <w:numId w:val="11"/>
        </w:numPr>
        <w:ind w:firstLineChars="0"/>
      </w:pPr>
      <w:r>
        <w:rPr>
          <w:rFonts w:hint="eastAsia"/>
        </w:rPr>
        <w:t>室外定位：北斗，</w:t>
      </w:r>
      <w:r>
        <w:t>GPS</w:t>
      </w:r>
    </w:p>
    <w:p>
      <w:pPr>
        <w:pStyle w:val="971"/>
        <w:numPr>
          <w:ilvl w:val="0"/>
          <w:numId w:val="11"/>
        </w:numPr>
        <w:ind w:firstLineChars="0"/>
      </w:pPr>
      <w:r>
        <w:rPr>
          <w:rFonts w:hint="eastAsia"/>
        </w:rPr>
        <w:t>室内定位：基站</w:t>
      </w:r>
    </w:p>
    <w:p>
      <w:pPr>
        <w:pStyle w:val="971"/>
        <w:numPr>
          <w:ilvl w:val="0"/>
          <w:numId w:val="11"/>
        </w:numPr>
        <w:ind w:firstLineChars="0"/>
      </w:pPr>
      <w:r>
        <w:rPr>
          <w:rFonts w:hint="eastAsia"/>
        </w:rPr>
        <w:t>传感器：温度传感器、加速度传感器</w:t>
      </w:r>
    </w:p>
    <w:p>
      <w:pPr>
        <w:pStyle w:val="971"/>
        <w:numPr>
          <w:ilvl w:val="0"/>
          <w:numId w:val="11"/>
        </w:numPr>
        <w:ind w:firstLineChars="0"/>
      </w:pPr>
      <w:r>
        <w:rPr>
          <w:rFonts w:hint="eastAsia"/>
        </w:rPr>
        <w:t>温度采集：测温范围为</w:t>
      </w:r>
      <w:r>
        <w:t>-40℃~105℃，精度为±0.5℃</w:t>
      </w:r>
    </w:p>
    <w:p>
      <w:pPr>
        <w:pStyle w:val="971"/>
        <w:numPr>
          <w:ilvl w:val="0"/>
          <w:numId w:val="11"/>
        </w:numPr>
        <w:ind w:firstLineChars="0"/>
      </w:pPr>
      <w:r>
        <w:rPr>
          <w:rFonts w:hint="eastAsia"/>
        </w:rPr>
        <w:t>加速度传感：测量范围为±</w:t>
      </w:r>
      <w:r>
        <w:t>2g至±8g</w:t>
      </w:r>
    </w:p>
    <w:p>
      <w:pPr>
        <w:pStyle w:val="971"/>
        <w:numPr>
          <w:ilvl w:val="0"/>
          <w:numId w:val="11"/>
        </w:numPr>
        <w:ind w:firstLineChars="0"/>
      </w:pPr>
      <w:r>
        <w:rPr>
          <w:rFonts w:hint="eastAsia"/>
        </w:rPr>
        <w:t>定位精度：</w:t>
      </w:r>
      <w:r>
        <w:t>&lt;10米</w:t>
      </w:r>
    </w:p>
    <w:p>
      <w:pPr>
        <w:pStyle w:val="971"/>
        <w:numPr>
          <w:ilvl w:val="0"/>
          <w:numId w:val="11"/>
        </w:numPr>
        <w:ind w:firstLineChars="0"/>
      </w:pPr>
      <w:r>
        <w:rPr>
          <w:rFonts w:hint="eastAsia"/>
        </w:rPr>
        <w:t>★耐跌落：跌落试验符合</w:t>
      </w:r>
      <w:r>
        <w:t>IATA 危险品规格62版、危险物品安全航空运输技术细则 ICAO Doc 9284-AN/905 2021-2022</w:t>
      </w:r>
      <w:r>
        <w:rPr>
          <w:rFonts w:hint="eastAsia"/>
        </w:rPr>
        <w:t>要求，该项性能指标需提供经过</w:t>
      </w:r>
      <w:r>
        <w:t>CMA、CNAS认证的第三方检测机构出具的检测报告复印件</w:t>
      </w:r>
    </w:p>
    <w:p>
      <w:pPr>
        <w:pStyle w:val="971"/>
        <w:numPr>
          <w:ilvl w:val="0"/>
          <w:numId w:val="11"/>
        </w:numPr>
        <w:ind w:firstLineChars="0"/>
      </w:pPr>
      <w:r>
        <w:rPr>
          <w:rFonts w:hint="eastAsia"/>
        </w:rPr>
        <w:t>★码垛性能：码垛试验符合</w:t>
      </w:r>
      <w:r>
        <w:t>IATA 危险品规格62版、危险物品安全航空运输技术细则 ICAO Doc 9284-AN/905 2021-2022</w:t>
      </w:r>
      <w:r>
        <w:rPr>
          <w:rFonts w:hint="eastAsia"/>
        </w:rPr>
        <w:t>要求，该项性能指标需提供经过</w:t>
      </w:r>
      <w:r>
        <w:t>CMA、CNAS认证的第三方检测机构出具的检测报告复印件</w:t>
      </w:r>
    </w:p>
    <w:p>
      <w:pPr>
        <w:pStyle w:val="971"/>
        <w:numPr>
          <w:ilvl w:val="0"/>
          <w:numId w:val="11"/>
        </w:numPr>
        <w:ind w:firstLineChars="0"/>
      </w:pPr>
      <w:r>
        <w:rPr>
          <w:rFonts w:hint="eastAsia"/>
        </w:rPr>
        <w:t>★密封性：密封试验符合</w:t>
      </w:r>
      <w:r>
        <w:t>IATA 危险品规格62版、危险物品安全航空运输技术细则 ICAO Doc 9284-AN/905 2021-2022</w:t>
      </w:r>
      <w:r>
        <w:rPr>
          <w:rFonts w:hint="eastAsia"/>
        </w:rPr>
        <w:t>要求，该项性能指标需提供经过</w:t>
      </w:r>
      <w:r>
        <w:t>CMA、CNAS认证的第三方检测机构出具的检测报告复印件</w:t>
      </w:r>
    </w:p>
    <w:p>
      <w:pPr>
        <w:pStyle w:val="971"/>
        <w:numPr>
          <w:ilvl w:val="0"/>
          <w:numId w:val="11"/>
        </w:numPr>
        <w:ind w:firstLineChars="0"/>
      </w:pPr>
      <w:r>
        <w:rPr>
          <w:rFonts w:hint="eastAsia"/>
        </w:rPr>
        <w:t>★耐穿孔性：穿孔试验符合</w:t>
      </w:r>
      <w:r>
        <w:t>IATA 危险品规格62版、危险物品安全航空运输技术细则 ICAO Doc 9284-AN/905 2021-2022</w:t>
      </w:r>
      <w:r>
        <w:rPr>
          <w:rFonts w:hint="eastAsia"/>
        </w:rPr>
        <w:t>要求，该项性能指标需提供经过</w:t>
      </w:r>
      <w:r>
        <w:t>CMA、CNAS认证的第三方检测机构出具的检测报告复印件</w:t>
      </w:r>
    </w:p>
    <w:p>
      <w:pPr>
        <w:pStyle w:val="971"/>
        <w:numPr>
          <w:ilvl w:val="0"/>
          <w:numId w:val="11"/>
        </w:numPr>
        <w:ind w:firstLineChars="0"/>
      </w:pPr>
      <w:r>
        <w:rPr>
          <w:rFonts w:hint="eastAsia"/>
        </w:rPr>
        <w:t>开箱监测：具有实时开箱监测功能，可远程获得箱子开关状态。</w:t>
      </w:r>
    </w:p>
    <w:p>
      <w:pPr>
        <w:pStyle w:val="971"/>
        <w:numPr>
          <w:ilvl w:val="0"/>
          <w:numId w:val="11"/>
        </w:numPr>
        <w:ind w:firstLineChars="0"/>
      </w:pPr>
      <w:r>
        <w:rPr>
          <w:rFonts w:hint="eastAsia"/>
        </w:rPr>
        <w:t>移动监测：具有移动监测功能，箱子由静止状态变更为移动状态可上报状态变更数据</w:t>
      </w:r>
    </w:p>
    <w:p>
      <w:pPr>
        <w:pStyle w:val="971"/>
        <w:numPr>
          <w:ilvl w:val="0"/>
          <w:numId w:val="11"/>
        </w:numPr>
        <w:ind w:firstLineChars="0"/>
      </w:pPr>
      <w:r>
        <w:rPr>
          <w:rFonts w:hint="eastAsia"/>
        </w:rPr>
        <w:t>温度监测：具有实时温度监测功能，可远程获知箱内温度</w:t>
      </w:r>
    </w:p>
    <w:p>
      <w:pPr>
        <w:pStyle w:val="971"/>
        <w:numPr>
          <w:ilvl w:val="0"/>
          <w:numId w:val="11"/>
        </w:numPr>
        <w:ind w:firstLineChars="0"/>
      </w:pPr>
      <w:r>
        <w:rPr>
          <w:rFonts w:hint="eastAsia"/>
        </w:rPr>
        <w:t>功耗调节：静息状态下可自动进入休眠模式，恢复移动时继续上报箱子轨迹数据</w:t>
      </w:r>
    </w:p>
    <w:p>
      <w:pPr>
        <w:pStyle w:val="971"/>
        <w:pageBreakBefore w:val="0"/>
        <w:widowControl w:val="0"/>
        <w:numPr>
          <w:ilvl w:val="0"/>
          <w:numId w:val="11"/>
        </w:numPr>
        <w:kinsoku/>
        <w:wordWrap/>
        <w:overflowPunct/>
        <w:topLinePunct w:val="0"/>
        <w:autoSpaceDE/>
        <w:autoSpaceDN/>
        <w:bidi w:val="0"/>
        <w:snapToGrid/>
        <w:spacing w:beforeLines="0" w:afterLines="0" w:line="240" w:lineRule="auto"/>
        <w:ind w:right="0" w:rightChars="0" w:firstLineChars="0"/>
        <w:textAlignment w:val="auto"/>
        <w:rPr>
          <w:rFonts w:hint="eastAsia"/>
          <w:sz w:val="21"/>
        </w:rPr>
      </w:pPr>
      <w:r>
        <w:rPr>
          <w:rFonts w:hint="eastAsia"/>
        </w:rPr>
        <w:t>★电池安全性：符合</w:t>
      </w:r>
      <w:r>
        <w:t>可充电型锂电池操作规范</w:t>
      </w:r>
      <w:r>
        <w:rPr>
          <w:rFonts w:hint="eastAsia"/>
        </w:rPr>
        <w:t>UN</w:t>
      </w:r>
      <w:r>
        <w:t>38.3</w:t>
      </w:r>
      <w:r>
        <w:rPr>
          <w:rFonts w:hint="eastAsia"/>
        </w:rPr>
        <w:t>要求，该项性能指标需提供第三方检测机构出具的检测报告复印件</w:t>
      </w:r>
    </w:p>
    <w:p>
      <w:pPr>
        <w:pStyle w:val="4"/>
        <w:pageBreakBefore w:val="0"/>
        <w:widowControl w:val="0"/>
        <w:kinsoku/>
        <w:wordWrap/>
        <w:overflowPunct/>
        <w:topLinePunct w:val="0"/>
        <w:autoSpaceDE/>
        <w:autoSpaceDN/>
        <w:bidi w:val="0"/>
        <w:snapToGrid/>
        <w:spacing w:beforeLines="0" w:afterLines="0" w:line="240" w:lineRule="auto"/>
        <w:ind w:right="0" w:rightChars="0"/>
        <w:textAlignment w:val="auto"/>
        <w:rPr>
          <w:rFonts w:hint="eastAsia"/>
          <w:sz w:val="28"/>
        </w:rPr>
      </w:pPr>
      <w:r>
        <w:rPr>
          <w:rFonts w:hint="eastAsia"/>
          <w:sz w:val="28"/>
          <w:lang w:val="en-US" w:eastAsia="zh-CN"/>
        </w:rPr>
        <w:t>10、</w:t>
      </w:r>
      <w:r>
        <w:rPr>
          <w:rFonts w:hint="eastAsia"/>
          <w:sz w:val="28"/>
        </w:rPr>
        <w:t>4G物联网卡</w:t>
      </w:r>
      <w:r>
        <w:rPr>
          <w:rFonts w:hint="eastAsia"/>
          <w:sz w:val="28"/>
          <w:lang w:val="en-US" w:eastAsia="zh-CN"/>
        </w:rPr>
        <w:t>11张</w:t>
      </w:r>
    </w:p>
    <w:p>
      <w:pPr>
        <w:pageBreakBefore w:val="0"/>
        <w:widowControl w:val="0"/>
        <w:kinsoku/>
        <w:wordWrap/>
        <w:overflowPunct/>
        <w:topLinePunct w:val="0"/>
        <w:autoSpaceDE/>
        <w:autoSpaceDN/>
        <w:bidi w:val="0"/>
        <w:snapToGrid/>
        <w:spacing w:beforeLines="0" w:afterLines="0" w:line="240" w:lineRule="auto"/>
        <w:ind w:right="0" w:rightChars="0"/>
        <w:textAlignment w:val="auto"/>
        <w:rPr>
          <w:rFonts w:hint="eastAsia"/>
          <w:sz w:val="21"/>
        </w:rPr>
      </w:pPr>
      <w:r>
        <w:rPr>
          <w:rFonts w:hint="eastAsia"/>
          <w:sz w:val="21"/>
        </w:rPr>
        <w:t>含一张4G物联网卡、1G流量/月（含五年流量费）</w:t>
      </w:r>
    </w:p>
    <w:p>
      <w:pPr>
        <w:pStyle w:val="4"/>
        <w:pageBreakBefore w:val="0"/>
        <w:widowControl w:val="0"/>
        <w:kinsoku/>
        <w:wordWrap/>
        <w:overflowPunct/>
        <w:topLinePunct w:val="0"/>
        <w:autoSpaceDE/>
        <w:autoSpaceDN/>
        <w:bidi w:val="0"/>
        <w:snapToGrid/>
        <w:spacing w:beforeLines="0" w:afterLines="0" w:line="240" w:lineRule="auto"/>
        <w:ind w:right="0" w:rightChars="0"/>
        <w:textAlignment w:val="auto"/>
        <w:rPr>
          <w:rFonts w:hint="eastAsia"/>
          <w:sz w:val="28"/>
        </w:rPr>
      </w:pPr>
      <w:r>
        <w:rPr>
          <w:rFonts w:hint="eastAsia"/>
          <w:sz w:val="28"/>
          <w:lang w:val="en-US" w:eastAsia="zh-CN"/>
        </w:rPr>
        <w:t>11、</w:t>
      </w:r>
      <w:r>
        <w:rPr>
          <w:rFonts w:hint="eastAsia"/>
          <w:sz w:val="28"/>
        </w:rPr>
        <w:t>互联网虚拟专用网服务</w:t>
      </w:r>
    </w:p>
    <w:p>
      <w:pPr>
        <w:pageBreakBefore w:val="0"/>
        <w:widowControl w:val="0"/>
        <w:kinsoku/>
        <w:wordWrap/>
        <w:overflowPunct/>
        <w:topLinePunct w:val="0"/>
        <w:autoSpaceDE/>
        <w:autoSpaceDN/>
        <w:bidi w:val="0"/>
        <w:snapToGrid/>
        <w:spacing w:beforeLines="0" w:afterLines="0" w:line="240" w:lineRule="auto"/>
        <w:ind w:right="0" w:rightChars="0"/>
        <w:textAlignment w:val="auto"/>
        <w:rPr>
          <w:rFonts w:hint="eastAsia"/>
          <w:sz w:val="21"/>
        </w:rPr>
      </w:pPr>
      <w:r>
        <w:rPr>
          <w:rFonts w:hint="eastAsia"/>
          <w:sz w:val="21"/>
        </w:rPr>
        <w:t>100Mb （含五年租赁费）</w:t>
      </w:r>
    </w:p>
    <w:p>
      <w:pPr>
        <w:pStyle w:val="4"/>
        <w:pageBreakBefore w:val="0"/>
        <w:widowControl w:val="0"/>
        <w:kinsoku/>
        <w:wordWrap/>
        <w:overflowPunct/>
        <w:topLinePunct w:val="0"/>
        <w:autoSpaceDE/>
        <w:autoSpaceDN/>
        <w:bidi w:val="0"/>
        <w:snapToGrid/>
        <w:spacing w:beforeLines="0" w:afterLines="0" w:line="240" w:lineRule="auto"/>
        <w:ind w:right="0" w:rightChars="0"/>
        <w:textAlignment w:val="auto"/>
        <w:rPr>
          <w:rFonts w:hint="eastAsia"/>
          <w:sz w:val="28"/>
        </w:rPr>
      </w:pPr>
      <w:r>
        <w:rPr>
          <w:rFonts w:hint="eastAsia"/>
          <w:sz w:val="28"/>
          <w:lang w:val="en-US" w:eastAsia="zh-CN"/>
        </w:rPr>
        <w:t>12、</w:t>
      </w:r>
      <w:r>
        <w:rPr>
          <w:rFonts w:hint="eastAsia"/>
          <w:sz w:val="28"/>
        </w:rPr>
        <w:t>实验室设立单位数据平台</w:t>
      </w:r>
    </w:p>
    <w:p>
      <w:pPr>
        <w:pageBreakBefore w:val="0"/>
        <w:widowControl w:val="0"/>
        <w:kinsoku/>
        <w:wordWrap/>
        <w:overflowPunct/>
        <w:topLinePunct w:val="0"/>
        <w:autoSpaceDE/>
        <w:autoSpaceDN/>
        <w:bidi w:val="0"/>
        <w:snapToGrid/>
        <w:spacing w:beforeLines="0" w:afterLines="0" w:line="240" w:lineRule="auto"/>
        <w:ind w:right="0" w:rightChars="0"/>
        <w:textAlignment w:val="auto"/>
        <w:rPr>
          <w:rFonts w:hint="eastAsia"/>
          <w:sz w:val="21"/>
        </w:rPr>
      </w:pPr>
      <w:r>
        <w:rPr>
          <w:rFonts w:hint="eastAsia"/>
          <w:sz w:val="21"/>
        </w:rPr>
        <w:t>实验室设立单位数据管控平台，主要内容包括建设数据平台对实验室内智能设备进行数据提取、数据分析及数据处理，并实现多业务系统的可视化展示。主要包括生物安全评价，实时视频监管，生物安全实验室备案及活动，人员进出统计，环境监测预警，设施设备预警，行为违规预警，样本运输预警，问题汇总及分析等功能。</w:t>
      </w:r>
    </w:p>
    <w:p>
      <w:pPr>
        <w:spacing w:beforeLines="0" w:afterLines="0"/>
        <w:rPr>
          <w:rFonts w:hint="eastAsia"/>
          <w:sz w:val="21"/>
        </w:rPr>
      </w:pPr>
      <w:r>
        <w:rPr>
          <w:rFonts w:hint="eastAsia"/>
          <w:sz w:val="21"/>
        </w:rPr>
        <w:br w:type="page"/>
      </w:r>
    </w:p>
    <w:p>
      <w:pPr>
        <w:pStyle w:val="3"/>
        <w:pageBreakBefore w:val="0"/>
        <w:widowControl w:val="0"/>
        <w:numPr>
          <w:ilvl w:val="0"/>
          <w:numId w:val="3"/>
        </w:numPr>
        <w:kinsoku/>
        <w:wordWrap/>
        <w:overflowPunct/>
        <w:topLinePunct w:val="0"/>
        <w:autoSpaceDE/>
        <w:autoSpaceDN/>
        <w:bidi w:val="0"/>
        <w:adjustRightInd w:val="0"/>
        <w:spacing w:beforeLines="0" w:afterLines="0" w:line="240" w:lineRule="auto"/>
        <w:ind w:right="0" w:rightChars="0"/>
        <w:jc w:val="both"/>
        <w:textAlignment w:val="auto"/>
        <w:rPr>
          <w:rFonts w:hint="eastAsia"/>
          <w:sz w:val="36"/>
        </w:rPr>
      </w:pPr>
      <w:r>
        <w:rPr>
          <w:rFonts w:hint="eastAsia"/>
          <w:sz w:val="36"/>
        </w:rPr>
        <w:t>商务要求</w:t>
      </w:r>
    </w:p>
    <w:tbl>
      <w:tblPr>
        <w:tblStyle w:val="73"/>
        <w:tblW w:w="8522"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93"/>
        <w:gridCol w:w="732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751" w:hRule="atLeast"/>
          <w:jc w:val="center"/>
        </w:trPr>
        <w:tc>
          <w:tcPr>
            <w:tcW w:w="1193" w:type="dxa"/>
            <w:tcBorders>
              <w:top w:val="single" w:color="auto" w:sz="12" w:space="0"/>
              <w:left w:val="single" w:color="auto" w:sz="12" w:space="0"/>
              <w:bottom w:val="single" w:color="auto" w:sz="6" w:space="0"/>
              <w:right w:val="single" w:color="auto" w:sz="6" w:space="0"/>
              <w:tl2br w:val="nil"/>
              <w:tr2bl w:val="nil"/>
            </w:tcBorders>
            <w:vAlign w:val="center"/>
          </w:tcPr>
          <w:p>
            <w:pPr>
              <w:pageBreakBefore w:val="0"/>
              <w:widowControl w:val="0"/>
              <w:kinsoku/>
              <w:wordWrap/>
              <w:overflowPunct/>
              <w:topLinePunct w:val="0"/>
              <w:autoSpaceDE/>
              <w:autoSpaceDN/>
              <w:bidi w:val="0"/>
              <w:adjustRightInd w:val="0"/>
              <w:snapToGrid w:val="0"/>
              <w:spacing w:beforeLines="0" w:afterLines="0" w:line="240" w:lineRule="auto"/>
              <w:ind w:right="0" w:rightChars="0"/>
              <w:jc w:val="both"/>
              <w:textAlignment w:val="auto"/>
              <w:rPr>
                <w:rFonts w:hint="default" w:ascii="宋体" w:hAnsi="宋体"/>
                <w:sz w:val="21"/>
              </w:rPr>
            </w:pPr>
            <w:r>
              <w:rPr>
                <w:rFonts w:hint="eastAsia" w:ascii="宋体" w:hAnsi="宋体"/>
                <w:sz w:val="21"/>
              </w:rPr>
              <w:t>交付（服务）时间及地点</w:t>
            </w:r>
          </w:p>
        </w:tc>
        <w:tc>
          <w:tcPr>
            <w:tcW w:w="7329" w:type="dxa"/>
            <w:tcBorders>
              <w:top w:val="single" w:color="auto" w:sz="12" w:space="0"/>
              <w:left w:val="single" w:color="auto" w:sz="6" w:space="0"/>
              <w:bottom w:val="single" w:color="auto" w:sz="6" w:space="0"/>
              <w:right w:val="single" w:color="auto" w:sz="12" w:space="0"/>
              <w:tl2br w:val="nil"/>
              <w:tr2bl w:val="nil"/>
            </w:tcBorders>
            <w:vAlign w:val="center"/>
          </w:tcPr>
          <w:p>
            <w:pPr>
              <w:pageBreakBefore w:val="0"/>
              <w:widowControl w:val="0"/>
              <w:kinsoku/>
              <w:wordWrap/>
              <w:overflowPunct/>
              <w:topLinePunct w:val="0"/>
              <w:autoSpaceDE/>
              <w:autoSpaceDN/>
              <w:bidi w:val="0"/>
              <w:adjustRightInd w:val="0"/>
              <w:snapToGrid w:val="0"/>
              <w:spacing w:beforeLines="0" w:afterLines="0" w:line="240" w:lineRule="auto"/>
              <w:ind w:right="0" w:rightChars="0"/>
              <w:jc w:val="both"/>
              <w:textAlignment w:val="auto"/>
              <w:rPr>
                <w:rFonts w:hint="default" w:ascii="宋体" w:hAnsi="宋体"/>
                <w:sz w:val="21"/>
              </w:rPr>
            </w:pPr>
            <w:r>
              <w:rPr>
                <w:rFonts w:hint="eastAsia" w:ascii="宋体" w:hAnsi="宋体"/>
                <w:sz w:val="21"/>
              </w:rPr>
              <w:t>时间：合同签订后</w:t>
            </w:r>
            <w:r>
              <w:rPr>
                <w:rFonts w:hint="default" w:ascii="宋体" w:hAnsi="宋体"/>
                <w:sz w:val="21"/>
              </w:rPr>
              <w:t>3</w:t>
            </w:r>
            <w:r>
              <w:rPr>
                <w:rFonts w:hint="eastAsia" w:ascii="宋体" w:hAnsi="宋体"/>
                <w:sz w:val="21"/>
              </w:rPr>
              <w:t>天内交付安装并通过验收。</w:t>
            </w:r>
          </w:p>
          <w:p>
            <w:pPr>
              <w:pageBreakBefore w:val="0"/>
              <w:widowControl w:val="0"/>
              <w:kinsoku/>
              <w:wordWrap/>
              <w:overflowPunct/>
              <w:topLinePunct w:val="0"/>
              <w:autoSpaceDE/>
              <w:autoSpaceDN/>
              <w:bidi w:val="0"/>
              <w:adjustRightInd w:val="0"/>
              <w:snapToGrid w:val="0"/>
              <w:spacing w:beforeLines="0" w:afterLines="0" w:line="240" w:lineRule="auto"/>
              <w:ind w:right="0" w:rightChars="0"/>
              <w:jc w:val="both"/>
              <w:textAlignment w:val="auto"/>
              <w:rPr>
                <w:rFonts w:hint="default" w:ascii="宋体" w:hAnsi="宋体"/>
                <w:sz w:val="21"/>
              </w:rPr>
            </w:pPr>
            <w:r>
              <w:rPr>
                <w:rFonts w:hint="eastAsia" w:ascii="宋体" w:hAnsi="宋体"/>
                <w:sz w:val="21"/>
              </w:rPr>
              <w:t>地点：用户指定。</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751" w:hRule="atLeast"/>
          <w:jc w:val="center"/>
        </w:trPr>
        <w:tc>
          <w:tcPr>
            <w:tcW w:w="1193" w:type="dxa"/>
            <w:tcBorders>
              <w:top w:val="single" w:color="auto" w:sz="6" w:space="0"/>
              <w:left w:val="single" w:color="auto" w:sz="12" w:space="0"/>
              <w:bottom w:val="single" w:color="auto" w:sz="6" w:space="0"/>
              <w:right w:val="single" w:color="auto" w:sz="6" w:space="0"/>
              <w:tl2br w:val="nil"/>
              <w:tr2bl w:val="nil"/>
            </w:tcBorders>
            <w:vAlign w:val="center"/>
          </w:tcPr>
          <w:p>
            <w:pPr>
              <w:pageBreakBefore w:val="0"/>
              <w:widowControl w:val="0"/>
              <w:kinsoku/>
              <w:wordWrap/>
              <w:overflowPunct/>
              <w:topLinePunct w:val="0"/>
              <w:autoSpaceDE/>
              <w:autoSpaceDN/>
              <w:bidi w:val="0"/>
              <w:adjustRightInd w:val="0"/>
              <w:snapToGrid w:val="0"/>
              <w:spacing w:beforeLines="0" w:afterLines="0" w:line="240" w:lineRule="auto"/>
              <w:ind w:right="0" w:rightChars="0"/>
              <w:jc w:val="both"/>
              <w:textAlignment w:val="auto"/>
              <w:rPr>
                <w:rFonts w:hint="default" w:ascii="宋体" w:hAnsi="宋体"/>
                <w:sz w:val="21"/>
              </w:rPr>
            </w:pPr>
            <w:r>
              <w:rPr>
                <w:rFonts w:hint="eastAsia" w:ascii="宋体" w:hAnsi="宋体"/>
                <w:sz w:val="21"/>
              </w:rPr>
              <w:t>付款方式</w:t>
            </w:r>
          </w:p>
        </w:tc>
        <w:tc>
          <w:tcPr>
            <w:tcW w:w="7329" w:type="dxa"/>
            <w:tcBorders>
              <w:top w:val="single" w:color="auto" w:sz="6" w:space="0"/>
              <w:left w:val="single" w:color="auto" w:sz="6" w:space="0"/>
              <w:bottom w:val="single" w:color="auto" w:sz="6" w:space="0"/>
              <w:right w:val="single" w:color="auto" w:sz="12" w:space="0"/>
              <w:tl2br w:val="nil"/>
              <w:tr2bl w:val="nil"/>
            </w:tcBorders>
            <w:vAlign w:val="center"/>
          </w:tcPr>
          <w:p>
            <w:pPr>
              <w:pageBreakBefore w:val="0"/>
              <w:widowControl w:val="0"/>
              <w:kinsoku/>
              <w:wordWrap/>
              <w:overflowPunct/>
              <w:topLinePunct w:val="0"/>
              <w:autoSpaceDE/>
              <w:autoSpaceDN/>
              <w:bidi w:val="0"/>
              <w:adjustRightInd w:val="0"/>
              <w:snapToGrid w:val="0"/>
              <w:spacing w:beforeLines="0" w:afterLines="0" w:line="240" w:lineRule="auto"/>
              <w:ind w:right="0" w:rightChars="0"/>
              <w:jc w:val="both"/>
              <w:textAlignment w:val="auto"/>
              <w:rPr>
                <w:rFonts w:hint="default" w:ascii="宋体" w:hAnsi="宋体"/>
                <w:sz w:val="21"/>
              </w:rPr>
            </w:pPr>
            <w:r>
              <w:rPr>
                <w:rFonts w:hint="eastAsia" w:ascii="宋体" w:hAnsi="宋体"/>
                <w:sz w:val="21"/>
              </w:rPr>
              <w:t>合同签订后支付合同金额的</w:t>
            </w:r>
            <w:r>
              <w:rPr>
                <w:rFonts w:hint="default" w:ascii="宋体" w:hAnsi="宋体"/>
                <w:sz w:val="21"/>
              </w:rPr>
              <w:t>5</w:t>
            </w:r>
            <w:r>
              <w:rPr>
                <w:rFonts w:hint="eastAsia" w:ascii="宋体" w:hAnsi="宋体"/>
                <w:sz w:val="21"/>
              </w:rPr>
              <w:t>0%预付款，设备安装调试完成后支付至合同金额的</w:t>
            </w:r>
            <w:r>
              <w:rPr>
                <w:rFonts w:hint="default" w:ascii="宋体" w:hAnsi="宋体"/>
                <w:sz w:val="21"/>
              </w:rPr>
              <w:t>5</w:t>
            </w:r>
            <w:r>
              <w:rPr>
                <w:rFonts w:hint="eastAsia" w:ascii="宋体" w:hAnsi="宋体"/>
                <w:sz w:val="21"/>
              </w:rPr>
              <w:t>0%剩余合同尾款。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751" w:hRule="atLeast"/>
          <w:jc w:val="center"/>
        </w:trPr>
        <w:tc>
          <w:tcPr>
            <w:tcW w:w="1193" w:type="dxa"/>
            <w:tcBorders>
              <w:top w:val="single" w:color="auto" w:sz="6" w:space="0"/>
              <w:left w:val="single" w:color="auto" w:sz="12" w:space="0"/>
              <w:bottom w:val="single" w:color="auto" w:sz="6" w:space="0"/>
              <w:right w:val="single" w:color="auto" w:sz="6" w:space="0"/>
              <w:tl2br w:val="nil"/>
              <w:tr2bl w:val="nil"/>
            </w:tcBorders>
            <w:vAlign w:val="center"/>
          </w:tcPr>
          <w:p>
            <w:pPr>
              <w:pageBreakBefore w:val="0"/>
              <w:widowControl w:val="0"/>
              <w:kinsoku/>
              <w:wordWrap/>
              <w:overflowPunct/>
              <w:topLinePunct w:val="0"/>
              <w:autoSpaceDE/>
              <w:autoSpaceDN/>
              <w:bidi w:val="0"/>
              <w:adjustRightInd w:val="0"/>
              <w:snapToGrid w:val="0"/>
              <w:spacing w:beforeLines="0" w:afterLines="0" w:line="240" w:lineRule="auto"/>
              <w:ind w:right="0" w:rightChars="0"/>
              <w:jc w:val="both"/>
              <w:textAlignment w:val="auto"/>
              <w:rPr>
                <w:rFonts w:hint="default" w:ascii="宋体" w:hAnsi="宋体"/>
                <w:sz w:val="21"/>
              </w:rPr>
            </w:pPr>
            <w:r>
              <w:rPr>
                <w:rFonts w:hint="eastAsia" w:ascii="宋体" w:hAnsi="宋体"/>
                <w:kern w:val="0"/>
                <w:sz w:val="21"/>
              </w:rPr>
              <w:t>安装、调试</w:t>
            </w:r>
          </w:p>
        </w:tc>
        <w:tc>
          <w:tcPr>
            <w:tcW w:w="7329" w:type="dxa"/>
            <w:tcBorders>
              <w:top w:val="single" w:color="auto" w:sz="6" w:space="0"/>
              <w:left w:val="single" w:color="auto" w:sz="6" w:space="0"/>
              <w:bottom w:val="single" w:color="auto" w:sz="6" w:space="0"/>
              <w:right w:val="single" w:color="auto" w:sz="12" w:space="0"/>
              <w:tl2br w:val="nil"/>
              <w:tr2bl w:val="nil"/>
            </w:tcBorders>
            <w:vAlign w:val="center"/>
          </w:tcPr>
          <w:p>
            <w:pPr>
              <w:pageBreakBefore w:val="0"/>
              <w:widowControl w:val="0"/>
              <w:kinsoku/>
              <w:wordWrap/>
              <w:overflowPunct/>
              <w:topLinePunct w:val="0"/>
              <w:autoSpaceDE/>
              <w:autoSpaceDN/>
              <w:bidi w:val="0"/>
              <w:adjustRightInd w:val="0"/>
              <w:snapToGrid w:val="0"/>
              <w:spacing w:beforeLines="0" w:afterLines="0" w:line="240" w:lineRule="auto"/>
              <w:ind w:right="0" w:rightChars="0"/>
              <w:jc w:val="both"/>
              <w:textAlignment w:val="auto"/>
              <w:rPr>
                <w:rFonts w:hint="default" w:ascii="宋体" w:hAnsi="宋体"/>
                <w:sz w:val="21"/>
              </w:rPr>
            </w:pPr>
            <w:r>
              <w:rPr>
                <w:rFonts w:hint="eastAsia" w:ascii="宋体" w:hAnsi="宋体"/>
                <w:sz w:val="21"/>
              </w:rPr>
              <w:t>硬件的安装必须符合有关标准和规范。安装过程中采购人将对软硬件的安装进行监督。</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133" w:hRule="atLeast"/>
          <w:jc w:val="center"/>
        </w:trPr>
        <w:tc>
          <w:tcPr>
            <w:tcW w:w="1193" w:type="dxa"/>
            <w:tcBorders>
              <w:top w:val="single" w:color="auto" w:sz="6" w:space="0"/>
              <w:left w:val="single" w:color="auto" w:sz="12" w:space="0"/>
              <w:bottom w:val="single" w:color="auto" w:sz="6" w:space="0"/>
              <w:right w:val="single" w:color="auto" w:sz="6" w:space="0"/>
              <w:tl2br w:val="nil"/>
              <w:tr2bl w:val="nil"/>
            </w:tcBorders>
            <w:vAlign w:val="center"/>
          </w:tcPr>
          <w:p>
            <w:pPr>
              <w:pageBreakBefore w:val="0"/>
              <w:widowControl w:val="0"/>
              <w:kinsoku/>
              <w:wordWrap/>
              <w:overflowPunct/>
              <w:topLinePunct w:val="0"/>
              <w:autoSpaceDE/>
              <w:autoSpaceDN/>
              <w:bidi w:val="0"/>
              <w:adjustRightInd w:val="0"/>
              <w:snapToGrid w:val="0"/>
              <w:spacing w:beforeLines="0" w:afterLines="0" w:line="240" w:lineRule="auto"/>
              <w:ind w:right="0" w:rightChars="0"/>
              <w:jc w:val="both"/>
              <w:textAlignment w:val="auto"/>
              <w:rPr>
                <w:rFonts w:hint="default" w:ascii="宋体" w:hAnsi="宋体"/>
                <w:sz w:val="21"/>
              </w:rPr>
            </w:pPr>
            <w:r>
              <w:rPr>
                <w:rFonts w:hint="eastAsia" w:ascii="宋体" w:hAnsi="宋体"/>
                <w:sz w:val="21"/>
              </w:rPr>
              <w:t>培训</w:t>
            </w:r>
          </w:p>
        </w:tc>
        <w:tc>
          <w:tcPr>
            <w:tcW w:w="7329" w:type="dxa"/>
            <w:tcBorders>
              <w:top w:val="single" w:color="auto" w:sz="6" w:space="0"/>
              <w:left w:val="single" w:color="auto" w:sz="6" w:space="0"/>
              <w:bottom w:val="single" w:color="auto" w:sz="6" w:space="0"/>
              <w:right w:val="single" w:color="auto" w:sz="12" w:space="0"/>
              <w:tl2br w:val="nil"/>
              <w:tr2bl w:val="nil"/>
            </w:tcBorders>
            <w:vAlign w:val="center"/>
          </w:tcPr>
          <w:p>
            <w:pPr>
              <w:pageBreakBefore w:val="0"/>
              <w:widowControl w:val="0"/>
              <w:kinsoku/>
              <w:wordWrap/>
              <w:overflowPunct/>
              <w:topLinePunct w:val="0"/>
              <w:autoSpaceDE/>
              <w:autoSpaceDN/>
              <w:bidi w:val="0"/>
              <w:adjustRightInd w:val="0"/>
              <w:snapToGrid w:val="0"/>
              <w:spacing w:beforeLines="0" w:afterLines="0" w:line="240" w:lineRule="auto"/>
              <w:ind w:right="0" w:rightChars="0"/>
              <w:jc w:val="both"/>
              <w:textAlignment w:val="auto"/>
              <w:rPr>
                <w:rFonts w:hint="default" w:ascii="宋体" w:hAnsi="宋体"/>
                <w:sz w:val="21"/>
              </w:rPr>
            </w:pPr>
            <w:r>
              <w:rPr>
                <w:rFonts w:hint="eastAsia" w:ascii="宋体" w:hAnsi="宋体"/>
                <w:sz w:val="21"/>
              </w:rPr>
              <w:t>中标人应根据项目实际需要，自行设计满足采购人要求的培训服务，详细说明培训的方式、地点、人数、时间，培训内容包括软件的技术原理、操作、数据处理、基本维护等实质性内容。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133" w:hRule="atLeast"/>
          <w:jc w:val="center"/>
        </w:trPr>
        <w:tc>
          <w:tcPr>
            <w:tcW w:w="1193" w:type="dxa"/>
            <w:tcBorders>
              <w:top w:val="single" w:color="auto" w:sz="6" w:space="0"/>
              <w:left w:val="single" w:color="auto" w:sz="12" w:space="0"/>
              <w:bottom w:val="single" w:color="auto" w:sz="6" w:space="0"/>
              <w:right w:val="single" w:color="auto" w:sz="6" w:space="0"/>
              <w:tl2br w:val="nil"/>
              <w:tr2bl w:val="nil"/>
            </w:tcBorders>
            <w:vAlign w:val="center"/>
          </w:tcPr>
          <w:p>
            <w:pPr>
              <w:pageBreakBefore w:val="0"/>
              <w:widowControl w:val="0"/>
              <w:kinsoku/>
              <w:wordWrap/>
              <w:overflowPunct/>
              <w:topLinePunct w:val="0"/>
              <w:autoSpaceDE/>
              <w:autoSpaceDN/>
              <w:bidi w:val="0"/>
              <w:adjustRightInd w:val="0"/>
              <w:snapToGrid w:val="0"/>
              <w:spacing w:beforeLines="0" w:afterLines="0" w:line="240" w:lineRule="auto"/>
              <w:ind w:right="0" w:rightChars="0"/>
              <w:jc w:val="both"/>
              <w:textAlignment w:val="auto"/>
              <w:rPr>
                <w:rFonts w:hint="default" w:ascii="宋体" w:hAnsi="宋体"/>
                <w:sz w:val="21"/>
              </w:rPr>
            </w:pPr>
            <w:r>
              <w:rPr>
                <w:rFonts w:hint="eastAsia" w:ascii="宋体" w:hAnsi="宋体"/>
                <w:sz w:val="21"/>
              </w:rPr>
              <w:t>质保</w:t>
            </w:r>
          </w:p>
        </w:tc>
        <w:tc>
          <w:tcPr>
            <w:tcW w:w="7329" w:type="dxa"/>
            <w:tcBorders>
              <w:top w:val="single" w:color="auto" w:sz="6" w:space="0"/>
              <w:left w:val="single" w:color="auto" w:sz="6" w:space="0"/>
              <w:bottom w:val="single" w:color="auto" w:sz="6" w:space="0"/>
              <w:right w:val="single" w:color="auto" w:sz="12" w:space="0"/>
              <w:tl2br w:val="nil"/>
              <w:tr2bl w:val="nil"/>
            </w:tcBorders>
            <w:vAlign w:val="center"/>
          </w:tcPr>
          <w:p>
            <w:pPr>
              <w:pageBreakBefore w:val="0"/>
              <w:widowControl w:val="0"/>
              <w:kinsoku/>
              <w:wordWrap/>
              <w:overflowPunct/>
              <w:topLinePunct w:val="0"/>
              <w:autoSpaceDE/>
              <w:autoSpaceDN/>
              <w:bidi w:val="0"/>
              <w:adjustRightInd w:val="0"/>
              <w:snapToGrid w:val="0"/>
              <w:spacing w:beforeLines="0" w:afterLines="0" w:line="240" w:lineRule="auto"/>
              <w:ind w:right="0" w:rightChars="0"/>
              <w:jc w:val="both"/>
              <w:textAlignment w:val="auto"/>
              <w:rPr>
                <w:rFonts w:hint="default" w:ascii="宋体" w:hAnsi="宋体"/>
                <w:sz w:val="21"/>
              </w:rPr>
            </w:pPr>
            <w:r>
              <w:rPr>
                <w:rFonts w:hint="eastAsia" w:ascii="宋体" w:hAnsi="宋体"/>
                <w:color w:val="000000"/>
                <w:sz w:val="21"/>
              </w:rPr>
              <w:t>本项目所有产品质保期至少</w:t>
            </w:r>
            <w:r>
              <w:rPr>
                <w:rFonts w:hint="default" w:ascii="宋体" w:hAnsi="宋体"/>
                <w:color w:val="000000"/>
                <w:sz w:val="21"/>
              </w:rPr>
              <w:t>2</w:t>
            </w:r>
            <w:r>
              <w:rPr>
                <w:rFonts w:hint="eastAsia" w:ascii="宋体" w:hAnsi="宋体"/>
                <w:color w:val="000000"/>
                <w:sz w:val="21"/>
              </w:rPr>
              <w:t>年，同时中标方承诺提供运维服务至少</w:t>
            </w:r>
            <w:r>
              <w:rPr>
                <w:rFonts w:hint="default" w:ascii="宋体" w:hAnsi="宋体"/>
                <w:color w:val="000000"/>
                <w:sz w:val="21"/>
              </w:rPr>
              <w:t>2</w:t>
            </w:r>
            <w:r>
              <w:rPr>
                <w:rFonts w:hint="eastAsia" w:ascii="宋体" w:hAnsi="宋体"/>
                <w:color w:val="000000"/>
                <w:sz w:val="21"/>
              </w:rPr>
              <w:t>年，承诺运维电话半小时内响应，12小时内上门服务，紧急事项2小时内上门服务。如上门后24小时不能解决硬件故障，免费提供备用硬件直至故障问题彻底解决</w:t>
            </w:r>
            <w:r>
              <w:rPr>
                <w:rFonts w:hint="eastAsia" w:ascii="宋体" w:hAnsi="宋体"/>
                <w:b/>
                <w:color w:val="000000"/>
                <w:sz w:val="21"/>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133" w:hRule="atLeast"/>
          <w:jc w:val="center"/>
        </w:trPr>
        <w:tc>
          <w:tcPr>
            <w:tcW w:w="1193" w:type="dxa"/>
            <w:tcBorders>
              <w:top w:val="single" w:color="auto" w:sz="6" w:space="0"/>
              <w:left w:val="single" w:color="auto" w:sz="12" w:space="0"/>
              <w:bottom w:val="single" w:color="auto" w:sz="6" w:space="0"/>
              <w:right w:val="single" w:color="auto" w:sz="6" w:space="0"/>
              <w:tl2br w:val="nil"/>
              <w:tr2bl w:val="nil"/>
            </w:tcBorders>
            <w:vAlign w:val="center"/>
          </w:tcPr>
          <w:p>
            <w:pPr>
              <w:snapToGrid w:val="0"/>
              <w:spacing w:beforeLines="0" w:afterLines="0"/>
              <w:rPr>
                <w:rFonts w:hint="default" w:ascii="宋体" w:hAnsi="宋体"/>
                <w:sz w:val="21"/>
              </w:rPr>
            </w:pPr>
            <w:r>
              <w:rPr>
                <w:rFonts w:hint="eastAsia" w:ascii="宋体" w:hAnsi="宋体"/>
                <w:sz w:val="21"/>
              </w:rPr>
              <w:t>风险及处理要求</w:t>
            </w:r>
          </w:p>
        </w:tc>
        <w:tc>
          <w:tcPr>
            <w:tcW w:w="7329" w:type="dxa"/>
            <w:tcBorders>
              <w:top w:val="single" w:color="auto" w:sz="6" w:space="0"/>
              <w:left w:val="single" w:color="auto" w:sz="6" w:space="0"/>
              <w:bottom w:val="single" w:color="auto" w:sz="6" w:space="0"/>
              <w:right w:val="single" w:color="auto" w:sz="12" w:space="0"/>
              <w:tl2br w:val="nil"/>
              <w:tr2bl w:val="nil"/>
            </w:tcBorders>
            <w:vAlign w:val="center"/>
          </w:tcPr>
          <w:p>
            <w:pPr>
              <w:snapToGrid w:val="0"/>
              <w:spacing w:beforeLines="0" w:afterLines="0"/>
              <w:rPr>
                <w:rFonts w:hint="default" w:ascii="宋体" w:hAnsi="宋体"/>
                <w:color w:val="000000"/>
                <w:sz w:val="21"/>
              </w:rPr>
            </w:pPr>
            <w:r>
              <w:rPr>
                <w:rFonts w:hint="eastAsia" w:ascii="宋体" w:hAnsi="宋体"/>
                <w:color w:val="000000"/>
                <w:sz w:val="21"/>
              </w:rPr>
              <w:t>投标人必须承诺在投标结束后的</w:t>
            </w:r>
            <w:r>
              <w:rPr>
                <w:rFonts w:hint="default" w:ascii="宋体" w:hAnsi="宋体"/>
                <w:color w:val="000000"/>
                <w:sz w:val="21"/>
              </w:rPr>
              <w:t>3</w:t>
            </w:r>
            <w:r>
              <w:rPr>
                <w:rFonts w:hint="eastAsia" w:ascii="宋体" w:hAnsi="宋体"/>
                <w:color w:val="000000"/>
                <w:sz w:val="21"/>
              </w:rPr>
              <w:t>个工作日提供招标技术参数中</w:t>
            </w:r>
            <w:r>
              <w:rPr>
                <w:rFonts w:hint="eastAsia" w:ascii="宋体" w:hAnsi="宋体"/>
                <w:b/>
                <w:color w:val="000000"/>
                <w:sz w:val="21"/>
              </w:rPr>
              <w:t>主要核心设备生安眼终端</w:t>
            </w:r>
            <w:r>
              <w:rPr>
                <w:rFonts w:hint="eastAsia" w:ascii="宋体" w:hAnsi="宋体"/>
                <w:color w:val="000000"/>
                <w:sz w:val="21"/>
              </w:rPr>
              <w:t>到业主单位进行逐条参数查验真伪</w:t>
            </w:r>
            <w:r>
              <w:rPr>
                <w:rFonts w:hint="eastAsia" w:ascii="宋体" w:hAnsi="宋体"/>
                <w:b/>
                <w:color w:val="000000"/>
                <w:sz w:val="21"/>
              </w:rPr>
              <w:t>（主要包括监管业务功能、环境告警处置、门禁备案数据交互、视频</w:t>
            </w:r>
            <w:r>
              <w:rPr>
                <w:rFonts w:hint="default" w:ascii="宋体" w:hAnsi="宋体"/>
                <w:b/>
                <w:color w:val="000000"/>
                <w:sz w:val="21"/>
              </w:rPr>
              <w:t>AI</w:t>
            </w:r>
            <w:r>
              <w:rPr>
                <w:rFonts w:hint="eastAsia" w:ascii="宋体" w:hAnsi="宋体"/>
                <w:b/>
                <w:color w:val="000000"/>
                <w:sz w:val="21"/>
              </w:rPr>
              <w:t>分析准确率等功能）</w:t>
            </w:r>
            <w:r>
              <w:rPr>
                <w:rFonts w:hint="eastAsia" w:ascii="宋体" w:hAnsi="宋体"/>
                <w:color w:val="000000"/>
                <w:sz w:val="21"/>
              </w:rPr>
              <w:t>，若未提供或不满足要求，则作虚假应标处理。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133" w:hRule="atLeast"/>
          <w:jc w:val="center"/>
        </w:trPr>
        <w:tc>
          <w:tcPr>
            <w:tcW w:w="1193" w:type="dxa"/>
            <w:tcBorders>
              <w:top w:val="single" w:color="auto" w:sz="6" w:space="0"/>
              <w:left w:val="single" w:color="auto" w:sz="12" w:space="0"/>
              <w:bottom w:val="single" w:color="auto" w:sz="12" w:space="0"/>
              <w:right w:val="single" w:color="auto" w:sz="6" w:space="0"/>
              <w:tl2br w:val="nil"/>
              <w:tr2bl w:val="nil"/>
            </w:tcBorders>
            <w:vAlign w:val="center"/>
          </w:tcPr>
          <w:p>
            <w:pPr>
              <w:snapToGrid w:val="0"/>
              <w:spacing w:beforeLines="0" w:afterLines="0"/>
              <w:rPr>
                <w:rFonts w:hint="default" w:ascii="宋体" w:hAnsi="宋体"/>
                <w:sz w:val="21"/>
              </w:rPr>
            </w:pPr>
            <w:r>
              <w:rPr>
                <w:rFonts w:hint="eastAsia" w:ascii="宋体" w:hAnsi="宋体"/>
                <w:sz w:val="21"/>
              </w:rPr>
              <w:t>其他</w:t>
            </w:r>
          </w:p>
        </w:tc>
        <w:tc>
          <w:tcPr>
            <w:tcW w:w="7329" w:type="dxa"/>
            <w:tcBorders>
              <w:top w:val="single" w:color="auto" w:sz="6" w:space="0"/>
              <w:left w:val="single" w:color="auto" w:sz="6" w:space="0"/>
              <w:bottom w:val="single" w:color="auto" w:sz="12" w:space="0"/>
              <w:right w:val="single" w:color="auto" w:sz="12" w:space="0"/>
              <w:tl2br w:val="nil"/>
              <w:tr2bl w:val="nil"/>
            </w:tcBorders>
            <w:vAlign w:val="center"/>
          </w:tcPr>
          <w:p>
            <w:pPr>
              <w:snapToGrid w:val="0"/>
              <w:spacing w:beforeLines="0" w:afterLines="0"/>
              <w:rPr>
                <w:rFonts w:hint="default" w:ascii="宋体" w:hAnsi="宋体"/>
                <w:sz w:val="21"/>
              </w:rPr>
            </w:pPr>
            <w:r>
              <w:rPr>
                <w:rFonts w:hint="eastAsia" w:ascii="宋体" w:hAnsi="宋体"/>
                <w:sz w:val="21"/>
              </w:rPr>
              <w:t>项目实施过程中可能涉及的所有财务成本已经包含投标总报价之中，对标书中未体现，但又是所必须的组件，中标方自行承担。</w:t>
            </w:r>
          </w:p>
        </w:tc>
      </w:tr>
    </w:tbl>
    <w:p>
      <w:pPr>
        <w:spacing w:beforeLines="0" w:afterLines="0"/>
        <w:rPr>
          <w:rFonts w:hint="eastAsia"/>
          <w:sz w:val="21"/>
        </w:rPr>
      </w:pPr>
    </w:p>
    <w:p>
      <w:pPr>
        <w:spacing w:beforeLines="0" w:afterLines="0"/>
        <w:rPr>
          <w:rFonts w:hint="eastAsia"/>
          <w:sz w:val="21"/>
        </w:rPr>
      </w:pPr>
    </w:p>
    <w:p>
      <w:pPr>
        <w:spacing w:beforeLines="0" w:afterLines="0"/>
        <w:rPr>
          <w:rFonts w:hint="eastAsia"/>
          <w:sz w:val="21"/>
        </w:rPr>
      </w:pPr>
      <w:r>
        <w:rPr>
          <w:rFonts w:hint="eastAsia"/>
          <w:sz w:val="21"/>
        </w:rPr>
        <w:br w:type="page"/>
      </w:r>
    </w:p>
    <w:p>
      <w:pPr>
        <w:pStyle w:val="15"/>
        <w:spacing w:line="240" w:lineRule="auto"/>
        <w:rPr>
          <w:rFonts w:hAnsi="宋体" w:cs="宋体"/>
          <w:color w:val="auto"/>
          <w:sz w:val="21"/>
          <w:szCs w:val="21"/>
          <w:highlight w:val="none"/>
          <w:lang w:val="en-US"/>
        </w:rPr>
      </w:pPr>
    </w:p>
    <w:p>
      <w:pPr>
        <w:pStyle w:val="17"/>
        <w:ind w:left="0" w:leftChars="0"/>
        <w:rPr>
          <w:rFonts w:ascii="宋体" w:hAnsi="宋体" w:cs="宋体"/>
          <w:color w:val="auto"/>
          <w:szCs w:val="21"/>
          <w:highlight w:val="none"/>
        </w:rPr>
      </w:pPr>
    </w:p>
    <w:p>
      <w:pPr>
        <w:snapToGrid w:val="0"/>
        <w:spacing w:line="360" w:lineRule="auto"/>
        <w:jc w:val="center"/>
        <w:rPr>
          <w:rFonts w:ascii="仿宋" w:hAnsi="仿宋" w:eastAsia="仿宋" w:cs="仿宋"/>
          <w:b/>
          <w:color w:val="auto"/>
          <w:sz w:val="44"/>
          <w:szCs w:val="44"/>
          <w:highlight w:val="none"/>
        </w:rPr>
      </w:pPr>
      <w:bookmarkStart w:id="54" w:name="_Toc32514"/>
      <w:r>
        <w:rPr>
          <w:rStyle w:val="283"/>
          <w:rFonts w:hint="eastAsia" w:ascii="仿宋" w:hAnsi="仿宋" w:eastAsia="仿宋" w:cs="仿宋"/>
          <w:color w:val="auto"/>
          <w:highlight w:val="none"/>
        </w:rPr>
        <w:t>第四部分</w:t>
      </w:r>
      <w:bookmarkStart w:id="55" w:name="_Toc184313286"/>
      <w:bookmarkEnd w:id="55"/>
      <w:bookmarkStart w:id="56" w:name="_Toc184308071"/>
      <w:bookmarkEnd w:id="56"/>
      <w:bookmarkStart w:id="57" w:name="_Toc184314436"/>
      <w:bookmarkEnd w:id="57"/>
      <w:bookmarkStart w:id="58" w:name="_Toc184313278"/>
      <w:bookmarkEnd w:id="58"/>
      <w:bookmarkStart w:id="59" w:name="_Toc184314472"/>
      <w:bookmarkEnd w:id="59"/>
      <w:bookmarkStart w:id="60" w:name="_Toc184313305"/>
      <w:bookmarkEnd w:id="60"/>
      <w:bookmarkStart w:id="61" w:name="_Toc184312127"/>
      <w:bookmarkEnd w:id="61"/>
      <w:bookmarkStart w:id="62" w:name="_Toc184314447"/>
      <w:bookmarkEnd w:id="62"/>
      <w:bookmarkStart w:id="63" w:name="_Toc184308053"/>
      <w:bookmarkEnd w:id="63"/>
      <w:bookmarkStart w:id="64" w:name="_Toc184314430"/>
      <w:bookmarkEnd w:id="64"/>
      <w:bookmarkStart w:id="65" w:name="_Toc184310276"/>
      <w:bookmarkEnd w:id="65"/>
      <w:bookmarkStart w:id="66" w:name="_Toc184310284"/>
      <w:bookmarkEnd w:id="66"/>
      <w:bookmarkStart w:id="67" w:name="_Toc184313263"/>
      <w:bookmarkEnd w:id="67"/>
      <w:bookmarkStart w:id="68" w:name="_Toc184310334"/>
      <w:bookmarkEnd w:id="68"/>
      <w:bookmarkStart w:id="69" w:name="_Toc184313291"/>
      <w:bookmarkEnd w:id="69"/>
      <w:bookmarkStart w:id="70" w:name="_Toc184310329"/>
      <w:bookmarkEnd w:id="70"/>
      <w:bookmarkStart w:id="71" w:name="_Toc184308066"/>
      <w:bookmarkEnd w:id="71"/>
      <w:bookmarkStart w:id="72" w:name="_Toc184312084"/>
      <w:bookmarkEnd w:id="72"/>
      <w:bookmarkStart w:id="73" w:name="_Toc184308096"/>
      <w:bookmarkEnd w:id="73"/>
      <w:bookmarkStart w:id="74" w:name="_Toc184312117"/>
      <w:bookmarkEnd w:id="74"/>
      <w:bookmarkStart w:id="75" w:name="_Toc184312133"/>
      <w:bookmarkEnd w:id="75"/>
      <w:bookmarkStart w:id="76" w:name="_Toc184312110"/>
      <w:bookmarkEnd w:id="76"/>
      <w:bookmarkStart w:id="77" w:name="_Toc184314448"/>
      <w:bookmarkEnd w:id="77"/>
      <w:bookmarkStart w:id="78" w:name="_Toc184313245"/>
      <w:bookmarkEnd w:id="78"/>
      <w:bookmarkStart w:id="79" w:name="_Toc184314412"/>
      <w:bookmarkEnd w:id="79"/>
      <w:bookmarkStart w:id="80" w:name="_Toc184313302"/>
      <w:bookmarkEnd w:id="80"/>
      <w:bookmarkStart w:id="81" w:name="_Toc184313309"/>
      <w:bookmarkEnd w:id="81"/>
      <w:bookmarkStart w:id="82" w:name="_Toc184314437"/>
      <w:bookmarkEnd w:id="82"/>
      <w:bookmarkStart w:id="83" w:name="_Toc184310314"/>
      <w:bookmarkEnd w:id="83"/>
      <w:bookmarkStart w:id="84" w:name="_Toc184308057"/>
      <w:bookmarkEnd w:id="84"/>
      <w:bookmarkStart w:id="85" w:name="_Toc184312134"/>
      <w:bookmarkEnd w:id="85"/>
      <w:bookmarkStart w:id="86" w:name="_Toc184310292"/>
      <w:bookmarkEnd w:id="86"/>
      <w:bookmarkStart w:id="87" w:name="_Toc184310326"/>
      <w:bookmarkEnd w:id="87"/>
      <w:bookmarkStart w:id="88" w:name="_Toc184314466"/>
      <w:bookmarkEnd w:id="88"/>
      <w:bookmarkStart w:id="89" w:name="_Toc184313293"/>
      <w:bookmarkEnd w:id="89"/>
      <w:bookmarkStart w:id="90" w:name="_Toc184310304"/>
      <w:bookmarkEnd w:id="90"/>
      <w:bookmarkStart w:id="91" w:name="_Toc184313266"/>
      <w:bookmarkEnd w:id="91"/>
      <w:bookmarkStart w:id="92" w:name="_Toc184312095"/>
      <w:bookmarkEnd w:id="92"/>
      <w:bookmarkStart w:id="93" w:name="_Toc184314427"/>
      <w:bookmarkEnd w:id="93"/>
      <w:bookmarkStart w:id="94" w:name="_Toc184310294"/>
      <w:bookmarkEnd w:id="94"/>
      <w:bookmarkStart w:id="95" w:name="_Toc184312077"/>
      <w:bookmarkEnd w:id="95"/>
      <w:bookmarkStart w:id="96" w:name="_Toc184312132"/>
      <w:bookmarkEnd w:id="96"/>
      <w:bookmarkStart w:id="97" w:name="_Toc184314456"/>
      <w:bookmarkEnd w:id="97"/>
      <w:bookmarkStart w:id="98" w:name="_Toc184308048"/>
      <w:bookmarkEnd w:id="98"/>
      <w:bookmarkStart w:id="99" w:name="_Toc184314432"/>
      <w:bookmarkEnd w:id="99"/>
      <w:bookmarkStart w:id="100" w:name="_Toc184310307"/>
      <w:bookmarkEnd w:id="100"/>
      <w:bookmarkStart w:id="101" w:name="_Toc184314439"/>
      <w:bookmarkEnd w:id="101"/>
      <w:bookmarkStart w:id="102" w:name="_Toc184308047"/>
      <w:bookmarkEnd w:id="102"/>
      <w:bookmarkStart w:id="103" w:name="_Toc184314471"/>
      <w:bookmarkEnd w:id="103"/>
      <w:bookmarkStart w:id="104" w:name="_Toc184310282"/>
      <w:bookmarkEnd w:id="104"/>
      <w:bookmarkStart w:id="105" w:name="_Toc184308083"/>
      <w:bookmarkEnd w:id="105"/>
      <w:bookmarkStart w:id="106" w:name="_Toc184310311"/>
      <w:bookmarkEnd w:id="106"/>
      <w:bookmarkStart w:id="107" w:name="_Toc184314460"/>
      <w:bookmarkEnd w:id="107"/>
      <w:bookmarkStart w:id="108" w:name="_Toc184308095"/>
      <w:bookmarkEnd w:id="108"/>
      <w:bookmarkStart w:id="109" w:name="_Toc184308092"/>
      <w:bookmarkEnd w:id="109"/>
      <w:bookmarkStart w:id="110" w:name="_Toc184310291"/>
      <w:bookmarkEnd w:id="110"/>
      <w:bookmarkStart w:id="111" w:name="_Toc184310341"/>
      <w:bookmarkEnd w:id="111"/>
      <w:bookmarkStart w:id="112" w:name="_Toc184308101"/>
      <w:bookmarkEnd w:id="112"/>
      <w:bookmarkStart w:id="113" w:name="_Toc184310281"/>
      <w:bookmarkEnd w:id="113"/>
      <w:bookmarkStart w:id="114" w:name="_Toc184314421"/>
      <w:bookmarkEnd w:id="114"/>
      <w:bookmarkStart w:id="115" w:name="_Toc184314431"/>
      <w:bookmarkEnd w:id="115"/>
      <w:bookmarkStart w:id="116" w:name="_Toc184314458"/>
      <w:bookmarkEnd w:id="116"/>
      <w:bookmarkStart w:id="117" w:name="_Toc184313247"/>
      <w:bookmarkEnd w:id="117"/>
      <w:bookmarkStart w:id="118" w:name="_Toc184314452"/>
      <w:bookmarkEnd w:id="118"/>
      <w:bookmarkStart w:id="119" w:name="_Toc184312078"/>
      <w:bookmarkEnd w:id="119"/>
      <w:bookmarkStart w:id="120" w:name="_Toc184313240"/>
      <w:bookmarkEnd w:id="120"/>
      <w:bookmarkStart w:id="121" w:name="_Toc184314433"/>
      <w:bookmarkEnd w:id="121"/>
      <w:bookmarkStart w:id="122" w:name="_Toc184313274"/>
      <w:bookmarkEnd w:id="122"/>
      <w:bookmarkStart w:id="123" w:name="_Toc184312092"/>
      <w:bookmarkEnd w:id="123"/>
      <w:bookmarkStart w:id="124" w:name="_Toc184313297"/>
      <w:bookmarkEnd w:id="124"/>
      <w:bookmarkStart w:id="125" w:name="_Toc184313270"/>
      <w:bookmarkEnd w:id="125"/>
      <w:bookmarkStart w:id="126" w:name="_Toc184312094"/>
      <w:bookmarkEnd w:id="126"/>
      <w:bookmarkStart w:id="127" w:name="_Toc184313265"/>
      <w:bookmarkEnd w:id="127"/>
      <w:bookmarkStart w:id="128" w:name="_Toc184310310"/>
      <w:bookmarkEnd w:id="128"/>
      <w:bookmarkStart w:id="129" w:name="_Toc184312067"/>
      <w:bookmarkEnd w:id="129"/>
      <w:bookmarkStart w:id="130" w:name="_Toc184312109"/>
      <w:bookmarkEnd w:id="130"/>
      <w:bookmarkStart w:id="131" w:name="_Toc184308091"/>
      <w:bookmarkEnd w:id="131"/>
      <w:bookmarkStart w:id="132" w:name="_Toc184312118"/>
      <w:bookmarkEnd w:id="132"/>
      <w:bookmarkStart w:id="133" w:name="_Toc184313259"/>
      <w:bookmarkEnd w:id="133"/>
      <w:bookmarkStart w:id="134" w:name="_Toc184313284"/>
      <w:bookmarkEnd w:id="134"/>
      <w:bookmarkStart w:id="135" w:name="_Toc184312113"/>
      <w:bookmarkEnd w:id="135"/>
      <w:bookmarkStart w:id="136" w:name="_Toc184314411"/>
      <w:bookmarkEnd w:id="136"/>
      <w:bookmarkStart w:id="137" w:name="_Toc184313303"/>
      <w:bookmarkEnd w:id="137"/>
      <w:bookmarkStart w:id="138" w:name="_Toc184308094"/>
      <w:bookmarkEnd w:id="138"/>
      <w:bookmarkStart w:id="139" w:name="_Toc184310289"/>
      <w:bookmarkEnd w:id="139"/>
      <w:bookmarkStart w:id="140" w:name="_Toc184312128"/>
      <w:bookmarkEnd w:id="140"/>
      <w:bookmarkStart w:id="141" w:name="_Toc184310343"/>
      <w:bookmarkEnd w:id="141"/>
      <w:bookmarkStart w:id="142" w:name="_Toc184314453"/>
      <w:bookmarkEnd w:id="142"/>
      <w:bookmarkStart w:id="143" w:name="_Toc184314440"/>
      <w:bookmarkEnd w:id="143"/>
      <w:bookmarkStart w:id="144" w:name="_Toc184308070"/>
      <w:bookmarkEnd w:id="144"/>
      <w:bookmarkStart w:id="145" w:name="_Toc184313288"/>
      <w:bookmarkEnd w:id="145"/>
      <w:bookmarkStart w:id="146" w:name="_Toc184314480"/>
      <w:bookmarkEnd w:id="146"/>
      <w:bookmarkStart w:id="147" w:name="_Toc184313276"/>
      <w:bookmarkEnd w:id="147"/>
      <w:bookmarkStart w:id="148" w:name="_Toc184314479"/>
      <w:bookmarkEnd w:id="148"/>
      <w:bookmarkStart w:id="149" w:name="_Toc184308044"/>
      <w:bookmarkEnd w:id="149"/>
      <w:bookmarkStart w:id="150" w:name="_Toc184308055"/>
      <w:bookmarkEnd w:id="150"/>
      <w:bookmarkStart w:id="151" w:name="_Toc184312093"/>
      <w:bookmarkEnd w:id="151"/>
      <w:bookmarkStart w:id="152" w:name="_Toc184312135"/>
      <w:bookmarkEnd w:id="152"/>
      <w:bookmarkStart w:id="153" w:name="_Toc184310313"/>
      <w:bookmarkEnd w:id="153"/>
      <w:bookmarkStart w:id="154" w:name="_Toc184314449"/>
      <w:bookmarkEnd w:id="154"/>
      <w:bookmarkStart w:id="155" w:name="_Toc184308106"/>
      <w:bookmarkEnd w:id="155"/>
      <w:bookmarkStart w:id="156" w:name="_Toc184308068"/>
      <w:bookmarkEnd w:id="156"/>
      <w:bookmarkStart w:id="157" w:name="_Toc184308056"/>
      <w:bookmarkEnd w:id="157"/>
      <w:bookmarkStart w:id="158" w:name="_Toc184312073"/>
      <w:bookmarkEnd w:id="158"/>
      <w:bookmarkStart w:id="159" w:name="_Toc184312116"/>
      <w:bookmarkEnd w:id="159"/>
      <w:bookmarkStart w:id="160" w:name="_Toc184313280"/>
      <w:bookmarkEnd w:id="160"/>
      <w:bookmarkStart w:id="161" w:name="_Toc184313260"/>
      <w:bookmarkEnd w:id="161"/>
      <w:bookmarkStart w:id="162" w:name="_Toc184312129"/>
      <w:bookmarkEnd w:id="162"/>
      <w:bookmarkStart w:id="163" w:name="_Toc184308038"/>
      <w:bookmarkEnd w:id="163"/>
      <w:bookmarkStart w:id="164" w:name="_Toc184312089"/>
      <w:bookmarkEnd w:id="164"/>
      <w:bookmarkStart w:id="165" w:name="_Toc184310296"/>
      <w:bookmarkEnd w:id="165"/>
      <w:bookmarkStart w:id="166" w:name="_Toc184310333"/>
      <w:bookmarkEnd w:id="166"/>
      <w:bookmarkStart w:id="167" w:name="_Toc184314470"/>
      <w:bookmarkEnd w:id="167"/>
      <w:bookmarkStart w:id="168" w:name="_Toc184308074"/>
      <w:bookmarkEnd w:id="168"/>
      <w:bookmarkStart w:id="169" w:name="_Toc184312123"/>
      <w:bookmarkEnd w:id="169"/>
      <w:bookmarkStart w:id="170" w:name="_Toc184312105"/>
      <w:bookmarkEnd w:id="170"/>
      <w:bookmarkStart w:id="171" w:name="_Toc184308104"/>
      <w:bookmarkEnd w:id="171"/>
      <w:bookmarkStart w:id="172" w:name="_Toc184308080"/>
      <w:bookmarkEnd w:id="172"/>
      <w:bookmarkStart w:id="173" w:name="_Toc184308042"/>
      <w:bookmarkEnd w:id="173"/>
      <w:bookmarkStart w:id="174" w:name="_Toc184308050"/>
      <w:bookmarkEnd w:id="174"/>
      <w:bookmarkStart w:id="175" w:name="_Toc184310336"/>
      <w:bookmarkEnd w:id="175"/>
      <w:bookmarkStart w:id="176" w:name="_Toc184310312"/>
      <w:bookmarkEnd w:id="176"/>
      <w:bookmarkStart w:id="177" w:name="_Toc184314422"/>
      <w:bookmarkEnd w:id="177"/>
      <w:bookmarkStart w:id="178" w:name="_Toc184314443"/>
      <w:bookmarkEnd w:id="178"/>
      <w:bookmarkStart w:id="179" w:name="_Toc184313261"/>
      <w:bookmarkEnd w:id="179"/>
      <w:bookmarkStart w:id="180" w:name="_Toc184310274"/>
      <w:bookmarkEnd w:id="180"/>
      <w:bookmarkStart w:id="181" w:name="_Toc184314413"/>
      <w:bookmarkEnd w:id="181"/>
      <w:bookmarkStart w:id="182" w:name="_Toc184313310"/>
      <w:bookmarkEnd w:id="182"/>
      <w:bookmarkStart w:id="183" w:name="_Toc184310339"/>
      <w:bookmarkEnd w:id="183"/>
      <w:bookmarkStart w:id="184" w:name="_Toc184314459"/>
      <w:bookmarkEnd w:id="184"/>
      <w:bookmarkStart w:id="185" w:name="_Toc184313248"/>
      <w:bookmarkEnd w:id="185"/>
      <w:bookmarkStart w:id="186" w:name="_Toc184308049"/>
      <w:bookmarkEnd w:id="186"/>
      <w:bookmarkStart w:id="187" w:name="_Toc184308040"/>
      <w:bookmarkEnd w:id="187"/>
      <w:bookmarkStart w:id="188" w:name="_Toc184314417"/>
      <w:bookmarkEnd w:id="188"/>
      <w:bookmarkStart w:id="189" w:name="_Toc184312107"/>
      <w:bookmarkEnd w:id="189"/>
      <w:bookmarkStart w:id="190" w:name="_Toc184310288"/>
      <w:bookmarkEnd w:id="190"/>
      <w:bookmarkStart w:id="191" w:name="_Toc184310332"/>
      <w:bookmarkEnd w:id="191"/>
      <w:bookmarkStart w:id="192" w:name="_Toc184314468"/>
      <w:bookmarkEnd w:id="192"/>
      <w:bookmarkStart w:id="193" w:name="_Toc184308081"/>
      <w:bookmarkEnd w:id="193"/>
      <w:bookmarkStart w:id="194" w:name="_Toc184310325"/>
      <w:bookmarkEnd w:id="194"/>
      <w:bookmarkStart w:id="195" w:name="_Toc184310299"/>
      <w:bookmarkEnd w:id="195"/>
      <w:bookmarkStart w:id="196" w:name="_Toc184313277"/>
      <w:bookmarkEnd w:id="196"/>
      <w:bookmarkStart w:id="197" w:name="_Toc184310322"/>
      <w:bookmarkEnd w:id="197"/>
      <w:bookmarkStart w:id="198" w:name="_Toc184310342"/>
      <w:bookmarkEnd w:id="198"/>
      <w:bookmarkStart w:id="199" w:name="_Toc184312076"/>
      <w:bookmarkEnd w:id="199"/>
      <w:bookmarkStart w:id="200" w:name="_Toc184314425"/>
      <w:bookmarkEnd w:id="200"/>
      <w:bookmarkStart w:id="201" w:name="_Toc184314474"/>
      <w:bookmarkEnd w:id="201"/>
      <w:bookmarkStart w:id="202" w:name="_Toc184312069"/>
      <w:bookmarkEnd w:id="202"/>
      <w:bookmarkStart w:id="203" w:name="_Toc184314429"/>
      <w:bookmarkEnd w:id="203"/>
      <w:bookmarkStart w:id="204" w:name="_Toc184312087"/>
      <w:bookmarkEnd w:id="204"/>
      <w:bookmarkStart w:id="205" w:name="_Toc184312070"/>
      <w:bookmarkEnd w:id="205"/>
      <w:bookmarkStart w:id="206" w:name="_Toc184314434"/>
      <w:bookmarkEnd w:id="206"/>
      <w:bookmarkStart w:id="207" w:name="_Toc184310298"/>
      <w:bookmarkEnd w:id="207"/>
      <w:bookmarkStart w:id="208" w:name="_Toc184308067"/>
      <w:bookmarkEnd w:id="208"/>
      <w:bookmarkStart w:id="209" w:name="_Toc184314416"/>
      <w:bookmarkEnd w:id="209"/>
      <w:bookmarkStart w:id="210" w:name="_Toc184312124"/>
      <w:bookmarkEnd w:id="210"/>
      <w:bookmarkStart w:id="211" w:name="_Toc184313239"/>
      <w:bookmarkEnd w:id="211"/>
      <w:bookmarkStart w:id="212" w:name="_Toc184313289"/>
      <w:bookmarkEnd w:id="212"/>
      <w:bookmarkStart w:id="213" w:name="_Toc184310290"/>
      <w:bookmarkEnd w:id="213"/>
      <w:bookmarkStart w:id="214" w:name="_Toc184313279"/>
      <w:bookmarkEnd w:id="214"/>
      <w:bookmarkStart w:id="215" w:name="_Toc184312091"/>
      <w:bookmarkEnd w:id="215"/>
      <w:bookmarkStart w:id="216" w:name="_Toc184314478"/>
      <w:bookmarkEnd w:id="216"/>
      <w:bookmarkStart w:id="217" w:name="_Toc184308062"/>
      <w:bookmarkEnd w:id="217"/>
      <w:bookmarkStart w:id="218" w:name="_Toc184313246"/>
      <w:bookmarkEnd w:id="218"/>
      <w:bookmarkStart w:id="219" w:name="_Toc184313262"/>
      <w:bookmarkEnd w:id="219"/>
      <w:bookmarkStart w:id="220" w:name="_Toc184308103"/>
      <w:bookmarkEnd w:id="220"/>
      <w:bookmarkStart w:id="221" w:name="_Toc184308077"/>
      <w:bookmarkEnd w:id="221"/>
      <w:bookmarkStart w:id="222" w:name="_Toc184312090"/>
      <w:bookmarkEnd w:id="222"/>
      <w:bookmarkStart w:id="223" w:name="_Toc184314435"/>
      <w:bookmarkEnd w:id="223"/>
      <w:bookmarkStart w:id="224" w:name="_Toc184312126"/>
      <w:bookmarkEnd w:id="224"/>
      <w:bookmarkStart w:id="225" w:name="_Toc184310272"/>
      <w:bookmarkEnd w:id="225"/>
      <w:bookmarkStart w:id="226" w:name="_Toc184314462"/>
      <w:bookmarkEnd w:id="226"/>
      <w:bookmarkStart w:id="227" w:name="_Toc184308061"/>
      <w:bookmarkEnd w:id="227"/>
      <w:bookmarkStart w:id="228" w:name="_Toc184313264"/>
      <w:bookmarkEnd w:id="228"/>
      <w:bookmarkStart w:id="229" w:name="_Toc184310331"/>
      <w:bookmarkEnd w:id="229"/>
      <w:bookmarkStart w:id="230" w:name="_Toc184314454"/>
      <w:bookmarkEnd w:id="230"/>
      <w:bookmarkStart w:id="231" w:name="_Toc184312139"/>
      <w:bookmarkEnd w:id="231"/>
      <w:bookmarkStart w:id="232" w:name="_Toc184308085"/>
      <w:bookmarkEnd w:id="232"/>
      <w:bookmarkStart w:id="233" w:name="_Toc184313255"/>
      <w:bookmarkEnd w:id="233"/>
      <w:bookmarkStart w:id="234" w:name="_Toc184308054"/>
      <w:bookmarkEnd w:id="234"/>
      <w:bookmarkStart w:id="235" w:name="_Toc184313256"/>
      <w:bookmarkEnd w:id="235"/>
      <w:bookmarkStart w:id="236" w:name="_Toc184313242"/>
      <w:bookmarkEnd w:id="236"/>
      <w:bookmarkStart w:id="237" w:name="_Toc184314467"/>
      <w:bookmarkEnd w:id="237"/>
      <w:bookmarkStart w:id="238" w:name="_Toc184312081"/>
      <w:bookmarkEnd w:id="238"/>
      <w:bookmarkStart w:id="239" w:name="_Toc184308088"/>
      <w:bookmarkEnd w:id="239"/>
      <w:bookmarkStart w:id="240" w:name="_Toc184314446"/>
      <w:bookmarkEnd w:id="240"/>
      <w:bookmarkStart w:id="241" w:name="_Toc184313301"/>
      <w:bookmarkEnd w:id="241"/>
      <w:bookmarkStart w:id="242" w:name="_Toc184313241"/>
      <w:bookmarkEnd w:id="242"/>
      <w:bookmarkStart w:id="243" w:name="_Toc184310306"/>
      <w:bookmarkEnd w:id="243"/>
      <w:bookmarkStart w:id="244" w:name="_Toc184310283"/>
      <w:bookmarkEnd w:id="244"/>
      <w:bookmarkStart w:id="245" w:name="_Toc184308046"/>
      <w:bookmarkEnd w:id="245"/>
      <w:bookmarkStart w:id="246" w:name="_Toc184314477"/>
      <w:bookmarkEnd w:id="246"/>
      <w:bookmarkStart w:id="247" w:name="_Toc184310305"/>
      <w:bookmarkEnd w:id="247"/>
      <w:bookmarkStart w:id="248" w:name="_Toc184310337"/>
      <w:bookmarkEnd w:id="248"/>
      <w:bookmarkStart w:id="249" w:name="_Toc184310316"/>
      <w:bookmarkEnd w:id="249"/>
      <w:bookmarkStart w:id="250" w:name="_Toc184313283"/>
      <w:bookmarkEnd w:id="250"/>
      <w:bookmarkStart w:id="251" w:name="_Toc184310320"/>
      <w:bookmarkEnd w:id="251"/>
      <w:bookmarkStart w:id="252" w:name="_Toc184310308"/>
      <w:bookmarkEnd w:id="252"/>
      <w:bookmarkStart w:id="253" w:name="_Toc184312122"/>
      <w:bookmarkEnd w:id="253"/>
      <w:bookmarkStart w:id="254" w:name="_Toc184310273"/>
      <w:bookmarkEnd w:id="254"/>
      <w:bookmarkStart w:id="255" w:name="_Toc184313272"/>
      <w:bookmarkEnd w:id="255"/>
      <w:bookmarkStart w:id="256" w:name="_Toc184313285"/>
      <w:bookmarkEnd w:id="256"/>
      <w:bookmarkStart w:id="257" w:name="_Toc184312072"/>
      <w:bookmarkEnd w:id="257"/>
      <w:bookmarkStart w:id="258" w:name="_Toc184313307"/>
      <w:bookmarkEnd w:id="258"/>
      <w:bookmarkStart w:id="259" w:name="_Toc184312121"/>
      <w:bookmarkEnd w:id="259"/>
      <w:bookmarkStart w:id="260" w:name="_Toc184312125"/>
      <w:bookmarkEnd w:id="260"/>
      <w:bookmarkStart w:id="261" w:name="_Toc184308108"/>
      <w:bookmarkEnd w:id="261"/>
      <w:bookmarkStart w:id="262" w:name="_Toc184312083"/>
      <w:bookmarkEnd w:id="262"/>
      <w:bookmarkStart w:id="263" w:name="_Toc184313281"/>
      <w:bookmarkEnd w:id="263"/>
      <w:bookmarkStart w:id="264" w:name="_Toc184312137"/>
      <w:bookmarkEnd w:id="264"/>
      <w:bookmarkStart w:id="265" w:name="_Toc184310319"/>
      <w:bookmarkEnd w:id="265"/>
      <w:bookmarkStart w:id="266" w:name="_Toc184314441"/>
      <w:bookmarkEnd w:id="266"/>
      <w:bookmarkStart w:id="267" w:name="_Toc184313269"/>
      <w:bookmarkEnd w:id="267"/>
      <w:bookmarkStart w:id="268" w:name="_Toc184313296"/>
      <w:bookmarkEnd w:id="268"/>
      <w:bookmarkStart w:id="269" w:name="_Toc184310279"/>
      <w:bookmarkEnd w:id="269"/>
      <w:bookmarkStart w:id="270" w:name="_Toc184314465"/>
      <w:bookmarkEnd w:id="270"/>
      <w:bookmarkStart w:id="271" w:name="_Toc184314414"/>
      <w:bookmarkEnd w:id="271"/>
      <w:bookmarkStart w:id="272" w:name="_Toc184314450"/>
      <w:bookmarkEnd w:id="272"/>
      <w:bookmarkStart w:id="273" w:name="_Toc184312085"/>
      <w:bookmarkEnd w:id="273"/>
      <w:bookmarkStart w:id="274" w:name="_Toc184313267"/>
      <w:bookmarkEnd w:id="274"/>
      <w:bookmarkStart w:id="275" w:name="_Toc184308051"/>
      <w:bookmarkEnd w:id="275"/>
      <w:bookmarkStart w:id="276" w:name="_Toc184314426"/>
      <w:bookmarkEnd w:id="276"/>
      <w:bookmarkStart w:id="277" w:name="_Toc184313258"/>
      <w:bookmarkEnd w:id="277"/>
      <w:bookmarkStart w:id="278" w:name="_Toc184313298"/>
      <w:bookmarkEnd w:id="278"/>
      <w:bookmarkStart w:id="279" w:name="_Toc184308043"/>
      <w:bookmarkEnd w:id="279"/>
      <w:bookmarkStart w:id="280" w:name="_Toc184313238"/>
      <w:bookmarkEnd w:id="280"/>
      <w:bookmarkStart w:id="281" w:name="_Toc184313308"/>
      <w:bookmarkEnd w:id="281"/>
      <w:bookmarkStart w:id="282" w:name="_Toc184312111"/>
      <w:bookmarkEnd w:id="282"/>
      <w:bookmarkStart w:id="283" w:name="_Toc184312086"/>
      <w:bookmarkEnd w:id="283"/>
      <w:bookmarkStart w:id="284" w:name="_Toc184313257"/>
      <w:bookmarkEnd w:id="284"/>
      <w:bookmarkStart w:id="285" w:name="_Toc184312131"/>
      <w:bookmarkEnd w:id="285"/>
      <w:bookmarkStart w:id="286" w:name="_Toc184308045"/>
      <w:bookmarkEnd w:id="286"/>
      <w:bookmarkStart w:id="287" w:name="_Toc184312104"/>
      <w:bookmarkEnd w:id="287"/>
      <w:bookmarkStart w:id="288" w:name="_Toc184314469"/>
      <w:bookmarkEnd w:id="288"/>
      <w:bookmarkStart w:id="289" w:name="_Toc184313290"/>
      <w:bookmarkEnd w:id="289"/>
      <w:bookmarkStart w:id="290" w:name="_Toc184314410"/>
      <w:bookmarkEnd w:id="290"/>
      <w:bookmarkStart w:id="291" w:name="_Toc184310321"/>
      <w:bookmarkEnd w:id="291"/>
      <w:bookmarkStart w:id="292" w:name="_Toc184308065"/>
      <w:bookmarkEnd w:id="292"/>
      <w:bookmarkStart w:id="293" w:name="_Toc184313271"/>
      <w:bookmarkEnd w:id="293"/>
      <w:bookmarkStart w:id="294" w:name="_Toc184312119"/>
      <w:bookmarkEnd w:id="294"/>
      <w:bookmarkStart w:id="295" w:name="_Toc184314475"/>
      <w:bookmarkEnd w:id="295"/>
      <w:bookmarkStart w:id="296" w:name="_Toc184308107"/>
      <w:bookmarkEnd w:id="296"/>
      <w:bookmarkStart w:id="297" w:name="_Toc184308100"/>
      <w:bookmarkEnd w:id="297"/>
      <w:bookmarkStart w:id="298" w:name="_Toc184312130"/>
      <w:bookmarkEnd w:id="298"/>
      <w:bookmarkStart w:id="299" w:name="_Toc184313282"/>
      <w:bookmarkEnd w:id="299"/>
      <w:bookmarkStart w:id="300" w:name="_Toc184314415"/>
      <w:bookmarkEnd w:id="300"/>
      <w:bookmarkStart w:id="301" w:name="_Toc184312103"/>
      <w:bookmarkEnd w:id="301"/>
      <w:bookmarkStart w:id="302" w:name="_Toc184314482"/>
      <w:bookmarkEnd w:id="302"/>
      <w:bookmarkStart w:id="303" w:name="_Toc184308090"/>
      <w:bookmarkEnd w:id="303"/>
      <w:bookmarkStart w:id="304" w:name="_Toc184314455"/>
      <w:bookmarkEnd w:id="304"/>
      <w:bookmarkStart w:id="305" w:name="_Toc184312080"/>
      <w:bookmarkEnd w:id="305"/>
      <w:bookmarkStart w:id="306" w:name="_Toc184308089"/>
      <w:bookmarkEnd w:id="306"/>
      <w:bookmarkStart w:id="307" w:name="_Toc184313252"/>
      <w:bookmarkEnd w:id="307"/>
      <w:bookmarkStart w:id="308" w:name="_Toc184308052"/>
      <w:bookmarkEnd w:id="308"/>
      <w:bookmarkStart w:id="309" w:name="_Toc184310315"/>
      <w:bookmarkEnd w:id="309"/>
      <w:bookmarkStart w:id="310" w:name="_Toc184312079"/>
      <w:bookmarkEnd w:id="310"/>
      <w:bookmarkStart w:id="311" w:name="_Toc184314457"/>
      <w:bookmarkEnd w:id="311"/>
      <w:bookmarkStart w:id="312" w:name="_Toc184313306"/>
      <w:bookmarkEnd w:id="312"/>
      <w:bookmarkStart w:id="313" w:name="_Toc184308099"/>
      <w:bookmarkEnd w:id="313"/>
      <w:bookmarkStart w:id="314" w:name="_Toc184308082"/>
      <w:bookmarkEnd w:id="314"/>
      <w:bookmarkStart w:id="315" w:name="_Toc184313299"/>
      <w:bookmarkEnd w:id="315"/>
      <w:bookmarkStart w:id="316" w:name="_Toc184314476"/>
      <w:bookmarkEnd w:id="316"/>
      <w:bookmarkStart w:id="317" w:name="_Toc184308086"/>
      <w:bookmarkEnd w:id="317"/>
      <w:bookmarkStart w:id="318" w:name="_Toc184308087"/>
      <w:bookmarkEnd w:id="318"/>
      <w:bookmarkStart w:id="319" w:name="_Toc184308078"/>
      <w:bookmarkEnd w:id="319"/>
      <w:bookmarkStart w:id="320" w:name="_Toc184308069"/>
      <w:bookmarkEnd w:id="320"/>
      <w:bookmarkStart w:id="321" w:name="_Toc184312075"/>
      <w:bookmarkEnd w:id="321"/>
      <w:bookmarkStart w:id="322" w:name="_Toc184310300"/>
      <w:bookmarkEnd w:id="322"/>
      <w:bookmarkStart w:id="323" w:name="_Toc184310317"/>
      <w:bookmarkEnd w:id="323"/>
      <w:bookmarkStart w:id="324" w:name="_Toc184308098"/>
      <w:bookmarkEnd w:id="324"/>
      <w:bookmarkStart w:id="325" w:name="_Toc184314419"/>
      <w:bookmarkEnd w:id="325"/>
      <w:bookmarkStart w:id="326" w:name="_Toc184310295"/>
      <w:bookmarkEnd w:id="326"/>
      <w:bookmarkStart w:id="327" w:name="_Toc184308072"/>
      <w:bookmarkEnd w:id="327"/>
      <w:bookmarkStart w:id="328" w:name="_Toc184308102"/>
      <w:bookmarkEnd w:id="328"/>
      <w:bookmarkStart w:id="329" w:name="_Toc184314481"/>
      <w:bookmarkEnd w:id="329"/>
      <w:bookmarkStart w:id="330" w:name="_Toc184312136"/>
      <w:bookmarkEnd w:id="330"/>
      <w:bookmarkStart w:id="331" w:name="_Toc184310330"/>
      <w:bookmarkEnd w:id="331"/>
      <w:bookmarkStart w:id="332" w:name="_Toc184313243"/>
      <w:bookmarkEnd w:id="332"/>
      <w:bookmarkStart w:id="333" w:name="_Toc184313287"/>
      <w:bookmarkEnd w:id="333"/>
      <w:bookmarkStart w:id="334" w:name="_Toc184313273"/>
      <w:bookmarkEnd w:id="334"/>
      <w:bookmarkStart w:id="335" w:name="_Toc184308079"/>
      <w:bookmarkEnd w:id="335"/>
      <w:bookmarkStart w:id="336" w:name="_Toc184312114"/>
      <w:bookmarkEnd w:id="336"/>
      <w:bookmarkStart w:id="337" w:name="_Toc184313268"/>
      <w:bookmarkEnd w:id="337"/>
      <w:bookmarkStart w:id="338" w:name="_Toc184312088"/>
      <w:bookmarkEnd w:id="338"/>
      <w:bookmarkStart w:id="339" w:name="_Toc184310302"/>
      <w:bookmarkEnd w:id="339"/>
      <w:bookmarkStart w:id="340" w:name="_Toc184312108"/>
      <w:bookmarkEnd w:id="340"/>
      <w:bookmarkStart w:id="341" w:name="_Toc184310340"/>
      <w:bookmarkEnd w:id="341"/>
      <w:bookmarkStart w:id="342" w:name="_Toc184310323"/>
      <w:bookmarkEnd w:id="342"/>
      <w:bookmarkStart w:id="343" w:name="_Toc184312120"/>
      <w:bookmarkEnd w:id="343"/>
      <w:bookmarkStart w:id="344" w:name="_Toc184313275"/>
      <w:bookmarkEnd w:id="344"/>
      <w:bookmarkStart w:id="345" w:name="_Toc184312074"/>
      <w:bookmarkEnd w:id="345"/>
      <w:bookmarkStart w:id="346" w:name="_Toc184310287"/>
      <w:bookmarkEnd w:id="346"/>
      <w:bookmarkStart w:id="347" w:name="_Toc184308060"/>
      <w:bookmarkEnd w:id="347"/>
      <w:bookmarkStart w:id="348" w:name="_Toc184312100"/>
      <w:bookmarkEnd w:id="348"/>
      <w:bookmarkStart w:id="349" w:name="_Toc184314423"/>
      <w:bookmarkEnd w:id="349"/>
      <w:bookmarkStart w:id="350" w:name="_Toc184313250"/>
      <w:bookmarkEnd w:id="350"/>
      <w:bookmarkStart w:id="351" w:name="_Toc184310324"/>
      <w:bookmarkEnd w:id="351"/>
      <w:bookmarkStart w:id="352" w:name="_Toc184314424"/>
      <w:bookmarkEnd w:id="352"/>
      <w:bookmarkStart w:id="353" w:name="_Toc184312071"/>
      <w:bookmarkEnd w:id="353"/>
      <w:bookmarkStart w:id="354" w:name="_Toc184313300"/>
      <w:bookmarkEnd w:id="354"/>
      <w:bookmarkStart w:id="355" w:name="_Toc184314418"/>
      <w:bookmarkEnd w:id="355"/>
      <w:bookmarkStart w:id="356" w:name="_Toc184314445"/>
      <w:bookmarkEnd w:id="356"/>
      <w:bookmarkStart w:id="357" w:name="_Toc184314463"/>
      <w:bookmarkEnd w:id="357"/>
      <w:bookmarkStart w:id="358" w:name="_Toc184310275"/>
      <w:bookmarkEnd w:id="358"/>
      <w:bookmarkStart w:id="359" w:name="_Toc184310309"/>
      <w:bookmarkEnd w:id="359"/>
      <w:bookmarkStart w:id="360" w:name="_Toc184312096"/>
      <w:bookmarkEnd w:id="360"/>
      <w:bookmarkStart w:id="361" w:name="_Toc184310286"/>
      <w:bookmarkEnd w:id="361"/>
      <w:bookmarkStart w:id="362" w:name="_Toc184312101"/>
      <w:bookmarkEnd w:id="362"/>
      <w:bookmarkStart w:id="363" w:name="_Toc184313249"/>
      <w:bookmarkEnd w:id="363"/>
      <w:bookmarkStart w:id="364" w:name="_Toc184310285"/>
      <w:bookmarkEnd w:id="364"/>
      <w:bookmarkStart w:id="365" w:name="_Toc184313295"/>
      <w:bookmarkEnd w:id="365"/>
      <w:bookmarkStart w:id="366" w:name="_Toc184314473"/>
      <w:bookmarkEnd w:id="366"/>
      <w:bookmarkStart w:id="367" w:name="_Toc184310335"/>
      <w:bookmarkEnd w:id="367"/>
      <w:bookmarkStart w:id="368" w:name="_Toc184308063"/>
      <w:bookmarkEnd w:id="368"/>
      <w:bookmarkStart w:id="369" w:name="_Toc184310338"/>
      <w:bookmarkEnd w:id="369"/>
      <w:bookmarkStart w:id="370" w:name="_Toc184314461"/>
      <w:bookmarkEnd w:id="370"/>
      <w:bookmarkStart w:id="371" w:name="_Toc184314442"/>
      <w:bookmarkEnd w:id="371"/>
      <w:bookmarkStart w:id="372" w:name="_Toc184312068"/>
      <w:bookmarkEnd w:id="372"/>
      <w:bookmarkStart w:id="373" w:name="_Toc184310278"/>
      <w:bookmarkEnd w:id="373"/>
      <w:bookmarkStart w:id="374" w:name="_Toc184310280"/>
      <w:bookmarkEnd w:id="374"/>
      <w:bookmarkStart w:id="375" w:name="_Toc184314444"/>
      <w:bookmarkEnd w:id="375"/>
      <w:bookmarkStart w:id="376" w:name="_Toc184312106"/>
      <w:bookmarkEnd w:id="376"/>
      <w:bookmarkStart w:id="377" w:name="_Toc184312102"/>
      <w:bookmarkEnd w:id="377"/>
      <w:bookmarkStart w:id="378" w:name="_Toc184314464"/>
      <w:bookmarkEnd w:id="378"/>
      <w:bookmarkStart w:id="379" w:name="_Toc184308036"/>
      <w:bookmarkEnd w:id="379"/>
      <w:bookmarkStart w:id="380" w:name="_Toc184313254"/>
      <w:bookmarkEnd w:id="380"/>
      <w:bookmarkStart w:id="381" w:name="_Toc184312097"/>
      <w:bookmarkEnd w:id="381"/>
      <w:bookmarkStart w:id="382" w:name="_Toc184313292"/>
      <w:bookmarkEnd w:id="382"/>
      <w:bookmarkStart w:id="383" w:name="_Toc184312099"/>
      <w:bookmarkEnd w:id="383"/>
      <w:bookmarkStart w:id="384" w:name="_Toc184310318"/>
      <w:bookmarkEnd w:id="384"/>
      <w:bookmarkStart w:id="385" w:name="_Toc184314451"/>
      <w:bookmarkEnd w:id="385"/>
      <w:bookmarkStart w:id="386" w:name="_Toc184308041"/>
      <w:bookmarkEnd w:id="386"/>
      <w:bookmarkStart w:id="387" w:name="_Toc184314420"/>
      <w:bookmarkEnd w:id="387"/>
      <w:bookmarkStart w:id="388" w:name="_Toc184314428"/>
      <w:bookmarkEnd w:id="388"/>
      <w:bookmarkStart w:id="389" w:name="_Toc184308064"/>
      <w:bookmarkEnd w:id="389"/>
      <w:bookmarkStart w:id="390" w:name="_Toc184312112"/>
      <w:bookmarkEnd w:id="390"/>
      <w:bookmarkStart w:id="391" w:name="_Toc184312115"/>
      <w:bookmarkEnd w:id="391"/>
      <w:bookmarkStart w:id="392" w:name="_Toc184312082"/>
      <w:bookmarkEnd w:id="392"/>
      <w:bookmarkStart w:id="393" w:name="_Toc184310303"/>
      <w:bookmarkEnd w:id="393"/>
      <w:bookmarkStart w:id="394" w:name="_Toc184310293"/>
      <w:bookmarkEnd w:id="394"/>
      <w:bookmarkStart w:id="395" w:name="_Toc184310301"/>
      <w:bookmarkEnd w:id="395"/>
      <w:bookmarkStart w:id="396" w:name="_Toc184312098"/>
      <w:bookmarkEnd w:id="396"/>
      <w:bookmarkStart w:id="397" w:name="_Toc184314438"/>
      <w:bookmarkEnd w:id="397"/>
      <w:bookmarkStart w:id="398" w:name="_Toc184310328"/>
      <w:bookmarkEnd w:id="398"/>
      <w:bookmarkStart w:id="399" w:name="_Toc184308039"/>
      <w:bookmarkEnd w:id="399"/>
      <w:bookmarkStart w:id="400" w:name="_Toc184310277"/>
      <w:bookmarkEnd w:id="400"/>
      <w:bookmarkStart w:id="401" w:name="_Toc184308075"/>
      <w:bookmarkEnd w:id="401"/>
      <w:bookmarkStart w:id="402" w:name="_Toc184308105"/>
      <w:bookmarkEnd w:id="402"/>
      <w:bookmarkStart w:id="403" w:name="_Toc184313244"/>
      <w:bookmarkEnd w:id="403"/>
      <w:bookmarkStart w:id="404" w:name="_Toc184310344"/>
      <w:bookmarkEnd w:id="404"/>
      <w:bookmarkStart w:id="405" w:name="_Toc184310327"/>
      <w:bookmarkEnd w:id="405"/>
      <w:bookmarkStart w:id="406" w:name="_Toc184313253"/>
      <w:bookmarkEnd w:id="406"/>
      <w:bookmarkStart w:id="407" w:name="_Toc184308093"/>
      <w:bookmarkEnd w:id="407"/>
      <w:bookmarkStart w:id="408" w:name="_Toc184308037"/>
      <w:bookmarkEnd w:id="408"/>
      <w:bookmarkStart w:id="409" w:name="_Toc184308097"/>
      <w:bookmarkEnd w:id="409"/>
      <w:bookmarkStart w:id="410" w:name="_Toc184313251"/>
      <w:bookmarkEnd w:id="410"/>
      <w:bookmarkStart w:id="411" w:name="_Toc184312138"/>
      <w:bookmarkEnd w:id="411"/>
      <w:bookmarkStart w:id="412" w:name="_Toc184310297"/>
      <w:bookmarkEnd w:id="412"/>
      <w:bookmarkStart w:id="413" w:name="_Toc184308084"/>
      <w:bookmarkEnd w:id="413"/>
      <w:bookmarkStart w:id="414" w:name="_Toc184313294"/>
      <w:bookmarkEnd w:id="414"/>
      <w:bookmarkStart w:id="415" w:name="_Toc184308058"/>
      <w:bookmarkEnd w:id="415"/>
      <w:bookmarkStart w:id="416" w:name="_Toc184313304"/>
      <w:bookmarkEnd w:id="416"/>
      <w:bookmarkStart w:id="417" w:name="_Toc184308059"/>
      <w:bookmarkEnd w:id="417"/>
      <w:bookmarkStart w:id="418" w:name="_Toc184308076"/>
      <w:bookmarkEnd w:id="418"/>
      <w:bookmarkStart w:id="419" w:name="_Toc184308073"/>
      <w:bookmarkEnd w:id="419"/>
      <w:r>
        <w:rPr>
          <w:rStyle w:val="283"/>
          <w:rFonts w:hint="eastAsia" w:ascii="仿宋" w:hAnsi="仿宋" w:eastAsia="仿宋" w:cs="仿宋"/>
          <w:color w:val="auto"/>
          <w:highlight w:val="none"/>
        </w:rPr>
        <w:t>评标办法</w:t>
      </w:r>
      <w:bookmarkEnd w:id="54"/>
    </w:p>
    <w:p>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评标办法前附表</w:t>
      </w:r>
    </w:p>
    <w:p>
      <w:pPr>
        <w:spacing w:beforeLines="0" w:afterLines="0" w:line="360" w:lineRule="auto"/>
        <w:rPr>
          <w:rFonts w:hint="default" w:ascii="宋体" w:hAnsi="宋体" w:eastAsia="宋体"/>
          <w:b/>
          <w:sz w:val="24"/>
        </w:rPr>
      </w:pPr>
      <w:r>
        <w:rPr>
          <w:rFonts w:hint="default" w:ascii="宋体" w:hAnsi="宋体" w:eastAsia="宋体"/>
          <w:b/>
          <w:sz w:val="24"/>
        </w:rPr>
        <w:t>（一）价格分（</w:t>
      </w:r>
      <w:r>
        <w:rPr>
          <w:rFonts w:hint="eastAsia" w:ascii="宋体" w:hAnsi="宋体" w:eastAsia="宋体"/>
          <w:b/>
          <w:sz w:val="24"/>
          <w:lang w:val="en-US" w:eastAsia="zh-CN"/>
        </w:rPr>
        <w:t>3</w:t>
      </w:r>
      <w:r>
        <w:rPr>
          <w:rFonts w:hint="default" w:ascii="宋体" w:hAnsi="宋体" w:eastAsia="宋体"/>
          <w:b/>
          <w:sz w:val="24"/>
        </w:rPr>
        <w:t>0分）</w:t>
      </w:r>
    </w:p>
    <w:tbl>
      <w:tblPr>
        <w:tblStyle w:val="73"/>
        <w:tblpPr w:leftFromText="180" w:rightFromText="180" w:vertAnchor="text" w:horzAnchor="margin" w:tblpXSpec="center" w:tblpY="183"/>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5"/>
        <w:gridCol w:w="9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3" w:hRule="atLeast"/>
        </w:trPr>
        <w:tc>
          <w:tcPr>
            <w:tcW w:w="7615"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jc w:val="center"/>
              <w:rPr>
                <w:rFonts w:hint="default" w:ascii="宋体" w:hAnsi="宋体" w:eastAsia="宋体"/>
                <w:sz w:val="21"/>
              </w:rPr>
            </w:pPr>
            <w:r>
              <w:rPr>
                <w:rFonts w:hint="default" w:ascii="宋体" w:hAnsi="宋体" w:eastAsia="宋体"/>
                <w:b/>
                <w:sz w:val="21"/>
              </w:rPr>
              <w:t>价格分（</w:t>
            </w:r>
            <w:r>
              <w:rPr>
                <w:rFonts w:hint="eastAsia" w:ascii="宋体" w:hAnsi="宋体" w:eastAsia="宋体"/>
                <w:b/>
                <w:sz w:val="21"/>
                <w:lang w:val="en-US" w:eastAsia="zh-CN"/>
              </w:rPr>
              <w:t>3</w:t>
            </w:r>
            <w:r>
              <w:rPr>
                <w:rFonts w:hint="default" w:ascii="宋体" w:hAnsi="宋体" w:eastAsia="宋体"/>
                <w:b/>
                <w:sz w:val="21"/>
              </w:rPr>
              <w:t>0分）</w:t>
            </w:r>
          </w:p>
        </w:tc>
        <w:tc>
          <w:tcPr>
            <w:tcW w:w="907"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jc w:val="center"/>
              <w:rPr>
                <w:rFonts w:hint="default" w:ascii="宋体" w:hAnsi="宋体" w:eastAsia="宋体"/>
                <w:sz w:val="21"/>
              </w:rPr>
            </w:pPr>
            <w:r>
              <w:rPr>
                <w:rFonts w:hint="default" w:ascii="宋体" w:hAnsi="宋体" w:eastAsia="宋体"/>
                <w:sz w:val="21"/>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98" w:hRule="atLeast"/>
        </w:trPr>
        <w:tc>
          <w:tcPr>
            <w:tcW w:w="7615" w:type="dxa"/>
            <w:tcBorders>
              <w:top w:val="single" w:color="auto" w:sz="4" w:space="0"/>
              <w:left w:val="single" w:color="auto" w:sz="4" w:space="0"/>
              <w:bottom w:val="single" w:color="auto" w:sz="4" w:space="0"/>
              <w:right w:val="single" w:color="auto" w:sz="4" w:space="0"/>
              <w:tl2br w:val="nil"/>
              <w:tr2bl w:val="nil"/>
            </w:tcBorders>
            <w:vAlign w:val="center"/>
          </w:tcPr>
          <w:p>
            <w:pPr>
              <w:pStyle w:val="971"/>
              <w:spacing w:beforeLines="0" w:afterLines="0"/>
              <w:ind w:firstLine="0" w:firstLineChars="0"/>
              <w:jc w:val="left"/>
              <w:rPr>
                <w:rFonts w:hint="default" w:ascii="宋体" w:hAnsi="宋体" w:eastAsia="宋体"/>
                <w:sz w:val="21"/>
              </w:rPr>
            </w:pPr>
            <w:r>
              <w:rPr>
                <w:rFonts w:hint="default" w:ascii="宋体" w:hAnsi="宋体" w:eastAsia="宋体"/>
                <w:color w:val="000000"/>
                <w:kern w:val="0"/>
                <w:sz w:val="21"/>
              </w:rPr>
              <w:t>采用低价优先法计算，即以满足招标文件要求且价格最低的投标报价为评标基准价，其价格分为满分。其他投标人的价格分统一按照下列公式计算：投标报价得分=（评标基准价/投标报价）*</w:t>
            </w:r>
            <w:r>
              <w:rPr>
                <w:rFonts w:hint="eastAsia" w:ascii="宋体" w:hAnsi="宋体" w:eastAsia="宋体"/>
                <w:color w:val="000000"/>
                <w:kern w:val="0"/>
                <w:sz w:val="21"/>
                <w:lang w:val="en-US" w:eastAsia="zh-CN"/>
              </w:rPr>
              <w:t>3</w:t>
            </w:r>
            <w:r>
              <w:rPr>
                <w:rFonts w:hint="default" w:ascii="宋体" w:hAnsi="宋体" w:eastAsia="宋体"/>
                <w:color w:val="000000"/>
                <w:kern w:val="0"/>
                <w:sz w:val="21"/>
              </w:rPr>
              <w:t>0*100%（四舍五入，保留两位小数）。</w:t>
            </w:r>
          </w:p>
        </w:tc>
        <w:tc>
          <w:tcPr>
            <w:tcW w:w="907"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jc w:val="center"/>
              <w:rPr>
                <w:rFonts w:hint="default" w:ascii="宋体" w:hAnsi="宋体" w:eastAsia="宋体"/>
                <w:sz w:val="21"/>
              </w:rPr>
            </w:pPr>
            <w:r>
              <w:rPr>
                <w:rFonts w:hint="default" w:ascii="宋体" w:hAnsi="宋体" w:eastAsia="宋体"/>
                <w:sz w:val="21"/>
              </w:rPr>
              <w:t>0-</w:t>
            </w:r>
            <w:r>
              <w:rPr>
                <w:rFonts w:hint="eastAsia" w:ascii="宋体" w:hAnsi="宋体" w:eastAsia="宋体"/>
                <w:sz w:val="21"/>
                <w:lang w:val="en-US" w:eastAsia="zh-CN"/>
              </w:rPr>
              <w:t>3</w:t>
            </w:r>
            <w:r>
              <w:rPr>
                <w:rFonts w:hint="default" w:ascii="宋体" w:hAnsi="宋体" w:eastAsia="宋体"/>
                <w:sz w:val="21"/>
              </w:rPr>
              <w:t>0</w:t>
            </w:r>
          </w:p>
        </w:tc>
      </w:tr>
    </w:tbl>
    <w:p>
      <w:pPr>
        <w:spacing w:beforeLines="0" w:afterLines="0"/>
        <w:rPr>
          <w:rFonts w:hint="eastAsia"/>
          <w:sz w:val="21"/>
        </w:rPr>
      </w:pPr>
    </w:p>
    <w:p>
      <w:pPr>
        <w:spacing w:beforeLines="0" w:afterLines="0" w:line="360" w:lineRule="auto"/>
        <w:rPr>
          <w:rFonts w:hint="default" w:ascii="宋体" w:hAnsi="宋体" w:eastAsia="宋体"/>
          <w:b/>
          <w:sz w:val="24"/>
        </w:rPr>
      </w:pPr>
      <w:r>
        <w:rPr>
          <w:rFonts w:hint="default" w:ascii="宋体" w:hAnsi="宋体" w:eastAsia="宋体"/>
          <w:b/>
          <w:sz w:val="24"/>
        </w:rPr>
        <w:t>（三）资信技术分（</w:t>
      </w:r>
      <w:r>
        <w:rPr>
          <w:rFonts w:hint="eastAsia" w:ascii="宋体" w:hAnsi="宋体" w:eastAsia="宋体"/>
          <w:b/>
          <w:sz w:val="24"/>
          <w:lang w:val="en-US" w:eastAsia="zh-CN"/>
        </w:rPr>
        <w:t>7</w:t>
      </w:r>
      <w:r>
        <w:rPr>
          <w:rFonts w:hint="default" w:ascii="宋体" w:hAnsi="宋体" w:eastAsia="宋体"/>
          <w:b/>
          <w:sz w:val="24"/>
        </w:rPr>
        <w:t>0分）</w:t>
      </w:r>
    </w:p>
    <w:tbl>
      <w:tblPr>
        <w:tblStyle w:val="73"/>
        <w:tblpPr w:leftFromText="180" w:rightFromText="180" w:vertAnchor="text" w:horzAnchor="page" w:tblpX="1826" w:tblpY="462"/>
        <w:tblOverlap w:val="never"/>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9"/>
        <w:gridCol w:w="1311"/>
        <w:gridCol w:w="5627"/>
        <w:gridCol w:w="8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1" w:hRule="atLeast"/>
        </w:trPr>
        <w:tc>
          <w:tcPr>
            <w:tcW w:w="699"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b/>
                <w:sz w:val="21"/>
              </w:rPr>
            </w:pPr>
            <w:r>
              <w:rPr>
                <w:rFonts w:hint="eastAsia" w:ascii="宋体" w:hAnsi="宋体"/>
                <w:b/>
                <w:sz w:val="21"/>
              </w:rPr>
              <w:t>序号</w:t>
            </w:r>
          </w:p>
        </w:tc>
        <w:tc>
          <w:tcPr>
            <w:tcW w:w="1311"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b/>
                <w:sz w:val="21"/>
              </w:rPr>
            </w:pPr>
            <w:r>
              <w:rPr>
                <w:rFonts w:hint="eastAsia" w:ascii="宋体" w:hAnsi="宋体"/>
                <w:b/>
                <w:sz w:val="21"/>
              </w:rPr>
              <w:t>评分项目</w:t>
            </w:r>
          </w:p>
        </w:tc>
        <w:tc>
          <w:tcPr>
            <w:tcW w:w="5627"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b/>
                <w:sz w:val="21"/>
              </w:rPr>
            </w:pPr>
            <w:r>
              <w:rPr>
                <w:rFonts w:hint="eastAsia" w:ascii="宋体" w:hAnsi="宋体"/>
                <w:b/>
                <w:sz w:val="21"/>
              </w:rPr>
              <w:t>评分细则</w:t>
            </w:r>
          </w:p>
        </w:tc>
        <w:tc>
          <w:tcPr>
            <w:tcW w:w="885"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b/>
                <w:sz w:val="21"/>
              </w:rPr>
            </w:pPr>
            <w:r>
              <w:rPr>
                <w:rFonts w:hint="eastAsia" w:ascii="宋体" w:hAnsi="宋体"/>
                <w:b/>
                <w:sz w:val="21"/>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1" w:hRule="atLeast"/>
        </w:trPr>
        <w:tc>
          <w:tcPr>
            <w:tcW w:w="699"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b/>
                <w:sz w:val="21"/>
              </w:rPr>
            </w:pPr>
            <w:r>
              <w:rPr>
                <w:rFonts w:hint="eastAsia" w:ascii="宋体" w:hAnsi="宋体"/>
                <w:b/>
                <w:sz w:val="21"/>
              </w:rPr>
              <w:t>1</w:t>
            </w:r>
          </w:p>
        </w:tc>
        <w:tc>
          <w:tcPr>
            <w:tcW w:w="1311"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b/>
                <w:sz w:val="21"/>
              </w:rPr>
            </w:pPr>
            <w:r>
              <w:rPr>
                <w:rFonts w:hint="eastAsia" w:ascii="宋体" w:hAnsi="宋体"/>
                <w:spacing w:val="-2"/>
                <w:kern w:val="0"/>
                <w:sz w:val="21"/>
              </w:rPr>
              <w:t>投标人资质</w:t>
            </w:r>
          </w:p>
        </w:tc>
        <w:tc>
          <w:tcPr>
            <w:tcW w:w="5627"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spacing w:val="-2"/>
                <w:kern w:val="0"/>
                <w:sz w:val="21"/>
              </w:rPr>
            </w:pPr>
            <w:r>
              <w:rPr>
                <w:rFonts w:hint="eastAsia" w:ascii="宋体" w:hAnsi="宋体"/>
                <w:sz w:val="21"/>
              </w:rPr>
              <w:t>投标人具有信息安全管理体系认证、</w:t>
            </w:r>
            <w:r>
              <w:rPr>
                <w:rFonts w:hint="eastAsia"/>
                <w:sz w:val="21"/>
              </w:rPr>
              <w:t>信息技术服务管理体系认证证书、</w:t>
            </w:r>
            <w:r>
              <w:rPr>
                <w:rFonts w:hint="eastAsia" w:ascii="宋体" w:hAnsi="宋体"/>
                <w:sz w:val="21"/>
              </w:rPr>
              <w:t>质量管理体系认证、环境管理体系认证、职业健康安全管理体系认证的每提供一份得0.6分，最高3分。</w:t>
            </w:r>
          </w:p>
          <w:p>
            <w:pPr>
              <w:jc w:val="left"/>
              <w:rPr>
                <w:rFonts w:hint="eastAsia" w:ascii="宋体" w:hAnsi="宋体"/>
                <w:b/>
                <w:sz w:val="21"/>
              </w:rPr>
            </w:pPr>
            <w:r>
              <w:rPr>
                <w:rFonts w:hint="eastAsia" w:ascii="宋体" w:hAnsi="宋体"/>
                <w:spacing w:val="-2"/>
                <w:kern w:val="0"/>
                <w:sz w:val="21"/>
              </w:rPr>
              <w:t>（以上证书投标时提供证书复印件加盖公章扫描件，否则不得分）</w:t>
            </w:r>
          </w:p>
        </w:tc>
        <w:tc>
          <w:tcPr>
            <w:tcW w:w="885"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b/>
                <w:sz w:val="21"/>
              </w:rPr>
            </w:pPr>
            <w:r>
              <w:rPr>
                <w:rFonts w:hint="eastAsia" w:ascii="宋体" w:hAnsi="宋体"/>
                <w:b/>
                <w:sz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1" w:hRule="atLeast"/>
        </w:trPr>
        <w:tc>
          <w:tcPr>
            <w:tcW w:w="699"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b/>
                <w:sz w:val="21"/>
              </w:rPr>
            </w:pPr>
            <w:r>
              <w:rPr>
                <w:rFonts w:hint="eastAsia" w:ascii="宋体" w:hAnsi="宋体"/>
                <w:spacing w:val="-2"/>
                <w:kern w:val="0"/>
                <w:sz w:val="21"/>
              </w:rPr>
              <w:t>2</w:t>
            </w:r>
          </w:p>
        </w:tc>
        <w:tc>
          <w:tcPr>
            <w:tcW w:w="1311"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r>
              <w:rPr>
                <w:rFonts w:hint="eastAsia" w:ascii="宋体" w:hAnsi="宋体"/>
                <w:spacing w:val="-2"/>
                <w:kern w:val="0"/>
                <w:sz w:val="21"/>
              </w:rPr>
              <w:t>投标人类似业绩</w:t>
            </w:r>
          </w:p>
        </w:tc>
        <w:tc>
          <w:tcPr>
            <w:tcW w:w="5627"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spacing w:val="-2"/>
                <w:kern w:val="0"/>
                <w:sz w:val="21"/>
              </w:rPr>
            </w:pPr>
            <w:r>
              <w:rPr>
                <w:rFonts w:hint="eastAsia" w:ascii="宋体" w:hAnsi="宋体"/>
                <w:spacing w:val="-2"/>
                <w:kern w:val="0"/>
                <w:sz w:val="21"/>
              </w:rPr>
              <w:t>2019年1月1日以来，投标人具有类似实验室生安眼系统业绩，每一个得0.5分；本项最多得1分。</w:t>
            </w:r>
          </w:p>
          <w:p>
            <w:pPr>
              <w:widowControl/>
              <w:jc w:val="left"/>
              <w:rPr>
                <w:rFonts w:hint="eastAsia" w:ascii="宋体" w:hAnsi="宋体"/>
                <w:color w:val="000000"/>
                <w:kern w:val="0"/>
                <w:sz w:val="21"/>
              </w:rPr>
            </w:pPr>
            <w:r>
              <w:rPr>
                <w:rFonts w:hint="eastAsia" w:ascii="宋体" w:hAnsi="宋体"/>
                <w:spacing w:val="-2"/>
                <w:kern w:val="0"/>
                <w:sz w:val="21"/>
              </w:rPr>
              <w:t>（以上业绩投标时提供合同复印件加盖公章，否则不得分）</w:t>
            </w:r>
          </w:p>
        </w:tc>
        <w:tc>
          <w:tcPr>
            <w:tcW w:w="885"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b/>
                <w:sz w:val="21"/>
              </w:rPr>
            </w:pPr>
            <w:r>
              <w:rPr>
                <w:rFonts w:hint="eastAsia" w:ascii="宋体" w:hAnsi="宋体"/>
                <w:b/>
                <w:sz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9"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r>
              <w:rPr>
                <w:rFonts w:hint="eastAsia" w:ascii="宋体" w:hAnsi="宋体"/>
                <w:spacing w:val="-2"/>
                <w:kern w:val="0"/>
                <w:sz w:val="21"/>
              </w:rPr>
              <w:t>3</w:t>
            </w:r>
          </w:p>
        </w:tc>
        <w:tc>
          <w:tcPr>
            <w:tcW w:w="1311"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spacing w:val="-2"/>
                <w:kern w:val="0"/>
                <w:sz w:val="21"/>
              </w:rPr>
            </w:pPr>
            <w:r>
              <w:rPr>
                <w:rFonts w:hint="eastAsia" w:ascii="宋体" w:hAnsi="宋体"/>
                <w:spacing w:val="-2"/>
                <w:kern w:val="0"/>
                <w:sz w:val="21"/>
              </w:rPr>
              <w:t>性能及技术指标</w:t>
            </w:r>
          </w:p>
        </w:tc>
        <w:tc>
          <w:tcPr>
            <w:tcW w:w="5627"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spacing w:val="-2"/>
                <w:kern w:val="0"/>
                <w:sz w:val="21"/>
              </w:rPr>
            </w:pPr>
            <w:r>
              <w:rPr>
                <w:rFonts w:hint="eastAsia" w:ascii="宋体" w:hAnsi="宋体"/>
                <w:spacing w:val="-2"/>
                <w:kern w:val="0"/>
                <w:sz w:val="21"/>
              </w:rPr>
              <w:t>所投产品完全满足招标文件技术参数的得17分；标有“▲”指标为实质性要求，有负偏离将作为无效投标；标有“★”的技术指标为重要指标，如其中有任何一条重要技术指标有负偏离的，每一项扣2分；其他一般技术指标有存在负偏离的，每一项扣1分，直至本项分数扣完为止。投标人须提供招标参数中要求提供的证书、认证、检测报告、截图等印证材料，否则视为负偏离。</w:t>
            </w:r>
          </w:p>
        </w:tc>
        <w:tc>
          <w:tcPr>
            <w:tcW w:w="885"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r>
              <w:rPr>
                <w:rFonts w:hint="eastAsia" w:ascii="宋体" w:hAnsi="宋体"/>
                <w:spacing w:val="-2"/>
                <w:kern w:val="0"/>
                <w:sz w:val="21"/>
              </w:rPr>
              <w:t>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9"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r>
              <w:rPr>
                <w:rFonts w:hint="eastAsia" w:ascii="宋体" w:hAnsi="宋体"/>
                <w:spacing w:val="-2"/>
                <w:kern w:val="0"/>
                <w:sz w:val="21"/>
              </w:rPr>
              <w:t>4</w:t>
            </w:r>
          </w:p>
        </w:tc>
        <w:tc>
          <w:tcPr>
            <w:tcW w:w="1311"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spacing w:val="-2"/>
                <w:kern w:val="0"/>
                <w:sz w:val="21"/>
              </w:rPr>
            </w:pPr>
            <w:r>
              <w:rPr>
                <w:rFonts w:hint="eastAsia" w:ascii="宋体" w:hAnsi="宋体"/>
                <w:spacing w:val="-2"/>
                <w:kern w:val="0"/>
                <w:sz w:val="21"/>
              </w:rPr>
              <w:t>设计方案</w:t>
            </w:r>
          </w:p>
        </w:tc>
        <w:tc>
          <w:tcPr>
            <w:tcW w:w="5627"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spacing w:val="-2"/>
                <w:kern w:val="0"/>
                <w:sz w:val="21"/>
              </w:rPr>
            </w:pPr>
            <w:r>
              <w:rPr>
                <w:rFonts w:hint="eastAsia" w:ascii="宋体" w:hAnsi="宋体"/>
                <w:spacing w:val="-2"/>
                <w:kern w:val="0"/>
                <w:sz w:val="21"/>
              </w:rPr>
              <w:t xml:space="preserve">根据投标人自行勘查现场后提供的设备平面布局图、施工布线图、系统架构图、网络架构图等的比较酌情评分，方案内容完整得1分，方案全面合理的加0.1-3分，其他不加分，内容提供不齐全不得分。 </w:t>
            </w:r>
          </w:p>
        </w:tc>
        <w:tc>
          <w:tcPr>
            <w:tcW w:w="885"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r>
              <w:rPr>
                <w:rFonts w:hint="eastAsia" w:ascii="宋体" w:hAnsi="宋体"/>
                <w:spacing w:val="-2"/>
                <w:kern w:val="0"/>
                <w:sz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9"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r>
              <w:rPr>
                <w:rFonts w:hint="eastAsia" w:ascii="宋体" w:hAnsi="宋体"/>
                <w:spacing w:val="-2"/>
                <w:kern w:val="0"/>
                <w:sz w:val="21"/>
              </w:rPr>
              <w:t>5</w:t>
            </w:r>
          </w:p>
        </w:tc>
        <w:tc>
          <w:tcPr>
            <w:tcW w:w="1311"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spacing w:val="-2"/>
                <w:kern w:val="0"/>
                <w:sz w:val="21"/>
              </w:rPr>
            </w:pPr>
            <w:r>
              <w:rPr>
                <w:rFonts w:hint="eastAsia" w:ascii="宋体" w:hAnsi="宋体"/>
                <w:spacing w:val="-2"/>
                <w:kern w:val="0"/>
                <w:sz w:val="21"/>
              </w:rPr>
              <w:t>技术解决方案</w:t>
            </w:r>
          </w:p>
        </w:tc>
        <w:tc>
          <w:tcPr>
            <w:tcW w:w="5627"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spacing w:val="-2"/>
                <w:kern w:val="0"/>
                <w:sz w:val="21"/>
              </w:rPr>
            </w:pPr>
            <w:r>
              <w:rPr>
                <w:rFonts w:hint="eastAsia" w:ascii="宋体" w:hAnsi="宋体"/>
                <w:kern w:val="0"/>
                <w:sz w:val="21"/>
              </w:rPr>
              <w:t>项目总体技术解决方案（包括</w:t>
            </w:r>
            <w:r>
              <w:rPr>
                <w:rFonts w:hint="eastAsia" w:ascii="宋体" w:hAnsi="宋体"/>
                <w:spacing w:val="-2"/>
                <w:kern w:val="0"/>
                <w:sz w:val="21"/>
              </w:rPr>
              <w:t>对用户需求的理解程度，方案设计的合理性，系统设备的功能介绍等</w:t>
            </w:r>
            <w:r>
              <w:rPr>
                <w:rFonts w:hint="eastAsia" w:ascii="宋体" w:hAnsi="宋体"/>
                <w:kern w:val="0"/>
                <w:sz w:val="21"/>
              </w:rPr>
              <w:t>）</w:t>
            </w:r>
            <w:r>
              <w:rPr>
                <w:rFonts w:hint="eastAsia" w:ascii="宋体" w:hAnsi="宋体"/>
                <w:spacing w:val="-2"/>
                <w:kern w:val="0"/>
                <w:sz w:val="21"/>
              </w:rPr>
              <w:t>的针对性、合理性及完整程度等综合比较酌情评分，方案内容完整得1分，方案全面合理的加0.1-3分，其他不加分，内容提供不齐全不得分。</w:t>
            </w:r>
          </w:p>
        </w:tc>
        <w:tc>
          <w:tcPr>
            <w:tcW w:w="885"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r>
              <w:rPr>
                <w:rFonts w:hint="eastAsia" w:ascii="宋体" w:hAnsi="宋体"/>
                <w:spacing w:val="-2"/>
                <w:kern w:val="0"/>
                <w:sz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9"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r>
              <w:rPr>
                <w:rFonts w:hint="eastAsia" w:ascii="宋体" w:hAnsi="宋体"/>
                <w:spacing w:val="-2"/>
                <w:kern w:val="0"/>
                <w:sz w:val="21"/>
              </w:rPr>
              <w:t>6</w:t>
            </w:r>
          </w:p>
        </w:tc>
        <w:tc>
          <w:tcPr>
            <w:tcW w:w="1311"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spacing w:val="-2"/>
                <w:kern w:val="0"/>
                <w:sz w:val="21"/>
              </w:rPr>
            </w:pPr>
            <w:r>
              <w:rPr>
                <w:rFonts w:hint="eastAsia" w:ascii="宋体" w:hAnsi="宋体"/>
                <w:spacing w:val="-2"/>
                <w:kern w:val="0"/>
                <w:sz w:val="21"/>
              </w:rPr>
              <w:t>施工组织方案</w:t>
            </w:r>
          </w:p>
        </w:tc>
        <w:tc>
          <w:tcPr>
            <w:tcW w:w="5627"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spacing w:val="-2"/>
                <w:kern w:val="0"/>
                <w:sz w:val="21"/>
              </w:rPr>
            </w:pPr>
            <w:r>
              <w:rPr>
                <w:rFonts w:hint="eastAsia" w:ascii="宋体" w:hAnsi="宋体"/>
                <w:kern w:val="0"/>
                <w:sz w:val="21"/>
              </w:rPr>
              <w:t>项目总体施工方案（包括实施流程计划、施工界面划分、施工进度安排、人力资源安排、施工安全及质量保证措施等）</w:t>
            </w:r>
            <w:r>
              <w:rPr>
                <w:rFonts w:hint="eastAsia" w:ascii="宋体" w:hAnsi="宋体"/>
                <w:spacing w:val="-2"/>
                <w:kern w:val="0"/>
                <w:sz w:val="21"/>
              </w:rPr>
              <w:t>的针对性、合理性及完整程度等综合比较酌情评分，方案内容完整得1分，方案全面合理的加0.1-3分，其他不加分，内容提供不齐全不得分。</w:t>
            </w:r>
          </w:p>
        </w:tc>
        <w:tc>
          <w:tcPr>
            <w:tcW w:w="885"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r>
              <w:rPr>
                <w:rFonts w:hint="eastAsia" w:ascii="宋体" w:hAnsi="宋体"/>
                <w:spacing w:val="-2"/>
                <w:kern w:val="0"/>
                <w:sz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9"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r>
              <w:rPr>
                <w:rFonts w:hint="eastAsia" w:ascii="宋体" w:hAnsi="宋体"/>
                <w:spacing w:val="-2"/>
                <w:kern w:val="0"/>
                <w:sz w:val="21"/>
              </w:rPr>
              <w:t>7</w:t>
            </w:r>
          </w:p>
        </w:tc>
        <w:tc>
          <w:tcPr>
            <w:tcW w:w="1311"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spacing w:val="-2"/>
                <w:kern w:val="0"/>
                <w:sz w:val="21"/>
              </w:rPr>
            </w:pPr>
            <w:r>
              <w:rPr>
                <w:rFonts w:hint="eastAsia" w:ascii="宋体" w:hAnsi="宋体"/>
                <w:spacing w:val="-2"/>
                <w:kern w:val="0"/>
                <w:sz w:val="21"/>
              </w:rPr>
              <w:t>安装调试方案</w:t>
            </w:r>
          </w:p>
        </w:tc>
        <w:tc>
          <w:tcPr>
            <w:tcW w:w="5627"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kern w:val="0"/>
                <w:sz w:val="21"/>
              </w:rPr>
            </w:pPr>
            <w:r>
              <w:rPr>
                <w:rFonts w:hint="eastAsia" w:ascii="宋体" w:hAnsi="宋体"/>
                <w:kern w:val="0"/>
                <w:sz w:val="21"/>
              </w:rPr>
              <w:t>根据各系统设备具体安装、调试、配置方法及步骤的</w:t>
            </w:r>
            <w:r>
              <w:rPr>
                <w:rFonts w:hint="eastAsia" w:ascii="宋体" w:hAnsi="宋体"/>
                <w:spacing w:val="-2"/>
                <w:kern w:val="0"/>
                <w:sz w:val="21"/>
              </w:rPr>
              <w:t>针对性、合理性及完整程度等综合比较酌情评分，方案内容完整得1分，方案全面合理的加0.1-2分，其他不加分，内容提供不齐全不得分。</w:t>
            </w:r>
          </w:p>
        </w:tc>
        <w:tc>
          <w:tcPr>
            <w:tcW w:w="885"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sz w:val="21"/>
              </w:rPr>
            </w:pPr>
            <w:r>
              <w:rPr>
                <w:rFonts w:hint="eastAsia"/>
                <w:sz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9" w:type="dxa"/>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r>
              <w:rPr>
                <w:rFonts w:hint="eastAsia" w:ascii="宋体" w:hAnsi="宋体"/>
                <w:spacing w:val="-2"/>
                <w:kern w:val="0"/>
                <w:sz w:val="21"/>
              </w:rPr>
              <w:t>8</w:t>
            </w:r>
          </w:p>
        </w:tc>
        <w:tc>
          <w:tcPr>
            <w:tcW w:w="1311" w:type="dxa"/>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spacing w:val="-2"/>
                <w:kern w:val="0"/>
                <w:sz w:val="21"/>
              </w:rPr>
            </w:pPr>
            <w:r>
              <w:rPr>
                <w:rFonts w:hint="eastAsia" w:ascii="宋体" w:hAnsi="宋体"/>
                <w:spacing w:val="-2"/>
                <w:kern w:val="0"/>
                <w:sz w:val="21"/>
              </w:rPr>
              <w:t>项目实施团队人员能力</w:t>
            </w:r>
          </w:p>
        </w:tc>
        <w:tc>
          <w:tcPr>
            <w:tcW w:w="5627"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kern w:val="0"/>
                <w:sz w:val="21"/>
              </w:rPr>
            </w:pPr>
            <w:r>
              <w:rPr>
                <w:rFonts w:hint="eastAsia" w:ascii="宋体" w:hAnsi="宋体"/>
                <w:kern w:val="0"/>
                <w:sz w:val="21"/>
              </w:rPr>
              <w:t>投标人拟派项目管理人员</w:t>
            </w:r>
          </w:p>
          <w:p>
            <w:pPr>
              <w:widowControl/>
              <w:ind w:firstLine="420" w:firstLineChars="200"/>
              <w:jc w:val="left"/>
              <w:textAlignment w:val="center"/>
              <w:rPr>
                <w:rFonts w:hint="eastAsia" w:ascii="宋体" w:hAnsi="宋体"/>
                <w:color w:val="000000"/>
                <w:kern w:val="0"/>
                <w:sz w:val="21"/>
              </w:rPr>
            </w:pPr>
            <w:r>
              <w:rPr>
                <w:rFonts w:hint="eastAsia" w:ascii="宋体" w:hAnsi="宋体"/>
                <w:color w:val="000000"/>
                <w:kern w:val="0"/>
                <w:sz w:val="21"/>
              </w:rPr>
              <w:t>投标人提供的项目经理同时具有PMP高级项目管理师和信息技术高级工程师证书的得</w:t>
            </w:r>
            <w:r>
              <w:rPr>
                <w:rFonts w:hint="eastAsia" w:ascii="宋体" w:hAnsi="宋体"/>
                <w:color w:val="000000"/>
                <w:kern w:val="0"/>
                <w:sz w:val="21"/>
                <w:lang w:val="en-US" w:eastAsia="zh-CN"/>
              </w:rPr>
              <w:t>2</w:t>
            </w:r>
            <w:r>
              <w:rPr>
                <w:rFonts w:hint="eastAsia" w:ascii="宋体" w:hAnsi="宋体"/>
                <w:color w:val="000000"/>
                <w:kern w:val="0"/>
                <w:sz w:val="21"/>
              </w:rPr>
              <w:t>分，其它不得分。</w:t>
            </w:r>
          </w:p>
          <w:p>
            <w:pPr>
              <w:ind w:firstLine="206" w:firstLineChars="100"/>
              <w:rPr>
                <w:rFonts w:hint="eastAsia" w:ascii="宋体" w:hAnsi="宋体"/>
                <w:kern w:val="0"/>
                <w:sz w:val="21"/>
              </w:rPr>
            </w:pPr>
            <w:r>
              <w:rPr>
                <w:rFonts w:hint="eastAsia" w:ascii="宋体" w:hAnsi="宋体"/>
                <w:spacing w:val="-2"/>
                <w:kern w:val="0"/>
                <w:sz w:val="21"/>
              </w:rPr>
              <w:t>（以上人员投标时</w:t>
            </w:r>
            <w:r>
              <w:rPr>
                <w:rFonts w:hint="eastAsia" w:ascii="宋体" w:hAnsi="宋体"/>
                <w:kern w:val="0"/>
                <w:sz w:val="21"/>
              </w:rPr>
              <w:t>需提供有效证书复印件扫描件和投标人为其缴纳的近3个月内的社保证明材料</w:t>
            </w:r>
            <w:r>
              <w:rPr>
                <w:rFonts w:hint="eastAsia" w:ascii="宋体" w:hAnsi="宋体"/>
                <w:spacing w:val="-2"/>
                <w:kern w:val="0"/>
                <w:sz w:val="21"/>
              </w:rPr>
              <w:t>复印件加盖公章扫描件，否则不得分）</w:t>
            </w:r>
          </w:p>
        </w:tc>
        <w:tc>
          <w:tcPr>
            <w:tcW w:w="885"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r>
              <w:rPr>
                <w:rFonts w:hint="eastAsia" w:ascii="宋体" w:hAnsi="宋体"/>
                <w:spacing w:val="-2"/>
                <w:kern w:val="0"/>
                <w:sz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9"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p>
        </w:tc>
        <w:tc>
          <w:tcPr>
            <w:tcW w:w="1311"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spacing w:val="-2"/>
                <w:kern w:val="0"/>
                <w:sz w:val="21"/>
              </w:rPr>
            </w:pPr>
          </w:p>
        </w:tc>
        <w:tc>
          <w:tcPr>
            <w:tcW w:w="5627"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kern w:val="0"/>
                <w:sz w:val="21"/>
              </w:rPr>
            </w:pPr>
            <w:r>
              <w:rPr>
                <w:rFonts w:hint="eastAsia" w:ascii="宋体" w:hAnsi="宋体"/>
                <w:kern w:val="0"/>
                <w:sz w:val="21"/>
              </w:rPr>
              <w:t>投标人拟派项目团队人员</w:t>
            </w:r>
          </w:p>
          <w:p>
            <w:pPr>
              <w:rPr>
                <w:rFonts w:hint="eastAsia" w:ascii="宋体" w:hAnsi="宋体"/>
                <w:kern w:val="0"/>
                <w:sz w:val="21"/>
              </w:rPr>
            </w:pPr>
            <w:r>
              <w:rPr>
                <w:rFonts w:hint="eastAsia" w:ascii="宋体" w:hAnsi="宋体"/>
                <w:color w:val="000000"/>
                <w:kern w:val="0"/>
                <w:sz w:val="21"/>
              </w:rPr>
              <w:t>投标人提供的项目组成员（除项目经理以外）中1名同时具备中级及以上通信工程师和PMP认证的，得</w:t>
            </w:r>
            <w:r>
              <w:rPr>
                <w:rFonts w:hint="eastAsia" w:ascii="宋体" w:hAnsi="宋体"/>
                <w:color w:val="000000"/>
                <w:kern w:val="0"/>
                <w:sz w:val="21"/>
                <w:lang w:val="en-US" w:eastAsia="zh-CN"/>
              </w:rPr>
              <w:t>2</w:t>
            </w:r>
            <w:r>
              <w:rPr>
                <w:rFonts w:hint="eastAsia" w:ascii="宋体" w:hAnsi="宋体"/>
                <w:color w:val="000000"/>
                <w:kern w:val="0"/>
                <w:sz w:val="21"/>
              </w:rPr>
              <w:t>分；同时具备IT服务管理认证和数据库专家（OCA）认证的；每个得</w:t>
            </w:r>
            <w:r>
              <w:rPr>
                <w:rFonts w:hint="eastAsia" w:ascii="宋体" w:hAnsi="宋体"/>
                <w:color w:val="000000"/>
                <w:kern w:val="0"/>
                <w:sz w:val="21"/>
                <w:lang w:val="en-US" w:eastAsia="zh-CN"/>
              </w:rPr>
              <w:t>2</w:t>
            </w:r>
            <w:r>
              <w:rPr>
                <w:rFonts w:hint="eastAsia" w:ascii="宋体" w:hAnsi="宋体"/>
                <w:color w:val="000000"/>
                <w:kern w:val="0"/>
                <w:sz w:val="21"/>
              </w:rPr>
              <w:t>分, 最高得</w:t>
            </w:r>
            <w:r>
              <w:rPr>
                <w:rFonts w:hint="eastAsia" w:ascii="宋体" w:hAnsi="宋体"/>
                <w:color w:val="000000"/>
                <w:kern w:val="0"/>
                <w:sz w:val="21"/>
                <w:lang w:val="en-US" w:eastAsia="zh-CN"/>
              </w:rPr>
              <w:t>4</w:t>
            </w:r>
            <w:r>
              <w:rPr>
                <w:rFonts w:hint="eastAsia" w:ascii="宋体" w:hAnsi="宋体"/>
                <w:color w:val="000000"/>
                <w:kern w:val="0"/>
                <w:sz w:val="21"/>
              </w:rPr>
              <w:t>分。</w:t>
            </w:r>
          </w:p>
          <w:p>
            <w:pPr>
              <w:rPr>
                <w:rFonts w:hint="eastAsia" w:ascii="宋体" w:hAnsi="宋体"/>
                <w:kern w:val="0"/>
                <w:sz w:val="21"/>
              </w:rPr>
            </w:pPr>
            <w:r>
              <w:rPr>
                <w:rFonts w:hint="eastAsia" w:ascii="宋体" w:hAnsi="宋体"/>
                <w:spacing w:val="-2"/>
                <w:kern w:val="0"/>
                <w:sz w:val="21"/>
              </w:rPr>
              <w:t>（以上人员投标时</w:t>
            </w:r>
            <w:r>
              <w:rPr>
                <w:rFonts w:hint="eastAsia" w:ascii="宋体" w:hAnsi="宋体"/>
                <w:kern w:val="0"/>
                <w:sz w:val="21"/>
              </w:rPr>
              <w:t>需提供有效证书复印件扫描件和投标人为其缴纳的近3个月内的社保证明材料</w:t>
            </w:r>
            <w:r>
              <w:rPr>
                <w:rFonts w:hint="eastAsia" w:ascii="宋体" w:hAnsi="宋体"/>
                <w:spacing w:val="-2"/>
                <w:kern w:val="0"/>
                <w:sz w:val="21"/>
              </w:rPr>
              <w:t>复印件加盖公章扫描件，否则不得分）</w:t>
            </w:r>
          </w:p>
        </w:tc>
        <w:tc>
          <w:tcPr>
            <w:tcW w:w="885"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r>
              <w:rPr>
                <w:rFonts w:hint="eastAsia" w:ascii="宋体" w:hAnsi="宋体"/>
                <w:spacing w:val="-2"/>
                <w:kern w:val="0"/>
                <w:sz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7" w:hRule="atLeast"/>
        </w:trPr>
        <w:tc>
          <w:tcPr>
            <w:tcW w:w="699"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r>
              <w:rPr>
                <w:rFonts w:hint="eastAsia" w:ascii="宋体" w:hAnsi="宋体"/>
                <w:spacing w:val="-2"/>
                <w:kern w:val="0"/>
                <w:sz w:val="21"/>
              </w:rPr>
              <w:t>9</w:t>
            </w:r>
          </w:p>
        </w:tc>
        <w:tc>
          <w:tcPr>
            <w:tcW w:w="1311"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spacing w:val="-2"/>
                <w:kern w:val="0"/>
                <w:sz w:val="21"/>
              </w:rPr>
            </w:pPr>
            <w:r>
              <w:rPr>
                <w:rFonts w:hint="eastAsia" w:ascii="宋体" w:hAnsi="宋体"/>
                <w:spacing w:val="-2"/>
                <w:kern w:val="0"/>
                <w:sz w:val="21"/>
              </w:rPr>
              <w:t>售后服务方案</w:t>
            </w:r>
          </w:p>
        </w:tc>
        <w:tc>
          <w:tcPr>
            <w:tcW w:w="5627"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spacing w:val="-2"/>
                <w:kern w:val="0"/>
                <w:sz w:val="21"/>
              </w:rPr>
            </w:pPr>
            <w:r>
              <w:rPr>
                <w:rFonts w:hint="eastAsia" w:ascii="宋体" w:hAnsi="宋体"/>
                <w:spacing w:val="-2"/>
                <w:kern w:val="0"/>
                <w:sz w:val="21"/>
              </w:rPr>
              <w:t>项目售后服务方案（包括本地化售后服务机构、人员团队、服务流程、服务响应内容、服务质量保障体系、免费技术培训、质保期外服务承诺等）的针对性、合理性及完整程度等综合比较酌情评分。方案优秀的，得3分；一般的，得2分；欠佳的，得0-1分；</w:t>
            </w:r>
          </w:p>
        </w:tc>
        <w:tc>
          <w:tcPr>
            <w:tcW w:w="885"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r>
              <w:rPr>
                <w:rFonts w:hint="eastAsia" w:ascii="宋体" w:hAnsi="宋体"/>
                <w:spacing w:val="-2"/>
                <w:kern w:val="0"/>
                <w:sz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5" w:hRule="atLeast"/>
        </w:trPr>
        <w:tc>
          <w:tcPr>
            <w:tcW w:w="699" w:type="dxa"/>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r>
              <w:rPr>
                <w:rFonts w:hint="eastAsia" w:ascii="宋体" w:hAnsi="宋体"/>
                <w:spacing w:val="-2"/>
                <w:kern w:val="0"/>
                <w:sz w:val="21"/>
              </w:rPr>
              <w:t>9</w:t>
            </w:r>
          </w:p>
        </w:tc>
        <w:tc>
          <w:tcPr>
            <w:tcW w:w="1311" w:type="dxa"/>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r>
              <w:rPr>
                <w:rFonts w:hint="eastAsia" w:ascii="宋体" w:hAnsi="宋体"/>
                <w:spacing w:val="-2"/>
                <w:kern w:val="0"/>
                <w:sz w:val="21"/>
              </w:rPr>
              <w:t>系统演示</w:t>
            </w:r>
          </w:p>
        </w:tc>
        <w:tc>
          <w:tcPr>
            <w:tcW w:w="5627"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rPr>
                <w:rFonts w:hint="eastAsia" w:ascii="宋体" w:hAnsi="宋体"/>
                <w:b/>
                <w:color w:val="000000"/>
                <w:kern w:val="0"/>
                <w:sz w:val="21"/>
              </w:rPr>
            </w:pPr>
            <w:r>
              <w:rPr>
                <w:rFonts w:hint="eastAsia" w:ascii="宋体" w:hAnsi="宋体"/>
                <w:b/>
                <w:color w:val="000000"/>
                <w:kern w:val="0"/>
                <w:sz w:val="21"/>
              </w:rPr>
              <w:t>要求提供一台生安眼终端作功能演示，演示如下内容：</w:t>
            </w:r>
          </w:p>
          <w:p>
            <w:pPr>
              <w:spacing w:beforeLines="0" w:afterLines="0"/>
              <w:jc w:val="left"/>
              <w:rPr>
                <w:rFonts w:hint="eastAsia" w:ascii="宋体" w:hAnsi="宋体"/>
                <w:color w:val="000000"/>
                <w:kern w:val="0"/>
                <w:sz w:val="21"/>
              </w:rPr>
            </w:pPr>
            <w:r>
              <w:rPr>
                <w:rFonts w:hint="eastAsia" w:ascii="宋体" w:hAnsi="宋体"/>
                <w:color w:val="000000"/>
                <w:kern w:val="0"/>
                <w:sz w:val="21"/>
              </w:rPr>
              <w:t>1、设备自检：通过点击内置系统的功能菜单，可实现自动检测硬件状态、各接入设备状态和各监控组件情况的功能。（0-2分）</w:t>
            </w:r>
          </w:p>
          <w:p>
            <w:pPr>
              <w:spacing w:beforeLines="0" w:afterLines="0"/>
              <w:jc w:val="left"/>
              <w:rPr>
                <w:rFonts w:hint="eastAsia" w:ascii="宋体" w:hAnsi="宋体"/>
                <w:color w:val="000000"/>
                <w:kern w:val="0"/>
                <w:sz w:val="21"/>
              </w:rPr>
            </w:pPr>
            <w:r>
              <w:rPr>
                <w:rFonts w:hint="eastAsia" w:ascii="宋体" w:hAnsi="宋体"/>
                <w:color w:val="000000"/>
                <w:kern w:val="0"/>
                <w:sz w:val="21"/>
              </w:rPr>
              <w:t>2、开箱自动监测：开机状态下通过钥匙开启机箱后，系统检测到开箱信息并告警；设备关机断电状态下，通过钥匙开启机箱后并复原，系统开机启动后，检测到开箱信息并告警；告警信息必须手工填报开箱原因后才能消除告警。（0-2分）</w:t>
            </w:r>
          </w:p>
          <w:p>
            <w:pPr>
              <w:spacing w:beforeLines="0" w:afterLines="0"/>
              <w:jc w:val="left"/>
              <w:rPr>
                <w:rFonts w:hint="eastAsia" w:ascii="宋体" w:hAnsi="宋体"/>
                <w:color w:val="000000"/>
                <w:kern w:val="0"/>
                <w:sz w:val="21"/>
              </w:rPr>
            </w:pPr>
            <w:r>
              <w:rPr>
                <w:rFonts w:hint="eastAsia" w:ascii="宋体" w:hAnsi="宋体"/>
                <w:color w:val="000000"/>
                <w:kern w:val="0"/>
                <w:sz w:val="21"/>
              </w:rPr>
              <w:t>3、视频AI分析：支持防护服、面罩、护目镜、口罩算法，可对违规行为进行AI识别并预警。（0-2分）</w:t>
            </w:r>
          </w:p>
          <w:p>
            <w:pPr>
              <w:spacing w:beforeLines="0" w:afterLines="0"/>
              <w:jc w:val="left"/>
              <w:rPr>
                <w:rFonts w:hint="eastAsia" w:ascii="宋体" w:hAnsi="宋体"/>
                <w:color w:val="000000"/>
                <w:kern w:val="0"/>
                <w:sz w:val="21"/>
              </w:rPr>
            </w:pPr>
            <w:r>
              <w:rPr>
                <w:rFonts w:hint="eastAsia" w:ascii="宋体" w:hAnsi="宋体"/>
                <w:color w:val="000000"/>
                <w:kern w:val="0"/>
                <w:sz w:val="21"/>
              </w:rPr>
              <w:t>4、AI监控异常列表：显示所有不符合检测任务标准的异常情况，可按照发生时间、房间名称和报警行为对异常列表进行模糊搜索（0-2分）</w:t>
            </w:r>
          </w:p>
        </w:tc>
        <w:tc>
          <w:tcPr>
            <w:tcW w:w="885"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jc w:val="center"/>
              <w:rPr>
                <w:rFonts w:hint="eastAsia" w:ascii="宋体" w:hAnsi="宋体"/>
                <w:spacing w:val="-2"/>
                <w:kern w:val="0"/>
                <w:sz w:val="21"/>
              </w:rPr>
            </w:pPr>
            <w:r>
              <w:rPr>
                <w:rFonts w:hint="eastAsia" w:ascii="宋体" w:hAnsi="宋体"/>
                <w:spacing w:val="-2"/>
                <w:kern w:val="0"/>
                <w:sz w:val="21"/>
              </w:rPr>
              <w:t>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5" w:hRule="atLeast"/>
        </w:trPr>
        <w:tc>
          <w:tcPr>
            <w:tcW w:w="699"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p>
        </w:tc>
        <w:tc>
          <w:tcPr>
            <w:tcW w:w="1311"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p>
        </w:tc>
        <w:tc>
          <w:tcPr>
            <w:tcW w:w="5627"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rPr>
                <w:rFonts w:hint="eastAsia" w:ascii="宋体" w:hAnsi="宋体"/>
                <w:b/>
                <w:color w:val="000000"/>
                <w:kern w:val="0"/>
                <w:sz w:val="21"/>
              </w:rPr>
            </w:pPr>
            <w:r>
              <w:rPr>
                <w:rFonts w:hint="eastAsia" w:ascii="宋体" w:hAnsi="宋体"/>
                <w:b/>
                <w:color w:val="000000"/>
                <w:kern w:val="0"/>
                <w:sz w:val="21"/>
              </w:rPr>
              <w:t>要求由投标人自行搭建卫生专网网络环境并提供一台生安眼终端，作“生物安全在线”数智监管系统平台对接演示，演示如下内容：</w:t>
            </w:r>
          </w:p>
          <w:p>
            <w:pPr>
              <w:spacing w:beforeLines="0" w:afterLines="0"/>
              <w:jc w:val="left"/>
              <w:rPr>
                <w:rFonts w:hint="eastAsia" w:ascii="宋体" w:hAnsi="宋体"/>
                <w:color w:val="000000"/>
                <w:kern w:val="0"/>
                <w:sz w:val="21"/>
              </w:rPr>
            </w:pPr>
            <w:r>
              <w:rPr>
                <w:rFonts w:hint="eastAsia" w:ascii="宋体" w:hAnsi="宋体"/>
                <w:color w:val="000000"/>
                <w:kern w:val="0"/>
                <w:sz w:val="21"/>
              </w:rPr>
              <w:t>1、监管业务功能：支持集成多种硬件设备对实验室房间内的环境信息、门禁和视频监控进行全天候监测，生成异常告警信息并实时上传至浙江省“生物安全在线”数智监管系统；（0-2分）</w:t>
            </w:r>
          </w:p>
          <w:p>
            <w:pPr>
              <w:spacing w:beforeLines="0" w:afterLines="0"/>
              <w:jc w:val="left"/>
              <w:rPr>
                <w:rFonts w:hint="eastAsia" w:ascii="宋体" w:hAnsi="宋体"/>
                <w:color w:val="000000"/>
                <w:kern w:val="0"/>
                <w:sz w:val="21"/>
              </w:rPr>
            </w:pPr>
            <w:r>
              <w:rPr>
                <w:rFonts w:hint="eastAsia" w:ascii="宋体" w:hAnsi="宋体"/>
                <w:color w:val="000000"/>
                <w:kern w:val="0"/>
                <w:sz w:val="21"/>
              </w:rPr>
              <w:t>2、环境告警处置：可以对任意一条告警记录进行处理，并同步至浙江省“生物安全在线”数智监管系统。（0-2分）</w:t>
            </w:r>
          </w:p>
          <w:p>
            <w:pPr>
              <w:spacing w:beforeLines="0" w:afterLines="0"/>
              <w:rPr>
                <w:rFonts w:hint="eastAsia"/>
                <w:sz w:val="21"/>
              </w:rPr>
            </w:pPr>
            <w:r>
              <w:rPr>
                <w:rFonts w:hint="eastAsia" w:ascii="宋体" w:hAnsi="宋体"/>
                <w:color w:val="000000"/>
                <w:kern w:val="0"/>
                <w:sz w:val="21"/>
              </w:rPr>
              <w:t>3、门禁备案数据交互：具备实验室人员进出记录信息与浙江省病原微生物实验室管理信息网（简称备案系统）完成信息比对功能，对于未备案或备案过期、资质不符合规定的人员进出记录进行预警。（0-2分）</w:t>
            </w:r>
          </w:p>
        </w:tc>
        <w:tc>
          <w:tcPr>
            <w:tcW w:w="885"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jc w:val="center"/>
              <w:rPr>
                <w:rFonts w:hint="eastAsia" w:ascii="宋体" w:hAnsi="宋体"/>
                <w:spacing w:val="-2"/>
                <w:kern w:val="0"/>
                <w:sz w:val="21"/>
              </w:rPr>
            </w:pPr>
            <w:r>
              <w:rPr>
                <w:rFonts w:hint="eastAsia" w:ascii="宋体" w:hAnsi="宋体"/>
                <w:spacing w:val="-2"/>
                <w:kern w:val="0"/>
                <w:sz w:val="21"/>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5" w:hRule="atLeast"/>
        </w:trPr>
        <w:tc>
          <w:tcPr>
            <w:tcW w:w="699"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p>
        </w:tc>
        <w:tc>
          <w:tcPr>
            <w:tcW w:w="1311"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p>
        </w:tc>
        <w:tc>
          <w:tcPr>
            <w:tcW w:w="5627"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rPr>
                <w:rFonts w:hint="eastAsia" w:ascii="宋体" w:hAnsi="宋体"/>
                <w:b/>
                <w:color w:val="000000"/>
                <w:kern w:val="0"/>
                <w:sz w:val="21"/>
              </w:rPr>
            </w:pPr>
            <w:r>
              <w:rPr>
                <w:rFonts w:hint="eastAsia" w:ascii="宋体" w:hAnsi="宋体"/>
                <w:b/>
                <w:color w:val="000000"/>
                <w:kern w:val="0"/>
                <w:sz w:val="21"/>
              </w:rPr>
              <w:t>要求提供一台移动运输箱（内置物联网卡），作“生物安全在线”数智监管系统平台对接演示，演示如下内容：</w:t>
            </w:r>
          </w:p>
          <w:p>
            <w:pPr>
              <w:spacing w:beforeLines="0" w:afterLines="0"/>
              <w:rPr>
                <w:rFonts w:hint="eastAsia" w:ascii="宋体" w:hAnsi="宋体"/>
                <w:color w:val="000000"/>
                <w:kern w:val="0"/>
                <w:sz w:val="21"/>
              </w:rPr>
            </w:pPr>
            <w:r>
              <w:rPr>
                <w:rFonts w:hint="eastAsia" w:ascii="宋体" w:hAnsi="宋体"/>
                <w:color w:val="000000"/>
                <w:kern w:val="0"/>
                <w:sz w:val="21"/>
              </w:rPr>
              <w:t>1、运输监管功能：支持对运输箱进行扫码快速接收，支持查看运输箱的温度数据列表和温度变化曲线，支持送达交接与转运交接，并将运输状态业务数据上传至浙江省“生物安全在线”数智监管系统；（0-2分）</w:t>
            </w:r>
          </w:p>
          <w:p>
            <w:pPr>
              <w:spacing w:beforeLines="0" w:afterLines="0"/>
              <w:rPr>
                <w:rFonts w:hint="eastAsia"/>
                <w:sz w:val="21"/>
              </w:rPr>
            </w:pPr>
            <w:r>
              <w:rPr>
                <w:rFonts w:hint="eastAsia" w:ascii="宋体" w:hAnsi="宋体"/>
                <w:color w:val="000000"/>
                <w:kern w:val="0"/>
                <w:sz w:val="21"/>
              </w:rPr>
              <w:t>2、运输异常预警：支持通过小程序端查看异常提醒功能。可查看当前运输单的温度、路线预警信息，并将预警处置结果上传至浙江省“生物安全在线”数智监管系统；（0-2分）</w:t>
            </w:r>
          </w:p>
        </w:tc>
        <w:tc>
          <w:tcPr>
            <w:tcW w:w="885"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jc w:val="center"/>
              <w:rPr>
                <w:rFonts w:hint="eastAsia" w:ascii="宋体" w:hAnsi="宋体"/>
                <w:spacing w:val="-2"/>
                <w:kern w:val="0"/>
                <w:sz w:val="21"/>
              </w:rPr>
            </w:pPr>
            <w:r>
              <w:rPr>
                <w:rFonts w:hint="eastAsia" w:ascii="宋体" w:hAnsi="宋体"/>
                <w:spacing w:val="-2"/>
                <w:kern w:val="0"/>
                <w:sz w:val="21"/>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5" w:hRule="atLeast"/>
        </w:trPr>
        <w:tc>
          <w:tcPr>
            <w:tcW w:w="699"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p>
        </w:tc>
        <w:tc>
          <w:tcPr>
            <w:tcW w:w="1311"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spacing w:val="-2"/>
                <w:kern w:val="0"/>
                <w:sz w:val="21"/>
              </w:rPr>
            </w:pPr>
          </w:p>
        </w:tc>
        <w:tc>
          <w:tcPr>
            <w:tcW w:w="5627"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rPr>
                <w:rFonts w:hint="eastAsia" w:ascii="宋体" w:hAnsi="宋体"/>
                <w:b/>
                <w:color w:val="000000"/>
                <w:kern w:val="0"/>
                <w:sz w:val="21"/>
              </w:rPr>
            </w:pPr>
            <w:r>
              <w:rPr>
                <w:rFonts w:hint="eastAsia" w:ascii="宋体" w:hAnsi="宋体"/>
                <w:b/>
                <w:color w:val="000000"/>
                <w:kern w:val="0"/>
                <w:sz w:val="21"/>
              </w:rPr>
              <w:t>要求提供实验室设立单位数据平台（渲染图片或视频DEMO不得分），演示如下内容：</w:t>
            </w:r>
          </w:p>
          <w:p>
            <w:pPr>
              <w:spacing w:beforeLines="0" w:afterLines="0"/>
              <w:rPr>
                <w:rFonts w:hint="eastAsia" w:ascii="宋体" w:hAnsi="宋体"/>
                <w:color w:val="000000"/>
                <w:kern w:val="0"/>
                <w:sz w:val="21"/>
              </w:rPr>
            </w:pPr>
            <w:r>
              <w:rPr>
                <w:rFonts w:hint="eastAsia" w:ascii="宋体" w:hAnsi="宋体"/>
                <w:color w:val="000000"/>
                <w:kern w:val="0"/>
                <w:sz w:val="21"/>
              </w:rPr>
              <w:t>1、实验室设立单位总体概况：展示实验室设立单位下属实验室数量、已备案情况、人员以及设备数量。（0-1分）</w:t>
            </w:r>
          </w:p>
          <w:p>
            <w:pPr>
              <w:spacing w:beforeLines="0" w:afterLines="0"/>
              <w:rPr>
                <w:rFonts w:hint="eastAsia" w:ascii="宋体" w:hAnsi="宋体"/>
                <w:color w:val="000000"/>
                <w:kern w:val="0"/>
                <w:sz w:val="21"/>
              </w:rPr>
            </w:pPr>
            <w:r>
              <w:rPr>
                <w:rFonts w:hint="eastAsia" w:ascii="宋体" w:hAnsi="宋体"/>
                <w:color w:val="000000"/>
                <w:kern w:val="0"/>
                <w:sz w:val="21"/>
              </w:rPr>
              <w:t>2、实验室人员进出统计：对当日、当月实验室进出人数进行统计，并实时展示人员进出通过门禁时的照片、姓名以及时间。（0-1分）</w:t>
            </w:r>
          </w:p>
          <w:p>
            <w:pPr>
              <w:spacing w:beforeLines="0" w:afterLines="0"/>
              <w:rPr>
                <w:rFonts w:hint="eastAsia" w:ascii="宋体" w:hAnsi="宋体"/>
                <w:color w:val="000000"/>
                <w:kern w:val="0"/>
                <w:sz w:val="21"/>
              </w:rPr>
            </w:pPr>
            <w:r>
              <w:rPr>
                <w:rFonts w:hint="eastAsia" w:ascii="宋体" w:hAnsi="宋体"/>
                <w:color w:val="000000"/>
                <w:kern w:val="0"/>
                <w:sz w:val="21"/>
              </w:rPr>
              <w:t>3、实验室活动管理：统计呈现下属实验室可完成病毒类、细菌、放线菌类、真菌类、以及其他菌种类别的实验活动，支持查看类别下各菌种名称以及危害程度分类等信息。（0-1分）</w:t>
            </w:r>
          </w:p>
          <w:p>
            <w:pPr>
              <w:spacing w:beforeLines="0" w:afterLines="0"/>
              <w:rPr>
                <w:rFonts w:hint="eastAsia" w:ascii="宋体" w:hAnsi="宋体"/>
                <w:color w:val="000000"/>
                <w:kern w:val="0"/>
                <w:sz w:val="21"/>
              </w:rPr>
            </w:pPr>
            <w:r>
              <w:rPr>
                <w:rFonts w:hint="eastAsia" w:ascii="宋体" w:hAnsi="宋体"/>
                <w:color w:val="000000"/>
                <w:kern w:val="0"/>
                <w:sz w:val="21"/>
              </w:rPr>
              <w:t>4、实验室生物安全评价：支持查看下属实验室自查、检查问题情况，包括问题总数、已整改未整改情况。同时，支持查看八大项维度方面实验室的评价得分。（0-1分）</w:t>
            </w:r>
          </w:p>
          <w:p>
            <w:pPr>
              <w:spacing w:beforeLines="0" w:afterLines="0"/>
              <w:rPr>
                <w:rFonts w:hint="eastAsia" w:ascii="宋体" w:hAnsi="宋体"/>
                <w:color w:val="000000"/>
                <w:kern w:val="0"/>
                <w:sz w:val="21"/>
              </w:rPr>
            </w:pPr>
            <w:r>
              <w:rPr>
                <w:rFonts w:hint="eastAsia" w:ascii="宋体" w:hAnsi="宋体"/>
                <w:color w:val="000000"/>
                <w:kern w:val="0"/>
                <w:sz w:val="21"/>
              </w:rPr>
              <w:t>5、实验室画像（视频监控画面）：支持将实验室设立单位下属各实验室视频监控画面进行切换播放。同时，在视频监控画面里对人员着装、是否佩戴口罩、防护帽等通过多维度做实时预警与呈现。（0-1分）</w:t>
            </w:r>
          </w:p>
          <w:p>
            <w:pPr>
              <w:spacing w:beforeLines="0" w:afterLines="0"/>
              <w:rPr>
                <w:rFonts w:hint="eastAsia" w:ascii="宋体" w:hAnsi="宋体"/>
                <w:color w:val="000000"/>
                <w:kern w:val="0"/>
                <w:sz w:val="21"/>
              </w:rPr>
            </w:pPr>
            <w:r>
              <w:rPr>
                <w:rFonts w:hint="eastAsia" w:ascii="宋体" w:hAnsi="宋体"/>
                <w:color w:val="000000"/>
                <w:kern w:val="0"/>
                <w:sz w:val="21"/>
              </w:rPr>
              <w:t>6、实时监测信息：针对环境、设施设备、人员行为进行实时监测分析。（1）环境监测：通过对实验室内温度、湿度、气压、噪声做实时监测，实现实验室环境预警与上报。（核心工作间温度应为18℃～26℃，噪音应低于68dB）相关负责人将实时获取预警信息并进行快速处置。（2）设施设备监测：针对实验室内生物安全柜及高压灭菌器产生的异常做实时预警监测，一旦产生预警，实验室相关人员将前往实验室核实处理。（3）人员违规监测：通过对人员行为进行AI算法分析，实现违规预警上报。（0-1分）</w:t>
            </w:r>
          </w:p>
          <w:p>
            <w:pPr>
              <w:spacing w:beforeLines="0" w:afterLines="0"/>
              <w:rPr>
                <w:rFonts w:hint="eastAsia"/>
                <w:sz w:val="21"/>
              </w:rPr>
            </w:pPr>
            <w:r>
              <w:rPr>
                <w:rFonts w:hint="eastAsia" w:ascii="宋体" w:hAnsi="宋体"/>
                <w:color w:val="000000"/>
                <w:kern w:val="0"/>
                <w:sz w:val="21"/>
              </w:rPr>
              <w:t>7、风险管控：（1）针对实验室内环境、设施设备、人员行为的实时监测，以及在实验室内自查与飞行检查出来的问题，进行实验室问题汇总管控。支持查看实验室当前所有问题总数，正在整改以及已整改情况，以及具体的问题详情内容；（2）针对单条问题，支持查看上报时间以及来源，并支持点击详情查看目前整改的实时进度。（0-1分）</w:t>
            </w:r>
          </w:p>
        </w:tc>
        <w:tc>
          <w:tcPr>
            <w:tcW w:w="885"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jc w:val="center"/>
              <w:rPr>
                <w:rFonts w:hint="eastAsia" w:ascii="宋体" w:hAnsi="宋体"/>
                <w:spacing w:val="-2"/>
                <w:kern w:val="0"/>
                <w:sz w:val="21"/>
              </w:rPr>
            </w:pPr>
            <w:r>
              <w:rPr>
                <w:rFonts w:hint="eastAsia" w:ascii="宋体" w:hAnsi="宋体"/>
                <w:spacing w:val="-2"/>
                <w:kern w:val="0"/>
                <w:sz w:val="21"/>
              </w:rPr>
              <w:t>7分</w:t>
            </w:r>
          </w:p>
        </w:tc>
      </w:tr>
    </w:tbl>
    <w:p>
      <w:pPr>
        <w:jc w:val="left"/>
        <w:rPr>
          <w:rFonts w:ascii="仿宋" w:hAnsi="仿宋" w:eastAsia="仿宋" w:cs="仿宋"/>
          <w:color w:val="auto"/>
          <w:sz w:val="24"/>
          <w:highlight w:val="none"/>
        </w:rPr>
      </w:pPr>
    </w:p>
    <w:p>
      <w:pPr>
        <w:ind w:firstLine="480" w:firstLineChars="200"/>
        <w:jc w:val="left"/>
        <w:rPr>
          <w:color w:val="auto"/>
          <w:highlight w:val="none"/>
        </w:rPr>
      </w:pPr>
      <w:r>
        <w:rPr>
          <w:rFonts w:hint="eastAsia" w:ascii="仿宋" w:hAnsi="仿宋" w:eastAsia="仿宋" w:cs="仿宋"/>
          <w:color w:val="auto"/>
          <w:sz w:val="24"/>
          <w:highlight w:val="none"/>
          <w:lang w:val="zh-CN"/>
        </w:rPr>
        <w:t>涉及得分的证件、证书、合同、报告等均需提供相关扫描件，提供虚假扫描件的一经查实作虚假应标处理</w:t>
      </w:r>
      <w:r>
        <w:rPr>
          <w:rFonts w:hint="eastAsia" w:ascii="仿宋" w:hAnsi="仿宋" w:eastAsia="仿宋" w:cs="仿宋"/>
          <w:color w:val="auto"/>
          <w:kern w:val="0"/>
          <w:sz w:val="24"/>
          <w:highlight w:val="none"/>
        </w:rPr>
        <w:t>。、</w:t>
      </w:r>
    </w:p>
    <w:p>
      <w:pPr>
        <w:snapToGrid w:val="0"/>
        <w:spacing w:line="360" w:lineRule="auto"/>
        <w:rPr>
          <w:rFonts w:ascii="仿宋_GB2312" w:hAnsi="仿宋" w:eastAsia="仿宋_GB2312"/>
          <w:b/>
          <w:color w:val="auto"/>
          <w:sz w:val="28"/>
          <w:szCs w:val="28"/>
          <w:highlight w:val="none"/>
        </w:rPr>
      </w:pPr>
      <w:r>
        <w:rPr>
          <w:rFonts w:hint="eastAsia" w:ascii="仿宋_GB2312" w:hAnsi="仿宋" w:eastAsia="仿宋_GB2312" w:cs="仿宋_GB2312"/>
          <w:b/>
          <w:color w:val="auto"/>
          <w:sz w:val="32"/>
          <w:highlight w:val="none"/>
        </w:rPr>
        <w:t>一、评标方法</w:t>
      </w:r>
    </w:p>
    <w:p>
      <w:pPr>
        <w:adjustRightInd/>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1.</w:t>
      </w:r>
      <w:r>
        <w:rPr>
          <w:rFonts w:hint="eastAsia" w:ascii="仿宋_GB2312" w:hAnsi="仿宋" w:eastAsia="仿宋_GB2312" w:cs="Arial"/>
          <w:b/>
          <w:color w:val="auto"/>
          <w:kern w:val="0"/>
          <w:sz w:val="24"/>
          <w:highlight w:val="none"/>
        </w:rPr>
        <w:t>本项目采用综合评分法。</w:t>
      </w:r>
      <w:r>
        <w:rPr>
          <w:rFonts w:hint="eastAsia" w:ascii="仿宋_GB2312" w:hAnsi="仿宋" w:eastAsia="仿宋_GB2312" w:cs="Arial"/>
          <w:color w:val="auto"/>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ascii="仿宋_GB2312" w:hAnsi="仿宋" w:eastAsia="仿宋_GB2312" w:cs="Arial"/>
          <w:color w:val="auto"/>
          <w:kern w:val="0"/>
          <w:sz w:val="24"/>
          <w:highlight w:val="none"/>
        </w:rPr>
      </w:pPr>
      <w:r>
        <w:rPr>
          <w:rFonts w:hint="eastAsia" w:ascii="仿宋_GB2312" w:hAnsi="仿宋" w:eastAsia="仿宋_GB2312" w:cs="仿宋_GB2312"/>
          <w:b/>
          <w:color w:val="auto"/>
          <w:sz w:val="32"/>
          <w:highlight w:val="none"/>
        </w:rPr>
        <w:t>二、评标标准</w:t>
      </w:r>
    </w:p>
    <w:p>
      <w:pPr>
        <w:spacing w:line="360" w:lineRule="auto"/>
        <w:ind w:firstLine="472" w:firstLineChars="196"/>
        <w:rPr>
          <w:rFonts w:ascii="仿宋_GB2312" w:hAnsi="仿宋_GB2312" w:eastAsia="仿宋_GB2312" w:cs="仿宋_GB2312"/>
          <w:b/>
          <w:color w:val="auto"/>
          <w:sz w:val="24"/>
          <w:highlight w:val="none"/>
        </w:rPr>
      </w:pPr>
      <w:r>
        <w:rPr>
          <w:rFonts w:ascii="仿宋_GB2312" w:hAnsi="仿宋_GB2312" w:eastAsia="仿宋_GB2312" w:cs="仿宋_GB2312"/>
          <w:b/>
          <w:color w:val="auto"/>
          <w:sz w:val="24"/>
          <w:highlight w:val="none"/>
        </w:rPr>
        <w:t>2.</w:t>
      </w:r>
      <w:r>
        <w:rPr>
          <w:rFonts w:hint="eastAsia" w:ascii="仿宋_GB2312" w:hAnsi="仿宋_GB2312" w:eastAsia="仿宋_GB2312" w:cs="仿宋_GB2312"/>
          <w:b/>
          <w:color w:val="auto"/>
          <w:sz w:val="24"/>
          <w:highlight w:val="none"/>
        </w:rPr>
        <w:t>评标标准：</w:t>
      </w:r>
      <w:r>
        <w:rPr>
          <w:rFonts w:hint="eastAsia" w:ascii="仿宋_GB2312" w:hAnsi="仿宋" w:eastAsia="仿宋_GB2312" w:cs="Arial"/>
          <w:color w:val="auto"/>
          <w:kern w:val="0"/>
          <w:sz w:val="24"/>
          <w:highlight w:val="none"/>
        </w:rPr>
        <w:t>见评标办法前附表。</w:t>
      </w:r>
    </w:p>
    <w:p>
      <w:pPr>
        <w:spacing w:line="360" w:lineRule="auto"/>
        <w:outlineLvl w:val="0"/>
        <w:rPr>
          <w:rFonts w:ascii="仿宋_GB2312" w:hAnsi="仿宋" w:eastAsia="仿宋_GB2312" w:cs="仿宋_GB2312"/>
          <w:b/>
          <w:color w:val="auto"/>
          <w:sz w:val="36"/>
          <w:szCs w:val="36"/>
          <w:highlight w:val="none"/>
        </w:rPr>
      </w:pPr>
      <w:bookmarkStart w:id="420" w:name="_Toc1576"/>
      <w:bookmarkStart w:id="421" w:name="_Toc27936"/>
      <w:r>
        <w:rPr>
          <w:rFonts w:hint="eastAsia" w:ascii="仿宋_GB2312" w:hAnsi="仿宋" w:eastAsia="仿宋_GB2312" w:cs="仿宋_GB2312"/>
          <w:b/>
          <w:color w:val="auto"/>
          <w:sz w:val="36"/>
          <w:szCs w:val="36"/>
          <w:highlight w:val="none"/>
        </w:rPr>
        <w:t>三、评标程序</w:t>
      </w:r>
      <w:bookmarkEnd w:id="420"/>
      <w:bookmarkEnd w:id="421"/>
    </w:p>
    <w:p>
      <w:pPr>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3.1符合性审查。</w:t>
      </w:r>
      <w:r>
        <w:rPr>
          <w:rFonts w:ascii="仿宋_GB2312" w:hAnsi="仿宋" w:eastAsia="仿宋_GB2312" w:cs="Arial"/>
          <w:color w:val="auto"/>
          <w:kern w:val="0"/>
          <w:sz w:val="24"/>
          <w:highlight w:val="none"/>
        </w:rPr>
        <w:t>评标委员会应当对符合资格的投标人的投标文件进行符合性审查，以确定其是否满足招标文件的实质性要求。</w:t>
      </w:r>
      <w:r>
        <w:rPr>
          <w:rFonts w:hint="eastAsia" w:ascii="仿宋_GB2312" w:hAnsi="仿宋" w:eastAsia="仿宋_GB2312" w:cs="Arial"/>
          <w:color w:val="auto"/>
          <w:kern w:val="0"/>
          <w:sz w:val="24"/>
          <w:highlight w:val="none"/>
        </w:rPr>
        <w:t>不</w:t>
      </w:r>
      <w:r>
        <w:rPr>
          <w:rFonts w:ascii="仿宋_GB2312" w:hAnsi="仿宋" w:eastAsia="仿宋_GB2312" w:cs="Arial"/>
          <w:color w:val="auto"/>
          <w:kern w:val="0"/>
          <w:sz w:val="24"/>
          <w:highlight w:val="none"/>
        </w:rPr>
        <w:t>满足招标文件的实质性要求</w:t>
      </w:r>
      <w:r>
        <w:rPr>
          <w:rFonts w:hint="eastAsia" w:ascii="仿宋_GB2312" w:hAnsi="仿宋" w:eastAsia="仿宋_GB2312" w:cs="Arial"/>
          <w:color w:val="auto"/>
          <w:kern w:val="0"/>
          <w:sz w:val="24"/>
          <w:highlight w:val="none"/>
        </w:rPr>
        <w:t>的，投标无效。</w:t>
      </w:r>
    </w:p>
    <w:p>
      <w:pPr>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 xml:space="preserve">3.2 </w:t>
      </w:r>
      <w:r>
        <w:rPr>
          <w:rFonts w:hint="eastAsia" w:ascii="仿宋_GB2312" w:hAnsi="仿宋" w:eastAsia="仿宋_GB2312" w:cs="Arial"/>
          <w:b/>
          <w:color w:val="auto"/>
          <w:kern w:val="0"/>
          <w:sz w:val="24"/>
          <w:highlight w:val="none"/>
        </w:rPr>
        <w:t>比较与评价。</w:t>
      </w:r>
      <w:r>
        <w:rPr>
          <w:rFonts w:ascii="仿宋_GB2312" w:hAnsi="仿宋" w:eastAsia="仿宋_GB2312" w:cs="Arial"/>
          <w:color w:val="auto"/>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3.3汇总商务技术得分。</w:t>
      </w:r>
      <w:r>
        <w:rPr>
          <w:rFonts w:hint="eastAsia" w:ascii="仿宋_GB2312" w:hAnsi="仿宋" w:eastAsia="仿宋_GB2312" w:cs="Arial"/>
          <w:color w:val="auto"/>
          <w:kern w:val="0"/>
          <w:sz w:val="24"/>
          <w:highlight w:val="none"/>
        </w:rPr>
        <w:t>评标委员会各成员应当独立对每个投标人的商务和技术文件进行评价，并汇总商务技术得分情况。</w:t>
      </w:r>
    </w:p>
    <w:p>
      <w:pPr>
        <w:spacing w:line="360" w:lineRule="auto"/>
        <w:ind w:firstLine="472" w:firstLineChars="196"/>
        <w:rPr>
          <w:rFonts w:ascii="仿宋_GB2312" w:hAnsi="仿宋" w:eastAsia="仿宋_GB2312" w:cs="Arial"/>
          <w:b/>
          <w:color w:val="auto"/>
          <w:kern w:val="0"/>
          <w:sz w:val="24"/>
          <w:highlight w:val="none"/>
        </w:rPr>
      </w:pPr>
      <w:r>
        <w:rPr>
          <w:rFonts w:ascii="仿宋_GB2312" w:hAnsi="仿宋" w:eastAsia="仿宋_GB2312" w:cs="Arial"/>
          <w:b/>
          <w:color w:val="auto"/>
          <w:kern w:val="0"/>
          <w:sz w:val="24"/>
          <w:highlight w:val="none"/>
        </w:rPr>
        <w:t>3.4报价评审。</w:t>
      </w:r>
    </w:p>
    <w:p>
      <w:pPr>
        <w:pStyle w:val="131"/>
        <w:spacing w:before="0"/>
        <w:ind w:firstLine="508" w:firstLineChars="212"/>
        <w:rPr>
          <w:rFonts w:ascii="仿宋_GB2312" w:hAnsi="仿宋" w:eastAsia="仿宋_GB2312" w:cs="Arial"/>
          <w:color w:val="auto"/>
          <w:kern w:val="0"/>
          <w:highlight w:val="none"/>
        </w:rPr>
      </w:pPr>
      <w:r>
        <w:rPr>
          <w:rFonts w:ascii="仿宋_GB2312" w:hAnsi="仿宋" w:eastAsia="仿宋_GB2312" w:cs="Arial"/>
          <w:color w:val="auto"/>
          <w:kern w:val="0"/>
          <w:highlight w:val="none"/>
        </w:rPr>
        <w:t>3.4.1投标文件报价出现前后不一致的，按照下列规定修正：</w:t>
      </w:r>
    </w:p>
    <w:p>
      <w:pPr>
        <w:pStyle w:val="131"/>
        <w:spacing w:before="0"/>
        <w:ind w:firstLine="480"/>
        <w:rPr>
          <w:rFonts w:ascii="仿宋_GB2312" w:hAnsi="仿宋" w:eastAsia="仿宋_GB2312" w:cs="Arial"/>
          <w:bCs/>
          <w:color w:val="auto"/>
          <w:kern w:val="0"/>
          <w:szCs w:val="24"/>
          <w:highlight w:val="none"/>
        </w:rPr>
      </w:pPr>
      <w:r>
        <w:rPr>
          <w:rFonts w:ascii="仿宋_GB2312" w:hAnsi="仿宋" w:eastAsia="仿宋_GB2312" w:cs="Arial"/>
          <w:bCs/>
          <w:color w:val="auto"/>
          <w:kern w:val="0"/>
          <w:szCs w:val="24"/>
          <w:highlight w:val="none"/>
        </w:rPr>
        <w:t>3.4.1.1投标文件中开标一览表(报价表)内容与投标文件中相应内容不一致的，以开标一览表(报价表)为准;</w:t>
      </w:r>
    </w:p>
    <w:p>
      <w:pPr>
        <w:pStyle w:val="131"/>
        <w:spacing w:before="0"/>
        <w:ind w:firstLine="480"/>
        <w:rPr>
          <w:rFonts w:ascii="仿宋_GB2312" w:hAnsi="仿宋" w:eastAsia="仿宋_GB2312" w:cs="Arial"/>
          <w:bCs/>
          <w:color w:val="auto"/>
          <w:kern w:val="0"/>
          <w:szCs w:val="24"/>
          <w:highlight w:val="none"/>
        </w:rPr>
      </w:pPr>
      <w:r>
        <w:rPr>
          <w:rFonts w:ascii="仿宋_GB2312" w:hAnsi="仿宋" w:eastAsia="仿宋_GB2312" w:cs="Arial"/>
          <w:bCs/>
          <w:color w:val="auto"/>
          <w:kern w:val="0"/>
          <w:szCs w:val="24"/>
          <w:highlight w:val="none"/>
        </w:rPr>
        <w:t>3.4.1.2大写金额和小写金额不一致的，以大写金额为准;</w:t>
      </w:r>
    </w:p>
    <w:p>
      <w:pPr>
        <w:pStyle w:val="131"/>
        <w:spacing w:before="0"/>
        <w:ind w:firstLine="480"/>
        <w:rPr>
          <w:rFonts w:ascii="仿宋_GB2312" w:hAnsi="仿宋" w:eastAsia="仿宋_GB2312" w:cs="Arial"/>
          <w:bCs/>
          <w:color w:val="auto"/>
          <w:kern w:val="0"/>
          <w:szCs w:val="24"/>
          <w:highlight w:val="none"/>
        </w:rPr>
      </w:pPr>
      <w:r>
        <w:rPr>
          <w:rFonts w:ascii="仿宋_GB2312" w:hAnsi="仿宋" w:eastAsia="仿宋_GB2312" w:cs="Arial"/>
          <w:bCs/>
          <w:color w:val="auto"/>
          <w:kern w:val="0"/>
          <w:szCs w:val="24"/>
          <w:highlight w:val="none"/>
        </w:rPr>
        <w:t>3.4.1.3单价金额小数点或者百分比有明显错位的，以开标一览表的总价为准，并修改单价;</w:t>
      </w:r>
    </w:p>
    <w:p>
      <w:pPr>
        <w:pStyle w:val="131"/>
        <w:spacing w:before="0"/>
        <w:ind w:firstLine="480"/>
        <w:rPr>
          <w:rFonts w:ascii="仿宋_GB2312" w:hAnsi="仿宋" w:eastAsia="仿宋_GB2312" w:cs="Arial"/>
          <w:bCs/>
          <w:color w:val="auto"/>
          <w:kern w:val="0"/>
          <w:szCs w:val="24"/>
          <w:highlight w:val="none"/>
        </w:rPr>
      </w:pPr>
      <w:r>
        <w:rPr>
          <w:rFonts w:ascii="仿宋_GB2312" w:hAnsi="仿宋" w:eastAsia="仿宋_GB2312" w:cs="Arial"/>
          <w:bCs/>
          <w:color w:val="auto"/>
          <w:kern w:val="0"/>
          <w:szCs w:val="24"/>
          <w:highlight w:val="none"/>
        </w:rPr>
        <w:t>3.4.1.4总价金额与按单价汇总金额不一致的，以单价金额计算结果为准。</w:t>
      </w:r>
    </w:p>
    <w:p>
      <w:pPr>
        <w:pStyle w:val="131"/>
        <w:spacing w:before="0"/>
        <w:ind w:firstLine="480"/>
        <w:rPr>
          <w:rFonts w:ascii="仿宋_GB2312" w:hAnsi="仿宋" w:eastAsia="仿宋_GB2312" w:cs="Arial"/>
          <w:bCs/>
          <w:color w:val="auto"/>
          <w:kern w:val="0"/>
          <w:szCs w:val="24"/>
          <w:highlight w:val="none"/>
        </w:rPr>
      </w:pPr>
      <w:r>
        <w:rPr>
          <w:rFonts w:ascii="仿宋_GB2312" w:hAnsi="仿宋" w:eastAsia="仿宋_GB2312" w:cs="Arial"/>
          <w:bCs/>
          <w:color w:val="auto"/>
          <w:kern w:val="0"/>
          <w:szCs w:val="24"/>
          <w:highlight w:val="none"/>
        </w:rPr>
        <w:t>3.4.1.5同时出现两种以上不一致的，按照3.4.1</w:t>
      </w:r>
      <w:r>
        <w:rPr>
          <w:rFonts w:hint="eastAsia" w:ascii="仿宋_GB2312" w:hAnsi="仿宋" w:eastAsia="仿宋_GB2312" w:cs="Arial"/>
          <w:bCs/>
          <w:color w:val="auto"/>
          <w:kern w:val="0"/>
          <w:szCs w:val="24"/>
          <w:highlight w:val="none"/>
        </w:rPr>
        <w:t>规定的顺序修正。修正后的报价按照财政部第</w:t>
      </w:r>
      <w:r>
        <w:rPr>
          <w:rFonts w:ascii="仿宋_GB2312" w:hAnsi="仿宋" w:eastAsia="仿宋_GB2312" w:cs="Arial"/>
          <w:bCs/>
          <w:color w:val="auto"/>
          <w:kern w:val="0"/>
          <w:szCs w:val="24"/>
          <w:highlight w:val="none"/>
        </w:rPr>
        <w:t xml:space="preserve">87号令 </w:t>
      </w:r>
      <w:r>
        <w:rPr>
          <w:rFonts w:hint="eastAsia" w:ascii="仿宋_GB2312" w:hAnsi="仿宋" w:eastAsia="仿宋_GB2312" w:cs="Arial"/>
          <w:bCs/>
          <w:color w:val="auto"/>
          <w:kern w:val="0"/>
          <w:szCs w:val="24"/>
          <w:highlight w:val="none"/>
        </w:rPr>
        <w:t>《政府采购货物和服务招标投标管理办法》第五十一条第二款的规定经投标人确认后产生约束力。</w:t>
      </w:r>
    </w:p>
    <w:p>
      <w:pPr>
        <w:pStyle w:val="131"/>
        <w:spacing w:before="0"/>
        <w:ind w:firstLine="480"/>
        <w:rPr>
          <w:rFonts w:ascii="仿宋_GB2312" w:hAnsi="仿宋" w:eastAsia="仿宋_GB2312" w:cs="Arial"/>
          <w:bCs/>
          <w:color w:val="auto"/>
          <w:kern w:val="0"/>
          <w:szCs w:val="24"/>
          <w:highlight w:val="none"/>
        </w:rPr>
      </w:pPr>
      <w:r>
        <w:rPr>
          <w:rFonts w:hint="eastAsia" w:ascii="仿宋_GB2312" w:hAnsi="仿宋" w:eastAsia="仿宋_GB2312" w:cs="Arial"/>
          <w:bCs/>
          <w:color w:val="auto"/>
          <w:kern w:val="0"/>
          <w:szCs w:val="24"/>
          <w:highlight w:val="none"/>
        </w:rPr>
        <w:t>3.4.2投标文件出现不是唯一的、有选择性投标报价的，投标无效。</w:t>
      </w:r>
    </w:p>
    <w:p>
      <w:pPr>
        <w:pStyle w:val="131"/>
        <w:spacing w:before="0"/>
        <w:ind w:firstLine="480"/>
        <w:rPr>
          <w:rFonts w:ascii="仿宋_GB2312" w:hAnsi="仿宋" w:eastAsia="仿宋_GB2312" w:cs="Arial"/>
          <w:bCs/>
          <w:color w:val="auto"/>
          <w:kern w:val="0"/>
          <w:szCs w:val="24"/>
          <w:highlight w:val="none"/>
        </w:rPr>
      </w:pPr>
      <w:r>
        <w:rPr>
          <w:rFonts w:hint="eastAsia" w:ascii="仿宋_GB2312" w:hAnsi="仿宋" w:eastAsia="仿宋_GB2312" w:cs="Arial"/>
          <w:bCs/>
          <w:color w:val="auto"/>
          <w:kern w:val="0"/>
          <w:szCs w:val="24"/>
          <w:highlight w:val="none"/>
        </w:rPr>
        <w:t>3.4.3投标报价超过招标文件中规定的预算金额或者最高限价的，投标无效。</w:t>
      </w:r>
    </w:p>
    <w:p>
      <w:pPr>
        <w:pStyle w:val="131"/>
        <w:spacing w:before="0"/>
        <w:ind w:firstLine="480"/>
        <w:rPr>
          <w:rFonts w:ascii="仿宋_GB2312" w:hAnsi="仿宋" w:eastAsia="仿宋_GB2312" w:cs="Arial"/>
          <w:bCs/>
          <w:color w:val="auto"/>
          <w:kern w:val="0"/>
          <w:szCs w:val="24"/>
          <w:highlight w:val="none"/>
        </w:rPr>
      </w:pPr>
      <w:r>
        <w:rPr>
          <w:rFonts w:hint="eastAsia" w:ascii="仿宋_GB2312" w:hAnsi="仿宋" w:eastAsia="仿宋_GB2312" w:cs="Arial"/>
          <w:bCs/>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1"/>
        <w:spacing w:before="0"/>
        <w:ind w:firstLine="480"/>
        <w:rPr>
          <w:rFonts w:ascii="仿宋_GB2312" w:hAnsi="仿宋" w:eastAsia="仿宋_GB2312" w:cs="Arial"/>
          <w:bCs/>
          <w:color w:val="auto"/>
          <w:kern w:val="0"/>
          <w:szCs w:val="24"/>
          <w:highlight w:val="none"/>
        </w:rPr>
      </w:pPr>
      <w:r>
        <w:rPr>
          <w:rFonts w:hint="eastAsia" w:ascii="仿宋_GB2312" w:hAnsi="仿宋" w:eastAsia="仿宋_GB2312" w:cs="Arial"/>
          <w:bCs/>
          <w:color w:val="auto"/>
          <w:kern w:val="0"/>
          <w:szCs w:val="24"/>
          <w:highlight w:val="none"/>
        </w:rPr>
        <w:t>3.4.5对于未预留份额专门面向中小企业的政府采购货物或服务项目，以及预留份额政府采购货物或服务项目中的非预留部分标项，对小型和微型企业的投标报价给予</w:t>
      </w:r>
      <w:r>
        <w:rPr>
          <w:rFonts w:hint="eastAsia" w:ascii="仿宋_GB2312" w:hAnsi="仿宋" w:eastAsia="仿宋_GB2312" w:cs="Arial"/>
          <w:bCs/>
          <w:color w:val="auto"/>
          <w:kern w:val="0"/>
          <w:szCs w:val="24"/>
          <w:highlight w:val="none"/>
          <w:lang w:val="en-US" w:eastAsia="zh-CN"/>
        </w:rPr>
        <w:t>2</w:t>
      </w:r>
      <w:r>
        <w:rPr>
          <w:rFonts w:hint="eastAsia" w:ascii="仿宋_GB2312" w:hAnsi="仿宋" w:eastAsia="仿宋_GB2312" w:cs="Arial"/>
          <w:bCs/>
          <w:color w:val="auto"/>
          <w:kern w:val="0"/>
          <w:szCs w:val="24"/>
          <w:highlight w:val="none"/>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_GB2312" w:hAnsi="仿宋" w:eastAsia="仿宋_GB2312" w:cs="Arial"/>
          <w:bCs/>
          <w:color w:val="auto"/>
          <w:kern w:val="0"/>
          <w:szCs w:val="24"/>
          <w:highlight w:val="none"/>
          <w:lang w:val="en-US" w:eastAsia="zh-CN"/>
        </w:rPr>
        <w:t>6</w:t>
      </w:r>
      <w:r>
        <w:rPr>
          <w:rFonts w:hint="eastAsia" w:ascii="仿宋_GB2312" w:hAnsi="仿宋" w:eastAsia="仿宋_GB2312" w:cs="Arial"/>
          <w:bCs/>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3.5</w:t>
      </w:r>
      <w:r>
        <w:rPr>
          <w:rFonts w:hint="eastAsia" w:ascii="仿宋_GB2312" w:hAnsi="仿宋" w:eastAsia="仿宋_GB2312" w:cs="Arial"/>
          <w:b/>
          <w:color w:val="auto"/>
          <w:kern w:val="0"/>
          <w:sz w:val="24"/>
          <w:highlight w:val="none"/>
        </w:rPr>
        <w:t>排序与推荐。</w:t>
      </w:r>
      <w:r>
        <w:rPr>
          <w:rFonts w:ascii="仿宋_GB2312" w:hAnsi="仿宋" w:eastAsia="仿宋_GB2312" w:cs="Arial"/>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_GB2312" w:hAnsi="仿宋" w:eastAsia="仿宋_GB2312" w:cs="Arial"/>
          <w:color w:val="auto"/>
          <w:kern w:val="0"/>
          <w:sz w:val="24"/>
          <w:highlight w:val="none"/>
        </w:rPr>
        <w:t>。每个标项分别推荐第一名作为中标候选人，各投标人可参与所有标项的投标，但最多只能成为1个标项的中标候选人（按照标项1、标项2的顺序确定）。如有投标单位成为其中一个标项的第一中标候选人，则无法参与其他标项的投标。</w:t>
      </w:r>
    </w:p>
    <w:p>
      <w:pPr>
        <w:spacing w:line="420" w:lineRule="exact"/>
        <w:ind w:firstLine="480" w:firstLineChars="200"/>
        <w:rPr>
          <w:rFonts w:ascii="仿宋_GB2312" w:hAnsi="仿宋" w:eastAsia="仿宋_GB2312" w:cs="Arial"/>
          <w:b/>
          <w:color w:val="auto"/>
          <w:kern w:val="0"/>
          <w:sz w:val="24"/>
          <w:highlight w:val="none"/>
        </w:rPr>
      </w:pPr>
      <w:r>
        <w:rPr>
          <w:rFonts w:hint="eastAsia" w:ascii="仿宋_GB2312" w:hAnsi="仿宋" w:eastAsia="仿宋_GB2312" w:cs="Arial"/>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非核心产品可以相同品牌。</w:t>
      </w:r>
    </w:p>
    <w:p>
      <w:pPr>
        <w:spacing w:line="420" w:lineRule="exact"/>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3.6编写评标报告。</w:t>
      </w:r>
      <w:r>
        <w:rPr>
          <w:rFonts w:ascii="仿宋_GB2312" w:hAnsi="仿宋" w:eastAsia="仿宋_GB2312" w:cs="Arial"/>
          <w:color w:val="auto"/>
          <w:kern w:val="0"/>
          <w:sz w:val="24"/>
          <w:highlight w:val="none"/>
        </w:rPr>
        <w:t>评标委员会根据全体评标成员签字的原始评标记录和评标结果编写评标报告。</w:t>
      </w:r>
      <w:r>
        <w:rPr>
          <w:rFonts w:hint="eastAsia" w:ascii="仿宋_GB2312" w:hAnsi="仿宋" w:eastAsia="仿宋_GB2312" w:cs="Arial"/>
          <w:color w:val="auto"/>
          <w:kern w:val="0"/>
          <w:sz w:val="24"/>
          <w:highlight w:val="none"/>
        </w:rPr>
        <w:t>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420" w:lineRule="exact"/>
        <w:jc w:val="left"/>
        <w:rPr>
          <w:rFonts w:ascii="仿宋_GB2312" w:hAnsi="仿宋" w:eastAsia="仿宋_GB2312" w:cs="仿宋_GB2312"/>
          <w:b/>
          <w:color w:val="auto"/>
          <w:sz w:val="32"/>
          <w:highlight w:val="none"/>
        </w:rPr>
      </w:pPr>
      <w:r>
        <w:rPr>
          <w:rFonts w:hint="eastAsia" w:ascii="仿宋_GB2312" w:hAnsi="仿宋" w:eastAsia="仿宋_GB2312" w:cs="仿宋_GB2312"/>
          <w:b/>
          <w:color w:val="auto"/>
          <w:sz w:val="32"/>
          <w:highlight w:val="none"/>
        </w:rPr>
        <w:t>四、评标中的其他事项</w:t>
      </w:r>
    </w:p>
    <w:p>
      <w:pPr>
        <w:pStyle w:val="131"/>
        <w:spacing w:before="0" w:line="420" w:lineRule="exact"/>
        <w:ind w:firstLine="472" w:firstLineChars="196"/>
        <w:rPr>
          <w:rFonts w:ascii="仿宋_GB2312" w:hAnsi="仿宋" w:eastAsia="仿宋_GB2312" w:cs="Arial"/>
          <w:color w:val="auto"/>
          <w:kern w:val="0"/>
          <w:szCs w:val="24"/>
          <w:highlight w:val="none"/>
        </w:rPr>
      </w:pPr>
      <w:r>
        <w:rPr>
          <w:rFonts w:ascii="仿宋_GB2312" w:hAnsi="仿宋" w:eastAsia="仿宋_GB2312" w:cs="Arial"/>
          <w:b/>
          <w:color w:val="auto"/>
          <w:kern w:val="0"/>
          <w:szCs w:val="24"/>
          <w:highlight w:val="none"/>
        </w:rPr>
        <w:t>4.1</w:t>
      </w:r>
      <w:r>
        <w:rPr>
          <w:rFonts w:hint="eastAsia" w:ascii="仿宋_GB2312" w:hAnsi="仿宋" w:eastAsia="仿宋_GB2312" w:cs="Arial"/>
          <w:b/>
          <w:color w:val="auto"/>
          <w:kern w:val="0"/>
          <w:szCs w:val="24"/>
          <w:highlight w:val="none"/>
        </w:rPr>
        <w:t>投标人澄清、说明或者补正。</w:t>
      </w:r>
      <w:r>
        <w:rPr>
          <w:rFonts w:hint="eastAsia" w:ascii="仿宋_GB2312" w:hAnsi="仿宋" w:eastAsia="仿宋_GB2312" w:cs="Arial"/>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10分钟，投标人已经明确表示澄清说明或补正完毕的除外。投标人的澄清、说明或者补正不得超出投标文件的范围或者改变投标文件的实质性内容。</w:t>
      </w:r>
    </w:p>
    <w:p>
      <w:pPr>
        <w:pStyle w:val="28"/>
        <w:spacing w:line="400" w:lineRule="exact"/>
        <w:ind w:left="954" w:leftChars="226" w:hanging="479" w:firstLineChars="0"/>
        <w:rPr>
          <w:rFonts w:ascii="仿宋_GB2312" w:hAnsi="仿宋" w:eastAsia="仿宋_GB2312" w:cs="仿宋_GB2312"/>
          <w:color w:val="auto"/>
          <w:szCs w:val="21"/>
          <w:highlight w:val="none"/>
        </w:rPr>
      </w:pPr>
      <w:r>
        <w:rPr>
          <w:rFonts w:ascii="仿宋_GB2312" w:hAnsi="仿宋" w:eastAsia="仿宋_GB2312" w:cs="Arial"/>
          <w:b/>
          <w:color w:val="auto"/>
          <w:kern w:val="0"/>
          <w:highlight w:val="none"/>
        </w:rPr>
        <w:t>4.2投标无效。</w:t>
      </w:r>
      <w:r>
        <w:rPr>
          <w:rFonts w:hint="eastAsia" w:ascii="仿宋_GB2312" w:hAnsi="仿宋" w:eastAsia="仿宋_GB2312" w:cs="仿宋_GB2312"/>
          <w:color w:val="auto"/>
          <w:szCs w:val="21"/>
          <w:highlight w:val="none"/>
        </w:rPr>
        <w:t>有下列情况之一的，投标无效：</w:t>
      </w:r>
    </w:p>
    <w:p>
      <w:pPr>
        <w:spacing w:line="400" w:lineRule="exact"/>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w:t>
      </w:r>
      <w:r>
        <w:rPr>
          <w:rFonts w:hint="eastAsia" w:ascii="仿宋_GB2312" w:hAnsi="仿宋" w:eastAsia="仿宋_GB2312" w:cs="Arial"/>
          <w:color w:val="auto"/>
          <w:kern w:val="0"/>
          <w:sz w:val="24"/>
          <w:highlight w:val="none"/>
        </w:rPr>
        <w:t>1</w:t>
      </w:r>
      <w:r>
        <w:rPr>
          <w:rFonts w:ascii="仿宋_GB2312" w:hAnsi="仿宋" w:eastAsia="仿宋_GB2312" w:cs="Arial"/>
          <w:color w:val="auto"/>
          <w:kern w:val="0"/>
          <w:sz w:val="24"/>
          <w:highlight w:val="none"/>
        </w:rPr>
        <w:t>投标人对根据修正原则修正后的报价不确认的；</w:t>
      </w:r>
    </w:p>
    <w:p>
      <w:pPr>
        <w:spacing w:line="400" w:lineRule="exact"/>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w:t>
      </w:r>
      <w:r>
        <w:rPr>
          <w:rFonts w:hint="eastAsia" w:ascii="仿宋_GB2312" w:hAnsi="仿宋" w:eastAsia="仿宋_GB2312" w:cs="Arial"/>
          <w:color w:val="auto"/>
          <w:kern w:val="0"/>
          <w:sz w:val="24"/>
          <w:highlight w:val="none"/>
        </w:rPr>
        <w:t>2</w:t>
      </w:r>
      <w:r>
        <w:rPr>
          <w:rFonts w:ascii="仿宋_GB2312" w:hAnsi="仿宋" w:eastAsia="仿宋_GB2312" w:cs="Arial"/>
          <w:color w:val="auto"/>
          <w:kern w:val="0"/>
          <w:sz w:val="24"/>
          <w:highlight w:val="none"/>
        </w:rPr>
        <w:t>投标人提供虚假材料投标的；</w:t>
      </w:r>
    </w:p>
    <w:p>
      <w:pPr>
        <w:spacing w:line="400" w:lineRule="exact"/>
        <w:ind w:firstLine="240" w:firstLineChars="1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 xml:space="preserve">  4.2.</w:t>
      </w:r>
      <w:r>
        <w:rPr>
          <w:rFonts w:hint="eastAsia" w:ascii="仿宋_GB2312" w:hAnsi="仿宋" w:eastAsia="仿宋_GB2312" w:cs="Arial"/>
          <w:color w:val="auto"/>
          <w:kern w:val="0"/>
          <w:sz w:val="24"/>
          <w:highlight w:val="none"/>
        </w:rPr>
        <w:t>3</w:t>
      </w:r>
      <w:r>
        <w:rPr>
          <w:rFonts w:ascii="仿宋_GB2312" w:hAnsi="仿宋" w:eastAsia="仿宋_GB2312" w:cs="Arial"/>
          <w:color w:val="auto"/>
          <w:kern w:val="0"/>
          <w:sz w:val="24"/>
          <w:highlight w:val="none"/>
        </w:rPr>
        <w:t>投标人有恶意串通、妨碍其他投标人的竞争行为、损害采购人或者其他投标人的合法权益情形的；</w:t>
      </w:r>
    </w:p>
    <w:p>
      <w:pPr>
        <w:spacing w:line="400" w:lineRule="exact"/>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w:t>
      </w:r>
      <w:r>
        <w:rPr>
          <w:rFonts w:hint="eastAsia" w:ascii="仿宋_GB2312" w:hAnsi="仿宋" w:eastAsia="仿宋_GB2312" w:cs="Arial"/>
          <w:color w:val="auto"/>
          <w:kern w:val="0"/>
          <w:sz w:val="24"/>
          <w:highlight w:val="none"/>
        </w:rPr>
        <w:t>4</w:t>
      </w:r>
      <w:r>
        <w:rPr>
          <w:rFonts w:ascii="仿宋_GB2312" w:hAnsi="仿宋" w:eastAsia="仿宋_GB2312" w:cs="Arial"/>
          <w:color w:val="auto"/>
          <w:kern w:val="0"/>
          <w:sz w:val="24"/>
          <w:highlight w:val="none"/>
        </w:rPr>
        <w:t>投标人仅提交备份投标文件，没有在电子交易平台传输递交投标文件的，投标无效；</w:t>
      </w:r>
      <w:bookmarkStart w:id="422" w:name="_Toc10067"/>
      <w:bookmarkStart w:id="423" w:name="_Toc7813"/>
    </w:p>
    <w:p>
      <w:pPr>
        <w:spacing w:line="400" w:lineRule="exact"/>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w:t>
      </w:r>
      <w:r>
        <w:rPr>
          <w:rFonts w:hint="eastAsia" w:ascii="仿宋_GB2312" w:hAnsi="仿宋" w:eastAsia="仿宋_GB2312" w:cs="Arial"/>
          <w:color w:val="auto"/>
          <w:kern w:val="0"/>
          <w:sz w:val="24"/>
          <w:highlight w:val="none"/>
        </w:rPr>
        <w:t>5</w:t>
      </w:r>
      <w:r>
        <w:rPr>
          <w:rFonts w:ascii="仿宋_GB2312" w:hAnsi="仿宋" w:eastAsia="仿宋_GB2312" w:cs="Arial"/>
          <w:color w:val="auto"/>
          <w:kern w:val="0"/>
          <w:sz w:val="24"/>
          <w:highlight w:val="none"/>
        </w:rPr>
        <w:t xml:space="preserve"> </w:t>
      </w:r>
      <w:r>
        <w:rPr>
          <w:rFonts w:hint="eastAsia" w:ascii="仿宋_GB2312" w:hAnsi="仿宋" w:eastAsia="仿宋_GB2312" w:cs="Arial"/>
          <w:color w:val="auto"/>
          <w:kern w:val="0"/>
          <w:sz w:val="24"/>
          <w:highlight w:val="none"/>
        </w:rPr>
        <w:t>投标文件不满足招标文件的其它实质性要求的；</w:t>
      </w:r>
      <w:bookmarkEnd w:id="422"/>
      <w:bookmarkEnd w:id="423"/>
    </w:p>
    <w:p>
      <w:pPr>
        <w:spacing w:line="400" w:lineRule="exact"/>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w:t>
      </w:r>
      <w:r>
        <w:rPr>
          <w:rFonts w:hint="eastAsia" w:ascii="仿宋_GB2312" w:hAnsi="仿宋" w:eastAsia="仿宋_GB2312" w:cs="Arial"/>
          <w:color w:val="auto"/>
          <w:kern w:val="0"/>
          <w:sz w:val="24"/>
          <w:highlight w:val="none"/>
        </w:rPr>
        <w:t>6</w:t>
      </w:r>
      <w:r>
        <w:rPr>
          <w:rFonts w:ascii="仿宋_GB2312" w:hAnsi="仿宋" w:eastAsia="仿宋_GB2312" w:cs="Arial"/>
          <w:color w:val="auto"/>
          <w:kern w:val="0"/>
          <w:sz w:val="24"/>
          <w:highlight w:val="none"/>
        </w:rPr>
        <w:t>法律、法规、规章（适用本市的）及省级以上规范性文件（适用本市的）规定的其他无效情形。</w:t>
      </w:r>
    </w:p>
    <w:p>
      <w:pPr>
        <w:spacing w:line="400" w:lineRule="exact"/>
        <w:rPr>
          <w:rFonts w:ascii="仿宋" w:hAnsi="仿宋" w:eastAsia="仿宋"/>
          <w:color w:val="auto"/>
          <w:sz w:val="24"/>
          <w:highlight w:val="none"/>
        </w:rPr>
      </w:pPr>
    </w:p>
    <w:p>
      <w:pPr>
        <w:pStyle w:val="28"/>
        <w:snapToGrid w:val="0"/>
        <w:spacing w:line="400" w:lineRule="exact"/>
        <w:ind w:firstLine="472" w:firstLineChars="196"/>
        <w:rPr>
          <w:rFonts w:ascii="仿宋_GB2312" w:hAnsi="仿宋" w:eastAsia="仿宋_GB2312" w:cs="仿宋_GB2312"/>
          <w:color w:val="auto"/>
          <w:highlight w:val="none"/>
        </w:rPr>
      </w:pPr>
      <w:r>
        <w:rPr>
          <w:rFonts w:ascii="仿宋_GB2312" w:hAnsi="仿宋" w:eastAsia="仿宋_GB2312" w:cs="仿宋_GB2312"/>
          <w:b/>
          <w:color w:val="auto"/>
          <w:highlight w:val="none"/>
        </w:rPr>
        <w:t>5.废标。</w:t>
      </w:r>
      <w:r>
        <w:rPr>
          <w:rFonts w:hint="eastAsia" w:ascii="仿宋_GB2312" w:hAnsi="仿宋" w:eastAsia="仿宋_GB2312" w:cs="仿宋_GB2312"/>
          <w:color w:val="auto"/>
          <w:highlight w:val="none"/>
        </w:rPr>
        <w:t>根据《中华人民共和国政府采购法》第三十六条之规定，在采购中，出现下列情形之一的，应予废标：</w:t>
      </w:r>
    </w:p>
    <w:p>
      <w:pPr>
        <w:pStyle w:val="28"/>
        <w:snapToGrid w:val="0"/>
        <w:spacing w:line="400" w:lineRule="exact"/>
        <w:rPr>
          <w:rFonts w:ascii="仿宋_GB2312" w:hAnsi="仿宋" w:eastAsia="仿宋_GB2312" w:cs="仿宋_GB2312"/>
          <w:color w:val="auto"/>
          <w:highlight w:val="none"/>
        </w:rPr>
      </w:pPr>
      <w:r>
        <w:rPr>
          <w:rFonts w:ascii="仿宋_GB2312" w:hAnsi="仿宋" w:eastAsia="仿宋_GB2312" w:cs="仿宋_GB2312"/>
          <w:color w:val="auto"/>
          <w:highlight w:val="none"/>
        </w:rPr>
        <w:t>5.1符合专业条件的供应商或者对招标文件作实质响应的供应商不足3家的；</w:t>
      </w:r>
    </w:p>
    <w:p>
      <w:pPr>
        <w:pStyle w:val="28"/>
        <w:snapToGrid w:val="0"/>
        <w:spacing w:line="400" w:lineRule="exact"/>
        <w:rPr>
          <w:rFonts w:ascii="仿宋_GB2312" w:hAnsi="仿宋" w:eastAsia="仿宋_GB2312" w:cs="仿宋_GB2312"/>
          <w:color w:val="auto"/>
          <w:highlight w:val="none"/>
        </w:rPr>
      </w:pPr>
      <w:r>
        <w:rPr>
          <w:rFonts w:ascii="仿宋_GB2312" w:hAnsi="仿宋" w:eastAsia="仿宋_GB2312" w:cs="仿宋_GB2312"/>
          <w:color w:val="auto"/>
          <w:highlight w:val="none"/>
        </w:rPr>
        <w:t>5.2出现影响采购公正的违法、违规行为的；</w:t>
      </w:r>
    </w:p>
    <w:p>
      <w:pPr>
        <w:pStyle w:val="28"/>
        <w:snapToGrid w:val="0"/>
        <w:spacing w:line="400" w:lineRule="exact"/>
        <w:rPr>
          <w:rFonts w:ascii="仿宋_GB2312" w:hAnsi="仿宋" w:eastAsia="仿宋_GB2312" w:cs="仿宋_GB2312"/>
          <w:color w:val="auto"/>
          <w:highlight w:val="none"/>
        </w:rPr>
      </w:pPr>
      <w:r>
        <w:rPr>
          <w:rFonts w:ascii="仿宋_GB2312" w:hAnsi="仿宋" w:eastAsia="仿宋_GB2312" w:cs="仿宋_GB2312"/>
          <w:color w:val="auto"/>
          <w:highlight w:val="none"/>
        </w:rPr>
        <w:t>5.3投标人的报价均超过了采购预算，采购人不能支付的；</w:t>
      </w:r>
    </w:p>
    <w:p>
      <w:pPr>
        <w:pStyle w:val="28"/>
        <w:snapToGrid w:val="0"/>
        <w:spacing w:line="400" w:lineRule="exact"/>
        <w:rPr>
          <w:rFonts w:ascii="仿宋_GB2312" w:hAnsi="仿宋" w:eastAsia="仿宋_GB2312" w:cs="仿宋_GB2312"/>
          <w:color w:val="auto"/>
          <w:highlight w:val="none"/>
        </w:rPr>
      </w:pPr>
      <w:r>
        <w:rPr>
          <w:rFonts w:ascii="仿宋_GB2312" w:hAnsi="仿宋" w:eastAsia="仿宋_GB2312" w:cs="仿宋_GB2312"/>
          <w:color w:val="auto"/>
          <w:highlight w:val="none"/>
        </w:rPr>
        <w:t>5.4因重大变故，采购任务取消的。</w:t>
      </w:r>
    </w:p>
    <w:p>
      <w:pPr>
        <w:pStyle w:val="28"/>
        <w:snapToGrid w:val="0"/>
        <w:spacing w:line="400" w:lineRule="exact"/>
        <w:rPr>
          <w:rFonts w:ascii="仿宋_GB2312" w:hAnsi="仿宋" w:eastAsia="仿宋_GB2312" w:cs="仿宋_GB2312"/>
          <w:color w:val="auto"/>
          <w:highlight w:val="none"/>
        </w:rPr>
      </w:pPr>
      <w:r>
        <w:rPr>
          <w:rFonts w:hint="eastAsia" w:ascii="仿宋_GB2312" w:hAnsi="仿宋" w:eastAsia="仿宋_GB2312" w:cs="仿宋_GB2312"/>
          <w:color w:val="auto"/>
          <w:highlight w:val="none"/>
        </w:rPr>
        <w:t>废标后，采购机构应当将废标理由通知所有投标人。</w:t>
      </w:r>
    </w:p>
    <w:p>
      <w:pPr>
        <w:pStyle w:val="28"/>
        <w:snapToGrid w:val="0"/>
        <w:spacing w:line="400" w:lineRule="exact"/>
        <w:ind w:firstLine="590" w:firstLineChars="245"/>
        <w:rPr>
          <w:rFonts w:ascii="仿宋_GB2312" w:hAnsi="仿宋" w:eastAsia="仿宋_GB2312" w:cs="仿宋_GB2312"/>
          <w:color w:val="auto"/>
          <w:highlight w:val="none"/>
        </w:rPr>
      </w:pPr>
      <w:r>
        <w:rPr>
          <w:rFonts w:hint="eastAsia" w:ascii="仿宋_GB2312" w:hAnsi="Helvetica" w:eastAsia="仿宋_GB2312" w:cs="Helvetica"/>
          <w:b/>
          <w:color w:val="auto"/>
          <w:kern w:val="0"/>
          <w:highlight w:val="none"/>
        </w:rPr>
        <w:t>6.重新开展采购。</w:t>
      </w:r>
      <w:r>
        <w:rPr>
          <w:rFonts w:hint="eastAsia" w:ascii="仿宋_GB2312" w:hAnsi="仿宋" w:eastAsia="仿宋_GB2312" w:cs="仿宋_GB2312"/>
          <w:color w:val="auto"/>
          <w:highlight w:val="none"/>
        </w:rPr>
        <w:t>有政府采购法第七十一条、第七十二条规定的违法行为之一，影响或者可能影响中标、成交结果的，依照下列规定处理：</w:t>
      </w:r>
    </w:p>
    <w:p>
      <w:pPr>
        <w:pStyle w:val="28"/>
        <w:snapToGrid w:val="0"/>
        <w:spacing w:line="400" w:lineRule="exact"/>
        <w:ind w:firstLine="600" w:firstLineChars="250"/>
        <w:rPr>
          <w:rFonts w:ascii="仿宋_GB2312" w:hAnsi="仿宋" w:eastAsia="仿宋_GB2312" w:cs="仿宋_GB2312"/>
          <w:color w:val="auto"/>
          <w:highlight w:val="none"/>
        </w:rPr>
      </w:pPr>
      <w:r>
        <w:rPr>
          <w:rFonts w:hint="eastAsia" w:ascii="仿宋_GB2312" w:hAnsi="仿宋" w:eastAsia="仿宋_GB2312" w:cs="仿宋_GB2312"/>
          <w:color w:val="auto"/>
          <w:highlight w:val="none"/>
        </w:rPr>
        <w:t>6</w:t>
      </w:r>
      <w:r>
        <w:rPr>
          <w:rFonts w:ascii="仿宋_GB2312" w:hAnsi="仿宋" w:eastAsia="仿宋_GB2312" w:cs="仿宋_GB2312"/>
          <w:color w:val="auto"/>
          <w:highlight w:val="none"/>
        </w:rPr>
        <w:t>.1未确定中标或者中标人的，终止本次政府采购活动，重新开展政府采购</w:t>
      </w:r>
      <w:r>
        <w:rPr>
          <w:rFonts w:hint="eastAsia" w:ascii="仿宋_GB2312" w:hAnsi="仿宋" w:eastAsia="仿宋_GB2312" w:cs="仿宋_GB2312"/>
          <w:color w:val="auto"/>
          <w:highlight w:val="none"/>
        </w:rPr>
        <w:t>活动。</w:t>
      </w:r>
    </w:p>
    <w:p>
      <w:pPr>
        <w:pStyle w:val="28"/>
        <w:snapToGrid w:val="0"/>
        <w:spacing w:line="400" w:lineRule="exact"/>
        <w:ind w:firstLine="600" w:firstLineChars="250"/>
        <w:rPr>
          <w:rFonts w:ascii="仿宋_GB2312" w:hAnsi="仿宋" w:eastAsia="仿宋_GB2312" w:cs="仿宋_GB2312"/>
          <w:color w:val="auto"/>
          <w:highlight w:val="none"/>
        </w:rPr>
      </w:pPr>
      <w:r>
        <w:rPr>
          <w:rFonts w:hint="eastAsia" w:ascii="仿宋_GB2312" w:hAnsi="仿宋" w:eastAsia="仿宋_GB2312" w:cs="仿宋_GB2312"/>
          <w:color w:val="auto"/>
          <w:highlight w:val="none"/>
        </w:rPr>
        <w:t>6</w:t>
      </w:r>
      <w:r>
        <w:rPr>
          <w:rFonts w:ascii="仿宋_GB2312" w:hAnsi="仿宋" w:eastAsia="仿宋_GB2312" w:cs="仿宋_GB2312"/>
          <w:color w:val="auto"/>
          <w:highlight w:val="none"/>
        </w:rPr>
        <w:t>.2已确定中标或者中标人但尚未签订政府采购合同的，中标或者成交结果无效，从合格的中标或者成交候选人中另行确定中标或者中标人；没有合格的中标或者成交候选人的，重新开展政府采购活动。</w:t>
      </w:r>
    </w:p>
    <w:p>
      <w:pPr>
        <w:pStyle w:val="28"/>
        <w:snapToGrid w:val="0"/>
        <w:spacing w:line="400" w:lineRule="exact"/>
        <w:ind w:firstLine="600" w:firstLineChars="250"/>
        <w:rPr>
          <w:rFonts w:ascii="仿宋_GB2312" w:hAnsi="仿宋" w:eastAsia="仿宋_GB2312" w:cs="仿宋_GB2312"/>
          <w:color w:val="auto"/>
          <w:highlight w:val="none"/>
        </w:rPr>
      </w:pPr>
      <w:r>
        <w:rPr>
          <w:rFonts w:hint="eastAsia" w:ascii="仿宋_GB2312" w:hAnsi="仿宋" w:eastAsia="仿宋_GB2312" w:cs="仿宋_GB2312"/>
          <w:color w:val="auto"/>
          <w:highlight w:val="none"/>
        </w:rPr>
        <w:t>6</w:t>
      </w:r>
      <w:r>
        <w:rPr>
          <w:rFonts w:ascii="仿宋_GB2312" w:hAnsi="仿宋" w:eastAsia="仿宋_GB2312" w:cs="仿宋_GB2312"/>
          <w:color w:val="auto"/>
          <w:highlight w:val="none"/>
        </w:rPr>
        <w:t>.3政府采购合同已签订但尚未履行的，撤销合同，从合格的中标或者成交候选人中另行确定中标或者中标人；没有合格的中标或者成交候选人的，重新开展政府采购活动。</w:t>
      </w:r>
    </w:p>
    <w:p>
      <w:pPr>
        <w:pStyle w:val="28"/>
        <w:snapToGrid w:val="0"/>
        <w:spacing w:line="400" w:lineRule="exact"/>
        <w:rPr>
          <w:rFonts w:ascii="仿宋_GB2312" w:hAnsi="仿宋" w:eastAsia="仿宋_GB2312" w:cs="仿宋_GB2312"/>
          <w:color w:val="auto"/>
          <w:highlight w:val="none"/>
        </w:rPr>
      </w:pPr>
      <w:r>
        <w:rPr>
          <w:rFonts w:hint="eastAsia" w:ascii="仿宋_GB2312" w:hAnsi="仿宋" w:eastAsia="仿宋_GB2312" w:cs="仿宋_GB2312"/>
          <w:color w:val="auto"/>
          <w:highlight w:val="none"/>
        </w:rPr>
        <w:t>6</w:t>
      </w:r>
      <w:r>
        <w:rPr>
          <w:rFonts w:ascii="仿宋_GB2312" w:hAnsi="仿宋" w:eastAsia="仿宋_GB2312" w:cs="仿宋_GB2312"/>
          <w:color w:val="auto"/>
          <w:highlight w:val="none"/>
        </w:rPr>
        <w:t>.4政府采购合同已经履行，给采购人、供应</w:t>
      </w:r>
      <w:r>
        <w:rPr>
          <w:rFonts w:hint="eastAsia" w:ascii="仿宋_GB2312" w:hAnsi="仿宋" w:eastAsia="仿宋_GB2312" w:cs="仿宋_GB2312"/>
          <w:color w:val="auto"/>
          <w:highlight w:val="none"/>
        </w:rPr>
        <w:t>商造成损失的，由责任人承担赔偿责任。</w:t>
      </w:r>
    </w:p>
    <w:p>
      <w:pPr>
        <w:pStyle w:val="28"/>
        <w:snapToGrid w:val="0"/>
        <w:spacing w:line="400" w:lineRule="exact"/>
        <w:rPr>
          <w:rFonts w:ascii="仿宋_GB2312" w:hAnsi="仿宋" w:eastAsia="仿宋_GB2312" w:cs="仿宋_GB2312"/>
          <w:color w:val="auto"/>
          <w:highlight w:val="none"/>
        </w:rPr>
      </w:pPr>
      <w:r>
        <w:rPr>
          <w:rFonts w:hint="eastAsia" w:ascii="仿宋_GB2312" w:hAnsi="仿宋" w:eastAsia="仿宋_GB2312" w:cs="仿宋_GB2312"/>
          <w:color w:val="auto"/>
          <w:highlight w:val="none"/>
        </w:rPr>
        <w:t>6</w:t>
      </w:r>
      <w:r>
        <w:rPr>
          <w:rFonts w:ascii="仿宋_GB2312" w:hAnsi="仿宋" w:eastAsia="仿宋_GB2312" w:cs="仿宋_GB2312"/>
          <w:color w:val="auto"/>
          <w:highlight w:val="none"/>
        </w:rPr>
        <w:t>.5政府采购当事人有其他违反政府采购</w:t>
      </w:r>
      <w:r>
        <w:rPr>
          <w:rFonts w:hint="eastAsia" w:ascii="仿宋_GB2312" w:hAnsi="仿宋" w:eastAsia="仿宋_GB2312" w:cs="仿宋_GB2312"/>
          <w:color w:val="auto"/>
          <w:highlight w:val="none"/>
        </w:rPr>
        <w:t>法</w:t>
      </w:r>
      <w:r>
        <w:rPr>
          <w:rFonts w:hint="eastAsia" w:ascii="仿宋_GB2312" w:hAnsi="仿宋" w:eastAsia="仿宋_GB2312" w:cs="Arial"/>
          <w:color w:val="auto"/>
          <w:kern w:val="0"/>
          <w:highlight w:val="none"/>
        </w:rPr>
        <w:t>或者政府采购法实施条例等法律法规规定</w:t>
      </w:r>
      <w:r>
        <w:rPr>
          <w:rFonts w:hint="eastAsia" w:ascii="仿宋_GB2312" w:hAnsi="仿宋" w:eastAsia="仿宋_GB2312" w:cs="仿宋_GB2312"/>
          <w:color w:val="auto"/>
          <w:highlight w:val="none"/>
        </w:rPr>
        <w:t>的行为，经改正后仍然影响或者可能影响中标、成交结果或者依法被认定为中标、成交无效的</w:t>
      </w:r>
      <w:r>
        <w:rPr>
          <w:rFonts w:ascii="仿宋_GB2312" w:hAnsi="仿宋" w:eastAsia="仿宋_GB2312" w:cs="仿宋_GB2312"/>
          <w:color w:val="auto"/>
          <w:highlight w:val="none"/>
        </w:rPr>
        <w:t>。</w:t>
      </w:r>
    </w:p>
    <w:p>
      <w:pPr>
        <w:pStyle w:val="28"/>
        <w:snapToGrid w:val="0"/>
        <w:spacing w:line="360" w:lineRule="auto"/>
        <w:ind w:firstLine="0" w:firstLineChars="0"/>
        <w:rPr>
          <w:rFonts w:ascii="仿宋_GB2312" w:hAnsi="仿宋" w:eastAsia="仿宋_GB2312" w:cs="仿宋_GB2312"/>
          <w:color w:val="auto"/>
          <w:highlight w:val="none"/>
        </w:rPr>
      </w:pPr>
    </w:p>
    <w:bookmarkEnd w:id="51"/>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bookmarkStart w:id="424" w:name="_Toc86217003"/>
      <w:bookmarkStart w:id="425" w:name="第五部分"/>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bookmarkStart w:id="426" w:name="_Toc21773"/>
      <w:bookmarkStart w:id="427" w:name="_Toc11270"/>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p>
    <w:p>
      <w:pPr>
        <w:spacing w:line="360" w:lineRule="auto"/>
        <w:ind w:left="720" w:leftChars="343" w:firstLine="723" w:firstLineChars="300"/>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第五部分拟签订的合同文本</w:t>
      </w:r>
      <w:bookmarkEnd w:id="426"/>
      <w:bookmarkEnd w:id="427"/>
    </w:p>
    <w:p>
      <w:pPr>
        <w:spacing w:line="360" w:lineRule="auto"/>
        <w:ind w:left="720" w:leftChars="343" w:firstLine="723" w:firstLineChars="300"/>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(具体以正式签订合同为准)</w:t>
      </w:r>
    </w:p>
    <w:p>
      <w:pPr>
        <w:spacing w:line="480" w:lineRule="auto"/>
        <w:jc w:val="center"/>
        <w:rPr>
          <w:rFonts w:ascii="仿宋" w:hAnsi="仿宋" w:eastAsia="仿宋" w:cs="仿宋"/>
          <w:b/>
          <w:color w:val="auto"/>
          <w:sz w:val="24"/>
          <w:highlight w:val="none"/>
        </w:rPr>
      </w:pPr>
    </w:p>
    <w:p>
      <w:pPr>
        <w:spacing w:line="480" w:lineRule="auto"/>
        <w:jc w:val="center"/>
        <w:rPr>
          <w:rFonts w:ascii="仿宋" w:hAnsi="仿宋" w:eastAsia="仿宋" w:cs="仿宋"/>
          <w:b/>
          <w:color w:val="auto"/>
          <w:sz w:val="24"/>
          <w:highlight w:val="none"/>
        </w:rPr>
      </w:pPr>
    </w:p>
    <w:p>
      <w:pPr>
        <w:spacing w:line="480" w:lineRule="auto"/>
        <w:jc w:val="center"/>
        <w:rPr>
          <w:rFonts w:ascii="仿宋" w:hAnsi="仿宋" w:eastAsia="仿宋" w:cs="仿宋"/>
          <w:b/>
          <w:color w:val="auto"/>
          <w:sz w:val="24"/>
          <w:highlight w:val="none"/>
        </w:rPr>
      </w:pPr>
    </w:p>
    <w:p>
      <w:pPr>
        <w:spacing w:line="48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政府采购合同参考范本</w:t>
      </w:r>
    </w:p>
    <w:p>
      <w:pPr>
        <w:pStyle w:val="702"/>
        <w:rPr>
          <w:rFonts w:ascii="仿宋" w:hAnsi="仿宋" w:eastAsia="仿宋" w:cs="仿宋"/>
          <w:color w:val="auto"/>
          <w:szCs w:val="24"/>
          <w:highlight w:val="none"/>
        </w:rPr>
      </w:pPr>
    </w:p>
    <w:p>
      <w:pPr>
        <w:pStyle w:val="702"/>
        <w:jc w:val="center"/>
        <w:rPr>
          <w:rFonts w:ascii="仿宋" w:hAnsi="仿宋" w:eastAsia="仿宋" w:cs="仿宋"/>
          <w:color w:val="auto"/>
          <w:szCs w:val="24"/>
          <w:highlight w:val="none"/>
        </w:rPr>
      </w:pPr>
    </w:p>
    <w:p>
      <w:pPr>
        <w:pStyle w:val="702"/>
        <w:rPr>
          <w:rFonts w:ascii="仿宋" w:hAnsi="仿宋" w:eastAsia="仿宋" w:cs="仿宋"/>
          <w:color w:val="auto"/>
          <w:szCs w:val="24"/>
          <w:highlight w:val="none"/>
        </w:rPr>
      </w:pPr>
    </w:p>
    <w:p>
      <w:pPr>
        <w:pStyle w:val="36"/>
        <w:snapToGrid w:val="0"/>
        <w:spacing w:line="320" w:lineRule="exact"/>
        <w:ind w:firstLine="480" w:firstLineChars="200"/>
        <w:rPr>
          <w:rFonts w:ascii="仿宋" w:hAnsi="仿宋" w:eastAsia="仿宋" w:cs="仿宋"/>
          <w:color w:val="auto"/>
          <w:kern w:val="1"/>
          <w:sz w:val="24"/>
          <w:szCs w:val="24"/>
          <w:highlight w:val="none"/>
          <w:lang w:val="zh-CN"/>
        </w:rPr>
      </w:pPr>
    </w:p>
    <w:p>
      <w:pPr>
        <w:pStyle w:val="36"/>
        <w:snapToGrid w:val="0"/>
        <w:spacing w:line="320" w:lineRule="exact"/>
        <w:ind w:firstLine="480" w:firstLineChars="200"/>
        <w:rPr>
          <w:rFonts w:ascii="仿宋" w:hAnsi="仿宋" w:eastAsia="仿宋" w:cs="仿宋"/>
          <w:color w:val="auto"/>
          <w:kern w:val="1"/>
          <w:sz w:val="24"/>
          <w:szCs w:val="24"/>
          <w:highlight w:val="none"/>
          <w:lang w:val="zh-CN"/>
        </w:rPr>
      </w:pPr>
      <w:r>
        <w:rPr>
          <w:rFonts w:hint="eastAsia" w:ascii="仿宋" w:hAnsi="仿宋" w:eastAsia="仿宋" w:cs="仿宋"/>
          <w:color w:val="auto"/>
          <w:kern w:val="1"/>
          <w:sz w:val="24"/>
          <w:szCs w:val="24"/>
          <w:highlight w:val="none"/>
          <w:lang w:val="zh-CN"/>
        </w:rPr>
        <w:t>项目名称：</w:t>
      </w:r>
    </w:p>
    <w:p>
      <w:pPr>
        <w:pStyle w:val="36"/>
        <w:snapToGrid w:val="0"/>
        <w:spacing w:line="320" w:lineRule="exact"/>
        <w:ind w:firstLine="480" w:firstLineChars="200"/>
        <w:rPr>
          <w:rFonts w:ascii="仿宋" w:hAnsi="仿宋" w:eastAsia="仿宋" w:cs="仿宋"/>
          <w:color w:val="auto"/>
          <w:kern w:val="1"/>
          <w:sz w:val="24"/>
          <w:szCs w:val="24"/>
          <w:highlight w:val="none"/>
          <w:lang w:val="zh-CN"/>
        </w:rPr>
      </w:pPr>
      <w:r>
        <w:rPr>
          <w:rFonts w:hint="eastAsia" w:ascii="仿宋" w:hAnsi="仿宋" w:eastAsia="仿宋" w:cs="仿宋"/>
          <w:color w:val="auto"/>
          <w:kern w:val="1"/>
          <w:sz w:val="24"/>
          <w:szCs w:val="24"/>
          <w:highlight w:val="none"/>
          <w:lang w:val="zh-CN"/>
        </w:rPr>
        <w:t>项目编号：</w:t>
      </w:r>
    </w:p>
    <w:p>
      <w:pPr>
        <w:pStyle w:val="36"/>
        <w:snapToGrid w:val="0"/>
        <w:spacing w:line="320" w:lineRule="exact"/>
        <w:ind w:firstLine="480" w:firstLineChars="200"/>
        <w:rPr>
          <w:rFonts w:ascii="仿宋" w:hAnsi="仿宋" w:eastAsia="仿宋" w:cs="仿宋"/>
          <w:color w:val="auto"/>
          <w:kern w:val="1"/>
          <w:sz w:val="24"/>
          <w:szCs w:val="24"/>
          <w:highlight w:val="none"/>
          <w:lang w:val="zh-CN"/>
        </w:rPr>
      </w:pPr>
    </w:p>
    <w:p>
      <w:pPr>
        <w:pStyle w:val="36"/>
        <w:snapToGrid w:val="0"/>
        <w:spacing w:line="320" w:lineRule="exact"/>
        <w:ind w:firstLine="480" w:firstLineChars="200"/>
        <w:rPr>
          <w:rFonts w:ascii="仿宋" w:hAnsi="仿宋" w:eastAsia="仿宋" w:cs="仿宋"/>
          <w:color w:val="auto"/>
          <w:kern w:val="1"/>
          <w:sz w:val="24"/>
          <w:szCs w:val="24"/>
          <w:highlight w:val="none"/>
          <w:lang w:val="zh-CN"/>
        </w:rPr>
      </w:pPr>
    </w:p>
    <w:p>
      <w:pPr>
        <w:pStyle w:val="36"/>
        <w:snapToGrid w:val="0"/>
        <w:spacing w:line="320" w:lineRule="exact"/>
        <w:ind w:firstLine="480" w:firstLineChars="200"/>
        <w:rPr>
          <w:rFonts w:ascii="仿宋" w:hAnsi="仿宋" w:eastAsia="仿宋" w:cs="仿宋"/>
          <w:color w:val="auto"/>
          <w:kern w:val="1"/>
          <w:sz w:val="24"/>
          <w:szCs w:val="24"/>
          <w:highlight w:val="none"/>
          <w:lang w:val="zh-CN"/>
        </w:rPr>
      </w:pPr>
      <w:r>
        <w:rPr>
          <w:rFonts w:hint="eastAsia" w:ascii="仿宋" w:hAnsi="仿宋" w:eastAsia="仿宋" w:cs="仿宋"/>
          <w:color w:val="auto"/>
          <w:kern w:val="1"/>
          <w:sz w:val="24"/>
          <w:szCs w:val="24"/>
          <w:highlight w:val="none"/>
          <w:lang w:val="zh-CN"/>
        </w:rPr>
        <w:t>甲方：</w:t>
      </w:r>
    </w:p>
    <w:p>
      <w:pPr>
        <w:pStyle w:val="36"/>
        <w:snapToGrid w:val="0"/>
        <w:spacing w:line="320" w:lineRule="exact"/>
        <w:ind w:firstLine="480" w:firstLineChars="200"/>
        <w:rPr>
          <w:rFonts w:ascii="仿宋" w:hAnsi="仿宋" w:eastAsia="仿宋" w:cs="仿宋"/>
          <w:color w:val="auto"/>
          <w:kern w:val="1"/>
          <w:sz w:val="24"/>
          <w:szCs w:val="24"/>
          <w:highlight w:val="none"/>
          <w:lang w:val="zh-CN"/>
        </w:rPr>
      </w:pPr>
    </w:p>
    <w:p>
      <w:pPr>
        <w:pStyle w:val="36"/>
        <w:snapToGrid w:val="0"/>
        <w:spacing w:line="320" w:lineRule="exact"/>
        <w:ind w:firstLine="480" w:firstLineChars="200"/>
        <w:rPr>
          <w:rFonts w:ascii="仿宋" w:hAnsi="仿宋" w:eastAsia="仿宋" w:cs="仿宋"/>
          <w:color w:val="auto"/>
          <w:kern w:val="1"/>
          <w:sz w:val="24"/>
          <w:szCs w:val="24"/>
          <w:highlight w:val="none"/>
          <w:lang w:val="zh-CN"/>
        </w:rPr>
      </w:pPr>
      <w:r>
        <w:rPr>
          <w:rFonts w:hint="eastAsia" w:ascii="仿宋" w:hAnsi="仿宋" w:eastAsia="仿宋" w:cs="仿宋"/>
          <w:color w:val="auto"/>
          <w:kern w:val="1"/>
          <w:sz w:val="24"/>
          <w:szCs w:val="24"/>
          <w:highlight w:val="none"/>
          <w:lang w:val="zh-CN"/>
        </w:rPr>
        <w:t>乙方：</w:t>
      </w:r>
    </w:p>
    <w:p>
      <w:pPr>
        <w:pStyle w:val="36"/>
        <w:snapToGrid w:val="0"/>
        <w:spacing w:line="320" w:lineRule="exact"/>
        <w:ind w:firstLine="480" w:firstLineChars="200"/>
        <w:rPr>
          <w:rFonts w:ascii="仿宋" w:hAnsi="仿宋" w:eastAsia="仿宋" w:cs="仿宋"/>
          <w:color w:val="auto"/>
          <w:kern w:val="1"/>
          <w:sz w:val="24"/>
          <w:szCs w:val="24"/>
          <w:highlight w:val="none"/>
          <w:lang w:val="zh-CN"/>
        </w:rPr>
      </w:pPr>
    </w:p>
    <w:p>
      <w:pPr>
        <w:pStyle w:val="36"/>
        <w:snapToGrid w:val="0"/>
        <w:spacing w:line="320" w:lineRule="exact"/>
        <w:ind w:firstLine="480" w:firstLineChars="200"/>
        <w:rPr>
          <w:rFonts w:ascii="仿宋" w:hAnsi="仿宋" w:eastAsia="仿宋" w:cs="仿宋"/>
          <w:color w:val="auto"/>
          <w:kern w:val="1"/>
          <w:sz w:val="24"/>
          <w:szCs w:val="24"/>
          <w:highlight w:val="none"/>
          <w:lang w:val="zh-CN"/>
        </w:rPr>
      </w:pPr>
    </w:p>
    <w:p>
      <w:pPr>
        <w:pStyle w:val="36"/>
        <w:snapToGrid w:val="0"/>
        <w:spacing w:line="320" w:lineRule="exact"/>
        <w:ind w:firstLine="480" w:firstLineChars="200"/>
        <w:rPr>
          <w:rFonts w:ascii="仿宋" w:hAnsi="仿宋" w:eastAsia="仿宋" w:cs="仿宋"/>
          <w:color w:val="auto"/>
          <w:kern w:val="1"/>
          <w:sz w:val="24"/>
          <w:szCs w:val="24"/>
          <w:highlight w:val="none"/>
          <w:lang w:val="zh-CN"/>
        </w:rPr>
      </w:pPr>
      <w:r>
        <w:rPr>
          <w:rFonts w:hint="eastAsia" w:ascii="仿宋" w:hAnsi="仿宋" w:eastAsia="仿宋" w:cs="仿宋"/>
          <w:color w:val="auto"/>
          <w:kern w:val="1"/>
          <w:sz w:val="24"/>
          <w:szCs w:val="24"/>
          <w:highlight w:val="none"/>
          <w:lang w:val="zh-CN"/>
        </w:rPr>
        <w:t>签订日期：年月日</w:t>
      </w:r>
    </w:p>
    <w:p>
      <w:pPr>
        <w:pStyle w:val="36"/>
        <w:snapToGrid w:val="0"/>
        <w:spacing w:line="320" w:lineRule="exact"/>
        <w:ind w:firstLine="480" w:firstLineChars="200"/>
        <w:rPr>
          <w:rFonts w:ascii="仿宋" w:hAnsi="仿宋" w:eastAsia="仿宋" w:cs="仿宋"/>
          <w:color w:val="auto"/>
          <w:kern w:val="1"/>
          <w:sz w:val="24"/>
          <w:szCs w:val="24"/>
          <w:highlight w:val="none"/>
          <w:lang w:val="zh-CN"/>
        </w:rPr>
        <w:sectPr>
          <w:pgSz w:w="11907" w:h="16840"/>
          <w:pgMar w:top="1474" w:right="1814" w:bottom="1474" w:left="1814" w:header="851" w:footer="851" w:gutter="0"/>
          <w:cols w:space="720" w:num="1"/>
        </w:sectPr>
      </w:pPr>
    </w:p>
    <w:p>
      <w:pPr>
        <w:pStyle w:val="36"/>
        <w:snapToGrid w:val="0"/>
        <w:spacing w:line="320" w:lineRule="exact"/>
        <w:ind w:firstLine="480" w:firstLineChars="200"/>
        <w:rPr>
          <w:rFonts w:ascii="仿宋" w:hAnsi="仿宋" w:eastAsia="仿宋" w:cs="仿宋"/>
          <w:color w:val="auto"/>
          <w:kern w:val="1"/>
          <w:sz w:val="24"/>
          <w:szCs w:val="24"/>
          <w:highlight w:val="none"/>
        </w:rPr>
      </w:pPr>
      <w:r>
        <w:rPr>
          <w:rFonts w:hint="eastAsia" w:ascii="仿宋" w:hAnsi="仿宋" w:eastAsia="仿宋" w:cs="仿宋"/>
          <w:color w:val="auto"/>
          <w:kern w:val="1"/>
          <w:sz w:val="24"/>
          <w:szCs w:val="24"/>
          <w:highlight w:val="none"/>
          <w:lang w:val="zh-CN"/>
        </w:rPr>
        <w:t>年月日</w:t>
      </w:r>
      <w:r>
        <w:rPr>
          <w:rFonts w:hint="eastAsia" w:ascii="仿宋" w:hAnsi="仿宋" w:eastAsia="仿宋" w:cs="仿宋"/>
          <w:color w:val="auto"/>
          <w:kern w:val="1"/>
          <w:sz w:val="24"/>
          <w:szCs w:val="24"/>
          <w:highlight w:val="none"/>
        </w:rPr>
        <w:t>，（采购人）以   （政府采购方式）  对   （同前页项目名称）项目进行了采购。经   （相关评定主体名称）   评定，   （中标供应商名称）为该项目中标供应商。现于中标通知书发出之日起三十日内，按照采购文件确定的事项签订本合同。</w:t>
      </w:r>
    </w:p>
    <w:p>
      <w:pPr>
        <w:pStyle w:val="36"/>
        <w:snapToGrid w:val="0"/>
        <w:spacing w:line="320" w:lineRule="exact"/>
        <w:ind w:firstLine="480" w:firstLineChars="200"/>
        <w:rPr>
          <w:rFonts w:ascii="仿宋" w:hAnsi="仿宋" w:eastAsia="仿宋" w:cs="仿宋"/>
          <w:color w:val="auto"/>
          <w:kern w:val="1"/>
          <w:sz w:val="24"/>
          <w:szCs w:val="24"/>
          <w:highlight w:val="none"/>
        </w:rPr>
      </w:pPr>
      <w:r>
        <w:rPr>
          <w:rFonts w:hint="eastAsia" w:ascii="仿宋" w:hAnsi="仿宋" w:eastAsia="仿宋" w:cs="仿宋"/>
          <w:color w:val="auto"/>
          <w:kern w:val="1"/>
          <w:sz w:val="24"/>
          <w:szCs w:val="24"/>
          <w:highlight w:val="none"/>
          <w:lang w:val="zh-CN"/>
        </w:rPr>
        <w:t>根据《中华人民共和国民法典》、《中华人民共和国政府采购法》等相关法律法规之规定，按照平等、自愿、公平、诚实信用和绿色的原则，经</w:t>
      </w:r>
      <w:r>
        <w:rPr>
          <w:rFonts w:hint="eastAsia" w:ascii="仿宋" w:hAnsi="仿宋" w:eastAsia="仿宋" w:cs="仿宋"/>
          <w:color w:val="auto"/>
          <w:kern w:val="1"/>
          <w:sz w:val="24"/>
          <w:szCs w:val="24"/>
          <w:highlight w:val="none"/>
        </w:rPr>
        <w:t>（采购人）</w:t>
      </w:r>
      <w:r>
        <w:rPr>
          <w:rFonts w:hint="eastAsia" w:ascii="仿宋" w:hAnsi="仿宋" w:eastAsia="仿宋" w:cs="仿宋"/>
          <w:color w:val="auto"/>
          <w:kern w:val="1"/>
          <w:sz w:val="24"/>
          <w:szCs w:val="24"/>
          <w:highlight w:val="none"/>
          <w:lang w:val="zh-CN"/>
        </w:rPr>
        <w:t>(以下简称：甲方)和</w:t>
      </w:r>
      <w:r>
        <w:rPr>
          <w:rFonts w:hint="eastAsia" w:ascii="仿宋" w:hAnsi="仿宋" w:eastAsia="仿宋" w:cs="仿宋"/>
          <w:color w:val="auto"/>
          <w:kern w:val="1"/>
          <w:sz w:val="24"/>
          <w:szCs w:val="24"/>
          <w:highlight w:val="none"/>
        </w:rPr>
        <w:t xml:space="preserve">   （中标供应商名称）   </w:t>
      </w:r>
      <w:r>
        <w:rPr>
          <w:rFonts w:hint="eastAsia" w:ascii="仿宋" w:hAnsi="仿宋" w:eastAsia="仿宋" w:cs="仿宋"/>
          <w:color w:val="auto"/>
          <w:kern w:val="1"/>
          <w:sz w:val="24"/>
          <w:szCs w:val="24"/>
          <w:highlight w:val="none"/>
          <w:lang w:val="zh-CN"/>
        </w:rPr>
        <w:t>(以下简称：乙方)协商一致，约定以下合同</w:t>
      </w:r>
      <w:r>
        <w:rPr>
          <w:rFonts w:hint="eastAsia" w:ascii="仿宋" w:hAnsi="仿宋" w:eastAsia="仿宋" w:cs="仿宋"/>
          <w:color w:val="auto"/>
          <w:kern w:val="1"/>
          <w:sz w:val="24"/>
          <w:szCs w:val="24"/>
          <w:highlight w:val="none"/>
        </w:rPr>
        <w:t>条款，以兹共同遵守、全面履行。</w:t>
      </w:r>
    </w:p>
    <w:p>
      <w:pPr>
        <w:spacing w:line="32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一、服务内容                              </w:t>
      </w:r>
    </w:p>
    <w:p>
      <w:pPr>
        <w:pStyle w:val="36"/>
        <w:snapToGrid w:val="0"/>
        <w:spacing w:line="32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kern w:val="1"/>
          <w:sz w:val="24"/>
          <w:szCs w:val="24"/>
          <w:highlight w:val="none"/>
        </w:rPr>
        <w:t>按第三章采购内容及要求确定。</w:t>
      </w:r>
    </w:p>
    <w:p>
      <w:pPr>
        <w:pStyle w:val="16"/>
        <w:autoSpaceDE/>
        <w:autoSpaceDN/>
        <w:adjustRightInd/>
        <w:rPr>
          <w:rFonts w:ascii="仿宋" w:hAnsi="仿宋" w:eastAsia="仿宋" w:cs="仿宋"/>
          <w:b/>
          <w:color w:val="auto"/>
          <w:szCs w:val="24"/>
          <w:highlight w:val="none"/>
        </w:rPr>
      </w:pPr>
      <w:r>
        <w:rPr>
          <w:rFonts w:hint="eastAsia" w:ascii="仿宋" w:hAnsi="仿宋" w:eastAsia="仿宋" w:cs="仿宋"/>
          <w:b/>
          <w:color w:val="auto"/>
          <w:szCs w:val="24"/>
          <w:highlight w:val="none"/>
        </w:rPr>
        <w:t>二、合同金额</w:t>
      </w:r>
    </w:p>
    <w:p>
      <w:pPr>
        <w:pStyle w:val="45"/>
        <w:ind w:left="0" w:leftChars="0" w:firstLine="480"/>
        <w:rPr>
          <w:rFonts w:ascii="仿宋" w:hAnsi="仿宋" w:eastAsia="仿宋" w:cs="仿宋"/>
          <w:color w:val="auto"/>
          <w:sz w:val="24"/>
          <w:highlight w:val="none"/>
        </w:rPr>
      </w:pPr>
      <w:r>
        <w:rPr>
          <w:rFonts w:hint="eastAsia" w:ascii="仿宋" w:hAnsi="仿宋" w:eastAsia="仿宋" w:cs="仿宋"/>
          <w:color w:val="auto"/>
          <w:sz w:val="24"/>
          <w:highlight w:val="none"/>
        </w:rPr>
        <w:t>本合同金额为人民币（大写）：元整；（￥元）。（包括项目建设中系统设计、开发、实施、以及相应的软件系统供货、安装调试、系统集成、项目验收、技术培训和质保期内的运行维护、税金等一切费用。）</w:t>
      </w:r>
    </w:p>
    <w:p>
      <w:pPr>
        <w:spacing w:line="36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三、技术资料</w:t>
      </w:r>
    </w:p>
    <w:p>
      <w:pPr>
        <w:pStyle w:val="36"/>
        <w:snapToGrid w:val="0"/>
        <w:spacing w:line="30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乙方应按采购文件规定的时间向甲方提供有关服务方案。</w:t>
      </w:r>
    </w:p>
    <w:p>
      <w:pPr>
        <w:pStyle w:val="36"/>
        <w:snapToGrid w:val="0"/>
        <w:spacing w:line="300" w:lineRule="exact"/>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四、知识产权</w:t>
      </w:r>
    </w:p>
    <w:p>
      <w:pPr>
        <w:pStyle w:val="36"/>
        <w:snapToGrid w:val="0"/>
        <w:spacing w:line="300" w:lineRule="exact"/>
        <w:ind w:firstLine="480" w:firstLineChars="200"/>
        <w:rPr>
          <w:rFonts w:ascii="仿宋" w:hAnsi="仿宋" w:eastAsia="仿宋" w:cs="仿宋"/>
          <w:b/>
          <w:color w:val="auto"/>
          <w:sz w:val="24"/>
          <w:szCs w:val="24"/>
          <w:highlight w:val="none"/>
        </w:rPr>
      </w:pPr>
      <w:r>
        <w:rPr>
          <w:rFonts w:hint="eastAsia" w:ascii="仿宋" w:hAnsi="仿宋" w:eastAsia="仿宋" w:cs="仿宋"/>
          <w:color w:val="auto"/>
          <w:sz w:val="24"/>
          <w:szCs w:val="24"/>
          <w:highlight w:val="none"/>
        </w:rPr>
        <w:t>本项目开发过程中产生的程序代码、数据库设计等知识产权归甲方所有，乙方应保证提供服务过程中不会侵犯任何第三方的知识产权。</w:t>
      </w:r>
    </w:p>
    <w:p>
      <w:pPr>
        <w:snapToGrid w:val="0"/>
        <w:spacing w:line="360" w:lineRule="exact"/>
        <w:rPr>
          <w:rFonts w:ascii="仿宋" w:hAnsi="仿宋" w:eastAsia="仿宋" w:cs="仿宋"/>
          <w:b/>
          <w:bCs/>
          <w:color w:val="auto"/>
          <w:sz w:val="24"/>
          <w:highlight w:val="none"/>
        </w:rPr>
      </w:pPr>
      <w:r>
        <w:rPr>
          <w:rFonts w:hint="eastAsia" w:ascii="仿宋" w:hAnsi="仿宋" w:eastAsia="仿宋" w:cs="仿宋"/>
          <w:b/>
          <w:color w:val="auto"/>
          <w:sz w:val="24"/>
          <w:highlight w:val="none"/>
        </w:rPr>
        <w:t>五、履约保证金</w:t>
      </w:r>
    </w:p>
    <w:p>
      <w:pPr>
        <w:pStyle w:val="36"/>
        <w:snapToGrid w:val="0"/>
        <w:spacing w:line="30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r>
        <w:rPr>
          <w:rFonts w:hint="eastAsia" w:ascii="仿宋" w:hAnsi="仿宋" w:eastAsia="仿宋" w:cs="仿宋"/>
          <w:color w:val="auto"/>
          <w:kern w:val="0"/>
          <w:sz w:val="24"/>
          <w:szCs w:val="24"/>
          <w:highlight w:val="none"/>
        </w:rPr>
        <w:t>交纳人民币元（合同金额的</w:t>
      </w: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%）作为本合同的履约保证金，项目经验收合格，无服务质量问题，1个月内无息退还。</w:t>
      </w:r>
    </w:p>
    <w:p>
      <w:pPr>
        <w:snapToGrid w:val="0"/>
        <w:spacing w:line="30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六、转包或分包</w:t>
      </w:r>
    </w:p>
    <w:p>
      <w:pPr>
        <w:snapToGrid w:val="0"/>
        <w:spacing w:line="36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1.本合同范围的采购内容，应由乙方直接供应，不得转让他人供应；</w:t>
      </w:r>
    </w:p>
    <w:p>
      <w:pPr>
        <w:spacing w:line="36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得到甲方书面同意，乙方可以将合同项下的非主体、非关键性工作分包给他人完成，接受分包的人应当具备相应的资格条件，并不得再次分包，分包后不能解除乙方履行本合同的责任和义务，接受分包的人与乙方共同对甲方连带承担合同的责任和义务。</w:t>
      </w:r>
    </w:p>
    <w:p>
      <w:pPr>
        <w:spacing w:line="36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3.如有转让和未经甲方同意的分包行为，甲方有权解除合同，没收履约保证金并追究乙方的违约责任。</w:t>
      </w:r>
    </w:p>
    <w:p>
      <w:pPr>
        <w:snapToGrid w:val="0"/>
        <w:spacing w:line="3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七、服务质量保证期</w:t>
      </w:r>
    </w:p>
    <w:p>
      <w:pPr>
        <w:snapToGrid w:val="0"/>
        <w:spacing w:line="3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服务质量保证期</w:t>
      </w:r>
      <w:r>
        <w:rPr>
          <w:rFonts w:hint="eastAsia" w:ascii="仿宋" w:hAnsi="仿宋" w:eastAsia="仿宋" w:cs="仿宋"/>
          <w:b/>
          <w:color w:val="auto"/>
          <w:sz w:val="24"/>
          <w:highlight w:val="none"/>
          <w:u w:val="single"/>
        </w:rPr>
        <w:t>至少2年</w:t>
      </w:r>
      <w:r>
        <w:rPr>
          <w:rFonts w:hint="eastAsia" w:ascii="仿宋" w:hAnsi="仿宋" w:eastAsia="仿宋" w:cs="仿宋"/>
          <w:color w:val="auto"/>
          <w:sz w:val="24"/>
          <w:highlight w:val="none"/>
        </w:rPr>
        <w:t>（验收合格之日起计）。</w:t>
      </w:r>
    </w:p>
    <w:p>
      <w:pPr>
        <w:pStyle w:val="36"/>
        <w:snapToGrid w:val="0"/>
        <w:spacing w:line="300" w:lineRule="exact"/>
        <w:ind w:firstLine="482" w:firstLineChars="2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八、合同履行时间、履行方式及履行地点</w:t>
      </w:r>
    </w:p>
    <w:p>
      <w:pPr>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1.</w:t>
      </w:r>
      <w:r>
        <w:rPr>
          <w:rFonts w:hint="eastAsia" w:ascii="仿宋" w:hAnsi="仿宋" w:eastAsia="仿宋" w:cs="仿宋"/>
          <w:color w:val="auto"/>
          <w:sz w:val="24"/>
          <w:highlight w:val="none"/>
        </w:rPr>
        <w:t>履行时间</w:t>
      </w:r>
      <w:r>
        <w:rPr>
          <w:rFonts w:hint="eastAsia" w:ascii="仿宋" w:hAnsi="仿宋" w:eastAsia="仿宋" w:cs="仿宋"/>
          <w:bCs/>
          <w:color w:val="auto"/>
          <w:sz w:val="24"/>
          <w:highlight w:val="none"/>
        </w:rPr>
        <w:t>：按甲方要求。</w:t>
      </w:r>
    </w:p>
    <w:p>
      <w:pPr>
        <w:pStyle w:val="36"/>
        <w:snapToGrid w:val="0"/>
        <w:spacing w:line="300" w:lineRule="exact"/>
        <w:ind w:firstLine="480" w:firstLineChars="20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w:t>
      </w:r>
      <w:r>
        <w:rPr>
          <w:rFonts w:hint="eastAsia" w:ascii="仿宋" w:hAnsi="仿宋" w:eastAsia="仿宋" w:cs="仿宋"/>
          <w:color w:val="auto"/>
          <w:sz w:val="24"/>
          <w:szCs w:val="24"/>
          <w:highlight w:val="none"/>
        </w:rPr>
        <w:t>履行方式</w:t>
      </w:r>
      <w:r>
        <w:rPr>
          <w:rFonts w:hint="eastAsia" w:ascii="仿宋" w:hAnsi="仿宋" w:eastAsia="仿宋" w:cs="仿宋"/>
          <w:bCs/>
          <w:color w:val="auto"/>
          <w:sz w:val="24"/>
          <w:szCs w:val="24"/>
          <w:highlight w:val="none"/>
        </w:rPr>
        <w:t>：按甲方要求。</w:t>
      </w:r>
    </w:p>
    <w:p>
      <w:pPr>
        <w:widowControl/>
        <w:spacing w:line="30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bCs/>
          <w:color w:val="auto"/>
          <w:sz w:val="24"/>
          <w:highlight w:val="none"/>
        </w:rPr>
        <w:t>3.</w:t>
      </w:r>
      <w:r>
        <w:rPr>
          <w:rFonts w:hint="eastAsia" w:ascii="仿宋" w:hAnsi="仿宋" w:eastAsia="仿宋" w:cs="仿宋"/>
          <w:color w:val="auto"/>
          <w:sz w:val="24"/>
          <w:highlight w:val="none"/>
        </w:rPr>
        <w:t>履行地点</w:t>
      </w:r>
      <w:r>
        <w:rPr>
          <w:rFonts w:hint="eastAsia" w:ascii="仿宋" w:hAnsi="仿宋" w:eastAsia="仿宋" w:cs="仿宋"/>
          <w:bCs/>
          <w:color w:val="auto"/>
          <w:sz w:val="24"/>
          <w:highlight w:val="none"/>
        </w:rPr>
        <w:t>：按甲方指定地点。</w:t>
      </w:r>
    </w:p>
    <w:p>
      <w:pPr>
        <w:pStyle w:val="36"/>
        <w:snapToGrid w:val="0"/>
        <w:spacing w:line="300" w:lineRule="exact"/>
        <w:ind w:firstLine="482" w:firstLineChars="2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九、款项支付</w:t>
      </w:r>
    </w:p>
    <w:p>
      <w:pPr>
        <w:widowControl/>
        <w:spacing w:line="300" w:lineRule="exact"/>
        <w:ind w:firstLine="480" w:firstLineChars="200"/>
        <w:jc w:val="left"/>
        <w:rPr>
          <w:rFonts w:ascii="仿宋" w:hAnsi="仿宋" w:eastAsia="仿宋" w:cs="仿宋"/>
          <w:bCs/>
          <w:color w:val="auto"/>
          <w:sz w:val="24"/>
          <w:highlight w:val="none"/>
        </w:rPr>
      </w:pPr>
      <w:r>
        <w:rPr>
          <w:rFonts w:hint="eastAsia" w:ascii="仿宋" w:hAnsi="仿宋" w:eastAsia="仿宋" w:cs="仿宋"/>
          <w:bCs/>
          <w:color w:val="auto"/>
          <w:sz w:val="24"/>
          <w:highlight w:val="none"/>
        </w:rPr>
        <w:t xml:space="preserve">付款方式: </w:t>
      </w:r>
    </w:p>
    <w:p>
      <w:pPr>
        <w:snapToGrid w:val="0"/>
        <w:spacing w:line="300" w:lineRule="exact"/>
        <w:ind w:firstLine="480" w:firstLineChars="200"/>
        <w:rPr>
          <w:rFonts w:ascii="仿宋" w:hAnsi="仿宋" w:eastAsia="仿宋" w:cs="仿宋"/>
          <w:bCs/>
          <w:color w:val="auto"/>
          <w:sz w:val="24"/>
          <w:highlight w:val="none"/>
        </w:rPr>
      </w:pPr>
      <w:r>
        <w:rPr>
          <w:rFonts w:hint="eastAsia" w:ascii="仿宋" w:hAnsi="仿宋" w:eastAsia="仿宋" w:cs="仿宋"/>
          <w:color w:val="auto"/>
          <w:sz w:val="24"/>
          <w:highlight w:val="none"/>
        </w:rPr>
        <w:t>乙方</w:t>
      </w:r>
      <w:r>
        <w:rPr>
          <w:rFonts w:hint="eastAsia" w:ascii="仿宋" w:hAnsi="仿宋" w:eastAsia="仿宋" w:cs="仿宋"/>
          <w:bCs/>
          <w:color w:val="auto"/>
          <w:sz w:val="24"/>
          <w:highlight w:val="none"/>
        </w:rPr>
        <w:t>收款银行：</w:t>
      </w:r>
    </w:p>
    <w:p>
      <w:pPr>
        <w:snapToGrid w:val="0"/>
        <w:spacing w:line="3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乙方收款账号：</w:t>
      </w:r>
    </w:p>
    <w:p>
      <w:pPr>
        <w:snapToGrid w:val="0"/>
        <w:spacing w:line="3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十、税费</w:t>
      </w:r>
    </w:p>
    <w:p>
      <w:pPr>
        <w:snapToGrid w:val="0"/>
        <w:spacing w:line="3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本合同执行中相关的一切税费均由乙方承担。</w:t>
      </w:r>
    </w:p>
    <w:p>
      <w:pPr>
        <w:pStyle w:val="36"/>
        <w:snapToGrid w:val="0"/>
        <w:spacing w:line="300" w:lineRule="exact"/>
        <w:ind w:firstLine="482" w:firstLineChars="200"/>
        <w:rPr>
          <w:rFonts w:ascii="仿宋" w:hAnsi="仿宋" w:eastAsia="仿宋" w:cs="仿宋"/>
          <w:color w:val="auto"/>
          <w:sz w:val="24"/>
          <w:szCs w:val="24"/>
          <w:highlight w:val="none"/>
        </w:rPr>
      </w:pPr>
      <w:r>
        <w:rPr>
          <w:rFonts w:hint="eastAsia" w:ascii="仿宋" w:hAnsi="仿宋" w:eastAsia="仿宋" w:cs="仿宋"/>
          <w:b/>
          <w:color w:val="auto"/>
          <w:sz w:val="24"/>
          <w:szCs w:val="24"/>
          <w:highlight w:val="none"/>
        </w:rPr>
        <w:t>十一、质量保证及后续服务</w:t>
      </w:r>
    </w:p>
    <w:p>
      <w:pPr>
        <w:snapToGrid w:val="0"/>
        <w:spacing w:line="3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 乙方应按招标文件规定向甲方提供服务。</w:t>
      </w:r>
    </w:p>
    <w:p>
      <w:pPr>
        <w:snapToGrid w:val="0"/>
        <w:spacing w:line="300" w:lineRule="exact"/>
        <w:ind w:left="239" w:leftChars="114" w:firstLine="240" w:firstLineChars="100"/>
        <w:rPr>
          <w:rFonts w:ascii="仿宋" w:hAnsi="仿宋" w:eastAsia="仿宋" w:cs="仿宋"/>
          <w:color w:val="auto"/>
          <w:sz w:val="24"/>
          <w:highlight w:val="none"/>
        </w:rPr>
      </w:pPr>
      <w:r>
        <w:rPr>
          <w:rFonts w:hint="eastAsia" w:ascii="仿宋" w:hAnsi="仿宋" w:eastAsia="仿宋" w:cs="仿宋"/>
          <w:color w:val="auto"/>
          <w:sz w:val="24"/>
          <w:highlight w:val="none"/>
        </w:rPr>
        <w:t>2. 乙方提供的服务成果在服务质量保证期内发生问题，乙方应负责免费提供后</w:t>
      </w:r>
    </w:p>
    <w:p>
      <w:pPr>
        <w:snapToGrid w:val="0"/>
        <w:spacing w:line="300" w:lineRule="exact"/>
        <w:rPr>
          <w:rFonts w:ascii="仿宋" w:hAnsi="仿宋" w:eastAsia="仿宋" w:cs="仿宋"/>
          <w:color w:val="auto"/>
          <w:sz w:val="24"/>
          <w:highlight w:val="none"/>
        </w:rPr>
      </w:pPr>
      <w:r>
        <w:rPr>
          <w:rFonts w:hint="eastAsia" w:ascii="仿宋" w:hAnsi="仿宋" w:eastAsia="仿宋" w:cs="仿宋"/>
          <w:color w:val="auto"/>
          <w:sz w:val="24"/>
          <w:highlight w:val="none"/>
        </w:rPr>
        <w:t>续服务。对达不到要求者，根据实际情况，经双方协商，可按以下办法处理：</w:t>
      </w:r>
    </w:p>
    <w:p>
      <w:pPr>
        <w:snapToGrid w:val="0"/>
        <w:spacing w:line="3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⑴重做：由乙方承担所发生的全部费用。</w:t>
      </w:r>
    </w:p>
    <w:p>
      <w:pPr>
        <w:snapToGrid w:val="0"/>
        <w:spacing w:line="3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⑵贬值处理：由甲乙双方合议定价。</w:t>
      </w:r>
    </w:p>
    <w:p>
      <w:pPr>
        <w:snapToGrid w:val="0"/>
        <w:spacing w:line="3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⑶解除合同。</w:t>
      </w:r>
    </w:p>
    <w:p>
      <w:pPr>
        <w:snapToGrid w:val="0"/>
        <w:spacing w:line="3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3.如在使用过程中发生问题，乙方在接到甲方通知后在</w:t>
      </w:r>
      <w:r>
        <w:rPr>
          <w:rFonts w:hint="eastAsia" w:ascii="仿宋" w:hAnsi="仿宋" w:eastAsia="仿宋" w:cs="仿宋"/>
          <w:color w:val="auto"/>
          <w:sz w:val="24"/>
          <w:highlight w:val="none"/>
          <w:u w:val="single"/>
        </w:rPr>
        <w:t>2</w:t>
      </w:r>
      <w:r>
        <w:rPr>
          <w:rFonts w:hint="eastAsia" w:ascii="仿宋" w:hAnsi="仿宋" w:eastAsia="仿宋" w:cs="仿宋"/>
          <w:color w:val="auto"/>
          <w:sz w:val="24"/>
          <w:highlight w:val="none"/>
        </w:rPr>
        <w:t>小时内对相关进行指导。</w:t>
      </w:r>
    </w:p>
    <w:p>
      <w:pPr>
        <w:snapToGrid w:val="0"/>
        <w:spacing w:line="3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4.在服务质量保证期内，乙方应对出现的质量及安全问题负责处理解决并承担一切费用。</w:t>
      </w:r>
    </w:p>
    <w:p>
      <w:pPr>
        <w:pStyle w:val="36"/>
        <w:snapToGrid w:val="0"/>
        <w:spacing w:line="300" w:lineRule="exact"/>
        <w:ind w:firstLine="482" w:firstLineChars="2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十二、违约责任</w:t>
      </w:r>
    </w:p>
    <w:p>
      <w:pPr>
        <w:snapToGrid w:val="0"/>
        <w:spacing w:line="3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1.甲方无正当理由拒绝接受服务的，甲方向乙方偿付合同款项百分之五作为违约金。</w:t>
      </w:r>
    </w:p>
    <w:p>
      <w:pPr>
        <w:snapToGrid w:val="0"/>
        <w:spacing w:line="3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2.甲方无故逾期验收和办理款项支付手续的,甲方应按逾期付款总额每日万分之五向乙方支付违约金。</w:t>
      </w:r>
    </w:p>
    <w:p>
      <w:pPr>
        <w:snapToGrid w:val="0"/>
        <w:spacing w:line="3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3.乙方未能如期提供服务的，每日向甲方支付合同款项的万分之五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 </w:t>
      </w:r>
    </w:p>
    <w:p>
      <w:pPr>
        <w:pStyle w:val="36"/>
        <w:snapToGrid w:val="0"/>
        <w:spacing w:line="300" w:lineRule="exact"/>
        <w:ind w:firstLine="482" w:firstLineChars="2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十三、不可抗力事件处理</w:t>
      </w:r>
    </w:p>
    <w:p>
      <w:pPr>
        <w:snapToGrid w:val="0"/>
        <w:spacing w:line="3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1.在合同有效期内，任何一方因不可抗力事件导致不能履行合同，则合同履行期可延长，其延长期与不可抗力影响期相同。</w:t>
      </w:r>
    </w:p>
    <w:p>
      <w:pPr>
        <w:snapToGrid w:val="0"/>
        <w:spacing w:line="3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2.不可抗力事件发生后，应立即通知对方，并寄送有关权威机构出具的证明。</w:t>
      </w:r>
    </w:p>
    <w:p>
      <w:pPr>
        <w:snapToGrid w:val="0"/>
        <w:spacing w:line="3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3.不可抗力事件延续120天以上，双方应通过友好协商，确定是否继续履行合同。</w:t>
      </w:r>
    </w:p>
    <w:p>
      <w:pPr>
        <w:pStyle w:val="36"/>
        <w:snapToGrid w:val="0"/>
        <w:spacing w:line="300" w:lineRule="exact"/>
        <w:ind w:firstLine="482" w:firstLineChars="2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十四、诉讼</w:t>
      </w:r>
    </w:p>
    <w:p>
      <w:pPr>
        <w:snapToGrid w:val="0"/>
        <w:spacing w:line="3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双方在执行合同中所发生的一切争议，应通过协商解决。如协商不成，可向甲方所在地法院起诉。</w:t>
      </w:r>
    </w:p>
    <w:p>
      <w:pPr>
        <w:pStyle w:val="36"/>
        <w:snapToGrid w:val="0"/>
        <w:spacing w:line="300" w:lineRule="exact"/>
        <w:ind w:firstLine="482" w:firstLineChars="2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十五、合同生效及其它</w:t>
      </w:r>
    </w:p>
    <w:p>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1．合同经双方法定代表人或授权代表签字、加盖单位公章并经鉴证方鉴证,财政局备案（备案前必须公示）后生效。</w:t>
      </w:r>
    </w:p>
    <w:p>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2.合同执行中涉及采购资金和采购内容修改或补充的，须经财政局审批，并签书面补充协议报市财政局备案，方可作为主合同不可分割的一部分。</w:t>
      </w:r>
    </w:p>
    <w:p>
      <w:pPr>
        <w:pStyle w:val="36"/>
        <w:snapToGrid w:val="0"/>
        <w:spacing w:line="36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3．本合同未尽事宜，遵照《中华人民共和国政府采购法》《中华人民共和国民法典》有关条文进行解释执行。</w:t>
      </w:r>
    </w:p>
    <w:p>
      <w:pPr>
        <w:pStyle w:val="36"/>
        <w:snapToGrid w:val="0"/>
        <w:spacing w:line="300" w:lineRule="exact"/>
        <w:ind w:firstLine="480" w:firstLineChars="200"/>
        <w:rPr>
          <w:rStyle w:val="965"/>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4．本合同正本一式五份，具有同等法律效力，甲方执二份、乙方执二份、代理机构执一份</w:t>
      </w:r>
      <w:r>
        <w:rPr>
          <w:rStyle w:val="965"/>
          <w:rFonts w:hint="eastAsia" w:ascii="仿宋" w:hAnsi="仿宋" w:eastAsia="仿宋" w:cs="仿宋"/>
          <w:color w:val="auto"/>
          <w:sz w:val="24"/>
          <w:szCs w:val="24"/>
          <w:highlight w:val="none"/>
        </w:rPr>
        <w:t>。</w:t>
      </w:r>
    </w:p>
    <w:p>
      <w:pPr>
        <w:pStyle w:val="36"/>
        <w:snapToGrid w:val="0"/>
        <w:spacing w:line="300" w:lineRule="exact"/>
        <w:ind w:firstLine="480" w:firstLineChars="200"/>
        <w:rPr>
          <w:rFonts w:ascii="仿宋" w:hAnsi="仿宋" w:eastAsia="仿宋" w:cs="仿宋"/>
          <w:color w:val="auto"/>
          <w:sz w:val="24"/>
          <w:szCs w:val="24"/>
          <w:highlight w:val="none"/>
        </w:rPr>
      </w:pPr>
    </w:p>
    <w:p>
      <w:pPr>
        <w:tabs>
          <w:tab w:val="left" w:pos="10440"/>
        </w:tabs>
        <w:spacing w:line="300" w:lineRule="exact"/>
        <w:ind w:firstLine="480" w:firstLineChars="200"/>
        <w:rPr>
          <w:rFonts w:ascii="仿宋" w:hAnsi="仿宋" w:eastAsia="仿宋" w:cs="仿宋"/>
          <w:color w:val="auto"/>
          <w:sz w:val="24"/>
          <w:highlight w:val="none"/>
        </w:rPr>
      </w:pPr>
    </w:p>
    <w:p>
      <w:pPr>
        <w:tabs>
          <w:tab w:val="left" w:pos="10440"/>
        </w:tabs>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lang w:eastAsia="zh-CN"/>
        </w:rPr>
        <w:t>江山市卫生健康局</w:t>
      </w:r>
      <w:r>
        <w:rPr>
          <w:rFonts w:hint="eastAsia" w:ascii="仿宋" w:hAnsi="仿宋" w:eastAsia="仿宋" w:cs="仿宋"/>
          <w:color w:val="auto"/>
          <w:sz w:val="24"/>
          <w:highlight w:val="none"/>
        </w:rPr>
        <w:t xml:space="preserve">              乙方： </w:t>
      </w:r>
    </w:p>
    <w:p>
      <w:pPr>
        <w:tabs>
          <w:tab w:val="left" w:pos="10440"/>
        </w:tabs>
        <w:spacing w:line="400" w:lineRule="exact"/>
        <w:ind w:left="5519" w:leftChars="228" w:hanging="5040" w:hangingChars="2100"/>
        <w:rPr>
          <w:rFonts w:ascii="仿宋" w:hAnsi="仿宋" w:eastAsia="仿宋" w:cs="仿宋"/>
          <w:color w:val="auto"/>
          <w:sz w:val="24"/>
          <w:highlight w:val="none"/>
        </w:rPr>
      </w:pPr>
      <w:r>
        <w:rPr>
          <w:rFonts w:hint="eastAsia" w:ascii="仿宋" w:hAnsi="仿宋" w:eastAsia="仿宋" w:cs="仿宋"/>
          <w:color w:val="auto"/>
          <w:sz w:val="24"/>
          <w:highlight w:val="none"/>
        </w:rPr>
        <w:t xml:space="preserve">地址：                          地址： </w:t>
      </w:r>
    </w:p>
    <w:p>
      <w:pPr>
        <w:tabs>
          <w:tab w:val="left" w:pos="10440"/>
        </w:tabs>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法定（授权）代表人：                法定（授权）代表人：</w:t>
      </w:r>
    </w:p>
    <w:p>
      <w:pPr>
        <w:tabs>
          <w:tab w:val="left" w:pos="10440"/>
        </w:tabs>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联系电话：                          联系电话：</w:t>
      </w:r>
    </w:p>
    <w:p>
      <w:pPr>
        <w:tabs>
          <w:tab w:val="left" w:pos="10440"/>
        </w:tabs>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签字日期：    年   月   日          签字日期：    年   月   日</w:t>
      </w:r>
    </w:p>
    <w:p>
      <w:pPr>
        <w:tabs>
          <w:tab w:val="left" w:pos="10440"/>
        </w:tabs>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合同鉴证方:</w:t>
      </w:r>
    </w:p>
    <w:p>
      <w:pPr>
        <w:tabs>
          <w:tab w:val="left" w:pos="10440"/>
        </w:tabs>
        <w:spacing w:line="400" w:lineRule="exact"/>
        <w:ind w:left="5519" w:leftChars="228" w:hanging="5040" w:hangingChars="2100"/>
        <w:jc w:val="left"/>
        <w:rPr>
          <w:rFonts w:ascii="仿宋" w:hAnsi="仿宋" w:eastAsia="仿宋" w:cs="仿宋"/>
          <w:color w:val="auto"/>
          <w:sz w:val="24"/>
          <w:highlight w:val="none"/>
        </w:rPr>
      </w:pPr>
      <w:r>
        <w:rPr>
          <w:rFonts w:hint="eastAsia" w:ascii="仿宋" w:hAnsi="仿宋" w:eastAsia="仿宋" w:cs="仿宋"/>
          <w:color w:val="auto"/>
          <w:sz w:val="24"/>
          <w:highlight w:val="none"/>
        </w:rPr>
        <w:t>经办人:</w:t>
      </w:r>
    </w:p>
    <w:p>
      <w:pPr>
        <w:tabs>
          <w:tab w:val="left" w:pos="10440"/>
        </w:tabs>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鉴证日期：年   月   日</w:t>
      </w:r>
    </w:p>
    <w:p>
      <w:pPr>
        <w:tabs>
          <w:tab w:val="left" w:pos="10440"/>
        </w:tabs>
        <w:spacing w:line="400" w:lineRule="exact"/>
        <w:ind w:firstLine="480" w:firstLineChars="200"/>
        <w:rPr>
          <w:rFonts w:ascii="仿宋" w:hAnsi="仿宋" w:eastAsia="仿宋" w:cs="仿宋"/>
          <w:color w:val="auto"/>
          <w:sz w:val="24"/>
          <w:highlight w:val="none"/>
        </w:rPr>
      </w:pPr>
    </w:p>
    <w:p>
      <w:pPr>
        <w:tabs>
          <w:tab w:val="left" w:pos="10440"/>
        </w:tabs>
        <w:spacing w:line="400" w:lineRule="exact"/>
        <w:ind w:firstLine="480" w:firstLineChars="200"/>
        <w:rPr>
          <w:rFonts w:ascii="仿宋" w:hAnsi="仿宋" w:eastAsia="仿宋" w:cs="仿宋"/>
          <w:color w:val="auto"/>
          <w:sz w:val="24"/>
          <w:highlight w:val="none"/>
        </w:rPr>
      </w:pPr>
    </w:p>
    <w:p>
      <w:pPr>
        <w:pStyle w:val="16"/>
        <w:rPr>
          <w:rFonts w:ascii="仿宋" w:hAnsi="仿宋" w:eastAsia="仿宋" w:cs="仿宋"/>
          <w:color w:val="auto"/>
          <w:szCs w:val="24"/>
          <w:highlight w:val="none"/>
        </w:rPr>
      </w:pPr>
    </w:p>
    <w:p>
      <w:pPr>
        <w:spacing w:line="560" w:lineRule="exact"/>
        <w:ind w:firstLine="480" w:firstLineChars="200"/>
        <w:outlineLvl w:val="0"/>
        <w:rPr>
          <w:rFonts w:ascii="仿宋" w:hAnsi="仿宋" w:eastAsia="仿宋" w:cs="仿宋"/>
          <w:color w:val="auto"/>
          <w:sz w:val="24"/>
          <w:highlight w:val="none"/>
        </w:rPr>
      </w:pPr>
    </w:p>
    <w:p>
      <w:pPr>
        <w:pStyle w:val="15"/>
        <w:rPr>
          <w:rFonts w:ascii="仿宋" w:hAnsi="仿宋" w:eastAsia="仿宋" w:cs="仿宋"/>
          <w:color w:val="auto"/>
          <w:szCs w:val="24"/>
          <w:highlight w:val="none"/>
        </w:rPr>
      </w:pPr>
    </w:p>
    <w:p>
      <w:pPr>
        <w:pStyle w:val="17"/>
        <w:rPr>
          <w:rFonts w:ascii="仿宋" w:hAnsi="仿宋" w:eastAsia="仿宋" w:cs="仿宋"/>
          <w:color w:val="auto"/>
          <w:sz w:val="24"/>
          <w:highlight w:val="none"/>
        </w:rPr>
      </w:pPr>
    </w:p>
    <w:p>
      <w:pPr>
        <w:rPr>
          <w:rFonts w:ascii="仿宋" w:hAnsi="仿宋" w:eastAsia="仿宋" w:cs="仿宋"/>
          <w:color w:val="auto"/>
          <w:sz w:val="24"/>
          <w:highlight w:val="none"/>
        </w:rPr>
      </w:pPr>
    </w:p>
    <w:p>
      <w:pPr>
        <w:pStyle w:val="15"/>
        <w:rPr>
          <w:rFonts w:ascii="仿宋" w:hAnsi="仿宋" w:eastAsia="仿宋" w:cs="仿宋"/>
          <w:color w:val="auto"/>
          <w:szCs w:val="24"/>
          <w:highlight w:val="none"/>
        </w:rPr>
      </w:pPr>
    </w:p>
    <w:p>
      <w:pPr>
        <w:pStyle w:val="17"/>
        <w:rPr>
          <w:rFonts w:ascii="仿宋" w:hAnsi="仿宋" w:eastAsia="仿宋" w:cs="仿宋"/>
          <w:color w:val="auto"/>
          <w:sz w:val="24"/>
          <w:highlight w:val="none"/>
        </w:rPr>
      </w:pPr>
    </w:p>
    <w:p>
      <w:pPr>
        <w:pStyle w:val="15"/>
        <w:rPr>
          <w:rFonts w:ascii="仿宋" w:hAnsi="仿宋" w:eastAsia="仿宋" w:cs="仿宋"/>
          <w:color w:val="auto"/>
          <w:szCs w:val="24"/>
          <w:highlight w:val="none"/>
        </w:rPr>
      </w:pPr>
    </w:p>
    <w:p>
      <w:pPr>
        <w:spacing w:line="360" w:lineRule="auto"/>
        <w:ind w:left="-420" w:leftChars="-200" w:right="-420" w:rightChars="-200" w:firstLine="480" w:firstLineChars="200"/>
        <w:jc w:val="center"/>
        <w:outlineLvl w:val="0"/>
        <w:rPr>
          <w:rFonts w:ascii="仿宋" w:hAnsi="仿宋" w:eastAsia="仿宋" w:cs="仿宋"/>
          <w:color w:val="auto"/>
          <w:sz w:val="24"/>
          <w:highlight w:val="none"/>
        </w:rPr>
      </w:pPr>
    </w:p>
    <w:p>
      <w:pPr>
        <w:pStyle w:val="15"/>
        <w:rPr>
          <w:rFonts w:ascii="仿宋" w:hAnsi="仿宋" w:eastAsia="仿宋" w:cs="仿宋"/>
          <w:color w:val="auto"/>
          <w:szCs w:val="24"/>
          <w:highlight w:val="none"/>
        </w:rPr>
      </w:pPr>
    </w:p>
    <w:p>
      <w:pPr>
        <w:pStyle w:val="17"/>
        <w:rPr>
          <w:rFonts w:ascii="仿宋" w:hAnsi="仿宋" w:eastAsia="仿宋" w:cs="仿宋"/>
          <w:color w:val="auto"/>
          <w:sz w:val="24"/>
          <w:highlight w:val="none"/>
        </w:rPr>
      </w:pPr>
    </w:p>
    <w:p>
      <w:pPr>
        <w:rPr>
          <w:rFonts w:ascii="仿宋" w:hAnsi="仿宋" w:eastAsia="仿宋" w:cs="仿宋"/>
          <w:color w:val="auto"/>
          <w:sz w:val="24"/>
          <w:highlight w:val="none"/>
        </w:rPr>
      </w:pPr>
    </w:p>
    <w:p>
      <w:pPr>
        <w:pStyle w:val="15"/>
        <w:rPr>
          <w:rFonts w:ascii="仿宋" w:hAnsi="仿宋" w:eastAsia="仿宋" w:cs="仿宋"/>
          <w:color w:val="auto"/>
          <w:szCs w:val="24"/>
          <w:highlight w:val="none"/>
        </w:rPr>
      </w:pPr>
    </w:p>
    <w:p>
      <w:pPr>
        <w:pStyle w:val="17"/>
        <w:rPr>
          <w:rFonts w:ascii="仿宋" w:hAnsi="仿宋" w:eastAsia="仿宋" w:cs="仿宋"/>
          <w:color w:val="auto"/>
          <w:sz w:val="24"/>
          <w:highlight w:val="none"/>
        </w:rPr>
      </w:pPr>
    </w:p>
    <w:p>
      <w:pPr>
        <w:rPr>
          <w:rFonts w:ascii="仿宋" w:hAnsi="仿宋" w:eastAsia="仿宋" w:cs="仿宋"/>
          <w:color w:val="auto"/>
          <w:sz w:val="24"/>
          <w:highlight w:val="none"/>
        </w:rPr>
      </w:pPr>
    </w:p>
    <w:p>
      <w:pPr>
        <w:pStyle w:val="15"/>
        <w:rPr>
          <w:rFonts w:ascii="仿宋" w:hAnsi="仿宋" w:eastAsia="仿宋" w:cs="仿宋"/>
          <w:color w:val="auto"/>
          <w:szCs w:val="24"/>
          <w:highlight w:val="none"/>
        </w:rPr>
      </w:pPr>
    </w:p>
    <w:p>
      <w:pPr>
        <w:pStyle w:val="17"/>
        <w:rPr>
          <w:rFonts w:ascii="仿宋" w:hAnsi="仿宋" w:eastAsia="仿宋" w:cs="仿宋"/>
          <w:color w:val="auto"/>
          <w:sz w:val="24"/>
          <w:highlight w:val="none"/>
        </w:rPr>
      </w:pPr>
    </w:p>
    <w:p>
      <w:pPr>
        <w:rPr>
          <w:rFonts w:ascii="仿宋" w:hAnsi="仿宋" w:eastAsia="仿宋" w:cs="仿宋"/>
          <w:color w:val="auto"/>
          <w:sz w:val="24"/>
          <w:highlight w:val="none"/>
        </w:rPr>
      </w:pPr>
    </w:p>
    <w:p>
      <w:pPr>
        <w:pStyle w:val="15"/>
        <w:rPr>
          <w:rFonts w:ascii="仿宋" w:hAnsi="仿宋" w:eastAsia="仿宋" w:cs="仿宋"/>
          <w:color w:val="auto"/>
          <w:szCs w:val="24"/>
          <w:highlight w:val="none"/>
        </w:rPr>
      </w:pPr>
    </w:p>
    <w:p>
      <w:pPr>
        <w:pStyle w:val="17"/>
        <w:rPr>
          <w:rFonts w:ascii="仿宋" w:hAnsi="仿宋" w:eastAsia="仿宋" w:cs="仿宋"/>
          <w:color w:val="auto"/>
          <w:sz w:val="24"/>
          <w:highlight w:val="none"/>
        </w:rPr>
      </w:pPr>
    </w:p>
    <w:p>
      <w:pPr>
        <w:rPr>
          <w:rFonts w:ascii="仿宋" w:hAnsi="仿宋" w:eastAsia="仿宋" w:cs="仿宋"/>
          <w:color w:val="auto"/>
          <w:sz w:val="24"/>
          <w:highlight w:val="none"/>
        </w:rPr>
      </w:pPr>
    </w:p>
    <w:p>
      <w:pPr>
        <w:pStyle w:val="15"/>
        <w:rPr>
          <w:rFonts w:ascii="仿宋" w:hAnsi="仿宋" w:eastAsia="仿宋" w:cs="仿宋"/>
          <w:color w:val="auto"/>
          <w:szCs w:val="24"/>
          <w:highlight w:val="none"/>
        </w:rPr>
      </w:pPr>
    </w:p>
    <w:p>
      <w:pPr>
        <w:pStyle w:val="17"/>
        <w:rPr>
          <w:rFonts w:ascii="仿宋" w:hAnsi="仿宋" w:eastAsia="仿宋" w:cs="仿宋"/>
          <w:color w:val="auto"/>
          <w:sz w:val="24"/>
          <w:highlight w:val="none"/>
        </w:rPr>
      </w:pPr>
    </w:p>
    <w:p>
      <w:pPr>
        <w:rPr>
          <w:rFonts w:ascii="仿宋" w:hAnsi="仿宋" w:eastAsia="仿宋" w:cs="仿宋"/>
          <w:color w:val="auto"/>
          <w:sz w:val="24"/>
          <w:highlight w:val="none"/>
        </w:rPr>
      </w:pPr>
    </w:p>
    <w:p>
      <w:pPr>
        <w:pStyle w:val="15"/>
        <w:rPr>
          <w:rFonts w:ascii="仿宋" w:hAnsi="仿宋" w:eastAsia="仿宋" w:cs="仿宋"/>
          <w:color w:val="auto"/>
          <w:szCs w:val="24"/>
          <w:highlight w:val="none"/>
        </w:rPr>
      </w:pPr>
    </w:p>
    <w:p>
      <w:pPr>
        <w:pStyle w:val="17"/>
        <w:rPr>
          <w:rFonts w:ascii="仿宋" w:hAnsi="仿宋" w:eastAsia="仿宋" w:cs="仿宋"/>
          <w:color w:val="auto"/>
          <w:sz w:val="24"/>
          <w:highlight w:val="none"/>
        </w:rPr>
      </w:pPr>
    </w:p>
    <w:p>
      <w:pPr>
        <w:rPr>
          <w:rFonts w:ascii="仿宋" w:hAnsi="仿宋" w:eastAsia="仿宋" w:cs="仿宋"/>
          <w:color w:val="auto"/>
          <w:sz w:val="24"/>
          <w:highlight w:val="none"/>
        </w:rPr>
      </w:pPr>
    </w:p>
    <w:p>
      <w:pPr>
        <w:pStyle w:val="15"/>
        <w:rPr>
          <w:color w:val="auto"/>
          <w:highlight w:val="none"/>
        </w:rPr>
      </w:pPr>
    </w:p>
    <w:p>
      <w:pPr>
        <w:spacing w:line="360" w:lineRule="auto"/>
        <w:ind w:left="720" w:firstLine="482" w:firstLineChars="200"/>
        <w:outlineLvl w:val="0"/>
        <w:rPr>
          <w:rFonts w:ascii="仿宋" w:hAnsi="仿宋" w:eastAsia="仿宋" w:cs="仿宋"/>
          <w:b/>
          <w:color w:val="auto"/>
          <w:sz w:val="24"/>
          <w:highlight w:val="none"/>
        </w:rPr>
      </w:pPr>
      <w:bookmarkStart w:id="428" w:name="_Toc1098"/>
      <w:bookmarkStart w:id="429" w:name="_Toc11460"/>
      <w:r>
        <w:rPr>
          <w:rFonts w:hint="eastAsia" w:ascii="仿宋" w:hAnsi="仿宋" w:eastAsia="仿宋" w:cs="仿宋"/>
          <w:b/>
          <w:color w:val="auto"/>
          <w:sz w:val="24"/>
          <w:highlight w:val="none"/>
        </w:rPr>
        <w:t>第六部分</w:t>
      </w:r>
      <w:bookmarkEnd w:id="424"/>
      <w:bookmarkEnd w:id="425"/>
      <w:r>
        <w:rPr>
          <w:rFonts w:hint="eastAsia" w:ascii="仿宋" w:hAnsi="仿宋" w:eastAsia="仿宋" w:cs="仿宋"/>
          <w:b/>
          <w:color w:val="auto"/>
          <w:sz w:val="24"/>
          <w:highlight w:val="none"/>
        </w:rPr>
        <w:t>应提交的有关格式范例</w:t>
      </w:r>
      <w:bookmarkEnd w:id="428"/>
      <w:bookmarkEnd w:id="429"/>
    </w:p>
    <w:p>
      <w:pPr>
        <w:spacing w:line="360" w:lineRule="auto"/>
        <w:jc w:val="center"/>
        <w:outlineLvl w:val="0"/>
        <w:rPr>
          <w:rFonts w:ascii="仿宋" w:hAnsi="仿宋" w:eastAsia="仿宋" w:cs="仿宋"/>
          <w:b/>
          <w:color w:val="auto"/>
          <w:kern w:val="0"/>
          <w:sz w:val="24"/>
          <w:highlight w:val="none"/>
        </w:rPr>
      </w:pPr>
      <w:bookmarkStart w:id="430" w:name="_Toc15249"/>
      <w:bookmarkStart w:id="431" w:name="_Toc22552"/>
      <w:r>
        <w:rPr>
          <w:rFonts w:hint="eastAsia" w:ascii="仿宋" w:hAnsi="仿宋" w:eastAsia="仿宋" w:cs="仿宋"/>
          <w:b/>
          <w:color w:val="auto"/>
          <w:kern w:val="0"/>
          <w:sz w:val="24"/>
          <w:highlight w:val="none"/>
        </w:rPr>
        <w:t>资格文件部分</w:t>
      </w:r>
      <w:bookmarkEnd w:id="430"/>
      <w:bookmarkEnd w:id="431"/>
    </w:p>
    <w:p>
      <w:pPr>
        <w:spacing w:line="360" w:lineRule="auto"/>
        <w:jc w:val="center"/>
        <w:outlineLvl w:val="0"/>
        <w:rPr>
          <w:rFonts w:ascii="仿宋" w:hAnsi="仿宋" w:eastAsia="仿宋" w:cs="仿宋"/>
          <w:b/>
          <w:color w:val="auto"/>
          <w:kern w:val="0"/>
          <w:sz w:val="24"/>
          <w:highlight w:val="none"/>
        </w:rPr>
      </w:pPr>
      <w:bookmarkStart w:id="432" w:name="_Toc32278"/>
      <w:bookmarkStart w:id="433" w:name="_Toc3751"/>
      <w:r>
        <w:rPr>
          <w:rFonts w:hint="eastAsia" w:ascii="仿宋" w:hAnsi="仿宋" w:eastAsia="仿宋" w:cs="仿宋"/>
          <w:b/>
          <w:color w:val="auto"/>
          <w:kern w:val="0"/>
          <w:sz w:val="24"/>
          <w:highlight w:val="none"/>
        </w:rPr>
        <w:t>目录</w:t>
      </w:r>
      <w:bookmarkEnd w:id="432"/>
      <w:bookmarkEnd w:id="433"/>
    </w:p>
    <w:p>
      <w:pPr>
        <w:spacing w:line="360" w:lineRule="auto"/>
        <w:jc w:val="center"/>
        <w:outlineLvl w:val="0"/>
        <w:rPr>
          <w:rFonts w:ascii="仿宋" w:hAnsi="仿宋" w:eastAsia="仿宋" w:cs="仿宋"/>
          <w:b/>
          <w:color w:val="auto"/>
          <w:kern w:val="0"/>
          <w:sz w:val="24"/>
          <w:highlight w:val="none"/>
        </w:rPr>
      </w:pPr>
    </w:p>
    <w:p>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1.资格文件封面；</w:t>
      </w:r>
    </w:p>
    <w:p>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2.符合参加政府采购活动应当具备的一般条件的承诺函；</w:t>
      </w:r>
    </w:p>
    <w:p>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3.落实政府采购政策需满足的资格要求；</w:t>
      </w:r>
    </w:p>
    <w:p>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4.有效的《企业法人营业执照》副本扫描件；</w:t>
      </w:r>
    </w:p>
    <w:p>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5.授权委托书或法定代表人（单位负责人、自然人本人）身份证明；被授权人身份证明、被授权人投标前3个月在本单位社保证明。</w:t>
      </w:r>
    </w:p>
    <w:p>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6.投标函；</w:t>
      </w:r>
    </w:p>
    <w:p>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7.信用中国等网站信用查询结果；</w:t>
      </w:r>
    </w:p>
    <w:p>
      <w:pPr>
        <w:snapToGrid w:val="0"/>
        <w:spacing w:line="360" w:lineRule="auto"/>
        <w:ind w:firstLine="960" w:firstLineChars="400"/>
        <w:rPr>
          <w:rFonts w:ascii="仿宋" w:hAnsi="仿宋" w:eastAsia="仿宋" w:cs="仿宋"/>
          <w:color w:val="auto"/>
          <w:sz w:val="24"/>
          <w:highlight w:val="none"/>
          <w:lang w:val="zh-CN"/>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政府采购活动现场确认声明书；</w:t>
      </w:r>
    </w:p>
    <w:p>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9.</w:t>
      </w:r>
      <w:r>
        <w:rPr>
          <w:rFonts w:hint="eastAsia" w:ascii="仿宋" w:hAnsi="仿宋" w:eastAsia="仿宋" w:cs="仿宋"/>
          <w:color w:val="auto"/>
          <w:sz w:val="24"/>
          <w:highlight w:val="none"/>
          <w:lang w:val="zh-CN"/>
        </w:rPr>
        <w:t>政府采购供应商廉洁自律承诺书；</w:t>
      </w:r>
    </w:p>
    <w:p>
      <w:pPr>
        <w:snapToGrid w:val="0"/>
        <w:spacing w:line="360" w:lineRule="auto"/>
        <w:rPr>
          <w:rFonts w:ascii="仿宋" w:hAnsi="仿宋" w:eastAsia="仿宋" w:cs="仿宋"/>
          <w:color w:val="auto"/>
          <w:sz w:val="24"/>
          <w:highlight w:val="none"/>
        </w:rPr>
      </w:pPr>
    </w:p>
    <w:p>
      <w:pPr>
        <w:snapToGrid w:val="0"/>
        <w:spacing w:line="360" w:lineRule="auto"/>
        <w:ind w:firstLine="480" w:firstLineChars="200"/>
        <w:rPr>
          <w:rFonts w:ascii="仿宋" w:hAnsi="仿宋" w:eastAsia="仿宋" w:cs="仿宋"/>
          <w:color w:val="auto"/>
          <w:sz w:val="24"/>
          <w:highlight w:val="none"/>
        </w:rPr>
      </w:pPr>
    </w:p>
    <w:p>
      <w:pPr>
        <w:spacing w:line="360" w:lineRule="auto"/>
        <w:ind w:firstLine="480" w:firstLineChars="200"/>
        <w:rPr>
          <w:rFonts w:ascii="仿宋" w:hAnsi="仿宋" w:eastAsia="仿宋" w:cs="仿宋"/>
          <w:color w:val="auto"/>
          <w:sz w:val="24"/>
          <w:highlight w:val="none"/>
        </w:rPr>
      </w:pPr>
    </w:p>
    <w:p>
      <w:pPr>
        <w:snapToGrid w:val="0"/>
        <w:spacing w:line="360" w:lineRule="auto"/>
        <w:ind w:right="480"/>
        <w:jc w:val="center"/>
        <w:rPr>
          <w:rFonts w:ascii="仿宋" w:hAnsi="仿宋" w:eastAsia="仿宋" w:cs="仿宋"/>
          <w:b/>
          <w:color w:val="auto"/>
          <w:kern w:val="0"/>
          <w:sz w:val="24"/>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24"/>
          <w:highlight w:val="none"/>
        </w:rPr>
        <w:t xml:space="preserve">  一、 符合参加政府采购活动应当具备的一般条件的承诺函</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我方参与（项目名称）【招标编号：（采购编号）】政府采购活动，郑重承诺：</w:t>
      </w:r>
    </w:p>
    <w:p>
      <w:pPr>
        <w:snapToGrid w:val="0"/>
        <w:spacing w:line="360" w:lineRule="auto"/>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投标人名称(电子签章)：</w:t>
      </w:r>
    </w:p>
    <w:p>
      <w:pPr>
        <w:snapToGrid w:val="0"/>
        <w:spacing w:line="360" w:lineRule="auto"/>
        <w:jc w:val="right"/>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月日</w:t>
      </w:r>
    </w:p>
    <w:p>
      <w:pPr>
        <w:snapToGrid w:val="0"/>
        <w:spacing w:line="360" w:lineRule="auto"/>
        <w:ind w:right="480"/>
        <w:jc w:val="center"/>
        <w:rPr>
          <w:rFonts w:ascii="仿宋" w:hAnsi="仿宋" w:eastAsia="仿宋" w:cs="仿宋"/>
          <w:b/>
          <w:color w:val="auto"/>
          <w:kern w:val="0"/>
          <w:sz w:val="24"/>
          <w:highlight w:val="none"/>
        </w:rPr>
      </w:pPr>
    </w:p>
    <w:p>
      <w:pPr>
        <w:snapToGrid w:val="0"/>
        <w:spacing w:line="360" w:lineRule="auto"/>
        <w:ind w:right="480"/>
        <w:jc w:val="center"/>
        <w:rPr>
          <w:rFonts w:ascii="仿宋" w:hAnsi="仿宋" w:eastAsia="仿宋" w:cs="仿宋"/>
          <w:b/>
          <w:color w:val="auto"/>
          <w:kern w:val="0"/>
          <w:sz w:val="24"/>
          <w:highlight w:val="none"/>
        </w:rPr>
      </w:pPr>
    </w:p>
    <w:p>
      <w:pPr>
        <w:snapToGrid w:val="0"/>
        <w:spacing w:line="360" w:lineRule="auto"/>
        <w:ind w:right="480"/>
        <w:jc w:val="center"/>
        <w:rPr>
          <w:rFonts w:ascii="仿宋" w:hAnsi="仿宋" w:eastAsia="仿宋" w:cs="仿宋"/>
          <w:b/>
          <w:color w:val="auto"/>
          <w:kern w:val="0"/>
          <w:sz w:val="24"/>
          <w:highlight w:val="none"/>
        </w:rPr>
      </w:pPr>
    </w:p>
    <w:p>
      <w:pPr>
        <w:rPr>
          <w:rFonts w:ascii="仿宋" w:hAnsi="仿宋" w:eastAsia="仿宋" w:cs="仿宋"/>
          <w:color w:val="auto"/>
          <w:sz w:val="24"/>
          <w:highlight w:val="none"/>
        </w:rPr>
      </w:pPr>
    </w:p>
    <w:p>
      <w:pPr>
        <w:snapToGrid w:val="0"/>
        <w:spacing w:line="360" w:lineRule="auto"/>
        <w:ind w:right="480"/>
        <w:jc w:val="center"/>
        <w:rPr>
          <w:rFonts w:ascii="仿宋" w:hAnsi="仿宋" w:eastAsia="仿宋" w:cs="仿宋"/>
          <w:b/>
          <w:color w:val="auto"/>
          <w:kern w:val="0"/>
          <w:sz w:val="24"/>
          <w:highlight w:val="none"/>
        </w:rPr>
      </w:pPr>
    </w:p>
    <w:p>
      <w:pPr>
        <w:snapToGrid w:val="0"/>
        <w:spacing w:line="360" w:lineRule="auto"/>
        <w:ind w:right="480"/>
        <w:jc w:val="center"/>
        <w:rPr>
          <w:rFonts w:ascii="仿宋" w:hAnsi="仿宋" w:eastAsia="仿宋" w:cs="仿宋"/>
          <w:b/>
          <w:color w:val="auto"/>
          <w:kern w:val="0"/>
          <w:sz w:val="24"/>
          <w:highlight w:val="none"/>
        </w:rPr>
      </w:pPr>
    </w:p>
    <w:p>
      <w:pPr>
        <w:snapToGrid w:val="0"/>
        <w:spacing w:line="360" w:lineRule="auto"/>
        <w:ind w:right="480"/>
        <w:jc w:val="center"/>
        <w:rPr>
          <w:rFonts w:ascii="仿宋" w:hAnsi="仿宋" w:eastAsia="仿宋" w:cs="仿宋"/>
          <w:b/>
          <w:color w:val="auto"/>
          <w:kern w:val="0"/>
          <w:sz w:val="24"/>
          <w:highlight w:val="none"/>
        </w:rPr>
      </w:pPr>
    </w:p>
    <w:p>
      <w:pPr>
        <w:snapToGrid w:val="0"/>
        <w:spacing w:line="360" w:lineRule="auto"/>
        <w:ind w:right="480"/>
        <w:jc w:val="center"/>
        <w:rPr>
          <w:rFonts w:ascii="仿宋" w:hAnsi="仿宋" w:eastAsia="仿宋" w:cs="仿宋"/>
          <w:b/>
          <w:color w:val="auto"/>
          <w:kern w:val="0"/>
          <w:sz w:val="24"/>
          <w:highlight w:val="none"/>
        </w:rPr>
      </w:pPr>
    </w:p>
    <w:p>
      <w:pPr>
        <w:snapToGrid w:val="0"/>
        <w:spacing w:line="360" w:lineRule="auto"/>
        <w:ind w:right="480"/>
        <w:jc w:val="center"/>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二、落实政府采购政策需满足的资格要求</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.专门面向中小企业，货物全部由符合政策要求的中小企业（或小微企业）制造或者服务全部由符合政策要求的中小企业（或小微企业）承接的，提供相应的中小企业声明函（附件5）。</w:t>
      </w:r>
    </w:p>
    <w:p>
      <w:pPr>
        <w:widowControl/>
        <w:spacing w:line="360" w:lineRule="auto"/>
        <w:ind w:firstLine="480"/>
        <w:jc w:val="left"/>
        <w:rPr>
          <w:rFonts w:ascii="仿宋" w:hAnsi="仿宋" w:eastAsia="仿宋" w:cs="仿宋"/>
          <w:color w:val="auto"/>
          <w:sz w:val="24"/>
          <w:highlight w:val="none"/>
        </w:rPr>
      </w:pPr>
    </w:p>
    <w:p>
      <w:pPr>
        <w:widowControl/>
        <w:spacing w:line="360" w:lineRule="auto"/>
        <w:ind w:firstLine="472" w:firstLineChars="196"/>
        <w:jc w:val="left"/>
        <w:rPr>
          <w:rFonts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ascii="仿宋" w:hAnsi="仿宋" w:eastAsia="仿宋" w:cs="仿宋"/>
          <w:b/>
          <w:color w:val="auto"/>
          <w:sz w:val="24"/>
          <w:highlight w:val="none"/>
        </w:rPr>
      </w:pPr>
    </w:p>
    <w:p>
      <w:pPr>
        <w:snapToGrid w:val="0"/>
        <w:spacing w:before="50" w:after="50" w:line="360" w:lineRule="auto"/>
        <w:jc w:val="center"/>
        <w:rPr>
          <w:rFonts w:ascii="仿宋" w:hAnsi="仿宋" w:eastAsia="仿宋" w:cs="仿宋"/>
          <w:b/>
          <w:color w:val="auto"/>
          <w:sz w:val="24"/>
          <w:highlight w:val="none"/>
        </w:rPr>
      </w:pPr>
    </w:p>
    <w:p>
      <w:pPr>
        <w:snapToGrid w:val="0"/>
        <w:spacing w:before="50" w:after="50" w:line="360" w:lineRule="auto"/>
        <w:jc w:val="center"/>
        <w:rPr>
          <w:rFonts w:ascii="仿宋" w:hAnsi="仿宋" w:eastAsia="仿宋" w:cs="仿宋"/>
          <w:b/>
          <w:color w:val="auto"/>
          <w:sz w:val="24"/>
          <w:highlight w:val="none"/>
        </w:rPr>
      </w:pPr>
    </w:p>
    <w:p>
      <w:pPr>
        <w:snapToGrid w:val="0"/>
        <w:spacing w:before="50" w:after="50" w:line="360" w:lineRule="auto"/>
        <w:jc w:val="center"/>
        <w:rPr>
          <w:rFonts w:ascii="仿宋" w:hAnsi="仿宋" w:eastAsia="仿宋" w:cs="仿宋"/>
          <w:b/>
          <w:color w:val="auto"/>
          <w:sz w:val="24"/>
          <w:highlight w:val="none"/>
        </w:rPr>
      </w:pPr>
    </w:p>
    <w:p>
      <w:pPr>
        <w:snapToGrid w:val="0"/>
        <w:spacing w:before="50" w:after="50" w:line="360" w:lineRule="auto"/>
        <w:jc w:val="center"/>
        <w:rPr>
          <w:rFonts w:ascii="仿宋" w:hAnsi="仿宋" w:eastAsia="仿宋" w:cs="仿宋"/>
          <w:b/>
          <w:color w:val="auto"/>
          <w:sz w:val="24"/>
          <w:highlight w:val="none"/>
        </w:rPr>
      </w:pPr>
    </w:p>
    <w:p>
      <w:pPr>
        <w:snapToGrid w:val="0"/>
        <w:spacing w:before="50" w:after="50" w:line="360" w:lineRule="auto"/>
        <w:jc w:val="center"/>
        <w:rPr>
          <w:rFonts w:ascii="仿宋" w:hAnsi="仿宋" w:eastAsia="仿宋" w:cs="仿宋"/>
          <w:b/>
          <w:color w:val="auto"/>
          <w:sz w:val="24"/>
          <w:highlight w:val="none"/>
        </w:rPr>
      </w:pPr>
    </w:p>
    <w:p>
      <w:pPr>
        <w:snapToGrid w:val="0"/>
        <w:spacing w:before="50" w:after="50" w:line="360" w:lineRule="auto"/>
        <w:jc w:val="center"/>
        <w:rPr>
          <w:rFonts w:ascii="仿宋" w:hAnsi="仿宋" w:eastAsia="仿宋" w:cs="仿宋"/>
          <w:b/>
          <w:color w:val="auto"/>
          <w:sz w:val="24"/>
          <w:highlight w:val="none"/>
        </w:rPr>
      </w:pPr>
    </w:p>
    <w:p>
      <w:pPr>
        <w:snapToGrid w:val="0"/>
        <w:spacing w:before="50" w:after="50" w:line="360" w:lineRule="auto"/>
        <w:jc w:val="center"/>
        <w:rPr>
          <w:rFonts w:ascii="仿宋" w:hAnsi="仿宋" w:eastAsia="仿宋" w:cs="仿宋"/>
          <w:b/>
          <w:color w:val="auto"/>
          <w:sz w:val="24"/>
          <w:highlight w:val="none"/>
        </w:rPr>
      </w:pPr>
    </w:p>
    <w:p>
      <w:pPr>
        <w:snapToGrid w:val="0"/>
        <w:spacing w:before="50" w:after="50" w:line="360" w:lineRule="auto"/>
        <w:jc w:val="center"/>
        <w:rPr>
          <w:rFonts w:ascii="仿宋" w:hAnsi="仿宋" w:eastAsia="仿宋" w:cs="仿宋"/>
          <w:b/>
          <w:color w:val="auto"/>
          <w:sz w:val="24"/>
          <w:highlight w:val="none"/>
        </w:rPr>
      </w:pPr>
    </w:p>
    <w:p>
      <w:pPr>
        <w:snapToGrid w:val="0"/>
        <w:spacing w:before="50" w:after="50" w:line="360" w:lineRule="auto"/>
        <w:jc w:val="center"/>
        <w:rPr>
          <w:rFonts w:ascii="仿宋" w:hAnsi="仿宋" w:eastAsia="仿宋" w:cs="仿宋"/>
          <w:b/>
          <w:color w:val="auto"/>
          <w:sz w:val="24"/>
          <w:highlight w:val="none"/>
        </w:rPr>
      </w:pPr>
    </w:p>
    <w:p>
      <w:pPr>
        <w:pStyle w:val="62"/>
        <w:rPr>
          <w:rFonts w:ascii="仿宋" w:hAnsi="仿宋" w:eastAsia="仿宋" w:cs="仿宋"/>
          <w:color w:val="auto"/>
          <w:szCs w:val="24"/>
          <w:highlight w:val="none"/>
        </w:rPr>
      </w:pPr>
    </w:p>
    <w:p>
      <w:pPr>
        <w:rPr>
          <w:rFonts w:ascii="仿宋" w:hAnsi="仿宋" w:eastAsia="仿宋" w:cs="仿宋"/>
          <w:b/>
          <w:color w:val="auto"/>
          <w:sz w:val="24"/>
          <w:highlight w:val="none"/>
        </w:rPr>
      </w:pPr>
    </w:p>
    <w:p>
      <w:pPr>
        <w:pStyle w:val="62"/>
        <w:rPr>
          <w:rFonts w:ascii="仿宋" w:hAnsi="仿宋" w:eastAsia="仿宋" w:cs="仿宋"/>
          <w:color w:val="auto"/>
          <w:szCs w:val="24"/>
          <w:highlight w:val="none"/>
        </w:rPr>
      </w:pPr>
    </w:p>
    <w:p>
      <w:pPr>
        <w:rPr>
          <w:rFonts w:ascii="仿宋" w:hAnsi="仿宋" w:eastAsia="仿宋" w:cs="仿宋"/>
          <w:b/>
          <w:color w:val="auto"/>
          <w:sz w:val="24"/>
          <w:highlight w:val="none"/>
        </w:rPr>
      </w:pPr>
    </w:p>
    <w:p>
      <w:pPr>
        <w:pStyle w:val="62"/>
        <w:rPr>
          <w:rFonts w:ascii="仿宋" w:hAnsi="仿宋" w:eastAsia="仿宋" w:cs="仿宋"/>
          <w:color w:val="auto"/>
          <w:szCs w:val="24"/>
          <w:highlight w:val="none"/>
        </w:rPr>
      </w:pPr>
    </w:p>
    <w:p>
      <w:pPr>
        <w:rPr>
          <w:rFonts w:ascii="仿宋" w:hAnsi="仿宋" w:eastAsia="仿宋" w:cs="仿宋"/>
          <w:b/>
          <w:color w:val="auto"/>
          <w:sz w:val="24"/>
          <w:highlight w:val="none"/>
        </w:rPr>
      </w:pPr>
    </w:p>
    <w:p>
      <w:pPr>
        <w:pStyle w:val="62"/>
        <w:rPr>
          <w:rFonts w:ascii="仿宋" w:hAnsi="仿宋" w:eastAsia="仿宋" w:cs="仿宋"/>
          <w:color w:val="auto"/>
          <w:szCs w:val="24"/>
          <w:highlight w:val="none"/>
        </w:rPr>
      </w:pPr>
    </w:p>
    <w:p>
      <w:pPr>
        <w:rPr>
          <w:rFonts w:ascii="仿宋" w:hAnsi="仿宋" w:eastAsia="仿宋" w:cs="仿宋"/>
          <w:b/>
          <w:color w:val="auto"/>
          <w:sz w:val="24"/>
          <w:highlight w:val="none"/>
        </w:rPr>
      </w:pPr>
    </w:p>
    <w:p>
      <w:pPr>
        <w:pStyle w:val="62"/>
        <w:rPr>
          <w:rFonts w:ascii="仿宋" w:hAnsi="仿宋" w:eastAsia="仿宋" w:cs="仿宋"/>
          <w:color w:val="auto"/>
          <w:szCs w:val="24"/>
          <w:highlight w:val="none"/>
        </w:rPr>
      </w:pPr>
    </w:p>
    <w:p>
      <w:pPr>
        <w:rPr>
          <w:rFonts w:ascii="仿宋" w:hAnsi="仿宋" w:eastAsia="仿宋" w:cs="仿宋"/>
          <w:b/>
          <w:color w:val="auto"/>
          <w:sz w:val="24"/>
          <w:highlight w:val="none"/>
        </w:rPr>
      </w:pPr>
    </w:p>
    <w:p>
      <w:pPr>
        <w:ind w:firstLine="723" w:firstLineChars="300"/>
        <w:rPr>
          <w:rFonts w:ascii="仿宋" w:hAnsi="仿宋" w:eastAsia="仿宋" w:cs="仿宋"/>
          <w:b/>
          <w:color w:val="auto"/>
          <w:kern w:val="0"/>
          <w:sz w:val="24"/>
          <w:highlight w:val="none"/>
          <w:lang w:val="zh-CN"/>
        </w:rPr>
      </w:pPr>
    </w:p>
    <w:p>
      <w:pPr>
        <w:ind w:firstLine="723" w:firstLineChars="300"/>
        <w:rPr>
          <w:rFonts w:ascii="仿宋" w:hAnsi="仿宋" w:eastAsia="仿宋" w:cs="仿宋"/>
          <w:b/>
          <w:color w:val="auto"/>
          <w:kern w:val="0"/>
          <w:sz w:val="24"/>
          <w:highlight w:val="none"/>
          <w:lang w:val="zh-CN"/>
        </w:rPr>
      </w:pPr>
    </w:p>
    <w:p>
      <w:pPr>
        <w:ind w:firstLine="723" w:firstLineChars="300"/>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三、有效的《企业法人营业执照》副本；</w:t>
      </w:r>
    </w:p>
    <w:p>
      <w:pPr>
        <w:ind w:firstLine="723" w:firstLineChars="300"/>
        <w:rPr>
          <w:rFonts w:ascii="仿宋" w:hAnsi="仿宋" w:eastAsia="仿宋" w:cs="仿宋"/>
          <w:b/>
          <w:color w:val="auto"/>
          <w:kern w:val="0"/>
          <w:sz w:val="24"/>
          <w:highlight w:val="none"/>
          <w:lang w:val="zh-CN"/>
        </w:rPr>
      </w:pPr>
    </w:p>
    <w:p>
      <w:pPr>
        <w:rPr>
          <w:rFonts w:ascii="仿宋" w:hAnsi="仿宋" w:eastAsia="仿宋" w:cs="仿宋"/>
          <w:b/>
          <w:color w:val="auto"/>
          <w:sz w:val="24"/>
          <w:highlight w:val="none"/>
        </w:rPr>
      </w:pPr>
    </w:p>
    <w:p>
      <w:pPr>
        <w:pStyle w:val="62"/>
        <w:rPr>
          <w:rFonts w:ascii="仿宋" w:hAnsi="仿宋" w:eastAsia="仿宋" w:cs="仿宋"/>
          <w:color w:val="auto"/>
          <w:szCs w:val="24"/>
          <w:highlight w:val="none"/>
        </w:rPr>
      </w:pPr>
    </w:p>
    <w:p>
      <w:pPr>
        <w:rPr>
          <w:rFonts w:ascii="仿宋" w:hAnsi="仿宋" w:eastAsia="仿宋" w:cs="仿宋"/>
          <w:color w:val="auto"/>
          <w:sz w:val="24"/>
          <w:highlight w:val="none"/>
        </w:rPr>
      </w:pPr>
    </w:p>
    <w:p>
      <w:pPr>
        <w:jc w:val="center"/>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四、授权委托书或法定代表人（单位负责人、自然人本人）身份证明</w:t>
      </w:r>
    </w:p>
    <w:p>
      <w:pPr>
        <w:snapToGrid w:val="0"/>
        <w:spacing w:line="360" w:lineRule="auto"/>
        <w:rPr>
          <w:rFonts w:ascii="仿宋" w:hAnsi="仿宋" w:eastAsia="仿宋" w:cs="仿宋"/>
          <w:color w:val="auto"/>
          <w:sz w:val="24"/>
          <w:highlight w:val="none"/>
        </w:rPr>
      </w:pPr>
    </w:p>
    <w:p>
      <w:pPr>
        <w:snapToGrid w:val="0"/>
        <w:spacing w:line="360" w:lineRule="auto"/>
        <w:ind w:firstLine="2154" w:firstLineChars="894"/>
        <w:rPr>
          <w:rFonts w:ascii="仿宋" w:hAnsi="仿宋" w:eastAsia="仿宋" w:cs="仿宋"/>
          <w:color w:val="auto"/>
          <w:sz w:val="24"/>
          <w:highlight w:val="none"/>
        </w:rPr>
      </w:pPr>
      <w:r>
        <w:rPr>
          <w:rFonts w:hint="eastAsia" w:ascii="仿宋" w:hAnsi="仿宋" w:eastAsia="仿宋" w:cs="仿宋"/>
          <w:b/>
          <w:color w:val="auto"/>
          <w:kern w:val="0"/>
          <w:sz w:val="24"/>
          <w:highlight w:val="none"/>
          <w:lang w:val="zh-CN"/>
        </w:rPr>
        <w:t>授权委托书（适用于非联合体投标）</w:t>
      </w:r>
    </w:p>
    <w:p>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pPr>
        <w:snapToGrid w:val="0"/>
        <w:spacing w:line="360" w:lineRule="auto"/>
        <w:ind w:firstLine="576"/>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委托（姓名）为我方代理人（身份证号码：，手机：），以我方名义处理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自年月日起至年月日止。</w:t>
      </w:r>
    </w:p>
    <w:p>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特此告知。</w:t>
      </w:r>
    </w:p>
    <w:p>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投标人名称(电子签章)：</w:t>
      </w:r>
    </w:p>
    <w:p>
      <w:pPr>
        <w:snapToGrid w:val="0"/>
        <w:spacing w:line="360"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pPr>
        <w:snapToGrid w:val="0"/>
        <w:spacing w:line="360" w:lineRule="auto"/>
        <w:rPr>
          <w:rFonts w:ascii="仿宋" w:hAnsi="仿宋" w:eastAsia="仿宋" w:cs="仿宋"/>
          <w:color w:val="auto"/>
          <w:sz w:val="24"/>
          <w:highlight w:val="none"/>
        </w:rPr>
      </w:pPr>
    </w:p>
    <w:p>
      <w:pPr>
        <w:snapToGrid w:val="0"/>
        <w:spacing w:line="360" w:lineRule="auto"/>
        <w:rPr>
          <w:rFonts w:ascii="仿宋" w:hAnsi="仿宋" w:eastAsia="仿宋" w:cs="仿宋"/>
          <w:color w:val="auto"/>
          <w:sz w:val="24"/>
          <w:highlight w:val="none"/>
        </w:rPr>
      </w:pPr>
    </w:p>
    <w:p>
      <w:pPr>
        <w:snapToGrid w:val="0"/>
        <w:spacing w:line="360" w:lineRule="auto"/>
        <w:rPr>
          <w:rFonts w:ascii="仿宋" w:hAnsi="仿宋" w:eastAsia="仿宋" w:cs="仿宋"/>
          <w:color w:val="auto"/>
          <w:sz w:val="24"/>
          <w:highlight w:val="none"/>
        </w:rPr>
      </w:pPr>
    </w:p>
    <w:p>
      <w:pPr>
        <w:jc w:val="center"/>
        <w:rPr>
          <w:rFonts w:ascii="仿宋" w:hAnsi="仿宋" w:eastAsia="仿宋" w:cs="仿宋"/>
          <w:b/>
          <w:color w:val="auto"/>
          <w:kern w:val="0"/>
          <w:sz w:val="24"/>
          <w:highlight w:val="none"/>
          <w:lang w:val="zh-CN"/>
        </w:rPr>
      </w:pPr>
    </w:p>
    <w:p>
      <w:pPr>
        <w:jc w:val="center"/>
        <w:rPr>
          <w:rFonts w:ascii="仿宋" w:hAnsi="仿宋" w:eastAsia="仿宋" w:cs="仿宋"/>
          <w:b/>
          <w:color w:val="auto"/>
          <w:kern w:val="0"/>
          <w:sz w:val="24"/>
          <w:highlight w:val="none"/>
          <w:lang w:val="zh-CN"/>
        </w:rPr>
      </w:pPr>
    </w:p>
    <w:p>
      <w:pPr>
        <w:jc w:val="center"/>
        <w:rPr>
          <w:rFonts w:ascii="仿宋" w:hAnsi="仿宋" w:eastAsia="仿宋" w:cs="仿宋"/>
          <w:b/>
          <w:color w:val="auto"/>
          <w:kern w:val="0"/>
          <w:sz w:val="24"/>
          <w:highlight w:val="none"/>
          <w:lang w:val="zh-CN"/>
        </w:rPr>
      </w:pPr>
    </w:p>
    <w:p>
      <w:pPr>
        <w:jc w:val="center"/>
        <w:rPr>
          <w:rFonts w:ascii="仿宋" w:hAnsi="仿宋" w:eastAsia="仿宋" w:cs="仿宋"/>
          <w:b/>
          <w:color w:val="auto"/>
          <w:kern w:val="0"/>
          <w:sz w:val="24"/>
          <w:highlight w:val="none"/>
          <w:lang w:val="zh-CN"/>
        </w:rPr>
      </w:pPr>
    </w:p>
    <w:p>
      <w:pPr>
        <w:jc w:val="center"/>
        <w:rPr>
          <w:rFonts w:ascii="仿宋" w:hAnsi="仿宋" w:eastAsia="仿宋" w:cs="仿宋"/>
          <w:b/>
          <w:color w:val="auto"/>
          <w:kern w:val="0"/>
          <w:sz w:val="24"/>
          <w:highlight w:val="none"/>
          <w:lang w:val="zh-CN"/>
        </w:rPr>
      </w:pPr>
    </w:p>
    <w:p>
      <w:pPr>
        <w:jc w:val="center"/>
        <w:rPr>
          <w:rFonts w:ascii="仿宋" w:hAnsi="仿宋" w:eastAsia="仿宋" w:cs="仿宋"/>
          <w:b/>
          <w:color w:val="auto"/>
          <w:kern w:val="0"/>
          <w:sz w:val="24"/>
          <w:highlight w:val="none"/>
          <w:lang w:val="zh-CN"/>
        </w:rPr>
      </w:pPr>
    </w:p>
    <w:p>
      <w:pPr>
        <w:jc w:val="center"/>
        <w:rPr>
          <w:rFonts w:ascii="仿宋" w:hAnsi="仿宋" w:eastAsia="仿宋" w:cs="仿宋"/>
          <w:b/>
          <w:color w:val="auto"/>
          <w:kern w:val="0"/>
          <w:sz w:val="24"/>
          <w:highlight w:val="none"/>
          <w:lang w:val="zh-CN"/>
        </w:rPr>
      </w:pPr>
    </w:p>
    <w:p>
      <w:pPr>
        <w:jc w:val="center"/>
        <w:rPr>
          <w:rFonts w:ascii="仿宋" w:hAnsi="仿宋" w:eastAsia="仿宋" w:cs="仿宋"/>
          <w:b/>
          <w:color w:val="auto"/>
          <w:kern w:val="0"/>
          <w:sz w:val="24"/>
          <w:highlight w:val="none"/>
          <w:lang w:val="zh-CN"/>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lang w:val="zh-CN"/>
        </w:rPr>
        <w:t>授权委托书（适用于联合体投标）</w:t>
      </w:r>
    </w:p>
    <w:p>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pPr>
        <w:snapToGrid w:val="0"/>
        <w:spacing w:line="360" w:lineRule="auto"/>
        <w:ind w:firstLine="576"/>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委托（姓名）为我方代理人（身份证号码：，手机：），以我方名义处理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自年月日起至年月日止。</w:t>
      </w:r>
    </w:p>
    <w:p>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特此告知。</w:t>
      </w:r>
    </w:p>
    <w:p>
      <w:pPr>
        <w:rPr>
          <w:rFonts w:ascii="仿宋" w:hAnsi="仿宋" w:eastAsia="仿宋" w:cs="仿宋"/>
          <w:color w:val="auto"/>
          <w:sz w:val="24"/>
          <w:highlight w:val="none"/>
        </w:rPr>
      </w:pPr>
    </w:p>
    <w:p>
      <w:pPr>
        <w:snapToGrid w:val="0"/>
        <w:spacing w:line="360"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760" w:firstLineChars="24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w:t>
      </w:r>
    </w:p>
    <w:p>
      <w:pPr>
        <w:snapToGrid w:val="0"/>
        <w:spacing w:line="360"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autoSpaceDE w:val="0"/>
        <w:autoSpaceDN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kern w:val="0"/>
          <w:sz w:val="24"/>
          <w:highlight w:val="none"/>
          <w:lang w:val="zh-CN"/>
        </w:rPr>
        <w:t>法定代表人、单位负责人或自然人本人</w:t>
      </w:r>
      <w:r>
        <w:rPr>
          <w:rFonts w:hint="eastAsia" w:ascii="仿宋" w:hAnsi="仿宋" w:eastAsia="仿宋" w:cs="仿宋"/>
          <w:b/>
          <w:color w:val="auto"/>
          <w:sz w:val="24"/>
          <w:highlight w:val="none"/>
        </w:rPr>
        <w:t>的身份证明（适用于法定代表人、单位负责人或者自然人本人代表投标人参加投标）</w:t>
      </w:r>
    </w:p>
    <w:p>
      <w:pPr>
        <w:pStyle w:val="149"/>
        <w:spacing w:line="360" w:lineRule="auto"/>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身份证件扫描件：</w:t>
      </w:r>
    </w:p>
    <w:tbl>
      <w:tblPr>
        <w:tblStyle w:val="73"/>
        <w:tblW w:w="920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12" w:hRule="atLeast"/>
          <w:jc w:val="center"/>
        </w:trPr>
        <w:tc>
          <w:tcPr>
            <w:tcW w:w="9207" w:type="dxa"/>
          </w:tcPr>
          <w:p>
            <w:pPr>
              <w:pStyle w:val="149"/>
              <w:adjustRightInd w:val="0"/>
              <w:spacing w:line="360" w:lineRule="auto"/>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正面：反面：</w:t>
            </w:r>
          </w:p>
          <w:p>
            <w:pPr>
              <w:pStyle w:val="149"/>
              <w:adjustRightInd w:val="0"/>
              <w:spacing w:line="360" w:lineRule="auto"/>
              <w:rPr>
                <w:rFonts w:ascii="仿宋" w:hAnsi="仿宋" w:eastAsia="仿宋" w:cs="仿宋"/>
                <w:bCs/>
                <w:color w:val="auto"/>
                <w:sz w:val="24"/>
                <w:szCs w:val="24"/>
                <w:highlight w:val="none"/>
              </w:rPr>
            </w:pPr>
          </w:p>
        </w:tc>
      </w:tr>
    </w:tbl>
    <w:p>
      <w:pPr>
        <w:snapToGrid w:val="0"/>
        <w:spacing w:line="360" w:lineRule="auto"/>
        <w:ind w:firstLine="576"/>
        <w:jc w:val="center"/>
        <w:rPr>
          <w:rFonts w:ascii="仿宋" w:hAnsi="仿宋" w:eastAsia="仿宋" w:cs="仿宋"/>
          <w:color w:val="auto"/>
          <w:kern w:val="0"/>
          <w:sz w:val="24"/>
          <w:highlight w:val="none"/>
          <w:lang w:val="zh-CN"/>
        </w:rPr>
      </w:pPr>
    </w:p>
    <w:p>
      <w:pPr>
        <w:snapToGrid w:val="0"/>
        <w:spacing w:line="360" w:lineRule="auto"/>
        <w:ind w:firstLine="576"/>
        <w:jc w:val="center"/>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投标人名称(电子签章)：                              </w:t>
      </w:r>
    </w:p>
    <w:p>
      <w:pPr>
        <w:spacing w:line="360" w:lineRule="auto"/>
        <w:jc w:val="center"/>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snapToGrid w:val="0"/>
        <w:spacing w:line="360" w:lineRule="auto"/>
        <w:jc w:val="center"/>
        <w:outlineLvl w:val="0"/>
        <w:rPr>
          <w:rFonts w:ascii="仿宋" w:hAnsi="仿宋" w:eastAsia="仿宋" w:cs="仿宋"/>
          <w:b/>
          <w:color w:val="auto"/>
          <w:kern w:val="0"/>
          <w:sz w:val="24"/>
          <w:highlight w:val="none"/>
        </w:rPr>
      </w:pPr>
    </w:p>
    <w:p>
      <w:pPr>
        <w:snapToGrid w:val="0"/>
        <w:spacing w:line="360" w:lineRule="auto"/>
        <w:jc w:val="center"/>
        <w:outlineLvl w:val="0"/>
        <w:rPr>
          <w:rFonts w:ascii="仿宋" w:hAnsi="仿宋" w:eastAsia="仿宋" w:cs="仿宋"/>
          <w:b/>
          <w:color w:val="auto"/>
          <w:sz w:val="24"/>
          <w:highlight w:val="none"/>
        </w:rPr>
      </w:pPr>
      <w:bookmarkStart w:id="434" w:name="_Toc29790"/>
      <w:bookmarkStart w:id="435" w:name="_Toc9811"/>
      <w:r>
        <w:rPr>
          <w:rFonts w:hint="eastAsia" w:ascii="仿宋" w:hAnsi="仿宋" w:eastAsia="仿宋" w:cs="仿宋"/>
          <w:b/>
          <w:color w:val="auto"/>
          <w:kern w:val="0"/>
          <w:sz w:val="24"/>
          <w:highlight w:val="none"/>
        </w:rPr>
        <w:t>五、投标</w:t>
      </w:r>
      <w:r>
        <w:rPr>
          <w:rFonts w:hint="eastAsia" w:ascii="仿宋" w:hAnsi="仿宋" w:eastAsia="仿宋" w:cs="仿宋"/>
          <w:b/>
          <w:color w:val="auto"/>
          <w:sz w:val="24"/>
          <w:highlight w:val="none"/>
        </w:rPr>
        <w:t>函</w:t>
      </w:r>
      <w:bookmarkEnd w:id="434"/>
      <w:bookmarkEnd w:id="435"/>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我方参加你方组织的（项目名称）【招标编号：（采购编号）】招标的有关活动，并对此项目进行投标。为此：</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90</w:t>
      </w:r>
      <w:r>
        <w:rPr>
          <w:rFonts w:hint="eastAsia" w:ascii="仿宋" w:hAnsi="仿宋" w:eastAsia="仿宋" w:cs="仿宋"/>
          <w:color w:val="auto"/>
          <w:sz w:val="24"/>
          <w:highlight w:val="none"/>
        </w:rPr>
        <w:t>天，本投标文件在投标有效期满之前均具有约束力。</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2、我方承诺除商务技术偏离表列出的偏离外，我方响应招标文件的全部要求。</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3、如我方中标，我方承诺：</w:t>
      </w:r>
    </w:p>
    <w:p>
      <w:pPr>
        <w:snapToGrid w:val="0"/>
        <w:spacing w:line="360" w:lineRule="auto"/>
        <w:ind w:left="210" w:leftChars="1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pPr>
        <w:snapToGrid w:val="0"/>
        <w:spacing w:line="360" w:lineRule="auto"/>
        <w:ind w:left="210" w:leftChars="1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pPr>
        <w:snapToGrid w:val="0"/>
        <w:spacing w:line="360" w:lineRule="auto"/>
        <w:ind w:left="210" w:leftChars="1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pPr>
        <w:numPr>
          <w:ilvl w:val="0"/>
          <w:numId w:val="12"/>
        </w:num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开户银行：</w:t>
      </w:r>
    </w:p>
    <w:p>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银行帐号：</w:t>
      </w:r>
    </w:p>
    <w:p>
      <w:pPr>
        <w:spacing w:line="360"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投标人名称（电子签章）：</w:t>
      </w:r>
    </w:p>
    <w:p>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snapToGrid w:val="0"/>
        <w:spacing w:line="360" w:lineRule="auto"/>
        <w:ind w:left="420" w:leftChars="200" w:firstLine="4200" w:firstLineChars="1750"/>
        <w:rPr>
          <w:rFonts w:ascii="仿宋" w:hAnsi="仿宋" w:eastAsia="仿宋" w:cs="仿宋"/>
          <w:color w:val="auto"/>
          <w:kern w:val="0"/>
          <w:sz w:val="24"/>
          <w:highlight w:val="none"/>
          <w:u w:val="single"/>
          <w:lang w:val="zh-CN"/>
        </w:rPr>
      </w:pPr>
    </w:p>
    <w:p>
      <w:pPr>
        <w:snapToGrid w:val="0"/>
        <w:spacing w:before="50" w:after="50" w:line="360" w:lineRule="auto"/>
        <w:jc w:val="center"/>
        <w:rPr>
          <w:rFonts w:ascii="仿宋" w:hAnsi="仿宋" w:eastAsia="仿宋" w:cs="仿宋"/>
          <w:b/>
          <w:color w:val="auto"/>
          <w:sz w:val="24"/>
          <w:highlight w:val="none"/>
        </w:rPr>
      </w:pPr>
    </w:p>
    <w:p>
      <w:pPr>
        <w:snapToGrid w:val="0"/>
        <w:spacing w:before="50" w:after="50" w:line="360" w:lineRule="auto"/>
        <w:jc w:val="center"/>
        <w:rPr>
          <w:rFonts w:ascii="仿宋" w:hAnsi="仿宋" w:eastAsia="仿宋" w:cs="仿宋"/>
          <w:b/>
          <w:color w:val="auto"/>
          <w:sz w:val="24"/>
          <w:highlight w:val="none"/>
        </w:rPr>
      </w:pPr>
    </w:p>
    <w:p>
      <w:pPr>
        <w:snapToGrid w:val="0"/>
        <w:spacing w:before="50" w:after="50" w:line="360" w:lineRule="auto"/>
        <w:jc w:val="center"/>
        <w:rPr>
          <w:rFonts w:ascii="仿宋" w:hAnsi="仿宋" w:eastAsia="仿宋" w:cs="仿宋"/>
          <w:b/>
          <w:color w:val="auto"/>
          <w:sz w:val="24"/>
          <w:highlight w:val="none"/>
        </w:rPr>
      </w:pPr>
    </w:p>
    <w:p>
      <w:pPr>
        <w:snapToGrid w:val="0"/>
        <w:spacing w:before="50" w:after="50" w:line="360" w:lineRule="auto"/>
        <w:jc w:val="center"/>
        <w:rPr>
          <w:rFonts w:ascii="仿宋" w:hAnsi="仿宋" w:eastAsia="仿宋" w:cs="仿宋"/>
          <w:b/>
          <w:color w:val="auto"/>
          <w:sz w:val="24"/>
          <w:highlight w:val="none"/>
        </w:rPr>
      </w:pPr>
    </w:p>
    <w:p>
      <w:pPr>
        <w:snapToGrid w:val="0"/>
        <w:spacing w:before="50" w:after="50" w:line="360" w:lineRule="auto"/>
        <w:jc w:val="center"/>
        <w:rPr>
          <w:rFonts w:ascii="仿宋" w:hAnsi="仿宋" w:eastAsia="仿宋" w:cs="仿宋"/>
          <w:b/>
          <w:color w:val="auto"/>
          <w:sz w:val="24"/>
          <w:highlight w:val="none"/>
        </w:rPr>
      </w:pPr>
    </w:p>
    <w:p>
      <w:pPr>
        <w:snapToGrid w:val="0"/>
        <w:spacing w:before="50" w:after="50" w:line="360" w:lineRule="auto"/>
        <w:jc w:val="center"/>
        <w:rPr>
          <w:rFonts w:ascii="仿宋" w:hAnsi="仿宋" w:eastAsia="仿宋" w:cs="仿宋"/>
          <w:b/>
          <w:color w:val="auto"/>
          <w:sz w:val="24"/>
          <w:highlight w:val="none"/>
        </w:rPr>
      </w:pPr>
    </w:p>
    <w:p>
      <w:pPr>
        <w:snapToGrid w:val="0"/>
        <w:spacing w:before="50" w:after="50" w:line="360" w:lineRule="auto"/>
        <w:jc w:val="center"/>
        <w:rPr>
          <w:rFonts w:ascii="仿宋" w:hAnsi="仿宋" w:eastAsia="仿宋" w:cs="仿宋"/>
          <w:b/>
          <w:color w:val="auto"/>
          <w:sz w:val="24"/>
          <w:highlight w:val="none"/>
        </w:rPr>
      </w:pPr>
    </w:p>
    <w:p>
      <w:pPr>
        <w:pStyle w:val="320"/>
        <w:snapToGrid w:val="0"/>
        <w:spacing w:line="500" w:lineRule="exact"/>
        <w:ind w:firstLine="482"/>
        <w:jc w:val="center"/>
        <w:rPr>
          <w:rFonts w:ascii="仿宋" w:hAnsi="仿宋" w:eastAsia="仿宋" w:cs="仿宋"/>
          <w:b/>
          <w:bCs/>
          <w:color w:val="auto"/>
          <w:sz w:val="24"/>
          <w:szCs w:val="24"/>
          <w:highlight w:val="none"/>
        </w:rPr>
      </w:pPr>
    </w:p>
    <w:p>
      <w:pPr>
        <w:pStyle w:val="320"/>
        <w:snapToGrid w:val="0"/>
        <w:spacing w:line="500" w:lineRule="exact"/>
        <w:ind w:firstLine="482"/>
        <w:jc w:val="center"/>
        <w:rPr>
          <w:rFonts w:ascii="仿宋" w:hAnsi="仿宋" w:eastAsia="仿宋" w:cs="仿宋"/>
          <w:b/>
          <w:bCs/>
          <w:color w:val="auto"/>
          <w:sz w:val="24"/>
          <w:szCs w:val="24"/>
          <w:highlight w:val="none"/>
        </w:rPr>
      </w:pPr>
    </w:p>
    <w:p>
      <w:pPr>
        <w:pStyle w:val="320"/>
        <w:snapToGrid w:val="0"/>
        <w:spacing w:line="500" w:lineRule="exact"/>
        <w:ind w:firstLine="482"/>
        <w:jc w:val="center"/>
        <w:rPr>
          <w:rFonts w:ascii="仿宋" w:hAnsi="仿宋" w:eastAsia="仿宋" w:cs="仿宋"/>
          <w:b/>
          <w:bCs/>
          <w:color w:val="auto"/>
          <w:sz w:val="24"/>
          <w:szCs w:val="24"/>
          <w:highlight w:val="none"/>
        </w:rPr>
      </w:pPr>
    </w:p>
    <w:p>
      <w:pPr>
        <w:spacing w:line="360" w:lineRule="auto"/>
        <w:jc w:val="left"/>
        <w:rPr>
          <w:rFonts w:ascii="仿宋" w:hAnsi="仿宋" w:eastAsia="仿宋" w:cs="仿宋"/>
          <w:b/>
          <w:bCs/>
          <w:color w:val="auto"/>
          <w:sz w:val="24"/>
          <w:highlight w:val="none"/>
        </w:rPr>
      </w:pPr>
    </w:p>
    <w:p>
      <w:pPr>
        <w:spacing w:line="360" w:lineRule="auto"/>
        <w:jc w:val="left"/>
        <w:rPr>
          <w:rFonts w:ascii="仿宋" w:hAnsi="仿宋" w:eastAsia="仿宋" w:cs="仿宋"/>
          <w:b/>
          <w:bCs/>
          <w:color w:val="auto"/>
          <w:sz w:val="24"/>
          <w:highlight w:val="none"/>
        </w:rPr>
      </w:pPr>
    </w:p>
    <w:p>
      <w:pPr>
        <w:spacing w:line="360" w:lineRule="auto"/>
        <w:jc w:val="left"/>
        <w:rPr>
          <w:rFonts w:ascii="仿宋" w:hAnsi="仿宋" w:eastAsia="仿宋" w:cs="仿宋"/>
          <w:b/>
          <w:bCs/>
          <w:color w:val="auto"/>
          <w:sz w:val="24"/>
          <w:highlight w:val="none"/>
        </w:rPr>
      </w:pPr>
    </w:p>
    <w:p>
      <w:pPr>
        <w:spacing w:line="360" w:lineRule="auto"/>
        <w:ind w:firstLine="1687" w:firstLineChars="700"/>
        <w:jc w:val="left"/>
        <w:rPr>
          <w:rFonts w:ascii="仿宋" w:hAnsi="仿宋" w:eastAsia="仿宋" w:cs="仿宋"/>
          <w:b/>
          <w:color w:val="auto"/>
          <w:kern w:val="0"/>
          <w:sz w:val="24"/>
          <w:highlight w:val="none"/>
        </w:rPr>
      </w:pPr>
      <w:r>
        <w:rPr>
          <w:rFonts w:hint="eastAsia" w:ascii="仿宋" w:hAnsi="仿宋" w:eastAsia="仿宋" w:cs="仿宋"/>
          <w:b/>
          <w:bCs/>
          <w:color w:val="auto"/>
          <w:sz w:val="24"/>
          <w:highlight w:val="none"/>
        </w:rPr>
        <w:t>六、</w:t>
      </w:r>
      <w:r>
        <w:rPr>
          <w:rFonts w:hint="eastAsia" w:ascii="仿宋" w:hAnsi="仿宋" w:eastAsia="仿宋" w:cs="仿宋"/>
          <w:b/>
          <w:color w:val="auto"/>
          <w:kern w:val="0"/>
          <w:sz w:val="24"/>
          <w:highlight w:val="none"/>
        </w:rPr>
        <w:t>信用中国等网站信用查询结果</w:t>
      </w:r>
    </w:p>
    <w:p>
      <w:pPr>
        <w:pStyle w:val="320"/>
        <w:snapToGrid w:val="0"/>
        <w:spacing w:line="500" w:lineRule="exact"/>
        <w:jc w:val="center"/>
        <w:rPr>
          <w:rFonts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公告发布之日起到开标截止时间之间“信用中国”（www.creditchina.gov.cn）、中国政府采购网（www.ccgp.gov.cn）失信被执行人、重大税收违法案件当事人名单、政府采购严重违法失信行为记录名查询结果截图。</w:t>
      </w:r>
    </w:p>
    <w:p>
      <w:pPr>
        <w:pStyle w:val="320"/>
        <w:snapToGrid w:val="0"/>
        <w:spacing w:line="500" w:lineRule="exact"/>
        <w:ind w:firstLine="0" w:firstLineChars="0"/>
        <w:rPr>
          <w:rFonts w:ascii="仿宋" w:hAnsi="仿宋" w:eastAsia="仿宋" w:cs="仿宋"/>
          <w:b/>
          <w:bCs/>
          <w:color w:val="auto"/>
          <w:sz w:val="24"/>
          <w:szCs w:val="24"/>
          <w:highlight w:val="none"/>
        </w:rPr>
      </w:pPr>
    </w:p>
    <w:p>
      <w:pPr>
        <w:pStyle w:val="320"/>
        <w:snapToGrid w:val="0"/>
        <w:spacing w:line="500" w:lineRule="exact"/>
        <w:ind w:firstLine="1205" w:firstLineChars="500"/>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5.政府采购活动现场确认声明书</w:t>
      </w:r>
    </w:p>
    <w:p>
      <w:pPr>
        <w:pStyle w:val="966"/>
        <w:widowControl w:val="0"/>
        <w:snapToGrid w:val="0"/>
        <w:rPr>
          <w:rFonts w:hint="default" w:ascii="仿宋" w:hAnsi="仿宋" w:eastAsia="仿宋" w:cs="仿宋"/>
          <w:bCs/>
          <w:color w:val="auto"/>
          <w:sz w:val="24"/>
          <w:szCs w:val="24"/>
          <w:highlight w:val="none"/>
        </w:rPr>
      </w:pPr>
      <w:r>
        <w:rPr>
          <w:rFonts w:ascii="仿宋" w:hAnsi="仿宋" w:eastAsia="仿宋" w:cs="仿宋"/>
          <w:color w:val="auto"/>
          <w:kern w:val="0"/>
          <w:sz w:val="24"/>
          <w:szCs w:val="24"/>
          <w:highlight w:val="none"/>
        </w:rPr>
        <w:t xml:space="preserve"> 江山惠捷信息技术咨询有限公司</w:t>
      </w:r>
      <w:r>
        <w:rPr>
          <w:rFonts w:ascii="仿宋" w:hAnsi="仿宋" w:eastAsia="仿宋" w:cs="仿宋"/>
          <w:bCs/>
          <w:color w:val="auto"/>
          <w:kern w:val="0"/>
          <w:sz w:val="24"/>
          <w:szCs w:val="24"/>
          <w:highlight w:val="none"/>
        </w:rPr>
        <w:t>：</w:t>
      </w:r>
    </w:p>
    <w:p>
      <w:pPr>
        <w:snapToGrid w:val="0"/>
        <w:spacing w:line="380" w:lineRule="exact"/>
        <w:ind w:left="239" w:leftChars="114" w:firstLine="252" w:firstLineChars="100"/>
        <w:rPr>
          <w:rFonts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本人经由（供应商名称）法定代表人合法授权</w:t>
      </w:r>
      <w:r>
        <w:rPr>
          <w:rFonts w:hint="eastAsia" w:ascii="仿宋" w:hAnsi="仿宋" w:eastAsia="仿宋" w:cs="仿宋"/>
          <w:bCs/>
          <w:color w:val="auto"/>
          <w:kern w:val="0"/>
          <w:sz w:val="24"/>
          <w:highlight w:val="none"/>
        </w:rPr>
        <w:t>参加</w:t>
      </w:r>
      <w:r>
        <w:rPr>
          <w:rFonts w:hint="eastAsia" w:ascii="仿宋" w:hAnsi="仿宋" w:eastAsia="仿宋" w:cs="仿宋"/>
          <w:bCs/>
          <w:color w:val="auto"/>
          <w:kern w:val="0"/>
          <w:sz w:val="24"/>
          <w:highlight w:val="none"/>
          <w:u w:val="single"/>
          <w:lang w:eastAsia="zh-CN"/>
        </w:rPr>
        <w:t>江山市卫生健康局生物安全在线数智监管系统技术服务项目</w:t>
      </w:r>
      <w:r>
        <w:rPr>
          <w:rFonts w:hint="eastAsia" w:ascii="仿宋" w:hAnsi="仿宋" w:eastAsia="仿宋" w:cs="仿宋"/>
          <w:bCs/>
          <w:color w:val="auto"/>
          <w:kern w:val="0"/>
          <w:sz w:val="24"/>
          <w:highlight w:val="none"/>
        </w:rPr>
        <w:t>（编号：）</w:t>
      </w:r>
      <w:r>
        <w:rPr>
          <w:rFonts w:hint="eastAsia" w:ascii="仿宋" w:hAnsi="仿宋" w:eastAsia="仿宋" w:cs="仿宋"/>
          <w:bCs/>
          <w:color w:val="auto"/>
          <w:sz w:val="24"/>
          <w:highlight w:val="none"/>
        </w:rPr>
        <w:t>招标</w:t>
      </w:r>
      <w:r>
        <w:rPr>
          <w:rFonts w:hint="eastAsia" w:ascii="仿宋" w:hAnsi="仿宋" w:eastAsia="仿宋" w:cs="仿宋"/>
          <w:bCs/>
          <w:color w:val="auto"/>
          <w:kern w:val="0"/>
          <w:sz w:val="24"/>
          <w:highlight w:val="none"/>
        </w:rPr>
        <w:t>活</w:t>
      </w:r>
      <w:r>
        <w:rPr>
          <w:rFonts w:hint="eastAsia" w:ascii="仿宋" w:hAnsi="仿宋" w:eastAsia="仿宋" w:cs="仿宋"/>
          <w:bCs/>
          <w:color w:val="auto"/>
          <w:spacing w:val="6"/>
          <w:sz w:val="24"/>
          <w:highlight w:val="none"/>
        </w:rPr>
        <w:t xml:space="preserve">动，现就有关公平竞争事项郑重声明如下： </w:t>
      </w:r>
    </w:p>
    <w:p>
      <w:pPr>
        <w:pStyle w:val="967"/>
        <w:widowControl/>
        <w:snapToGrid w:val="0"/>
        <w:spacing w:line="380" w:lineRule="exact"/>
        <w:ind w:firstLine="480" w:firstLineChars="200"/>
        <w:rPr>
          <w:rFonts w:hint="default" w:ascii="仿宋" w:hAnsi="仿宋" w:eastAsia="仿宋" w:cs="仿宋"/>
          <w:bCs/>
          <w:color w:val="auto"/>
          <w:kern w:val="0"/>
          <w:sz w:val="24"/>
          <w:szCs w:val="24"/>
          <w:highlight w:val="none"/>
        </w:rPr>
      </w:pPr>
      <w:r>
        <w:rPr>
          <w:rFonts w:ascii="仿宋" w:hAnsi="仿宋" w:eastAsia="仿宋" w:cs="仿宋"/>
          <w:bCs/>
          <w:color w:val="auto"/>
          <w:kern w:val="0"/>
          <w:sz w:val="24"/>
          <w:szCs w:val="24"/>
          <w:highlight w:val="none"/>
        </w:rPr>
        <w:t>一、本</w:t>
      </w:r>
      <w:r>
        <w:rPr>
          <w:rFonts w:ascii="仿宋" w:hAnsi="仿宋" w:eastAsia="仿宋" w:cs="仿宋"/>
          <w:bCs/>
          <w:color w:val="auto"/>
          <w:spacing w:val="6"/>
          <w:sz w:val="24"/>
          <w:szCs w:val="24"/>
          <w:highlight w:val="none"/>
        </w:rPr>
        <w:t>公司</w:t>
      </w:r>
      <w:r>
        <w:rPr>
          <w:rFonts w:ascii="仿宋" w:hAnsi="仿宋" w:eastAsia="仿宋" w:cs="仿宋"/>
          <w:bCs/>
          <w:color w:val="auto"/>
          <w:kern w:val="0"/>
          <w:sz w:val="24"/>
          <w:szCs w:val="24"/>
          <w:highlight w:val="none"/>
        </w:rPr>
        <w:t xml:space="preserve">与采购人之间    </w:t>
      </w:r>
      <w:r>
        <w:rPr>
          <w:rFonts w:ascii="仿宋" w:hAnsi="仿宋" w:eastAsia="仿宋" w:cs="仿宋"/>
          <w:bCs/>
          <w:color w:val="auto"/>
          <w:kern w:val="0"/>
          <w:sz w:val="24"/>
          <w:szCs w:val="24"/>
          <w:highlight w:val="none"/>
        </w:rPr>
        <w:fldChar w:fldCharType="begin"/>
      </w:r>
      <w:r>
        <w:rPr>
          <w:rFonts w:ascii="仿宋" w:hAnsi="仿宋" w:eastAsia="仿宋" w:cs="仿宋"/>
          <w:bCs/>
          <w:color w:val="auto"/>
          <w:kern w:val="0"/>
          <w:sz w:val="24"/>
          <w:szCs w:val="24"/>
          <w:highlight w:val="none"/>
        </w:rPr>
        <w:instrText xml:space="preserve"> eq \o\ac(</w:instrText>
      </w:r>
      <w:r>
        <w:rPr>
          <w:rFonts w:ascii="仿宋" w:hAnsi="仿宋" w:eastAsia="仿宋" w:cs="仿宋"/>
          <w:bCs/>
          <w:color w:val="auto"/>
          <w:kern w:val="0"/>
          <w:position w:val="-4"/>
          <w:sz w:val="36"/>
          <w:szCs w:val="24"/>
          <w:highlight w:val="none"/>
        </w:rPr>
        <w:instrText xml:space="preserve">□</w:instrText>
      </w:r>
      <w:r>
        <w:rPr>
          <w:rFonts w:ascii="仿宋" w:hAnsi="仿宋" w:eastAsia="仿宋" w:cs="仿宋"/>
          <w:bCs/>
          <w:color w:val="auto"/>
          <w:kern w:val="0"/>
          <w:sz w:val="24"/>
          <w:szCs w:val="24"/>
          <w:highlight w:val="none"/>
        </w:rPr>
        <w:instrText xml:space="preserve">,√)</w:instrText>
      </w:r>
      <w:r>
        <w:rPr>
          <w:rFonts w:ascii="仿宋" w:hAnsi="仿宋" w:eastAsia="仿宋" w:cs="仿宋"/>
          <w:bCs/>
          <w:color w:val="auto"/>
          <w:kern w:val="0"/>
          <w:sz w:val="24"/>
          <w:szCs w:val="24"/>
          <w:highlight w:val="none"/>
        </w:rPr>
        <w:fldChar w:fldCharType="end"/>
      </w:r>
      <w:r>
        <w:rPr>
          <w:rFonts w:ascii="仿宋" w:hAnsi="仿宋" w:eastAsia="仿宋" w:cs="仿宋"/>
          <w:bCs/>
          <w:color w:val="auto"/>
          <w:kern w:val="0"/>
          <w:sz w:val="24"/>
          <w:szCs w:val="24"/>
          <w:highlight w:val="none"/>
        </w:rPr>
        <w:t>不存在利害关系     □存在下列利害关系：</w:t>
      </w:r>
    </w:p>
    <w:p>
      <w:pPr>
        <w:pStyle w:val="967"/>
        <w:widowControl/>
        <w:snapToGrid w:val="0"/>
        <w:spacing w:line="380" w:lineRule="exact"/>
        <w:ind w:firstLine="480" w:firstLineChars="200"/>
        <w:rPr>
          <w:rFonts w:hint="default" w:ascii="仿宋" w:hAnsi="仿宋" w:eastAsia="仿宋" w:cs="仿宋"/>
          <w:bCs/>
          <w:color w:val="auto"/>
          <w:kern w:val="0"/>
          <w:sz w:val="24"/>
          <w:szCs w:val="24"/>
          <w:highlight w:val="none"/>
        </w:rPr>
      </w:pPr>
      <w:r>
        <w:rPr>
          <w:rFonts w:ascii="仿宋" w:hAnsi="仿宋" w:eastAsia="仿宋" w:cs="仿宋"/>
          <w:bCs/>
          <w:color w:val="auto"/>
          <w:kern w:val="0"/>
          <w:sz w:val="24"/>
          <w:szCs w:val="24"/>
          <w:highlight w:val="none"/>
        </w:rPr>
        <w:t>A.投资关系    B.行政隶属关系    C.业务指导关系</w:t>
      </w:r>
    </w:p>
    <w:p>
      <w:pPr>
        <w:pStyle w:val="967"/>
        <w:widowControl/>
        <w:snapToGrid w:val="0"/>
        <w:spacing w:line="380" w:lineRule="exact"/>
        <w:ind w:firstLine="480" w:firstLineChars="200"/>
        <w:rPr>
          <w:rFonts w:hint="default" w:ascii="仿宋" w:hAnsi="仿宋" w:eastAsia="仿宋" w:cs="仿宋"/>
          <w:bCs/>
          <w:color w:val="auto"/>
          <w:kern w:val="0"/>
          <w:sz w:val="24"/>
          <w:szCs w:val="24"/>
          <w:highlight w:val="none"/>
        </w:rPr>
      </w:pPr>
      <w:r>
        <w:rPr>
          <w:rFonts w:ascii="仿宋" w:hAnsi="仿宋" w:eastAsia="仿宋" w:cs="仿宋"/>
          <w:bCs/>
          <w:color w:val="auto"/>
          <w:kern w:val="0"/>
          <w:sz w:val="24"/>
          <w:szCs w:val="24"/>
          <w:highlight w:val="none"/>
        </w:rPr>
        <w:t>D.其他可能</w:t>
      </w:r>
      <w:r>
        <w:rPr>
          <w:rFonts w:ascii="仿宋" w:hAnsi="仿宋" w:eastAsia="仿宋" w:cs="仿宋"/>
          <w:bCs/>
          <w:color w:val="auto"/>
          <w:sz w:val="24"/>
          <w:szCs w:val="24"/>
          <w:highlight w:val="none"/>
        </w:rPr>
        <w:t>影响招标公正的</w:t>
      </w:r>
      <w:r>
        <w:rPr>
          <w:rFonts w:ascii="仿宋" w:hAnsi="仿宋" w:eastAsia="仿宋" w:cs="仿宋"/>
          <w:bCs/>
          <w:color w:val="auto"/>
          <w:kern w:val="0"/>
          <w:sz w:val="24"/>
          <w:szCs w:val="24"/>
          <w:highlight w:val="none"/>
        </w:rPr>
        <w:t>利害关系</w:t>
      </w:r>
      <w:r>
        <w:rPr>
          <w:rFonts w:ascii="仿宋" w:hAnsi="仿宋" w:eastAsia="仿宋" w:cs="仿宋"/>
          <w:bCs/>
          <w:color w:val="auto"/>
          <w:kern w:val="0"/>
          <w:sz w:val="24"/>
          <w:szCs w:val="24"/>
          <w:highlight w:val="none"/>
          <w:u w:val="single"/>
        </w:rPr>
        <w:t xml:space="preserve">（如有，请如实说明）             </w:t>
      </w:r>
      <w:r>
        <w:rPr>
          <w:rFonts w:ascii="仿宋" w:hAnsi="仿宋" w:eastAsia="仿宋" w:cs="仿宋"/>
          <w:bCs/>
          <w:color w:val="auto"/>
          <w:kern w:val="0"/>
          <w:sz w:val="24"/>
          <w:szCs w:val="24"/>
          <w:highlight w:val="none"/>
        </w:rPr>
        <w:t>。</w:t>
      </w:r>
    </w:p>
    <w:p>
      <w:pPr>
        <w:pStyle w:val="967"/>
        <w:widowControl/>
        <w:snapToGrid w:val="0"/>
        <w:spacing w:line="380" w:lineRule="exact"/>
        <w:ind w:firstLine="504" w:firstLineChars="200"/>
        <w:rPr>
          <w:rFonts w:hint="default" w:ascii="仿宋" w:hAnsi="仿宋" w:eastAsia="仿宋" w:cs="仿宋"/>
          <w:bCs/>
          <w:color w:val="auto"/>
          <w:kern w:val="0"/>
          <w:sz w:val="24"/>
          <w:szCs w:val="24"/>
          <w:highlight w:val="none"/>
        </w:rPr>
      </w:pPr>
      <w:r>
        <w:rPr>
          <w:rFonts w:ascii="仿宋" w:hAnsi="仿宋" w:eastAsia="仿宋" w:cs="仿宋"/>
          <w:bCs/>
          <w:color w:val="auto"/>
          <w:spacing w:val="6"/>
          <w:sz w:val="24"/>
          <w:szCs w:val="24"/>
          <w:highlight w:val="none"/>
        </w:rPr>
        <w:t>二、</w:t>
      </w:r>
      <w:r>
        <w:rPr>
          <w:rFonts w:ascii="仿宋" w:hAnsi="仿宋" w:eastAsia="仿宋" w:cs="仿宋"/>
          <w:bCs/>
          <w:color w:val="auto"/>
          <w:kern w:val="0"/>
          <w:sz w:val="24"/>
          <w:szCs w:val="24"/>
          <w:highlight w:val="none"/>
        </w:rPr>
        <w:t>现已清楚知道参加本项目</w:t>
      </w:r>
      <w:r>
        <w:rPr>
          <w:rFonts w:ascii="仿宋" w:hAnsi="仿宋" w:eastAsia="仿宋" w:cs="仿宋"/>
          <w:bCs/>
          <w:color w:val="auto"/>
          <w:sz w:val="24"/>
          <w:szCs w:val="24"/>
          <w:highlight w:val="none"/>
        </w:rPr>
        <w:t>招标</w:t>
      </w:r>
      <w:r>
        <w:rPr>
          <w:rFonts w:ascii="仿宋" w:hAnsi="仿宋" w:eastAsia="仿宋" w:cs="仿宋"/>
          <w:bCs/>
          <w:color w:val="auto"/>
          <w:kern w:val="0"/>
          <w:sz w:val="24"/>
          <w:szCs w:val="24"/>
          <w:highlight w:val="none"/>
        </w:rPr>
        <w:t>活动的其他所有供应商名称，本</w:t>
      </w:r>
      <w:r>
        <w:rPr>
          <w:rFonts w:ascii="仿宋" w:hAnsi="仿宋" w:eastAsia="仿宋" w:cs="仿宋"/>
          <w:bCs/>
          <w:color w:val="auto"/>
          <w:spacing w:val="6"/>
          <w:sz w:val="24"/>
          <w:szCs w:val="24"/>
          <w:highlight w:val="none"/>
        </w:rPr>
        <w:t>公司</w:t>
      </w:r>
      <w:r>
        <w:rPr>
          <w:rFonts w:ascii="仿宋" w:hAnsi="仿宋" w:eastAsia="仿宋" w:cs="仿宋"/>
          <w:bCs/>
          <w:color w:val="auto"/>
          <w:kern w:val="0"/>
          <w:sz w:val="24"/>
          <w:szCs w:val="24"/>
          <w:highlight w:val="none"/>
        </w:rPr>
        <w:fldChar w:fldCharType="begin"/>
      </w:r>
      <w:r>
        <w:rPr>
          <w:rFonts w:ascii="仿宋" w:hAnsi="仿宋" w:eastAsia="仿宋" w:cs="仿宋"/>
          <w:bCs/>
          <w:color w:val="auto"/>
          <w:kern w:val="0"/>
          <w:sz w:val="24"/>
          <w:szCs w:val="24"/>
          <w:highlight w:val="none"/>
        </w:rPr>
        <w:instrText xml:space="preserve"> eq \o\ac(</w:instrText>
      </w:r>
      <w:r>
        <w:rPr>
          <w:rFonts w:ascii="仿宋" w:hAnsi="仿宋" w:eastAsia="仿宋" w:cs="仿宋"/>
          <w:bCs/>
          <w:color w:val="auto"/>
          <w:kern w:val="0"/>
          <w:position w:val="-4"/>
          <w:sz w:val="36"/>
          <w:szCs w:val="24"/>
          <w:highlight w:val="none"/>
        </w:rPr>
        <w:instrText xml:space="preserve">□</w:instrText>
      </w:r>
      <w:r>
        <w:rPr>
          <w:rFonts w:ascii="仿宋" w:hAnsi="仿宋" w:eastAsia="仿宋" w:cs="仿宋"/>
          <w:bCs/>
          <w:color w:val="auto"/>
          <w:kern w:val="0"/>
          <w:sz w:val="24"/>
          <w:szCs w:val="24"/>
          <w:highlight w:val="none"/>
        </w:rPr>
        <w:instrText xml:space="preserve">,√)</w:instrText>
      </w:r>
      <w:r>
        <w:rPr>
          <w:rFonts w:ascii="仿宋" w:hAnsi="仿宋" w:eastAsia="仿宋" w:cs="仿宋"/>
          <w:bCs/>
          <w:color w:val="auto"/>
          <w:kern w:val="0"/>
          <w:sz w:val="24"/>
          <w:szCs w:val="24"/>
          <w:highlight w:val="none"/>
        </w:rPr>
        <w:fldChar w:fldCharType="end"/>
      </w:r>
      <w:r>
        <w:rPr>
          <w:rFonts w:ascii="仿宋" w:hAnsi="仿宋" w:eastAsia="仿宋" w:cs="仿宋"/>
          <w:bCs/>
          <w:color w:val="auto"/>
          <w:kern w:val="0"/>
          <w:sz w:val="24"/>
          <w:szCs w:val="24"/>
          <w:highlight w:val="none"/>
        </w:rPr>
        <w:t>与其他所有供应商之间均不存在利害关系</w:t>
      </w:r>
    </w:p>
    <w:p>
      <w:pPr>
        <w:pStyle w:val="967"/>
        <w:widowControl/>
        <w:snapToGrid w:val="0"/>
        <w:spacing w:line="380" w:lineRule="exact"/>
        <w:ind w:firstLine="480" w:firstLineChars="200"/>
        <w:rPr>
          <w:rFonts w:hint="default" w:ascii="仿宋" w:hAnsi="仿宋" w:eastAsia="仿宋" w:cs="仿宋"/>
          <w:bCs/>
          <w:color w:val="auto"/>
          <w:kern w:val="0"/>
          <w:sz w:val="24"/>
          <w:szCs w:val="24"/>
          <w:highlight w:val="none"/>
        </w:rPr>
      </w:pPr>
      <w:r>
        <w:rPr>
          <w:rFonts w:ascii="仿宋" w:hAnsi="仿宋" w:eastAsia="仿宋" w:cs="仿宋"/>
          <w:bCs/>
          <w:color w:val="auto"/>
          <w:kern w:val="0"/>
          <w:sz w:val="24"/>
          <w:szCs w:val="24"/>
          <w:highlight w:val="none"/>
        </w:rPr>
        <w:t>□与</w:t>
      </w:r>
      <w:r>
        <w:rPr>
          <w:rFonts w:ascii="仿宋" w:hAnsi="仿宋" w:eastAsia="仿宋" w:cs="仿宋"/>
          <w:bCs/>
          <w:color w:val="auto"/>
          <w:kern w:val="0"/>
          <w:sz w:val="24"/>
          <w:szCs w:val="24"/>
          <w:highlight w:val="none"/>
          <w:u w:val="single"/>
        </w:rPr>
        <w:t xml:space="preserve">                        （供应商名称）</w:t>
      </w:r>
      <w:r>
        <w:rPr>
          <w:rFonts w:ascii="仿宋" w:hAnsi="仿宋" w:eastAsia="仿宋" w:cs="仿宋"/>
          <w:bCs/>
          <w:color w:val="auto"/>
          <w:kern w:val="0"/>
          <w:sz w:val="24"/>
          <w:szCs w:val="24"/>
          <w:highlight w:val="none"/>
        </w:rPr>
        <w:t>之间存在下列利害关系：</w:t>
      </w:r>
    </w:p>
    <w:p>
      <w:pPr>
        <w:pStyle w:val="966"/>
        <w:widowControl w:val="0"/>
        <w:snapToGrid w:val="0"/>
        <w:spacing w:line="380" w:lineRule="exact"/>
        <w:ind w:firstLine="480" w:firstLineChars="200"/>
        <w:jc w:val="both"/>
        <w:rPr>
          <w:rFonts w:hint="default" w:ascii="仿宋" w:hAnsi="仿宋" w:eastAsia="仿宋" w:cs="仿宋"/>
          <w:bCs/>
          <w:color w:val="auto"/>
          <w:kern w:val="0"/>
          <w:sz w:val="24"/>
          <w:szCs w:val="24"/>
          <w:highlight w:val="none"/>
        </w:rPr>
      </w:pPr>
      <w:r>
        <w:rPr>
          <w:rFonts w:ascii="仿宋" w:hAnsi="仿宋" w:eastAsia="仿宋" w:cs="仿宋"/>
          <w:bCs/>
          <w:color w:val="auto"/>
          <w:kern w:val="0"/>
          <w:sz w:val="24"/>
          <w:szCs w:val="24"/>
          <w:highlight w:val="none"/>
        </w:rPr>
        <w:t>A.法定代表人或负责人或实际控制人是同一人</w:t>
      </w:r>
    </w:p>
    <w:p>
      <w:pPr>
        <w:pStyle w:val="966"/>
        <w:widowControl w:val="0"/>
        <w:snapToGrid w:val="0"/>
        <w:spacing w:line="380" w:lineRule="exact"/>
        <w:ind w:firstLine="480" w:firstLineChars="200"/>
        <w:jc w:val="both"/>
        <w:rPr>
          <w:rFonts w:hint="default" w:ascii="仿宋" w:hAnsi="仿宋" w:eastAsia="仿宋" w:cs="仿宋"/>
          <w:bCs/>
          <w:color w:val="auto"/>
          <w:spacing w:val="6"/>
          <w:sz w:val="24"/>
          <w:szCs w:val="24"/>
          <w:highlight w:val="none"/>
        </w:rPr>
      </w:pPr>
      <w:r>
        <w:rPr>
          <w:rFonts w:ascii="仿宋" w:hAnsi="仿宋" w:eastAsia="仿宋" w:cs="仿宋"/>
          <w:bCs/>
          <w:color w:val="auto"/>
          <w:kern w:val="0"/>
          <w:sz w:val="24"/>
          <w:szCs w:val="24"/>
          <w:highlight w:val="none"/>
        </w:rPr>
        <w:t>B.法定代表人或负责人或实际控制人是夫妻关系</w:t>
      </w:r>
    </w:p>
    <w:p>
      <w:pPr>
        <w:pStyle w:val="966"/>
        <w:widowControl w:val="0"/>
        <w:snapToGrid w:val="0"/>
        <w:spacing w:line="380" w:lineRule="exact"/>
        <w:ind w:firstLine="480" w:firstLineChars="200"/>
        <w:jc w:val="both"/>
        <w:rPr>
          <w:rFonts w:hint="default" w:ascii="仿宋" w:hAnsi="仿宋" w:eastAsia="仿宋" w:cs="仿宋"/>
          <w:bCs/>
          <w:color w:val="auto"/>
          <w:spacing w:val="6"/>
          <w:sz w:val="24"/>
          <w:szCs w:val="24"/>
          <w:highlight w:val="none"/>
        </w:rPr>
      </w:pPr>
      <w:r>
        <w:rPr>
          <w:rFonts w:ascii="仿宋" w:hAnsi="仿宋" w:eastAsia="仿宋" w:cs="仿宋"/>
          <w:bCs/>
          <w:color w:val="auto"/>
          <w:kern w:val="0"/>
          <w:sz w:val="24"/>
          <w:szCs w:val="24"/>
          <w:highlight w:val="none"/>
        </w:rPr>
        <w:t>C.法定代表人或负责人或实际控制人是直系血亲关系</w:t>
      </w:r>
    </w:p>
    <w:p>
      <w:pPr>
        <w:pStyle w:val="966"/>
        <w:widowControl w:val="0"/>
        <w:snapToGrid w:val="0"/>
        <w:spacing w:line="380" w:lineRule="exact"/>
        <w:ind w:firstLine="464" w:firstLineChars="200"/>
        <w:jc w:val="both"/>
        <w:rPr>
          <w:rFonts w:hint="default" w:ascii="仿宋" w:hAnsi="仿宋" w:eastAsia="仿宋" w:cs="仿宋"/>
          <w:bCs/>
          <w:color w:val="auto"/>
          <w:spacing w:val="-4"/>
          <w:sz w:val="24"/>
          <w:szCs w:val="24"/>
          <w:highlight w:val="none"/>
        </w:rPr>
      </w:pPr>
      <w:r>
        <w:rPr>
          <w:rFonts w:ascii="仿宋" w:hAnsi="仿宋" w:eastAsia="仿宋" w:cs="仿宋"/>
          <w:bCs/>
          <w:color w:val="auto"/>
          <w:spacing w:val="-4"/>
          <w:kern w:val="0"/>
          <w:sz w:val="24"/>
          <w:szCs w:val="24"/>
          <w:highlight w:val="none"/>
        </w:rPr>
        <w:t>D.法定代表人或负责人或实际控制人存在三代以内旁系血亲关系</w:t>
      </w:r>
    </w:p>
    <w:p>
      <w:pPr>
        <w:pStyle w:val="966"/>
        <w:widowControl w:val="0"/>
        <w:snapToGrid w:val="0"/>
        <w:spacing w:line="380" w:lineRule="exact"/>
        <w:ind w:firstLine="480" w:firstLineChars="200"/>
        <w:jc w:val="both"/>
        <w:rPr>
          <w:rFonts w:hint="default" w:ascii="仿宋" w:hAnsi="仿宋" w:eastAsia="仿宋" w:cs="仿宋"/>
          <w:bCs/>
          <w:color w:val="auto"/>
          <w:kern w:val="0"/>
          <w:sz w:val="24"/>
          <w:szCs w:val="24"/>
          <w:highlight w:val="none"/>
        </w:rPr>
      </w:pPr>
      <w:r>
        <w:rPr>
          <w:rFonts w:ascii="仿宋" w:hAnsi="仿宋" w:eastAsia="仿宋" w:cs="仿宋"/>
          <w:bCs/>
          <w:color w:val="auto"/>
          <w:kern w:val="0"/>
          <w:sz w:val="24"/>
          <w:szCs w:val="24"/>
          <w:highlight w:val="none"/>
        </w:rPr>
        <w:t>E.法定代表人或负责人或实际控制人存在近姻亲关系</w:t>
      </w:r>
    </w:p>
    <w:p>
      <w:pPr>
        <w:pStyle w:val="966"/>
        <w:widowControl w:val="0"/>
        <w:snapToGrid w:val="0"/>
        <w:spacing w:line="380" w:lineRule="exact"/>
        <w:ind w:right="-380" w:rightChars="-181" w:firstLine="480" w:firstLineChars="200"/>
        <w:jc w:val="both"/>
        <w:rPr>
          <w:rFonts w:hint="default" w:ascii="仿宋" w:hAnsi="仿宋" w:eastAsia="仿宋" w:cs="仿宋"/>
          <w:bCs/>
          <w:color w:val="auto"/>
          <w:kern w:val="0"/>
          <w:sz w:val="24"/>
          <w:szCs w:val="24"/>
          <w:highlight w:val="none"/>
        </w:rPr>
      </w:pPr>
      <w:r>
        <w:rPr>
          <w:rFonts w:ascii="仿宋" w:hAnsi="仿宋" w:eastAsia="仿宋" w:cs="仿宋"/>
          <w:bCs/>
          <w:color w:val="auto"/>
          <w:kern w:val="0"/>
          <w:sz w:val="24"/>
          <w:szCs w:val="24"/>
          <w:highlight w:val="none"/>
        </w:rPr>
        <w:t>F.法定代表人或负责人或实际控制人存在股份控制或实际控制关系</w:t>
      </w:r>
    </w:p>
    <w:p>
      <w:pPr>
        <w:pStyle w:val="966"/>
        <w:widowControl w:val="0"/>
        <w:snapToGrid w:val="0"/>
        <w:spacing w:line="380" w:lineRule="exact"/>
        <w:ind w:firstLine="456" w:firstLineChars="200"/>
        <w:jc w:val="both"/>
        <w:outlineLvl w:val="0"/>
        <w:rPr>
          <w:rFonts w:hint="default" w:ascii="仿宋" w:hAnsi="仿宋" w:eastAsia="仿宋" w:cs="仿宋"/>
          <w:bCs/>
          <w:color w:val="auto"/>
          <w:spacing w:val="-6"/>
          <w:kern w:val="0"/>
          <w:sz w:val="24"/>
          <w:szCs w:val="24"/>
          <w:highlight w:val="none"/>
        </w:rPr>
      </w:pPr>
      <w:bookmarkStart w:id="436" w:name="_Toc31091"/>
      <w:bookmarkStart w:id="437" w:name="_Toc31327"/>
      <w:bookmarkStart w:id="438" w:name="_Toc30769"/>
      <w:r>
        <w:rPr>
          <w:rFonts w:ascii="仿宋" w:hAnsi="仿宋" w:eastAsia="仿宋" w:cs="仿宋"/>
          <w:bCs/>
          <w:color w:val="auto"/>
          <w:spacing w:val="-6"/>
          <w:kern w:val="0"/>
          <w:sz w:val="24"/>
          <w:szCs w:val="24"/>
          <w:highlight w:val="none"/>
        </w:rPr>
        <w:t>G.存在共同直接或间接投资设立子公司、联营企业和合营企业情况</w:t>
      </w:r>
      <w:bookmarkEnd w:id="436"/>
      <w:bookmarkEnd w:id="437"/>
      <w:bookmarkEnd w:id="438"/>
    </w:p>
    <w:p>
      <w:pPr>
        <w:pStyle w:val="966"/>
        <w:widowControl w:val="0"/>
        <w:snapToGrid w:val="0"/>
        <w:spacing w:line="380" w:lineRule="exact"/>
        <w:ind w:firstLine="480" w:firstLineChars="200"/>
        <w:jc w:val="both"/>
        <w:rPr>
          <w:rFonts w:hint="default" w:ascii="仿宋" w:hAnsi="仿宋" w:eastAsia="仿宋" w:cs="仿宋"/>
          <w:bCs/>
          <w:color w:val="auto"/>
          <w:sz w:val="24"/>
          <w:szCs w:val="24"/>
          <w:highlight w:val="none"/>
        </w:rPr>
      </w:pPr>
      <w:r>
        <w:rPr>
          <w:rFonts w:ascii="仿宋" w:hAnsi="仿宋" w:eastAsia="仿宋" w:cs="仿宋"/>
          <w:bCs/>
          <w:color w:val="auto"/>
          <w:kern w:val="0"/>
          <w:sz w:val="24"/>
          <w:szCs w:val="24"/>
          <w:highlight w:val="none"/>
        </w:rPr>
        <w:t>H.存在分级代理或代销关系、同一生产制造商关系、</w:t>
      </w:r>
      <w:r>
        <w:rPr>
          <w:rFonts w:ascii="仿宋" w:hAnsi="仿宋" w:eastAsia="仿宋" w:cs="仿宋"/>
          <w:bCs/>
          <w:color w:val="auto"/>
          <w:sz w:val="24"/>
          <w:szCs w:val="24"/>
          <w:highlight w:val="none"/>
        </w:rPr>
        <w:t>管理关系、重要业务（占主营业务收入50%以上）或重要财务往来关系（如融资）等其他实质性控制关系</w:t>
      </w:r>
    </w:p>
    <w:p>
      <w:pPr>
        <w:pStyle w:val="966"/>
        <w:widowControl w:val="0"/>
        <w:snapToGrid w:val="0"/>
        <w:spacing w:line="380" w:lineRule="exact"/>
        <w:ind w:firstLine="480" w:firstLineChars="200"/>
        <w:jc w:val="both"/>
        <w:rPr>
          <w:rFonts w:hint="default" w:ascii="仿宋" w:hAnsi="仿宋" w:eastAsia="仿宋" w:cs="仿宋"/>
          <w:bCs/>
          <w:color w:val="auto"/>
          <w:spacing w:val="6"/>
          <w:sz w:val="24"/>
          <w:szCs w:val="24"/>
          <w:highlight w:val="none"/>
        </w:rPr>
      </w:pPr>
      <w:r>
        <w:rPr>
          <w:rFonts w:ascii="仿宋" w:hAnsi="仿宋" w:eastAsia="仿宋" w:cs="仿宋"/>
          <w:bCs/>
          <w:color w:val="auto"/>
          <w:sz w:val="24"/>
          <w:szCs w:val="24"/>
          <w:highlight w:val="none"/>
        </w:rPr>
        <w:t>I</w:t>
      </w:r>
      <w:r>
        <w:rPr>
          <w:rFonts w:ascii="仿宋" w:hAnsi="仿宋" w:eastAsia="仿宋" w:cs="仿宋"/>
          <w:bCs/>
          <w:color w:val="auto"/>
          <w:kern w:val="0"/>
          <w:sz w:val="24"/>
          <w:szCs w:val="24"/>
          <w:highlight w:val="none"/>
        </w:rPr>
        <w:t>.</w:t>
      </w:r>
      <w:r>
        <w:rPr>
          <w:rFonts w:ascii="仿宋" w:hAnsi="仿宋" w:eastAsia="仿宋" w:cs="仿宋"/>
          <w:bCs/>
          <w:color w:val="auto"/>
          <w:sz w:val="24"/>
          <w:szCs w:val="24"/>
          <w:highlight w:val="none"/>
        </w:rPr>
        <w:t>其他利害关系情况</w:t>
      </w:r>
      <w:r>
        <w:rPr>
          <w:rFonts w:ascii="仿宋" w:hAnsi="仿宋" w:eastAsia="仿宋" w:cs="仿宋"/>
          <w:bCs/>
          <w:color w:val="auto"/>
          <w:sz w:val="24"/>
          <w:szCs w:val="24"/>
          <w:highlight w:val="none"/>
          <w:u w:val="single"/>
        </w:rPr>
        <w:t xml:space="preserve">             /                 </w:t>
      </w:r>
      <w:r>
        <w:rPr>
          <w:rFonts w:ascii="仿宋" w:hAnsi="仿宋" w:eastAsia="仿宋" w:cs="仿宋"/>
          <w:bCs/>
          <w:color w:val="auto"/>
          <w:kern w:val="0"/>
          <w:sz w:val="24"/>
          <w:szCs w:val="24"/>
          <w:highlight w:val="none"/>
        </w:rPr>
        <w:t>。</w:t>
      </w:r>
    </w:p>
    <w:p>
      <w:pPr>
        <w:pStyle w:val="967"/>
        <w:widowControl/>
        <w:snapToGrid w:val="0"/>
        <w:spacing w:line="380" w:lineRule="exact"/>
        <w:ind w:firstLine="480" w:firstLineChars="200"/>
        <w:rPr>
          <w:rFonts w:hint="default" w:ascii="仿宋" w:hAnsi="仿宋" w:eastAsia="仿宋" w:cs="仿宋"/>
          <w:bCs/>
          <w:color w:val="auto"/>
          <w:kern w:val="0"/>
          <w:sz w:val="24"/>
          <w:szCs w:val="24"/>
          <w:highlight w:val="none"/>
        </w:rPr>
      </w:pPr>
      <w:r>
        <w:rPr>
          <w:rFonts w:ascii="仿宋" w:hAnsi="仿宋" w:eastAsia="仿宋" w:cs="仿宋"/>
          <w:bCs/>
          <w:color w:val="auto"/>
          <w:sz w:val="24"/>
          <w:szCs w:val="24"/>
          <w:highlight w:val="none"/>
        </w:rPr>
        <w:t>三、现已清楚知道并</w:t>
      </w:r>
      <w:r>
        <w:rPr>
          <w:rFonts w:ascii="仿宋" w:hAnsi="仿宋" w:eastAsia="仿宋" w:cs="仿宋"/>
          <w:bCs/>
          <w:color w:val="auto"/>
          <w:kern w:val="0"/>
          <w:sz w:val="24"/>
          <w:szCs w:val="24"/>
          <w:highlight w:val="none"/>
        </w:rPr>
        <w:t>严格遵守</w:t>
      </w:r>
      <w:r>
        <w:rPr>
          <w:rFonts w:ascii="仿宋" w:hAnsi="仿宋" w:eastAsia="仿宋" w:cs="仿宋"/>
          <w:bCs/>
          <w:color w:val="auto"/>
          <w:sz w:val="24"/>
          <w:szCs w:val="24"/>
          <w:highlight w:val="none"/>
        </w:rPr>
        <w:t>招标</w:t>
      </w:r>
      <w:r>
        <w:rPr>
          <w:rFonts w:ascii="仿宋" w:hAnsi="仿宋" w:eastAsia="仿宋" w:cs="仿宋"/>
          <w:bCs/>
          <w:color w:val="auto"/>
          <w:kern w:val="0"/>
          <w:sz w:val="24"/>
          <w:szCs w:val="24"/>
          <w:highlight w:val="none"/>
        </w:rPr>
        <w:t>法律法规和现场纪律。</w:t>
      </w:r>
    </w:p>
    <w:p>
      <w:pPr>
        <w:pStyle w:val="967"/>
        <w:widowControl/>
        <w:snapToGrid w:val="0"/>
        <w:spacing w:line="380" w:lineRule="exact"/>
        <w:ind w:firstLine="480" w:firstLineChars="200"/>
        <w:rPr>
          <w:rFonts w:hint="default" w:ascii="仿宋" w:hAnsi="仿宋" w:eastAsia="仿宋" w:cs="仿宋"/>
          <w:bCs/>
          <w:color w:val="auto"/>
          <w:kern w:val="0"/>
          <w:sz w:val="24"/>
          <w:szCs w:val="24"/>
          <w:highlight w:val="none"/>
        </w:rPr>
      </w:pPr>
      <w:r>
        <w:rPr>
          <w:rFonts w:ascii="仿宋" w:hAnsi="仿宋" w:eastAsia="仿宋" w:cs="仿宋"/>
          <w:bCs/>
          <w:color w:val="auto"/>
          <w:kern w:val="0"/>
          <w:sz w:val="24"/>
          <w:szCs w:val="24"/>
          <w:highlight w:val="none"/>
        </w:rPr>
        <w:t>四、我发现</w:t>
      </w:r>
      <w:r>
        <w:rPr>
          <w:rFonts w:ascii="仿宋" w:hAnsi="仿宋" w:eastAsia="仿宋" w:cs="仿宋"/>
          <w:bCs/>
          <w:color w:val="auto"/>
          <w:kern w:val="0"/>
          <w:sz w:val="24"/>
          <w:szCs w:val="24"/>
          <w:highlight w:val="none"/>
          <w:u w:val="single"/>
        </w:rPr>
        <w:t xml:space="preserve">    /    </w:t>
      </w:r>
      <w:r>
        <w:rPr>
          <w:rFonts w:ascii="仿宋" w:hAnsi="仿宋" w:eastAsia="仿宋" w:cs="仿宋"/>
          <w:bCs/>
          <w:color w:val="auto"/>
          <w:kern w:val="0"/>
          <w:sz w:val="24"/>
          <w:szCs w:val="24"/>
          <w:highlight w:val="none"/>
        </w:rPr>
        <w:t>供应商之间存在或可能存在上述第二条第</w:t>
      </w:r>
      <w:r>
        <w:rPr>
          <w:rFonts w:ascii="仿宋" w:hAnsi="仿宋" w:eastAsia="仿宋" w:cs="仿宋"/>
          <w:bCs/>
          <w:color w:val="auto"/>
          <w:kern w:val="0"/>
          <w:sz w:val="24"/>
          <w:szCs w:val="24"/>
          <w:highlight w:val="none"/>
          <w:u w:val="single"/>
        </w:rPr>
        <w:t xml:space="preserve">    /    </w:t>
      </w:r>
      <w:r>
        <w:rPr>
          <w:rFonts w:ascii="仿宋" w:hAnsi="仿宋" w:eastAsia="仿宋" w:cs="仿宋"/>
          <w:bCs/>
          <w:color w:val="auto"/>
          <w:kern w:val="0"/>
          <w:sz w:val="24"/>
          <w:szCs w:val="24"/>
          <w:highlight w:val="none"/>
        </w:rPr>
        <w:t>项利害关系。</w:t>
      </w:r>
    </w:p>
    <w:p>
      <w:pPr>
        <w:pStyle w:val="966"/>
        <w:widowControl w:val="0"/>
        <w:snapToGrid w:val="0"/>
        <w:spacing w:line="380" w:lineRule="exact"/>
        <w:ind w:firstLine="480" w:firstLineChars="200"/>
        <w:jc w:val="both"/>
        <w:rPr>
          <w:rFonts w:hint="default" w:ascii="仿宋" w:hAnsi="仿宋" w:eastAsia="仿宋" w:cs="仿宋"/>
          <w:bCs/>
          <w:color w:val="auto"/>
          <w:sz w:val="24"/>
          <w:szCs w:val="24"/>
          <w:highlight w:val="none"/>
        </w:rPr>
      </w:pPr>
    </w:p>
    <w:p>
      <w:pPr>
        <w:pStyle w:val="966"/>
        <w:widowControl w:val="0"/>
        <w:snapToGrid w:val="0"/>
        <w:spacing w:line="380" w:lineRule="exact"/>
        <w:ind w:firstLine="480" w:firstLineChars="200"/>
        <w:jc w:val="both"/>
        <w:rPr>
          <w:rFonts w:hint="default" w:ascii="仿宋" w:hAnsi="仿宋" w:eastAsia="仿宋" w:cs="仿宋"/>
          <w:bCs/>
          <w:color w:val="auto"/>
          <w:sz w:val="24"/>
          <w:szCs w:val="24"/>
          <w:highlight w:val="none"/>
        </w:rPr>
      </w:pPr>
    </w:p>
    <w:p>
      <w:pPr>
        <w:pStyle w:val="966"/>
        <w:widowControl w:val="0"/>
        <w:snapToGrid w:val="0"/>
        <w:spacing w:line="380" w:lineRule="exact"/>
        <w:ind w:firstLine="4800" w:firstLineChars="2000"/>
        <w:jc w:val="both"/>
        <w:rPr>
          <w:rFonts w:hint="default" w:ascii="仿宋" w:hAnsi="仿宋" w:eastAsia="仿宋" w:cs="仿宋"/>
          <w:bCs/>
          <w:color w:val="auto"/>
          <w:sz w:val="24"/>
          <w:szCs w:val="24"/>
          <w:highlight w:val="none"/>
        </w:rPr>
      </w:pPr>
      <w:r>
        <w:rPr>
          <w:rFonts w:ascii="仿宋" w:hAnsi="仿宋" w:eastAsia="仿宋" w:cs="仿宋"/>
          <w:bCs/>
          <w:color w:val="auto"/>
          <w:sz w:val="24"/>
          <w:szCs w:val="24"/>
          <w:highlight w:val="none"/>
        </w:rPr>
        <w:t>供应商代表（签字并按手印）：</w:t>
      </w:r>
    </w:p>
    <w:p>
      <w:pPr>
        <w:pStyle w:val="966"/>
        <w:widowControl w:val="0"/>
        <w:snapToGrid w:val="0"/>
        <w:spacing w:line="380" w:lineRule="exact"/>
        <w:ind w:firstLine="480" w:firstLineChars="200"/>
        <w:jc w:val="both"/>
        <w:rPr>
          <w:rFonts w:hint="default" w:ascii="仿宋" w:hAnsi="仿宋" w:eastAsia="仿宋" w:cs="仿宋"/>
          <w:bCs/>
          <w:color w:val="auto"/>
          <w:sz w:val="24"/>
          <w:szCs w:val="24"/>
          <w:highlight w:val="none"/>
        </w:rPr>
      </w:pPr>
    </w:p>
    <w:p>
      <w:pPr>
        <w:tabs>
          <w:tab w:val="left" w:pos="465"/>
        </w:tabs>
        <w:ind w:firstLine="480" w:firstLineChars="200"/>
        <w:rPr>
          <w:rFonts w:ascii="仿宋" w:hAnsi="仿宋" w:eastAsia="仿宋" w:cs="仿宋"/>
          <w:color w:val="auto"/>
          <w:sz w:val="24"/>
          <w:highlight w:val="none"/>
        </w:rPr>
      </w:pPr>
      <w:r>
        <w:rPr>
          <w:rFonts w:hint="eastAsia" w:ascii="仿宋" w:hAnsi="仿宋" w:eastAsia="仿宋" w:cs="仿宋"/>
          <w:bCs/>
          <w:color w:val="auto"/>
          <w:kern w:val="0"/>
          <w:sz w:val="24"/>
          <w:highlight w:val="none"/>
        </w:rPr>
        <w:t xml:space="preserve">                                            年  月  日</w:t>
      </w:r>
    </w:p>
    <w:p>
      <w:pPr>
        <w:autoSpaceDE w:val="0"/>
        <w:autoSpaceDN w:val="0"/>
        <w:rPr>
          <w:rFonts w:ascii="仿宋" w:hAnsi="仿宋" w:eastAsia="仿宋" w:cs="仿宋"/>
          <w:color w:val="auto"/>
          <w:sz w:val="24"/>
          <w:highlight w:val="none"/>
          <w:u w:val="single"/>
        </w:rPr>
      </w:pPr>
    </w:p>
    <w:p>
      <w:pPr>
        <w:pStyle w:val="46"/>
        <w:rPr>
          <w:rFonts w:ascii="仿宋" w:hAnsi="仿宋" w:eastAsia="仿宋" w:cs="仿宋"/>
          <w:color w:val="auto"/>
          <w:sz w:val="24"/>
          <w:szCs w:val="24"/>
          <w:highlight w:val="none"/>
        </w:rPr>
      </w:pPr>
    </w:p>
    <w:p>
      <w:pPr>
        <w:snapToGrid w:val="0"/>
        <w:spacing w:before="50" w:after="50" w:line="360" w:lineRule="auto"/>
        <w:jc w:val="center"/>
        <w:rPr>
          <w:rFonts w:ascii="仿宋" w:hAnsi="仿宋" w:eastAsia="仿宋" w:cs="仿宋"/>
          <w:b/>
          <w:color w:val="auto"/>
          <w:sz w:val="24"/>
          <w:highlight w:val="none"/>
        </w:rPr>
      </w:pPr>
    </w:p>
    <w:p>
      <w:pPr>
        <w:snapToGrid w:val="0"/>
        <w:spacing w:before="50" w:after="50" w:line="360" w:lineRule="auto"/>
        <w:jc w:val="center"/>
        <w:rPr>
          <w:rFonts w:ascii="仿宋" w:hAnsi="仿宋" w:eastAsia="仿宋" w:cs="仿宋"/>
          <w:b/>
          <w:color w:val="auto"/>
          <w:sz w:val="24"/>
          <w:highlight w:val="none"/>
        </w:rPr>
      </w:pPr>
    </w:p>
    <w:p>
      <w:pPr>
        <w:snapToGrid w:val="0"/>
        <w:spacing w:before="50" w:after="50" w:line="360" w:lineRule="auto"/>
        <w:jc w:val="center"/>
        <w:rPr>
          <w:rFonts w:ascii="仿宋" w:hAnsi="仿宋" w:eastAsia="仿宋" w:cs="仿宋"/>
          <w:b/>
          <w:color w:val="auto"/>
          <w:sz w:val="24"/>
          <w:highlight w:val="none"/>
        </w:rPr>
      </w:pPr>
    </w:p>
    <w:p>
      <w:pPr>
        <w:ind w:firstLine="1434" w:firstLineChars="595"/>
        <w:rPr>
          <w:rFonts w:ascii="仿宋" w:hAnsi="仿宋" w:eastAsia="仿宋" w:cs="仿宋"/>
          <w:b/>
          <w:color w:val="auto"/>
          <w:kern w:val="0"/>
          <w:sz w:val="24"/>
          <w:highlight w:val="none"/>
        </w:rPr>
      </w:pPr>
    </w:p>
    <w:p>
      <w:pPr>
        <w:ind w:firstLine="1434" w:firstLineChars="595"/>
        <w:rPr>
          <w:rFonts w:ascii="仿宋" w:hAnsi="仿宋" w:eastAsia="仿宋" w:cs="仿宋"/>
          <w:b/>
          <w:color w:val="auto"/>
          <w:kern w:val="0"/>
          <w:sz w:val="24"/>
          <w:highlight w:val="none"/>
        </w:rPr>
      </w:pPr>
    </w:p>
    <w:p>
      <w:pPr>
        <w:ind w:firstLine="1434" w:firstLineChars="595"/>
        <w:rPr>
          <w:rFonts w:ascii="仿宋" w:hAnsi="仿宋" w:eastAsia="仿宋" w:cs="仿宋"/>
          <w:b/>
          <w:color w:val="auto"/>
          <w:kern w:val="0"/>
          <w:sz w:val="24"/>
          <w:highlight w:val="none"/>
        </w:rPr>
      </w:pPr>
    </w:p>
    <w:p>
      <w:pPr>
        <w:ind w:firstLine="1434" w:firstLineChars="595"/>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八、</w:t>
      </w:r>
      <w:r>
        <w:rPr>
          <w:rFonts w:hint="eastAsia" w:ascii="仿宋" w:hAnsi="仿宋" w:eastAsia="仿宋" w:cs="仿宋"/>
          <w:b/>
          <w:color w:val="auto"/>
          <w:kern w:val="0"/>
          <w:sz w:val="24"/>
          <w:highlight w:val="none"/>
          <w:lang w:val="zh-CN"/>
        </w:rPr>
        <w:t>政府采购供应商廉洁自律承诺书</w:t>
      </w:r>
    </w:p>
    <w:p>
      <w:pPr>
        <w:snapToGrid w:val="0"/>
        <w:spacing w:line="360" w:lineRule="auto"/>
        <w:rPr>
          <w:rFonts w:ascii="仿宋" w:hAnsi="仿宋" w:eastAsia="仿宋" w:cs="仿宋"/>
          <w:color w:val="auto"/>
          <w:sz w:val="24"/>
          <w:highlight w:val="none"/>
        </w:rPr>
      </w:pPr>
    </w:p>
    <w:p>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pP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一、不向项目有关人员及部门赠送礼金礼物、有价证券、回扣以及中介费、介绍费、咨询费等好处费；</w:t>
      </w:r>
    </w:p>
    <w:p>
      <w:pP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二、不为项目有关人员及部门报销应由你方单位或个人支付的费用；</w:t>
      </w:r>
    </w:p>
    <w:p>
      <w:pP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三、不向项目有关人员及部门提供有可能影响公正的宴请和健身娱乐等活动；</w:t>
      </w:r>
    </w:p>
    <w:p>
      <w:pP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pPr>
        <w:autoSpaceDE w:val="0"/>
        <w:autoSpaceDN w:val="0"/>
        <w:spacing w:line="360" w:lineRule="auto"/>
        <w:ind w:left="481" w:leftChars="229"/>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pPr>
        <w:autoSpaceDE w:val="0"/>
        <w:autoSpaceDN w:val="0"/>
        <w:spacing w:line="360" w:lineRule="auto"/>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等法律法规，诚实守信，合法经营，坚决抵制各种违法违纪行为。</w:t>
      </w:r>
    </w:p>
    <w:p>
      <w:pPr>
        <w:autoSpaceDE w:val="0"/>
        <w:autoSpaceDN w:val="0"/>
        <w:spacing w:line="360"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ascii="仿宋" w:hAnsi="仿宋" w:eastAsia="仿宋" w:cs="仿宋"/>
          <w:color w:val="auto"/>
          <w:kern w:val="0"/>
          <w:sz w:val="24"/>
          <w:highlight w:val="none"/>
          <w:lang w:val="zh-CN"/>
        </w:rPr>
      </w:pPr>
    </w:p>
    <w:p>
      <w:pPr>
        <w:autoSpaceDE w:val="0"/>
        <w:autoSpaceDN w:val="0"/>
        <w:spacing w:line="360" w:lineRule="auto"/>
        <w:ind w:left="2"/>
        <w:jc w:val="left"/>
        <w:rPr>
          <w:rFonts w:ascii="仿宋" w:hAnsi="仿宋" w:eastAsia="仿宋" w:cs="仿宋"/>
          <w:color w:val="auto"/>
          <w:kern w:val="0"/>
          <w:sz w:val="24"/>
          <w:highlight w:val="none"/>
          <w:lang w:val="zh-CN"/>
        </w:rPr>
      </w:pPr>
    </w:p>
    <w:p>
      <w:pPr>
        <w:autoSpaceDE w:val="0"/>
        <w:autoSpaceDN w:val="0"/>
        <w:spacing w:line="360" w:lineRule="auto"/>
        <w:ind w:left="2"/>
        <w:jc w:val="left"/>
        <w:rPr>
          <w:rFonts w:ascii="仿宋" w:hAnsi="仿宋" w:eastAsia="仿宋" w:cs="仿宋"/>
          <w:color w:val="auto"/>
          <w:kern w:val="0"/>
          <w:sz w:val="24"/>
          <w:highlight w:val="none"/>
          <w:lang w:val="zh-CN"/>
        </w:rPr>
      </w:pPr>
    </w:p>
    <w:p>
      <w:pPr>
        <w:autoSpaceDE w:val="0"/>
        <w:autoSpaceDN w:val="0"/>
        <w:spacing w:line="360" w:lineRule="auto"/>
        <w:ind w:left="2" w:leftChars="1" w:right="1120" w:firstLine="4560" w:firstLineChars="19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电子签章</w:t>
      </w:r>
      <w:r>
        <w:rPr>
          <w:rFonts w:hint="eastAsia" w:ascii="仿宋" w:hAnsi="仿宋" w:eastAsia="仿宋" w:cs="仿宋"/>
          <w:color w:val="auto"/>
          <w:kern w:val="0"/>
          <w:sz w:val="24"/>
          <w:highlight w:val="none"/>
          <w:lang w:val="zh-CN"/>
        </w:rPr>
        <w:t>）：</w:t>
      </w:r>
    </w:p>
    <w:p>
      <w:pPr>
        <w:spacing w:line="360" w:lineRule="auto"/>
        <w:ind w:left="4620" w:leftChars="2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pPr>
        <w:snapToGrid w:val="0"/>
        <w:spacing w:before="50" w:after="50" w:line="360" w:lineRule="auto"/>
        <w:jc w:val="center"/>
        <w:rPr>
          <w:rFonts w:ascii="仿宋" w:hAnsi="仿宋" w:eastAsia="仿宋" w:cs="仿宋"/>
          <w:b/>
          <w:color w:val="auto"/>
          <w:sz w:val="24"/>
          <w:highlight w:val="none"/>
        </w:rPr>
      </w:pPr>
    </w:p>
    <w:p>
      <w:pPr>
        <w:snapToGrid w:val="0"/>
        <w:spacing w:before="50" w:after="50" w:line="360" w:lineRule="auto"/>
        <w:jc w:val="center"/>
        <w:rPr>
          <w:rFonts w:ascii="仿宋" w:hAnsi="仿宋" w:eastAsia="仿宋" w:cs="仿宋"/>
          <w:b/>
          <w:color w:val="auto"/>
          <w:sz w:val="24"/>
          <w:highlight w:val="none"/>
        </w:rPr>
      </w:pPr>
    </w:p>
    <w:p>
      <w:pPr>
        <w:widowControl/>
        <w:spacing w:line="360" w:lineRule="auto"/>
        <w:ind w:left="150"/>
        <w:jc w:val="center"/>
        <w:rPr>
          <w:rFonts w:ascii="仿宋" w:hAnsi="仿宋" w:eastAsia="仿宋" w:cs="仿宋"/>
          <w:b/>
          <w:color w:val="auto"/>
          <w:kern w:val="0"/>
          <w:sz w:val="24"/>
          <w:highlight w:val="none"/>
        </w:rPr>
      </w:pPr>
    </w:p>
    <w:p>
      <w:pPr>
        <w:spacing w:line="360" w:lineRule="auto"/>
        <w:ind w:right="420" w:firstLine="2409" w:firstLineChars="1000"/>
        <w:rPr>
          <w:rFonts w:ascii="仿宋" w:hAnsi="仿宋" w:eastAsia="仿宋" w:cs="仿宋"/>
          <w:b/>
          <w:color w:val="auto"/>
          <w:kern w:val="0"/>
          <w:sz w:val="24"/>
          <w:highlight w:val="none"/>
        </w:rPr>
      </w:pPr>
    </w:p>
    <w:p>
      <w:pPr>
        <w:spacing w:line="360" w:lineRule="auto"/>
        <w:ind w:right="420" w:firstLine="2409" w:firstLineChars="1000"/>
        <w:rPr>
          <w:rFonts w:ascii="仿宋" w:hAnsi="仿宋" w:eastAsia="仿宋" w:cs="仿宋"/>
          <w:b/>
          <w:color w:val="auto"/>
          <w:kern w:val="0"/>
          <w:sz w:val="24"/>
          <w:highlight w:val="none"/>
        </w:rPr>
      </w:pPr>
    </w:p>
    <w:p>
      <w:pPr>
        <w:spacing w:line="360" w:lineRule="auto"/>
        <w:ind w:right="420" w:firstLine="2409" w:firstLineChars="1000"/>
        <w:rPr>
          <w:rFonts w:ascii="仿宋" w:hAnsi="仿宋" w:eastAsia="仿宋" w:cs="仿宋"/>
          <w:b/>
          <w:color w:val="auto"/>
          <w:kern w:val="0"/>
          <w:sz w:val="24"/>
          <w:highlight w:val="none"/>
        </w:rPr>
      </w:pPr>
    </w:p>
    <w:p>
      <w:pPr>
        <w:spacing w:line="360" w:lineRule="auto"/>
        <w:ind w:right="420" w:firstLine="2409" w:firstLineChars="10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商务技术文件部分</w:t>
      </w:r>
    </w:p>
    <w:p>
      <w:pPr>
        <w:spacing w:line="360" w:lineRule="auto"/>
        <w:jc w:val="center"/>
        <w:outlineLvl w:val="0"/>
        <w:rPr>
          <w:rFonts w:ascii="仿宋" w:hAnsi="仿宋" w:eastAsia="仿宋" w:cs="仿宋"/>
          <w:b/>
          <w:color w:val="auto"/>
          <w:kern w:val="0"/>
          <w:sz w:val="24"/>
          <w:highlight w:val="none"/>
        </w:rPr>
      </w:pPr>
    </w:p>
    <w:p>
      <w:pPr>
        <w:spacing w:line="360" w:lineRule="auto"/>
        <w:jc w:val="center"/>
        <w:outlineLvl w:val="0"/>
        <w:rPr>
          <w:rFonts w:ascii="仿宋" w:hAnsi="仿宋" w:eastAsia="仿宋" w:cs="仿宋"/>
          <w:b/>
          <w:color w:val="auto"/>
          <w:kern w:val="0"/>
          <w:sz w:val="24"/>
          <w:highlight w:val="none"/>
        </w:rPr>
      </w:pPr>
      <w:bookmarkStart w:id="439" w:name="_Toc2774"/>
      <w:bookmarkStart w:id="440" w:name="_Toc6754"/>
      <w:r>
        <w:rPr>
          <w:rFonts w:hint="eastAsia" w:ascii="仿宋" w:hAnsi="仿宋" w:eastAsia="仿宋" w:cs="仿宋"/>
          <w:b/>
          <w:color w:val="auto"/>
          <w:kern w:val="0"/>
          <w:sz w:val="24"/>
          <w:highlight w:val="none"/>
        </w:rPr>
        <w:t>目录</w:t>
      </w:r>
      <w:bookmarkEnd w:id="439"/>
      <w:bookmarkEnd w:id="440"/>
    </w:p>
    <w:p>
      <w:pPr>
        <w:snapToGrid w:val="0"/>
        <w:spacing w:line="360" w:lineRule="auto"/>
        <w:ind w:firstLine="960" w:firstLineChars="400"/>
        <w:rPr>
          <w:rFonts w:ascii="仿宋" w:hAnsi="仿宋" w:eastAsia="仿宋" w:cs="仿宋"/>
          <w:b/>
          <w:bCs/>
          <w:color w:val="auto"/>
          <w:sz w:val="24"/>
          <w:highlight w:val="none"/>
        </w:rPr>
      </w:pPr>
      <w:r>
        <w:rPr>
          <w:rFonts w:hint="eastAsia" w:ascii="仿宋" w:hAnsi="仿宋" w:eastAsia="仿宋" w:cs="仿宋"/>
          <w:color w:val="auto"/>
          <w:sz w:val="24"/>
          <w:highlight w:val="none"/>
        </w:rPr>
        <w:t>1.商务技术</w:t>
      </w:r>
      <w:r>
        <w:rPr>
          <w:rFonts w:hint="eastAsia" w:ascii="仿宋" w:hAnsi="仿宋" w:eastAsia="仿宋" w:cs="仿宋"/>
          <w:color w:val="auto"/>
          <w:sz w:val="24"/>
          <w:highlight w:val="none"/>
          <w:lang w:val="zh-CN"/>
        </w:rPr>
        <w:t>文件封面；</w:t>
      </w:r>
    </w:p>
    <w:p>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2.符合性审查资料；</w:t>
      </w:r>
    </w:p>
    <w:p>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3.评标标准相应的商务技术资料；</w:t>
      </w:r>
    </w:p>
    <w:p>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4.商务技术偏离表；</w:t>
      </w:r>
    </w:p>
    <w:p>
      <w:pPr>
        <w:snapToGrid w:val="0"/>
        <w:spacing w:line="360" w:lineRule="auto"/>
        <w:rPr>
          <w:rFonts w:ascii="仿宋" w:hAnsi="仿宋" w:eastAsia="仿宋" w:cs="仿宋"/>
          <w:color w:val="auto"/>
          <w:sz w:val="24"/>
          <w:highlight w:val="none"/>
        </w:rPr>
      </w:pPr>
    </w:p>
    <w:p>
      <w:pPr>
        <w:snapToGrid w:val="0"/>
        <w:spacing w:line="360" w:lineRule="auto"/>
        <w:jc w:val="center"/>
        <w:rPr>
          <w:rFonts w:ascii="仿宋" w:hAnsi="仿宋" w:eastAsia="仿宋" w:cs="仿宋"/>
          <w:b/>
          <w:color w:val="auto"/>
          <w:kern w:val="0"/>
          <w:sz w:val="24"/>
          <w:highlight w:val="none"/>
          <w:lang w:val="zh-CN"/>
        </w:rPr>
      </w:pPr>
    </w:p>
    <w:p>
      <w:pPr>
        <w:snapToGrid w:val="0"/>
        <w:spacing w:line="360" w:lineRule="auto"/>
        <w:jc w:val="center"/>
        <w:rPr>
          <w:rFonts w:ascii="仿宋" w:hAnsi="仿宋" w:eastAsia="仿宋" w:cs="仿宋"/>
          <w:b/>
          <w:color w:val="auto"/>
          <w:kern w:val="0"/>
          <w:sz w:val="24"/>
          <w:highlight w:val="none"/>
          <w:lang w:val="zh-CN"/>
        </w:rPr>
      </w:pPr>
    </w:p>
    <w:p>
      <w:pPr>
        <w:snapToGrid w:val="0"/>
        <w:spacing w:line="360" w:lineRule="auto"/>
        <w:jc w:val="center"/>
        <w:rPr>
          <w:rFonts w:ascii="仿宋" w:hAnsi="仿宋" w:eastAsia="仿宋" w:cs="仿宋"/>
          <w:b/>
          <w:color w:val="auto"/>
          <w:kern w:val="0"/>
          <w:sz w:val="24"/>
          <w:highlight w:val="none"/>
          <w:lang w:val="zh-CN"/>
        </w:rPr>
      </w:pPr>
    </w:p>
    <w:p>
      <w:pPr>
        <w:snapToGrid w:val="0"/>
        <w:spacing w:line="360" w:lineRule="auto"/>
        <w:jc w:val="center"/>
        <w:rPr>
          <w:rFonts w:ascii="仿宋" w:hAnsi="仿宋" w:eastAsia="仿宋" w:cs="仿宋"/>
          <w:b/>
          <w:color w:val="auto"/>
          <w:kern w:val="0"/>
          <w:sz w:val="24"/>
          <w:highlight w:val="none"/>
          <w:lang w:val="zh-CN"/>
        </w:rPr>
      </w:pPr>
    </w:p>
    <w:p>
      <w:pPr>
        <w:snapToGrid w:val="0"/>
        <w:spacing w:line="360" w:lineRule="auto"/>
        <w:jc w:val="center"/>
        <w:outlineLvl w:val="0"/>
        <w:rPr>
          <w:rFonts w:ascii="仿宋" w:hAnsi="仿宋" w:eastAsia="仿宋" w:cs="仿宋"/>
          <w:b/>
          <w:color w:val="auto"/>
          <w:kern w:val="0"/>
          <w:sz w:val="24"/>
          <w:highlight w:val="none"/>
        </w:rPr>
      </w:pPr>
    </w:p>
    <w:p>
      <w:pPr>
        <w:snapToGrid w:val="0"/>
        <w:spacing w:line="360" w:lineRule="auto"/>
        <w:jc w:val="center"/>
        <w:outlineLvl w:val="0"/>
        <w:rPr>
          <w:rFonts w:ascii="仿宋" w:hAnsi="仿宋" w:eastAsia="仿宋" w:cs="仿宋"/>
          <w:b/>
          <w:color w:val="auto"/>
          <w:kern w:val="0"/>
          <w:sz w:val="24"/>
          <w:highlight w:val="none"/>
        </w:rPr>
      </w:pPr>
    </w:p>
    <w:p>
      <w:pPr>
        <w:rPr>
          <w:rFonts w:ascii="仿宋" w:hAnsi="仿宋" w:eastAsia="仿宋" w:cs="仿宋"/>
          <w:color w:val="auto"/>
          <w:sz w:val="24"/>
          <w:highlight w:val="none"/>
        </w:rPr>
      </w:pPr>
    </w:p>
    <w:p>
      <w:pPr>
        <w:snapToGrid w:val="0"/>
        <w:spacing w:line="360" w:lineRule="auto"/>
        <w:jc w:val="center"/>
        <w:outlineLvl w:val="0"/>
        <w:rPr>
          <w:rFonts w:ascii="仿宋" w:hAnsi="仿宋" w:eastAsia="仿宋" w:cs="仿宋"/>
          <w:b/>
          <w:color w:val="auto"/>
          <w:kern w:val="0"/>
          <w:sz w:val="24"/>
          <w:highlight w:val="none"/>
        </w:rPr>
      </w:pPr>
    </w:p>
    <w:p>
      <w:pPr>
        <w:snapToGrid w:val="0"/>
        <w:spacing w:line="360" w:lineRule="auto"/>
        <w:jc w:val="center"/>
        <w:outlineLvl w:val="0"/>
        <w:rPr>
          <w:rFonts w:ascii="仿宋" w:hAnsi="仿宋" w:eastAsia="仿宋" w:cs="仿宋"/>
          <w:b/>
          <w:color w:val="auto"/>
          <w:kern w:val="0"/>
          <w:sz w:val="24"/>
          <w:highlight w:val="none"/>
        </w:rPr>
      </w:pPr>
    </w:p>
    <w:p>
      <w:pPr>
        <w:snapToGrid w:val="0"/>
        <w:spacing w:line="360" w:lineRule="auto"/>
        <w:jc w:val="center"/>
        <w:outlineLvl w:val="0"/>
        <w:rPr>
          <w:rFonts w:ascii="仿宋" w:hAnsi="仿宋" w:eastAsia="仿宋" w:cs="仿宋"/>
          <w:b/>
          <w:color w:val="auto"/>
          <w:kern w:val="0"/>
          <w:sz w:val="24"/>
          <w:highlight w:val="none"/>
        </w:rPr>
      </w:pPr>
    </w:p>
    <w:p>
      <w:pPr>
        <w:snapToGrid w:val="0"/>
        <w:spacing w:line="360" w:lineRule="auto"/>
        <w:jc w:val="center"/>
        <w:outlineLvl w:val="0"/>
        <w:rPr>
          <w:rFonts w:ascii="仿宋" w:hAnsi="仿宋" w:eastAsia="仿宋" w:cs="仿宋"/>
          <w:b/>
          <w:color w:val="auto"/>
          <w:kern w:val="0"/>
          <w:sz w:val="24"/>
          <w:highlight w:val="none"/>
        </w:rPr>
      </w:pPr>
    </w:p>
    <w:p>
      <w:pPr>
        <w:snapToGrid w:val="0"/>
        <w:spacing w:before="50" w:after="50" w:line="360" w:lineRule="auto"/>
        <w:jc w:val="center"/>
        <w:rPr>
          <w:rFonts w:ascii="仿宋" w:hAnsi="仿宋" w:eastAsia="仿宋" w:cs="仿宋"/>
          <w:b/>
          <w:color w:val="auto"/>
          <w:kern w:val="0"/>
          <w:sz w:val="24"/>
          <w:highlight w:val="none"/>
          <w:lang w:val="zh-CN"/>
        </w:rPr>
      </w:pPr>
    </w:p>
    <w:p>
      <w:pPr>
        <w:snapToGrid w:val="0"/>
        <w:spacing w:before="50" w:after="50" w:line="360" w:lineRule="auto"/>
        <w:jc w:val="center"/>
        <w:rPr>
          <w:rFonts w:ascii="仿宋" w:hAnsi="仿宋" w:eastAsia="仿宋" w:cs="仿宋"/>
          <w:b/>
          <w:color w:val="auto"/>
          <w:kern w:val="0"/>
          <w:sz w:val="24"/>
          <w:highlight w:val="none"/>
          <w:lang w:val="zh-CN"/>
        </w:rPr>
      </w:pPr>
    </w:p>
    <w:p>
      <w:pPr>
        <w:snapToGrid w:val="0"/>
        <w:spacing w:before="50" w:after="50" w:line="360" w:lineRule="auto"/>
        <w:jc w:val="center"/>
        <w:rPr>
          <w:rFonts w:ascii="仿宋" w:hAnsi="仿宋" w:eastAsia="仿宋" w:cs="仿宋"/>
          <w:b/>
          <w:color w:val="auto"/>
          <w:kern w:val="0"/>
          <w:sz w:val="24"/>
          <w:highlight w:val="none"/>
          <w:lang w:val="zh-CN"/>
        </w:rPr>
      </w:pPr>
    </w:p>
    <w:p>
      <w:pPr>
        <w:snapToGrid w:val="0"/>
        <w:spacing w:before="50" w:after="50" w:line="360" w:lineRule="auto"/>
        <w:jc w:val="center"/>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联合协议</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投标。</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 ；……。</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w:t>
      </w:r>
      <w:r>
        <w:rPr>
          <w:rFonts w:hint="eastAsia" w:ascii="仿宋" w:hAnsi="仿宋" w:eastAsia="仿宋" w:cs="仿宋"/>
          <w:color w:val="auto"/>
          <w:sz w:val="24"/>
          <w:highlight w:val="none"/>
        </w:rPr>
        <w:t>中小企业合同金额达到%，小微企业合同金额达到%</w:t>
      </w:r>
      <w:r>
        <w:rPr>
          <w:rFonts w:hint="eastAsia" w:ascii="仿宋" w:hAnsi="仿宋" w:eastAsia="仿宋" w:cs="仿宋"/>
          <w:color w:val="auto"/>
          <w:kern w:val="0"/>
          <w:sz w:val="24"/>
          <w:highlight w:val="none"/>
          <w:lang w:val="zh-CN"/>
        </w:rPr>
        <w:t>。</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760" w:firstLineChars="24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w:t>
      </w:r>
    </w:p>
    <w:p>
      <w:pPr>
        <w:snapToGrid w:val="0"/>
        <w:spacing w:line="360"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和中小企业声明函（附件5），分包意向协议中中小企业合同金额应当达到招标公告载明的比例；如果供应商本身提供所有标的均由中小企业制造或承接，视同符合了资格条件，无需再向中小企业分包，无需提供分包意向协议。</w:t>
      </w:r>
    </w:p>
    <w:p>
      <w:pPr>
        <w:snapToGrid w:val="0"/>
        <w:spacing w:line="360" w:lineRule="auto"/>
        <w:ind w:firstLine="2650" w:firstLineChars="11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分包意向协议</w:t>
      </w:r>
    </w:p>
    <w:p>
      <w:pPr>
        <w:widowControl/>
        <w:spacing w:line="360" w:lineRule="auto"/>
        <w:ind w:firstLine="120" w:firstLineChars="50"/>
        <w:jc w:val="left"/>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pPr>
        <w:pStyle w:val="4"/>
        <w:ind w:left="664" w:leftChars="316" w:firstLine="229" w:firstLineChars="95"/>
        <w:rPr>
          <w:rFonts w:ascii="仿宋" w:eastAsia="仿宋" w:cs="仿宋"/>
          <w:color w:val="auto"/>
          <w:sz w:val="24"/>
          <w:szCs w:val="24"/>
          <w:highlight w:val="none"/>
        </w:rPr>
      </w:pPr>
      <w:bookmarkStart w:id="441" w:name="_Toc17857"/>
      <w:bookmarkStart w:id="442" w:name="_Toc27350"/>
      <w:r>
        <w:rPr>
          <w:rFonts w:hint="eastAsia" w:ascii="仿宋" w:eastAsia="仿宋" w:cs="仿宋"/>
          <w:color w:val="auto"/>
          <w:kern w:val="0"/>
          <w:sz w:val="24"/>
          <w:szCs w:val="24"/>
          <w:highlight w:val="none"/>
        </w:rPr>
        <w:t>……</w:t>
      </w:r>
      <w:bookmarkEnd w:id="441"/>
      <w:bookmarkEnd w:id="442"/>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二、分包工作履行期限、地点、方式</w:t>
      </w:r>
    </w:p>
    <w:p>
      <w:pPr>
        <w:snapToGrid w:val="0"/>
        <w:spacing w:line="360" w:lineRule="auto"/>
        <w:ind w:firstLine="576"/>
        <w:rPr>
          <w:rFonts w:ascii="仿宋" w:hAnsi="仿宋" w:eastAsia="仿宋" w:cs="仿宋"/>
          <w:color w:val="auto"/>
          <w:sz w:val="24"/>
          <w:highlight w:val="none"/>
          <w:u w:val="single"/>
        </w:rPr>
      </w:pP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三、质量</w:t>
      </w:r>
    </w:p>
    <w:p>
      <w:pPr>
        <w:snapToGrid w:val="0"/>
        <w:spacing w:line="360" w:lineRule="auto"/>
        <w:ind w:firstLine="576"/>
        <w:rPr>
          <w:rFonts w:ascii="仿宋" w:hAnsi="仿宋" w:eastAsia="仿宋" w:cs="仿宋"/>
          <w:color w:val="auto"/>
          <w:kern w:val="0"/>
          <w:sz w:val="24"/>
          <w:highlight w:val="none"/>
          <w:lang w:val="zh-CN"/>
        </w:rPr>
      </w:pP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四、价款或者报酬</w:t>
      </w:r>
    </w:p>
    <w:p>
      <w:pPr>
        <w:snapToGrid w:val="0"/>
        <w:spacing w:line="360" w:lineRule="auto"/>
        <w:ind w:left="573" w:leftChars="273"/>
        <w:rPr>
          <w:rFonts w:ascii="仿宋" w:hAnsi="仿宋" w:eastAsia="仿宋" w:cs="仿宋"/>
          <w:color w:val="auto"/>
          <w:kern w:val="0"/>
          <w:sz w:val="24"/>
          <w:highlight w:val="none"/>
          <w:lang w:val="zh-CN"/>
        </w:rPr>
      </w:pPr>
    </w:p>
    <w:p>
      <w:pPr>
        <w:snapToGrid w:val="0"/>
        <w:spacing w:line="360" w:lineRule="auto"/>
        <w:ind w:left="573" w:leftChars="273"/>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五、违约责任</w:t>
      </w:r>
    </w:p>
    <w:p>
      <w:pPr>
        <w:snapToGrid w:val="0"/>
        <w:spacing w:line="360" w:lineRule="auto"/>
        <w:ind w:firstLine="576"/>
        <w:rPr>
          <w:rFonts w:ascii="仿宋" w:hAnsi="仿宋" w:eastAsia="仿宋" w:cs="仿宋"/>
          <w:color w:val="auto"/>
          <w:kern w:val="0"/>
          <w:sz w:val="24"/>
          <w:highlight w:val="none"/>
          <w:lang w:val="zh-CN"/>
        </w:rPr>
      </w:pP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六、争议解决的办法</w:t>
      </w:r>
    </w:p>
    <w:p>
      <w:pPr>
        <w:snapToGrid w:val="0"/>
        <w:spacing w:line="360" w:lineRule="auto"/>
        <w:ind w:firstLine="576"/>
        <w:rPr>
          <w:rFonts w:ascii="仿宋" w:hAnsi="仿宋" w:eastAsia="仿宋" w:cs="仿宋"/>
          <w:color w:val="auto"/>
          <w:kern w:val="0"/>
          <w:sz w:val="24"/>
          <w:highlight w:val="none"/>
          <w:lang w:val="zh-CN"/>
        </w:rPr>
      </w:pP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七、其他</w:t>
      </w:r>
    </w:p>
    <w:p>
      <w:pPr>
        <w:snapToGrid w:val="0"/>
        <w:spacing w:line="360" w:lineRule="auto"/>
        <w:ind w:left="5758" w:leftChars="342" w:hanging="5040" w:hangingChars="2100"/>
        <w:rPr>
          <w:rFonts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中小企业合同金额达到%，小微企业合同金额达到%</w:t>
      </w:r>
      <w:r>
        <w:rPr>
          <w:rFonts w:hint="eastAsia" w:ascii="仿宋" w:hAnsi="仿宋" w:eastAsia="仿宋" w:cs="仿宋"/>
          <w:color w:val="auto"/>
          <w:kern w:val="0"/>
          <w:sz w:val="24"/>
          <w:highlight w:val="none"/>
          <w:lang w:val="zh-CN"/>
        </w:rPr>
        <w:t xml:space="preserve">  。                                           投标人名称(电子签章)：</w:t>
      </w:r>
    </w:p>
    <w:p>
      <w:pPr>
        <w:snapToGrid w:val="0"/>
        <w:spacing w:line="360" w:lineRule="auto"/>
        <w:ind w:firstLine="5640" w:firstLineChars="235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w:t>
      </w:r>
    </w:p>
    <w:p>
      <w:pPr>
        <w:snapToGrid w:val="0"/>
        <w:spacing w:line="360" w:lineRule="auto"/>
        <w:ind w:firstLine="5760" w:firstLineChars="24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w:t>
      </w:r>
    </w:p>
    <w:p>
      <w:pPr>
        <w:spacing w:line="360" w:lineRule="auto"/>
        <w:jc w:val="center"/>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rPr>
        <w:t>三、</w:t>
      </w:r>
      <w:r>
        <w:rPr>
          <w:rFonts w:hint="eastAsia" w:ascii="仿宋" w:hAnsi="仿宋" w:eastAsia="仿宋" w:cs="仿宋"/>
          <w:b/>
          <w:color w:val="auto"/>
          <w:kern w:val="0"/>
          <w:sz w:val="24"/>
          <w:highlight w:val="none"/>
          <w:lang w:val="zh-CN"/>
        </w:rPr>
        <w:t>联合协议</w:t>
      </w:r>
    </w:p>
    <w:p>
      <w:pPr>
        <w:widowControl/>
        <w:spacing w:line="360"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投标。</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p>
    <w:p>
      <w:pPr>
        <w:snapToGrid w:val="0"/>
        <w:spacing w:line="360" w:lineRule="auto"/>
        <w:ind w:firstLine="576"/>
        <w:rPr>
          <w:rFonts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四、</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rPr>
        <w:t>提供的全部货物由小微企业制造，其合同份额占到合同总金额%以上；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 30%以上，对联合体报价给予</w:t>
      </w:r>
      <w:r>
        <w:rPr>
          <w:rFonts w:hint="eastAsia" w:ascii="仿宋" w:hAnsi="仿宋" w:eastAsia="仿宋" w:cs="仿宋"/>
          <w:b/>
          <w:color w:val="auto"/>
          <w:kern w:val="0"/>
          <w:sz w:val="24"/>
          <w:highlight w:val="none"/>
          <w:lang w:val="en-US" w:eastAsia="zh-CN"/>
        </w:rPr>
        <w:t>6</w:t>
      </w:r>
      <w:r>
        <w:rPr>
          <w:rFonts w:hint="eastAsia" w:ascii="仿宋" w:hAnsi="仿宋" w:eastAsia="仿宋" w:cs="仿宋"/>
          <w:b/>
          <w:color w:val="auto"/>
          <w:kern w:val="0"/>
          <w:sz w:val="24"/>
          <w:highlight w:val="none"/>
          <w:lang w:val="zh-CN"/>
        </w:rPr>
        <w:t>%的扣除）</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760" w:firstLineChars="24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w:t>
      </w:r>
    </w:p>
    <w:p>
      <w:pPr>
        <w:snapToGrid w:val="0"/>
        <w:spacing w:line="360"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snapToGrid w:val="0"/>
        <w:spacing w:line="360" w:lineRule="auto"/>
        <w:ind w:right="480"/>
        <w:rPr>
          <w:rFonts w:ascii="仿宋" w:hAnsi="仿宋" w:eastAsia="仿宋" w:cs="仿宋"/>
          <w:b/>
          <w:color w:val="auto"/>
          <w:kern w:val="0"/>
          <w:sz w:val="24"/>
          <w:highlight w:val="none"/>
          <w:lang w:val="zh-CN"/>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ind w:firstLine="2650" w:firstLineChars="11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四、分包意向协议</w:t>
      </w:r>
    </w:p>
    <w:p>
      <w:pPr>
        <w:widowControl/>
        <w:spacing w:line="360" w:lineRule="auto"/>
        <w:ind w:firstLine="120" w:firstLineChars="50"/>
        <w:jc w:val="left"/>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pPr>
        <w:pStyle w:val="4"/>
        <w:ind w:left="664" w:leftChars="316" w:firstLine="229" w:firstLineChars="95"/>
        <w:rPr>
          <w:rFonts w:ascii="仿宋" w:eastAsia="仿宋" w:cs="仿宋"/>
          <w:color w:val="auto"/>
          <w:sz w:val="24"/>
          <w:szCs w:val="24"/>
          <w:highlight w:val="none"/>
        </w:rPr>
      </w:pPr>
      <w:bookmarkStart w:id="443" w:name="_Toc31997"/>
      <w:bookmarkStart w:id="444" w:name="_Toc12557"/>
      <w:r>
        <w:rPr>
          <w:rFonts w:hint="eastAsia" w:ascii="仿宋" w:eastAsia="仿宋" w:cs="仿宋"/>
          <w:color w:val="auto"/>
          <w:kern w:val="0"/>
          <w:sz w:val="24"/>
          <w:szCs w:val="24"/>
          <w:highlight w:val="none"/>
        </w:rPr>
        <w:t>……</w:t>
      </w:r>
      <w:bookmarkEnd w:id="443"/>
      <w:bookmarkEnd w:id="444"/>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二、分包工作履行期限、地点、方式</w:t>
      </w:r>
    </w:p>
    <w:p>
      <w:pPr>
        <w:snapToGrid w:val="0"/>
        <w:spacing w:line="360" w:lineRule="auto"/>
        <w:ind w:firstLine="576"/>
        <w:rPr>
          <w:rFonts w:ascii="仿宋" w:hAnsi="仿宋" w:eastAsia="仿宋" w:cs="仿宋"/>
          <w:color w:val="auto"/>
          <w:sz w:val="24"/>
          <w:highlight w:val="none"/>
          <w:u w:val="single"/>
        </w:rPr>
      </w:pP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三、质量</w:t>
      </w:r>
    </w:p>
    <w:p>
      <w:pPr>
        <w:snapToGrid w:val="0"/>
        <w:spacing w:line="360" w:lineRule="auto"/>
        <w:ind w:firstLine="576"/>
        <w:rPr>
          <w:rFonts w:ascii="仿宋" w:hAnsi="仿宋" w:eastAsia="仿宋" w:cs="仿宋"/>
          <w:color w:val="auto"/>
          <w:kern w:val="0"/>
          <w:sz w:val="24"/>
          <w:highlight w:val="none"/>
          <w:lang w:val="zh-CN"/>
        </w:rPr>
      </w:pP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四、价款或者报酬</w:t>
      </w:r>
    </w:p>
    <w:p>
      <w:pPr>
        <w:snapToGrid w:val="0"/>
        <w:spacing w:line="360" w:lineRule="auto"/>
        <w:ind w:left="573" w:leftChars="273"/>
        <w:rPr>
          <w:rFonts w:ascii="仿宋" w:hAnsi="仿宋" w:eastAsia="仿宋" w:cs="仿宋"/>
          <w:color w:val="auto"/>
          <w:kern w:val="0"/>
          <w:sz w:val="24"/>
          <w:highlight w:val="none"/>
          <w:lang w:val="zh-CN"/>
        </w:rPr>
      </w:pPr>
    </w:p>
    <w:p>
      <w:pPr>
        <w:snapToGrid w:val="0"/>
        <w:spacing w:line="360" w:lineRule="auto"/>
        <w:ind w:left="573" w:leftChars="273"/>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五、违约责任</w:t>
      </w:r>
    </w:p>
    <w:p>
      <w:pPr>
        <w:snapToGrid w:val="0"/>
        <w:spacing w:line="360" w:lineRule="auto"/>
        <w:ind w:firstLine="576"/>
        <w:rPr>
          <w:rFonts w:ascii="仿宋" w:hAnsi="仿宋" w:eastAsia="仿宋" w:cs="仿宋"/>
          <w:color w:val="auto"/>
          <w:kern w:val="0"/>
          <w:sz w:val="24"/>
          <w:highlight w:val="none"/>
          <w:lang w:val="zh-CN"/>
        </w:rPr>
      </w:pP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六、争议解决的办法</w:t>
      </w:r>
    </w:p>
    <w:p>
      <w:pPr>
        <w:snapToGrid w:val="0"/>
        <w:spacing w:line="360" w:lineRule="auto"/>
        <w:ind w:firstLine="576"/>
        <w:rPr>
          <w:rFonts w:ascii="仿宋" w:hAnsi="仿宋" w:eastAsia="仿宋" w:cs="仿宋"/>
          <w:color w:val="auto"/>
          <w:kern w:val="0"/>
          <w:sz w:val="24"/>
          <w:highlight w:val="none"/>
          <w:lang w:val="zh-CN"/>
        </w:rPr>
      </w:pP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七、其他</w:t>
      </w:r>
    </w:p>
    <w:p>
      <w:pPr>
        <w:snapToGrid w:val="0"/>
        <w:spacing w:line="360" w:lineRule="auto"/>
        <w:ind w:firstLine="576"/>
        <w:rPr>
          <w:rFonts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u w:val="single"/>
        </w:rPr>
        <w:t>（分包供应商名称）提供的货物全部由小微企业制造，</w:t>
      </w:r>
      <w:r>
        <w:rPr>
          <w:rFonts w:hint="eastAsia" w:ascii="仿宋" w:hAnsi="仿宋" w:eastAsia="仿宋" w:cs="仿宋"/>
          <w:color w:val="auto"/>
          <w:kern w:val="0"/>
          <w:sz w:val="24"/>
          <w:highlight w:val="none"/>
        </w:rPr>
        <w:t>其合同份额占到合同总金额%以上</w:t>
      </w:r>
      <w:r>
        <w:rPr>
          <w:rFonts w:hint="eastAsia" w:ascii="仿宋" w:hAnsi="仿宋" w:eastAsia="仿宋" w:cs="仿宋"/>
          <w:color w:val="auto"/>
          <w:sz w:val="24"/>
          <w:highlight w:val="none"/>
        </w:rPr>
        <w:t>。</w:t>
      </w:r>
      <w:r>
        <w:rPr>
          <w:rFonts w:hint="eastAsia" w:ascii="仿宋" w:hAnsi="仿宋" w:eastAsia="仿宋" w:cs="仿宋"/>
          <w:b/>
          <w:color w:val="auto"/>
          <w:kern w:val="0"/>
          <w:sz w:val="24"/>
          <w:highlight w:val="none"/>
          <w:lang w:val="zh-CN"/>
        </w:rPr>
        <w:t>（未预留份额专门面向中小企业采购的的采购项目，以及预留份额中的非预留部分采购包，允许分包的，分包供应商提供的货物全部由小微企业制造，且其合同份额占到合同总金额 30%以上的，对大中型企业的报价给予</w:t>
      </w:r>
      <w:r>
        <w:rPr>
          <w:rFonts w:hint="eastAsia" w:ascii="仿宋" w:hAnsi="仿宋" w:eastAsia="仿宋" w:cs="仿宋"/>
          <w:b/>
          <w:color w:val="auto"/>
          <w:kern w:val="0"/>
          <w:sz w:val="24"/>
          <w:highlight w:val="none"/>
          <w:lang w:val="en-US" w:eastAsia="zh-CN"/>
        </w:rPr>
        <w:t>6</w:t>
      </w:r>
      <w:r>
        <w:rPr>
          <w:rFonts w:hint="eastAsia" w:ascii="仿宋" w:hAnsi="仿宋" w:eastAsia="仿宋" w:cs="仿宋"/>
          <w:b/>
          <w:color w:val="auto"/>
          <w:kern w:val="0"/>
          <w:sz w:val="24"/>
          <w:highlight w:val="none"/>
          <w:lang w:val="zh-CN"/>
        </w:rPr>
        <w:t>%的扣除）</w:t>
      </w:r>
    </w:p>
    <w:p>
      <w:pPr>
        <w:snapToGrid w:val="0"/>
        <w:spacing w:line="360"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投标人名称(电子签章)：</w:t>
      </w:r>
    </w:p>
    <w:p>
      <w:pPr>
        <w:snapToGrid w:val="0"/>
        <w:spacing w:line="360" w:lineRule="auto"/>
        <w:ind w:firstLine="5640" w:firstLineChars="235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w:t>
      </w:r>
    </w:p>
    <w:p>
      <w:pPr>
        <w:snapToGrid w:val="0"/>
        <w:spacing w:line="360" w:lineRule="auto"/>
        <w:ind w:firstLine="5760" w:firstLineChars="24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w:t>
      </w:r>
    </w:p>
    <w:p>
      <w:pPr>
        <w:snapToGrid w:val="0"/>
        <w:spacing w:line="360"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jc w:val="center"/>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五、符合性审查资料</w:t>
      </w:r>
    </w:p>
    <w:p>
      <w:pPr>
        <w:jc w:val="center"/>
        <w:rPr>
          <w:rFonts w:ascii="仿宋" w:hAnsi="仿宋" w:eastAsia="仿宋" w:cs="仿宋"/>
          <w:b/>
          <w:color w:val="auto"/>
          <w:kern w:val="0"/>
          <w:sz w:val="24"/>
          <w:highlight w:val="none"/>
        </w:rPr>
      </w:pPr>
    </w:p>
    <w:tbl>
      <w:tblPr>
        <w:tblStyle w:val="7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pPr>
              <w:snapToGrid w:val="0"/>
              <w:spacing w:line="240" w:lineRule="atLeas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pPr>
              <w:snapToGrid w:val="0"/>
              <w:spacing w:line="240" w:lineRule="atLeas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pPr>
              <w:snapToGrid w:val="0"/>
              <w:spacing w:line="240" w:lineRule="atLeas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pPr>
              <w:snapToGrid w:val="0"/>
              <w:spacing w:line="240" w:lineRule="atLeas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0" w:hRule="atLeast"/>
        </w:trPr>
        <w:tc>
          <w:tcPr>
            <w:tcW w:w="646"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Pr>
          <w:p>
            <w:pPr>
              <w:rPr>
                <w:rFonts w:ascii="仿宋" w:hAnsi="仿宋" w:eastAsia="仿宋" w:cs="仿宋"/>
                <w:color w:val="auto"/>
                <w:sz w:val="24"/>
                <w:highlight w:val="none"/>
              </w:rPr>
            </w:pPr>
          </w:p>
          <w:p>
            <w:pPr>
              <w:rPr>
                <w:rFonts w:ascii="仿宋" w:hAnsi="仿宋" w:eastAsia="仿宋" w:cs="仿宋"/>
                <w:color w:val="auto"/>
                <w:sz w:val="24"/>
                <w:highlight w:val="none"/>
              </w:rPr>
            </w:pPr>
            <w:r>
              <w:rPr>
                <w:rFonts w:hint="eastAsia" w:ascii="仿宋" w:hAnsi="仿宋" w:eastAsia="仿宋" w:cs="仿宋"/>
                <w:color w:val="auto"/>
                <w:sz w:val="24"/>
                <w:highlight w:val="none"/>
              </w:rPr>
              <w:t>见投标文件</w:t>
            </w:r>
          </w:p>
          <w:p>
            <w:pPr>
              <w:rPr>
                <w:rFonts w:ascii="仿宋" w:hAnsi="仿宋" w:eastAsia="仿宋" w:cs="仿宋"/>
                <w:color w:val="auto"/>
                <w:sz w:val="24"/>
                <w:highlight w:val="none"/>
              </w:rPr>
            </w:pPr>
            <w:r>
              <w:rPr>
                <w:rFonts w:hint="eastAsia" w:ascii="仿宋" w:hAnsi="仿宋" w:eastAsia="仿宋" w:cs="仿宋"/>
                <w:color w:val="auto"/>
                <w:sz w:val="24"/>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0" w:hRule="atLeast"/>
        </w:trPr>
        <w:tc>
          <w:tcPr>
            <w:tcW w:w="646"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pPr>
              <w:rPr>
                <w:rFonts w:ascii="仿宋" w:hAnsi="仿宋" w:eastAsia="仿宋" w:cs="仿宋"/>
                <w:color w:val="auto"/>
                <w:sz w:val="24"/>
                <w:highlight w:val="none"/>
              </w:rPr>
            </w:pPr>
            <w:r>
              <w:rPr>
                <w:rFonts w:hint="eastAsia" w:ascii="仿宋" w:hAnsi="仿宋" w:eastAsia="仿宋" w:cs="仿宋"/>
                <w:color w:val="auto"/>
                <w:sz w:val="24"/>
                <w:highlight w:val="none"/>
              </w:rPr>
              <w:t>见投标文件第页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0" w:hRule="atLeast"/>
        </w:trPr>
        <w:tc>
          <w:tcPr>
            <w:tcW w:w="646"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4991" w:type="dxa"/>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投标文件满足招标文件的其它实质性要求。</w:t>
            </w:r>
          </w:p>
        </w:tc>
        <w:tc>
          <w:tcPr>
            <w:tcW w:w="2551" w:type="dxa"/>
            <w:vAlign w:val="center"/>
          </w:tcPr>
          <w:p>
            <w:pPr>
              <w:rPr>
                <w:rFonts w:ascii="仿宋" w:hAnsi="仿宋" w:eastAsia="仿宋" w:cs="仿宋"/>
                <w:color w:val="auto"/>
                <w:sz w:val="24"/>
                <w:highlight w:val="none"/>
              </w:rPr>
            </w:pPr>
            <w:r>
              <w:rPr>
                <w:rFonts w:hint="eastAsia" w:ascii="仿宋" w:hAnsi="仿宋" w:eastAsia="仿宋" w:cs="仿宋"/>
                <w:color w:val="auto"/>
                <w:kern w:val="0"/>
                <w:sz w:val="24"/>
                <w:highlight w:val="none"/>
              </w:rPr>
              <w:t>招标文件其它实质性要求相应的材料（“▲”系指实质性要求条款，招标文件无其它实质性要求的，无需提供）</w:t>
            </w:r>
          </w:p>
        </w:tc>
        <w:tc>
          <w:tcPr>
            <w:tcW w:w="1418" w:type="dxa"/>
          </w:tcPr>
          <w:p>
            <w:pPr>
              <w:rPr>
                <w:rFonts w:ascii="仿宋" w:hAnsi="仿宋" w:eastAsia="仿宋" w:cs="仿宋"/>
                <w:color w:val="auto"/>
                <w:sz w:val="24"/>
                <w:highlight w:val="none"/>
              </w:rPr>
            </w:pPr>
            <w:r>
              <w:rPr>
                <w:rFonts w:hint="eastAsia" w:ascii="仿宋" w:hAnsi="仿宋" w:eastAsia="仿宋" w:cs="仿宋"/>
                <w:color w:val="auto"/>
                <w:sz w:val="24"/>
                <w:highlight w:val="none"/>
              </w:rPr>
              <w:t>见投标文件第页</w:t>
            </w:r>
          </w:p>
        </w:tc>
      </w:tr>
    </w:tbl>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color w:val="auto"/>
          <w:sz w:val="24"/>
          <w:highlight w:val="none"/>
        </w:rPr>
      </w:pPr>
      <w:r>
        <w:rPr>
          <w:rFonts w:hint="eastAsia" w:ascii="仿宋" w:hAnsi="仿宋" w:eastAsia="仿宋" w:cs="仿宋"/>
          <w:b/>
          <w:color w:val="auto"/>
          <w:kern w:val="0"/>
          <w:sz w:val="24"/>
          <w:highlight w:val="none"/>
        </w:rPr>
        <w:t>六、评标标准相应的商务技术资料</w:t>
      </w:r>
    </w:p>
    <w:p>
      <w:pPr>
        <w:snapToGrid w:val="0"/>
        <w:spacing w:line="360"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（按招标文件第四部分评标办法前附表中“投标文件中评标标准相应的商务技术资料目录”提供资料）</w:t>
      </w: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rPr>
          <w:rFonts w:ascii="仿宋" w:hAnsi="仿宋" w:eastAsia="仿宋" w:cs="仿宋"/>
          <w:b/>
          <w:color w:val="auto"/>
          <w:kern w:val="0"/>
          <w:sz w:val="24"/>
          <w:highlight w:val="none"/>
        </w:rPr>
      </w:pPr>
    </w:p>
    <w:p>
      <w:pP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七、商务技术偏离表</w:t>
      </w:r>
    </w:p>
    <w:tbl>
      <w:tblPr>
        <w:tblStyle w:val="7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9" w:type="dxa"/>
          </w:tcPr>
          <w:p>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9" w:type="dxa"/>
          </w:tcPr>
          <w:p>
            <w:pPr>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pPr>
              <w:jc w:val="center"/>
              <w:rPr>
                <w:rFonts w:ascii="仿宋" w:hAnsi="仿宋" w:eastAsia="仿宋" w:cs="仿宋"/>
                <w:b/>
                <w:color w:val="auto"/>
                <w:kern w:val="0"/>
                <w:sz w:val="24"/>
                <w:highlight w:val="none"/>
              </w:rPr>
            </w:pPr>
          </w:p>
        </w:tc>
        <w:tc>
          <w:tcPr>
            <w:tcW w:w="3546" w:type="dxa"/>
          </w:tcPr>
          <w:p>
            <w:pPr>
              <w:jc w:val="center"/>
              <w:rPr>
                <w:rFonts w:ascii="仿宋" w:hAnsi="仿宋" w:eastAsia="仿宋" w:cs="仿宋"/>
                <w:b/>
                <w:color w:val="auto"/>
                <w:kern w:val="0"/>
                <w:sz w:val="24"/>
                <w:highlight w:val="none"/>
              </w:rPr>
            </w:pPr>
          </w:p>
        </w:tc>
        <w:tc>
          <w:tcPr>
            <w:tcW w:w="1276" w:type="dxa"/>
          </w:tcPr>
          <w:p>
            <w:pPr>
              <w:jc w:val="center"/>
              <w:rPr>
                <w:rFonts w:ascii="仿宋" w:hAnsi="仿宋" w:eastAsia="仿宋" w:cs="仿宋"/>
                <w:b/>
                <w:color w:val="auto"/>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9" w:type="dxa"/>
          </w:tcPr>
          <w:p>
            <w:pPr>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pPr>
              <w:jc w:val="center"/>
              <w:rPr>
                <w:rFonts w:ascii="仿宋" w:hAnsi="仿宋" w:eastAsia="仿宋" w:cs="仿宋"/>
                <w:b/>
                <w:color w:val="auto"/>
                <w:kern w:val="0"/>
                <w:sz w:val="24"/>
                <w:highlight w:val="none"/>
              </w:rPr>
            </w:pPr>
          </w:p>
        </w:tc>
        <w:tc>
          <w:tcPr>
            <w:tcW w:w="3546" w:type="dxa"/>
          </w:tcPr>
          <w:p>
            <w:pPr>
              <w:jc w:val="center"/>
              <w:rPr>
                <w:rFonts w:ascii="仿宋" w:hAnsi="仿宋" w:eastAsia="仿宋" w:cs="仿宋"/>
                <w:b/>
                <w:color w:val="auto"/>
                <w:kern w:val="0"/>
                <w:sz w:val="24"/>
                <w:highlight w:val="none"/>
              </w:rPr>
            </w:pPr>
          </w:p>
        </w:tc>
        <w:tc>
          <w:tcPr>
            <w:tcW w:w="1276" w:type="dxa"/>
          </w:tcPr>
          <w:p>
            <w:pPr>
              <w:jc w:val="center"/>
              <w:rPr>
                <w:rFonts w:ascii="仿宋" w:hAnsi="仿宋" w:eastAsia="仿宋" w:cs="仿宋"/>
                <w:b/>
                <w:color w:val="auto"/>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9" w:type="dxa"/>
          </w:tcPr>
          <w:p>
            <w:pPr>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pPr>
              <w:jc w:val="center"/>
              <w:rPr>
                <w:rFonts w:ascii="仿宋" w:hAnsi="仿宋" w:eastAsia="仿宋" w:cs="仿宋"/>
                <w:b/>
                <w:color w:val="auto"/>
                <w:kern w:val="0"/>
                <w:sz w:val="24"/>
                <w:highlight w:val="none"/>
              </w:rPr>
            </w:pPr>
          </w:p>
        </w:tc>
        <w:tc>
          <w:tcPr>
            <w:tcW w:w="3546" w:type="dxa"/>
          </w:tcPr>
          <w:p>
            <w:pPr>
              <w:jc w:val="center"/>
              <w:rPr>
                <w:rFonts w:ascii="仿宋" w:hAnsi="仿宋" w:eastAsia="仿宋" w:cs="仿宋"/>
                <w:b/>
                <w:color w:val="auto"/>
                <w:kern w:val="0"/>
                <w:sz w:val="24"/>
                <w:highlight w:val="none"/>
              </w:rPr>
            </w:pPr>
          </w:p>
        </w:tc>
        <w:tc>
          <w:tcPr>
            <w:tcW w:w="1276" w:type="dxa"/>
          </w:tcPr>
          <w:p>
            <w:pPr>
              <w:jc w:val="center"/>
              <w:rPr>
                <w:rFonts w:ascii="仿宋" w:hAnsi="仿宋" w:eastAsia="仿宋" w:cs="仿宋"/>
                <w:b/>
                <w:color w:val="auto"/>
                <w:kern w:val="0"/>
                <w:sz w:val="24"/>
                <w:highlight w:val="none"/>
              </w:rPr>
            </w:pPr>
          </w:p>
        </w:tc>
      </w:tr>
    </w:tbl>
    <w:p>
      <w:pP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jc w:val="center"/>
        <w:rPr>
          <w:rFonts w:ascii="仿宋" w:hAnsi="仿宋" w:eastAsia="仿宋" w:cs="仿宋"/>
          <w:b/>
          <w:color w:val="auto"/>
          <w:kern w:val="0"/>
          <w:sz w:val="24"/>
          <w:highlight w:val="none"/>
        </w:rPr>
      </w:pPr>
    </w:p>
    <w:p>
      <w:pPr>
        <w:ind w:firstLine="2168" w:firstLineChars="900"/>
        <w:rPr>
          <w:rFonts w:ascii="仿宋" w:hAnsi="仿宋" w:eastAsia="仿宋" w:cs="仿宋"/>
          <w:b/>
          <w:bCs/>
          <w:color w:val="auto"/>
          <w:sz w:val="24"/>
          <w:highlight w:val="none"/>
        </w:rPr>
      </w:pPr>
    </w:p>
    <w:p>
      <w:pPr>
        <w:ind w:firstLine="2168" w:firstLineChars="900"/>
        <w:rPr>
          <w:rFonts w:ascii="仿宋" w:hAnsi="仿宋" w:eastAsia="仿宋" w:cs="仿宋"/>
          <w:b/>
          <w:bCs/>
          <w:color w:val="auto"/>
          <w:sz w:val="24"/>
          <w:highlight w:val="none"/>
        </w:rPr>
      </w:pPr>
    </w:p>
    <w:p>
      <w:pPr>
        <w:ind w:firstLine="2168" w:firstLineChars="900"/>
        <w:rPr>
          <w:rFonts w:ascii="仿宋" w:hAnsi="仿宋" w:eastAsia="仿宋" w:cs="仿宋"/>
          <w:b/>
          <w:bCs/>
          <w:color w:val="auto"/>
          <w:sz w:val="24"/>
          <w:highlight w:val="none"/>
        </w:rPr>
      </w:pPr>
    </w:p>
    <w:p>
      <w:pPr>
        <w:ind w:firstLine="2168" w:firstLineChars="900"/>
        <w:rPr>
          <w:rFonts w:ascii="仿宋" w:hAnsi="仿宋" w:eastAsia="仿宋" w:cs="仿宋"/>
          <w:b/>
          <w:bCs/>
          <w:color w:val="auto"/>
          <w:sz w:val="24"/>
          <w:highlight w:val="none"/>
        </w:rPr>
      </w:pPr>
    </w:p>
    <w:p>
      <w:pPr>
        <w:ind w:firstLine="2168" w:firstLineChars="900"/>
        <w:rPr>
          <w:rFonts w:ascii="仿宋" w:hAnsi="仿宋" w:eastAsia="仿宋" w:cs="仿宋"/>
          <w:b/>
          <w:bCs/>
          <w:color w:val="auto"/>
          <w:sz w:val="24"/>
          <w:highlight w:val="none"/>
        </w:rPr>
      </w:pPr>
    </w:p>
    <w:p>
      <w:pPr>
        <w:ind w:firstLine="2168" w:firstLineChars="900"/>
        <w:rPr>
          <w:rFonts w:ascii="仿宋" w:hAnsi="仿宋" w:eastAsia="仿宋" w:cs="仿宋"/>
          <w:b/>
          <w:bCs/>
          <w:color w:val="auto"/>
          <w:sz w:val="24"/>
          <w:highlight w:val="none"/>
        </w:rPr>
      </w:pPr>
    </w:p>
    <w:p>
      <w:pPr>
        <w:ind w:firstLine="2168" w:firstLineChars="900"/>
        <w:rPr>
          <w:rFonts w:ascii="仿宋" w:hAnsi="仿宋" w:eastAsia="仿宋" w:cs="仿宋"/>
          <w:b/>
          <w:color w:val="auto"/>
          <w:kern w:val="0"/>
          <w:sz w:val="24"/>
          <w:highlight w:val="none"/>
        </w:rPr>
      </w:pPr>
    </w:p>
    <w:p>
      <w:pPr>
        <w:ind w:firstLine="2168" w:firstLineChars="900"/>
        <w:rPr>
          <w:rFonts w:ascii="仿宋" w:hAnsi="仿宋" w:eastAsia="仿宋" w:cs="仿宋"/>
          <w:b/>
          <w:color w:val="auto"/>
          <w:kern w:val="0"/>
          <w:sz w:val="24"/>
          <w:highlight w:val="none"/>
        </w:rPr>
      </w:pPr>
    </w:p>
    <w:p>
      <w:pPr>
        <w:ind w:firstLine="2168" w:firstLineChars="900"/>
        <w:rPr>
          <w:rFonts w:ascii="仿宋" w:hAnsi="仿宋" w:eastAsia="仿宋" w:cs="仿宋"/>
          <w:b/>
          <w:color w:val="auto"/>
          <w:kern w:val="0"/>
          <w:sz w:val="24"/>
          <w:highlight w:val="none"/>
        </w:rPr>
      </w:pPr>
    </w:p>
    <w:p>
      <w:pPr>
        <w:ind w:firstLine="2168" w:firstLineChars="900"/>
        <w:rPr>
          <w:rFonts w:ascii="仿宋" w:hAnsi="仿宋" w:eastAsia="仿宋" w:cs="仿宋"/>
          <w:b/>
          <w:color w:val="auto"/>
          <w:kern w:val="0"/>
          <w:sz w:val="24"/>
          <w:highlight w:val="none"/>
        </w:rPr>
      </w:pPr>
    </w:p>
    <w:p>
      <w:pPr>
        <w:rPr>
          <w:rFonts w:ascii="仿宋" w:hAnsi="仿宋" w:eastAsia="仿宋" w:cs="仿宋"/>
          <w:b/>
          <w:color w:val="auto"/>
          <w:kern w:val="0"/>
          <w:sz w:val="24"/>
          <w:highlight w:val="none"/>
        </w:rPr>
      </w:pPr>
    </w:p>
    <w:p>
      <w:pPr>
        <w:pStyle w:val="320"/>
        <w:snapToGrid w:val="0"/>
        <w:spacing w:line="500" w:lineRule="exact"/>
        <w:ind w:firstLine="0" w:firstLineChars="0"/>
        <w:rPr>
          <w:rFonts w:ascii="仿宋" w:hAnsi="仿宋" w:eastAsia="仿宋" w:cs="仿宋"/>
          <w:b/>
          <w:bCs/>
          <w:color w:val="auto"/>
          <w:sz w:val="24"/>
          <w:szCs w:val="24"/>
          <w:highlight w:val="none"/>
        </w:rPr>
      </w:pPr>
    </w:p>
    <w:p>
      <w:pPr>
        <w:spacing w:line="360" w:lineRule="auto"/>
        <w:jc w:val="center"/>
        <w:rPr>
          <w:rFonts w:ascii="仿宋" w:hAnsi="仿宋" w:eastAsia="仿宋" w:cs="仿宋"/>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仿宋" w:hAnsi="仿宋" w:eastAsia="仿宋" w:cs="仿宋"/>
          <w:b/>
          <w:color w:val="auto"/>
          <w:kern w:val="0"/>
          <w:sz w:val="24"/>
          <w:highlight w:val="none"/>
        </w:rPr>
      </w:pPr>
    </w:p>
    <w:p>
      <w:pPr>
        <w:spacing w:line="360" w:lineRule="auto"/>
        <w:jc w:val="center"/>
        <w:outlineLvl w:val="0"/>
        <w:rPr>
          <w:rFonts w:ascii="仿宋" w:hAnsi="仿宋" w:eastAsia="仿宋" w:cs="仿宋"/>
          <w:b/>
          <w:color w:val="auto"/>
          <w:kern w:val="0"/>
          <w:sz w:val="24"/>
          <w:highlight w:val="none"/>
        </w:rPr>
      </w:pPr>
    </w:p>
    <w:p>
      <w:pPr>
        <w:spacing w:line="360" w:lineRule="auto"/>
        <w:jc w:val="center"/>
        <w:outlineLvl w:val="0"/>
        <w:rPr>
          <w:rFonts w:ascii="仿宋" w:hAnsi="仿宋" w:eastAsia="仿宋" w:cs="仿宋"/>
          <w:b/>
          <w:color w:val="auto"/>
          <w:kern w:val="0"/>
          <w:sz w:val="24"/>
          <w:highlight w:val="none"/>
        </w:rPr>
      </w:pPr>
    </w:p>
    <w:p>
      <w:pPr>
        <w:spacing w:line="360" w:lineRule="auto"/>
        <w:jc w:val="center"/>
        <w:outlineLvl w:val="0"/>
        <w:rPr>
          <w:rFonts w:ascii="仿宋" w:hAnsi="仿宋" w:eastAsia="仿宋" w:cs="仿宋"/>
          <w:b/>
          <w:color w:val="auto"/>
          <w:kern w:val="0"/>
          <w:sz w:val="24"/>
          <w:highlight w:val="none"/>
        </w:rPr>
      </w:pPr>
      <w:bookmarkStart w:id="445" w:name="_Toc21497"/>
      <w:bookmarkStart w:id="446" w:name="_Toc20774"/>
      <w:r>
        <w:rPr>
          <w:rFonts w:hint="eastAsia" w:ascii="仿宋" w:hAnsi="仿宋" w:eastAsia="仿宋" w:cs="仿宋"/>
          <w:b/>
          <w:color w:val="auto"/>
          <w:kern w:val="0"/>
          <w:sz w:val="24"/>
          <w:highlight w:val="none"/>
        </w:rPr>
        <w:t>报价文件部分</w:t>
      </w:r>
      <w:bookmarkEnd w:id="445"/>
      <w:bookmarkEnd w:id="446"/>
    </w:p>
    <w:p>
      <w:pPr>
        <w:spacing w:line="360" w:lineRule="auto"/>
        <w:jc w:val="center"/>
        <w:outlineLvl w:val="0"/>
        <w:rPr>
          <w:rFonts w:ascii="仿宋" w:hAnsi="仿宋" w:eastAsia="仿宋" w:cs="仿宋"/>
          <w:b/>
          <w:color w:val="auto"/>
          <w:kern w:val="0"/>
          <w:sz w:val="24"/>
          <w:highlight w:val="none"/>
        </w:rPr>
      </w:pPr>
      <w:bookmarkStart w:id="447" w:name="_Toc31761"/>
      <w:bookmarkStart w:id="448" w:name="_Toc8676"/>
      <w:r>
        <w:rPr>
          <w:rFonts w:hint="eastAsia" w:ascii="仿宋" w:hAnsi="仿宋" w:eastAsia="仿宋" w:cs="仿宋"/>
          <w:b/>
          <w:color w:val="auto"/>
          <w:kern w:val="0"/>
          <w:sz w:val="24"/>
          <w:highlight w:val="none"/>
        </w:rPr>
        <w:t>目录</w:t>
      </w:r>
      <w:bookmarkEnd w:id="447"/>
      <w:bookmarkEnd w:id="448"/>
    </w:p>
    <w:p>
      <w:pPr>
        <w:snapToGrid w:val="0"/>
        <w:spacing w:line="360" w:lineRule="auto"/>
        <w:ind w:firstLine="480" w:firstLineChars="200"/>
        <w:rPr>
          <w:rFonts w:ascii="仿宋" w:hAnsi="仿宋" w:eastAsia="仿宋" w:cs="仿宋"/>
          <w:color w:val="auto"/>
          <w:sz w:val="24"/>
          <w:highlight w:val="none"/>
        </w:rPr>
      </w:pP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1.报价文件封面；</w:t>
      </w:r>
    </w:p>
    <w:p>
      <w:pPr>
        <w:snapToGrid w:val="0"/>
        <w:spacing w:line="360" w:lineRule="auto"/>
        <w:rPr>
          <w:rFonts w:ascii="仿宋" w:hAnsi="仿宋" w:eastAsia="仿宋" w:cs="仿宋"/>
          <w:color w:val="auto"/>
          <w:sz w:val="24"/>
          <w:highlight w:val="none"/>
        </w:rPr>
      </w:pP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2.开标一览表；</w:t>
      </w:r>
    </w:p>
    <w:p>
      <w:pPr>
        <w:snapToGrid w:val="0"/>
        <w:spacing w:line="360" w:lineRule="auto"/>
        <w:rPr>
          <w:rFonts w:ascii="仿宋" w:hAnsi="仿宋" w:eastAsia="仿宋" w:cs="仿宋"/>
          <w:color w:val="auto"/>
          <w:sz w:val="24"/>
          <w:highlight w:val="none"/>
        </w:rPr>
      </w:pP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3.中小企业声明函；</w:t>
      </w:r>
    </w:p>
    <w:p>
      <w:pPr>
        <w:snapToGrid w:val="0"/>
        <w:spacing w:line="360" w:lineRule="auto"/>
        <w:ind w:right="480"/>
        <w:jc w:val="center"/>
        <w:rPr>
          <w:rFonts w:ascii="仿宋" w:hAnsi="仿宋" w:eastAsia="仿宋" w:cs="仿宋"/>
          <w:b/>
          <w:color w:val="auto"/>
          <w:kern w:val="0"/>
          <w:sz w:val="24"/>
          <w:highlight w:val="none"/>
        </w:rPr>
      </w:pPr>
    </w:p>
    <w:p>
      <w:pPr>
        <w:snapToGrid w:val="0"/>
        <w:spacing w:line="360" w:lineRule="auto"/>
        <w:ind w:right="480"/>
        <w:jc w:val="center"/>
        <w:rPr>
          <w:rFonts w:ascii="仿宋" w:hAnsi="仿宋" w:eastAsia="仿宋" w:cs="仿宋"/>
          <w:b/>
          <w:color w:val="auto"/>
          <w:kern w:val="0"/>
          <w:sz w:val="24"/>
          <w:highlight w:val="none"/>
        </w:rPr>
      </w:pPr>
    </w:p>
    <w:p>
      <w:pPr>
        <w:snapToGrid w:val="0"/>
        <w:spacing w:line="360" w:lineRule="auto"/>
        <w:ind w:right="480"/>
        <w:jc w:val="center"/>
        <w:rPr>
          <w:rFonts w:ascii="仿宋" w:hAnsi="仿宋" w:eastAsia="仿宋" w:cs="仿宋"/>
          <w:b/>
          <w:color w:val="auto"/>
          <w:kern w:val="0"/>
          <w:sz w:val="24"/>
          <w:highlight w:val="none"/>
        </w:rPr>
      </w:pPr>
    </w:p>
    <w:p>
      <w:pPr>
        <w:snapToGrid w:val="0"/>
        <w:spacing w:line="360" w:lineRule="auto"/>
        <w:ind w:right="480"/>
        <w:jc w:val="center"/>
        <w:rPr>
          <w:rFonts w:ascii="仿宋" w:hAnsi="仿宋" w:eastAsia="仿宋" w:cs="仿宋"/>
          <w:b/>
          <w:color w:val="auto"/>
          <w:kern w:val="0"/>
          <w:sz w:val="24"/>
          <w:highlight w:val="none"/>
        </w:rPr>
      </w:pPr>
    </w:p>
    <w:p>
      <w:pPr>
        <w:snapToGrid w:val="0"/>
        <w:spacing w:line="360" w:lineRule="auto"/>
        <w:ind w:right="480"/>
        <w:jc w:val="center"/>
        <w:rPr>
          <w:rFonts w:ascii="仿宋" w:hAnsi="仿宋" w:eastAsia="仿宋" w:cs="仿宋"/>
          <w:b/>
          <w:color w:val="auto"/>
          <w:kern w:val="0"/>
          <w:sz w:val="24"/>
          <w:highlight w:val="none"/>
        </w:rPr>
      </w:pPr>
    </w:p>
    <w:p>
      <w:pPr>
        <w:snapToGrid w:val="0"/>
        <w:spacing w:line="360" w:lineRule="auto"/>
        <w:ind w:right="480"/>
        <w:jc w:val="center"/>
        <w:rPr>
          <w:rFonts w:ascii="仿宋" w:hAnsi="仿宋" w:eastAsia="仿宋" w:cs="仿宋"/>
          <w:b/>
          <w:color w:val="auto"/>
          <w:kern w:val="0"/>
          <w:sz w:val="24"/>
          <w:highlight w:val="none"/>
        </w:rPr>
      </w:pPr>
    </w:p>
    <w:p>
      <w:pPr>
        <w:snapToGrid w:val="0"/>
        <w:spacing w:line="360" w:lineRule="auto"/>
        <w:ind w:right="480"/>
        <w:jc w:val="center"/>
        <w:rPr>
          <w:rFonts w:ascii="仿宋" w:hAnsi="仿宋" w:eastAsia="仿宋" w:cs="仿宋"/>
          <w:b/>
          <w:color w:val="auto"/>
          <w:kern w:val="0"/>
          <w:sz w:val="24"/>
          <w:highlight w:val="none"/>
        </w:rPr>
      </w:pPr>
    </w:p>
    <w:p>
      <w:pPr>
        <w:snapToGrid w:val="0"/>
        <w:spacing w:line="360" w:lineRule="auto"/>
        <w:ind w:right="480"/>
        <w:jc w:val="center"/>
        <w:rPr>
          <w:rFonts w:ascii="仿宋" w:hAnsi="仿宋" w:eastAsia="仿宋" w:cs="仿宋"/>
          <w:b/>
          <w:color w:val="auto"/>
          <w:kern w:val="0"/>
          <w:sz w:val="24"/>
          <w:highlight w:val="none"/>
        </w:rPr>
      </w:pPr>
    </w:p>
    <w:p>
      <w:pPr>
        <w:snapToGrid w:val="0"/>
        <w:spacing w:line="360" w:lineRule="auto"/>
        <w:ind w:right="480"/>
        <w:jc w:val="center"/>
        <w:rPr>
          <w:rFonts w:ascii="仿宋" w:hAnsi="仿宋" w:eastAsia="仿宋" w:cs="仿宋"/>
          <w:b/>
          <w:color w:val="auto"/>
          <w:kern w:val="0"/>
          <w:sz w:val="24"/>
          <w:highlight w:val="none"/>
        </w:rPr>
      </w:pPr>
    </w:p>
    <w:p>
      <w:pPr>
        <w:snapToGrid w:val="0"/>
        <w:spacing w:line="360" w:lineRule="auto"/>
        <w:ind w:right="480"/>
        <w:jc w:val="center"/>
        <w:rPr>
          <w:rFonts w:ascii="仿宋" w:hAnsi="仿宋" w:eastAsia="仿宋" w:cs="仿宋"/>
          <w:b/>
          <w:color w:val="auto"/>
          <w:kern w:val="0"/>
          <w:sz w:val="24"/>
          <w:highlight w:val="none"/>
        </w:rPr>
      </w:pPr>
    </w:p>
    <w:p>
      <w:pPr>
        <w:snapToGrid w:val="0"/>
        <w:spacing w:line="360" w:lineRule="auto"/>
        <w:ind w:right="480"/>
        <w:jc w:val="center"/>
        <w:rPr>
          <w:rFonts w:ascii="仿宋" w:hAnsi="仿宋" w:eastAsia="仿宋" w:cs="仿宋"/>
          <w:b/>
          <w:color w:val="auto"/>
          <w:kern w:val="0"/>
          <w:sz w:val="24"/>
          <w:highlight w:val="none"/>
        </w:rPr>
      </w:pPr>
    </w:p>
    <w:p>
      <w:pPr>
        <w:snapToGrid w:val="0"/>
        <w:spacing w:line="360" w:lineRule="auto"/>
        <w:ind w:right="480"/>
        <w:rPr>
          <w:rFonts w:ascii="仿宋" w:hAnsi="仿宋" w:eastAsia="仿宋" w:cs="仿宋"/>
          <w:b/>
          <w:color w:val="auto"/>
          <w:kern w:val="0"/>
          <w:sz w:val="24"/>
          <w:highlight w:val="none"/>
        </w:rPr>
      </w:pPr>
    </w:p>
    <w:p>
      <w:pPr>
        <w:pStyle w:val="693"/>
        <w:keepNext w:val="0"/>
        <w:pageBreakBefore w:val="0"/>
        <w:tabs>
          <w:tab w:val="clear" w:pos="720"/>
        </w:tabs>
        <w:snapToGrid w:val="0"/>
        <w:spacing w:before="120" w:after="120"/>
        <w:ind w:firstLine="643"/>
        <w:outlineLvl w:val="9"/>
        <w:rPr>
          <w:rFonts w:ascii="仿宋" w:hAnsi="仿宋" w:eastAsia="仿宋" w:cs="仿宋"/>
          <w:color w:val="auto"/>
          <w:kern w:val="2"/>
          <w:sz w:val="24"/>
          <w:szCs w:val="24"/>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ind w:left="567"/>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       1.开标一览表</w:t>
      </w:r>
    </w:p>
    <w:p>
      <w:pPr>
        <w:snapToGrid w:val="0"/>
        <w:spacing w:line="500" w:lineRule="exact"/>
        <w:ind w:right="-153" w:rightChars="-73"/>
        <w:rPr>
          <w:rFonts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lang w:eastAsia="zh-CN"/>
        </w:rPr>
        <w:t>江山市卫生健康局生物安全在线数智监管系统技术服务项目</w:t>
      </w:r>
    </w:p>
    <w:p>
      <w:pPr>
        <w:snapToGrid w:val="0"/>
        <w:spacing w:line="500" w:lineRule="exact"/>
        <w:ind w:right="-153" w:rightChars="-73"/>
        <w:rPr>
          <w:rFonts w:ascii="仿宋" w:hAnsi="仿宋" w:eastAsia="仿宋" w:cs="仿宋"/>
          <w:color w:val="auto"/>
          <w:sz w:val="24"/>
          <w:highlight w:val="none"/>
        </w:rPr>
      </w:pP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lang w:eastAsia="zh-CN"/>
        </w:rPr>
        <w:t>jshjzf-20230203</w:t>
      </w:r>
      <w:r>
        <w:rPr>
          <w:rFonts w:hint="eastAsia" w:ascii="仿宋" w:hAnsi="仿宋" w:eastAsia="仿宋" w:cs="仿宋"/>
          <w:color w:val="auto"/>
          <w:sz w:val="24"/>
          <w:highlight w:val="none"/>
        </w:rPr>
        <w:t xml:space="preserve">                            金额单位：元</w:t>
      </w:r>
    </w:p>
    <w:tbl>
      <w:tblPr>
        <w:tblStyle w:val="73"/>
        <w:tblW w:w="904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4"/>
        <w:gridCol w:w="2391"/>
        <w:gridCol w:w="3505"/>
        <w:gridCol w:w="19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780" w:hRule="atLeast"/>
          <w:jc w:val="center"/>
        </w:trPr>
        <w:tc>
          <w:tcPr>
            <w:tcW w:w="3575" w:type="dxa"/>
            <w:gridSpan w:val="2"/>
            <w:tcBorders>
              <w:top w:val="thinThickSmallGap" w:color="auto" w:sz="12" w:space="0"/>
              <w:left w:val="thinThickSmallGap" w:color="auto" w:sz="12" w:space="0"/>
              <w:right w:val="single" w:color="auto" w:sz="4" w:space="0"/>
            </w:tcBorders>
            <w:vAlign w:val="center"/>
          </w:tcPr>
          <w:p>
            <w:pPr>
              <w:snapToGrid w:val="0"/>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项目名称</w:t>
            </w:r>
          </w:p>
        </w:tc>
        <w:tc>
          <w:tcPr>
            <w:tcW w:w="3505" w:type="dxa"/>
            <w:tcBorders>
              <w:top w:val="thinThickSmallGap" w:color="auto" w:sz="12" w:space="0"/>
              <w:right w:val="single" w:color="auto" w:sz="4" w:space="0"/>
            </w:tcBorders>
            <w:vAlign w:val="center"/>
          </w:tcPr>
          <w:p>
            <w:pPr>
              <w:widowControl/>
              <w:spacing w:line="30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数量</w:t>
            </w:r>
          </w:p>
        </w:tc>
        <w:tc>
          <w:tcPr>
            <w:tcW w:w="1961" w:type="dxa"/>
            <w:tcBorders>
              <w:top w:val="thinThickSmallGap" w:color="auto" w:sz="12" w:space="0"/>
              <w:right w:val="thickThinSmallGap" w:color="auto" w:sz="12" w:space="0"/>
            </w:tcBorders>
            <w:vAlign w:val="center"/>
          </w:tcPr>
          <w:p>
            <w:pPr>
              <w:snapToGrid w:val="0"/>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质保期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7" w:hRule="atLeast"/>
          <w:jc w:val="center"/>
        </w:trPr>
        <w:tc>
          <w:tcPr>
            <w:tcW w:w="3575" w:type="dxa"/>
            <w:gridSpan w:val="2"/>
            <w:tcBorders>
              <w:left w:val="thinThickSmallGap" w:color="auto" w:sz="12" w:space="0"/>
              <w:right w:val="single" w:color="auto" w:sz="4" w:space="0"/>
            </w:tcBorders>
            <w:vAlign w:val="center"/>
          </w:tcPr>
          <w:p>
            <w:pPr>
              <w:snapToGrid w:val="0"/>
              <w:spacing w:line="36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江山市卫生健康局生物安全在线数智监管系统技术服务项目</w:t>
            </w:r>
          </w:p>
        </w:tc>
        <w:tc>
          <w:tcPr>
            <w:tcW w:w="3505" w:type="dxa"/>
            <w:tcBorders>
              <w:right w:val="single" w:color="auto" w:sz="4" w:space="0"/>
            </w:tcBorders>
            <w:vAlign w:val="center"/>
          </w:tcPr>
          <w:p>
            <w:pPr>
              <w:widowControl/>
              <w:spacing w:line="30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1项</w:t>
            </w:r>
          </w:p>
        </w:tc>
        <w:tc>
          <w:tcPr>
            <w:tcW w:w="1961" w:type="dxa"/>
            <w:tcBorders>
              <w:right w:val="thickThinSmallGap" w:color="auto" w:sz="12" w:space="0"/>
            </w:tcBorders>
            <w:vAlign w:val="center"/>
          </w:tcPr>
          <w:p>
            <w:pPr>
              <w:snapToGrid w:val="0"/>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质保期至少2年（验收合格之日起计）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2" w:hRule="atLeast"/>
          <w:jc w:val="center"/>
        </w:trPr>
        <w:tc>
          <w:tcPr>
            <w:tcW w:w="1184" w:type="dxa"/>
            <w:tcBorders>
              <w:top w:val="single" w:color="auto" w:sz="4" w:space="0"/>
              <w:left w:val="thinThickSmallGap" w:color="auto" w:sz="12" w:space="0"/>
              <w:bottom w:val="thickThinSmallGap" w:color="auto" w:sz="12" w:space="0"/>
              <w:right w:val="single" w:color="auto" w:sz="4" w:space="0"/>
            </w:tcBorders>
            <w:vAlign w:val="center"/>
          </w:tcPr>
          <w:p>
            <w:pPr>
              <w:snapToGrid w:val="0"/>
              <w:spacing w:line="360" w:lineRule="exact"/>
              <w:jc w:val="center"/>
              <w:rPr>
                <w:rFonts w:ascii="仿宋" w:hAnsi="仿宋" w:eastAsia="仿宋" w:cs="仿宋"/>
                <w:color w:val="auto"/>
                <w:sz w:val="24"/>
                <w:highlight w:val="none"/>
              </w:rPr>
            </w:pPr>
          </w:p>
          <w:p>
            <w:pPr>
              <w:snapToGrid w:val="0"/>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投 标 总 价</w:t>
            </w:r>
          </w:p>
        </w:tc>
        <w:tc>
          <w:tcPr>
            <w:tcW w:w="7857" w:type="dxa"/>
            <w:gridSpan w:val="3"/>
            <w:tcBorders>
              <w:top w:val="single" w:color="auto" w:sz="4" w:space="0"/>
              <w:left w:val="single" w:color="auto" w:sz="4" w:space="0"/>
              <w:bottom w:val="thickThinSmallGap" w:color="auto" w:sz="12" w:space="0"/>
              <w:right w:val="thickThinSmallGap" w:color="auto" w:sz="12" w:space="0"/>
            </w:tcBorders>
            <w:vAlign w:val="center"/>
          </w:tcPr>
          <w:p>
            <w:pPr>
              <w:wordWrap w:val="0"/>
              <w:overflowPunct w:val="0"/>
              <w:autoSpaceDE w:val="0"/>
              <w:autoSpaceDN w:val="0"/>
              <w:snapToGrid w:val="0"/>
              <w:spacing w:line="360" w:lineRule="exact"/>
              <w:rPr>
                <w:rFonts w:ascii="仿宋" w:hAnsi="仿宋" w:eastAsia="仿宋" w:cs="仿宋"/>
                <w:color w:val="auto"/>
                <w:sz w:val="24"/>
                <w:highlight w:val="none"/>
              </w:rPr>
            </w:pPr>
          </w:p>
          <w:p>
            <w:pPr>
              <w:wordWrap w:val="0"/>
              <w:overflowPunct w:val="0"/>
              <w:autoSpaceDE w:val="0"/>
              <w:autoSpaceDN w:val="0"/>
              <w:snapToGrid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大写：  （小写：￥              ）</w:t>
            </w:r>
          </w:p>
        </w:tc>
      </w:tr>
    </w:tbl>
    <w:p>
      <w:pPr>
        <w:spacing w:line="360" w:lineRule="auto"/>
        <w:ind w:firstLine="361" w:firstLineChars="150"/>
        <w:rPr>
          <w:rFonts w:ascii="仿宋" w:hAnsi="仿宋" w:eastAsia="仿宋" w:cs="仿宋"/>
          <w:b/>
          <w:bCs/>
          <w:color w:val="auto"/>
          <w:sz w:val="24"/>
          <w:highlight w:val="none"/>
          <w:lang w:val="zh-CN"/>
        </w:rPr>
      </w:pPr>
    </w:p>
    <w:p>
      <w:pPr>
        <w:spacing w:line="360" w:lineRule="auto"/>
        <w:ind w:firstLine="361" w:firstLineChars="150"/>
        <w:rPr>
          <w:rFonts w:ascii="仿宋" w:hAnsi="仿宋" w:eastAsia="仿宋" w:cs="仿宋"/>
          <w:color w:val="auto"/>
          <w:sz w:val="24"/>
          <w:highlight w:val="none"/>
        </w:rPr>
      </w:pPr>
      <w:r>
        <w:rPr>
          <w:rFonts w:hint="eastAsia" w:ascii="仿宋" w:hAnsi="仿宋" w:eastAsia="仿宋" w:cs="仿宋"/>
          <w:b/>
          <w:bCs/>
          <w:color w:val="auto"/>
          <w:sz w:val="24"/>
          <w:highlight w:val="none"/>
          <w:lang w:val="zh-CN"/>
        </w:rPr>
        <w:t>注：</w:t>
      </w:r>
      <w:r>
        <w:rPr>
          <w:rFonts w:hint="eastAsia" w:ascii="仿宋" w:hAnsi="仿宋" w:eastAsia="仿宋" w:cs="仿宋"/>
          <w:bCs/>
          <w:color w:val="auto"/>
          <w:sz w:val="24"/>
          <w:highlight w:val="none"/>
          <w:lang w:val="zh-CN"/>
        </w:rPr>
        <w:t>报价应包括完成该项目的所有费用。</w:t>
      </w:r>
    </w:p>
    <w:p>
      <w:pPr>
        <w:spacing w:line="360" w:lineRule="auto"/>
        <w:ind w:firstLine="360" w:firstLineChars="150"/>
        <w:rPr>
          <w:rFonts w:ascii="仿宋" w:hAnsi="仿宋" w:eastAsia="仿宋" w:cs="仿宋"/>
          <w:color w:val="auto"/>
          <w:sz w:val="24"/>
          <w:highlight w:val="none"/>
        </w:rPr>
      </w:pPr>
    </w:p>
    <w:p>
      <w:pPr>
        <w:spacing w:line="360" w:lineRule="auto"/>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投标人名称（</w:t>
      </w:r>
      <w:r>
        <w:rPr>
          <w:rStyle w:val="968"/>
          <w:rFonts w:hint="eastAsia" w:ascii="仿宋" w:hAnsi="仿宋" w:eastAsia="仿宋" w:cs="仿宋"/>
          <w:color w:val="auto"/>
          <w:sz w:val="24"/>
          <w:szCs w:val="24"/>
          <w:highlight w:val="none"/>
        </w:rPr>
        <w:t>CA签章</w:t>
      </w:r>
      <w:r>
        <w:rPr>
          <w:rFonts w:hint="eastAsia" w:ascii="仿宋" w:hAnsi="仿宋" w:eastAsia="仿宋" w:cs="仿宋"/>
          <w:color w:val="auto"/>
          <w:sz w:val="24"/>
          <w:highlight w:val="none"/>
        </w:rPr>
        <w:t>）：</w:t>
      </w:r>
    </w:p>
    <w:p>
      <w:pPr>
        <w:snapToGrid w:val="0"/>
        <w:spacing w:line="360" w:lineRule="auto"/>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法定代表人或其授权代表人（签字）：</w:t>
      </w:r>
    </w:p>
    <w:p>
      <w:pPr>
        <w:snapToGrid w:val="0"/>
        <w:spacing w:line="360" w:lineRule="auto"/>
        <w:ind w:firstLine="360" w:firstLineChars="150"/>
        <w:rPr>
          <w:rStyle w:val="166"/>
          <w:rFonts w:ascii="仿宋" w:eastAsia="仿宋" w:cs="仿宋"/>
          <w:color w:val="auto"/>
          <w:sz w:val="24"/>
          <w:szCs w:val="24"/>
          <w:highlight w:val="none"/>
        </w:rPr>
      </w:pPr>
      <w:r>
        <w:rPr>
          <w:rFonts w:hint="eastAsia" w:ascii="仿宋" w:hAnsi="仿宋" w:eastAsia="仿宋" w:cs="仿宋"/>
          <w:color w:val="auto"/>
          <w:sz w:val="24"/>
          <w:highlight w:val="none"/>
        </w:rPr>
        <w:t>日期：</w:t>
      </w:r>
    </w:p>
    <w:p>
      <w:pPr>
        <w:snapToGrid w:val="0"/>
        <w:spacing w:line="360" w:lineRule="auto"/>
        <w:ind w:firstLine="361" w:firstLineChars="150"/>
        <w:rPr>
          <w:rStyle w:val="166"/>
          <w:rFonts w:ascii="仿宋" w:eastAsia="仿宋" w:cs="仿宋"/>
          <w:color w:val="auto"/>
          <w:sz w:val="24"/>
          <w:szCs w:val="24"/>
          <w:highlight w:val="none"/>
        </w:rPr>
      </w:pPr>
    </w:p>
    <w:p>
      <w:pPr>
        <w:snapToGrid w:val="0"/>
        <w:spacing w:line="360" w:lineRule="auto"/>
        <w:ind w:firstLine="361" w:firstLineChars="150"/>
        <w:rPr>
          <w:rStyle w:val="166"/>
          <w:rFonts w:ascii="仿宋" w:eastAsia="仿宋" w:cs="仿宋"/>
          <w:color w:val="auto"/>
          <w:sz w:val="24"/>
          <w:szCs w:val="24"/>
          <w:highlight w:val="none"/>
        </w:rPr>
      </w:pPr>
    </w:p>
    <w:p>
      <w:pPr>
        <w:pStyle w:val="693"/>
        <w:keepNext w:val="0"/>
        <w:pageBreakBefore w:val="0"/>
        <w:tabs>
          <w:tab w:val="clear" w:pos="720"/>
        </w:tabs>
        <w:snapToGrid w:val="0"/>
        <w:spacing w:before="120" w:after="120"/>
        <w:outlineLvl w:val="9"/>
        <w:rPr>
          <w:rFonts w:ascii="仿宋" w:hAnsi="仿宋" w:eastAsia="仿宋" w:cs="仿宋"/>
          <w:color w:val="auto"/>
          <w:sz w:val="24"/>
          <w:szCs w:val="24"/>
          <w:highlight w:val="none"/>
        </w:rPr>
      </w:pPr>
      <w:bookmarkStart w:id="449" w:name="_Toc30141"/>
      <w:bookmarkStart w:id="450" w:name="_Toc22910"/>
      <w:r>
        <w:rPr>
          <w:rFonts w:hint="eastAsia" w:ascii="仿宋" w:hAnsi="仿宋" w:eastAsia="仿宋" w:cs="仿宋"/>
          <w:color w:val="auto"/>
          <w:kern w:val="2"/>
          <w:sz w:val="24"/>
          <w:szCs w:val="24"/>
          <w:highlight w:val="none"/>
        </w:rPr>
        <w:t>二、</w:t>
      </w:r>
      <w:r>
        <w:rPr>
          <w:rFonts w:hint="eastAsia" w:ascii="仿宋" w:hAnsi="仿宋" w:eastAsia="仿宋" w:cs="仿宋"/>
          <w:color w:val="auto"/>
          <w:sz w:val="24"/>
          <w:szCs w:val="24"/>
          <w:highlight w:val="none"/>
        </w:rPr>
        <w:t>中小企业声明函</w:t>
      </w:r>
      <w:bookmarkEnd w:id="449"/>
      <w:bookmarkEnd w:id="450"/>
    </w:p>
    <w:p>
      <w:pPr>
        <w:widowControl/>
        <w:spacing w:line="360" w:lineRule="auto"/>
        <w:ind w:firstLine="120" w:firstLineChars="50"/>
        <w:jc w:val="left"/>
        <w:rPr>
          <w:rFonts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pPr>
        <w:pStyle w:val="693"/>
        <w:keepNext w:val="0"/>
        <w:pageBreakBefore w:val="0"/>
        <w:tabs>
          <w:tab w:val="clear" w:pos="720"/>
        </w:tabs>
        <w:snapToGrid w:val="0"/>
        <w:spacing w:before="120" w:after="120"/>
        <w:ind w:firstLine="643"/>
        <w:outlineLvl w:val="9"/>
        <w:rPr>
          <w:rFonts w:ascii="仿宋" w:hAnsi="仿宋" w:eastAsia="仿宋" w:cs="仿宋"/>
          <w:b w:val="0"/>
          <w:color w:val="auto"/>
          <w:sz w:val="24"/>
          <w:szCs w:val="24"/>
          <w:highlight w:val="none"/>
        </w:rPr>
      </w:pPr>
    </w:p>
    <w:p>
      <w:pPr>
        <w:spacing w:line="360" w:lineRule="auto"/>
        <w:ind w:right="420" w:firstLine="2409" w:firstLineChars="1000"/>
        <w:rPr>
          <w:rFonts w:ascii="仿宋" w:hAnsi="仿宋" w:eastAsia="仿宋" w:cs="仿宋"/>
          <w:b/>
          <w:color w:val="auto"/>
          <w:kern w:val="0"/>
          <w:sz w:val="24"/>
          <w:highlight w:val="none"/>
        </w:rPr>
      </w:pPr>
    </w:p>
    <w:p>
      <w:pPr>
        <w:spacing w:line="360" w:lineRule="auto"/>
        <w:ind w:right="420" w:firstLine="2409" w:firstLineChars="1000"/>
        <w:rPr>
          <w:rFonts w:ascii="仿宋" w:hAnsi="仿宋" w:eastAsia="仿宋" w:cs="仿宋"/>
          <w:b/>
          <w:color w:val="auto"/>
          <w:kern w:val="0"/>
          <w:sz w:val="24"/>
          <w:highlight w:val="none"/>
        </w:rPr>
      </w:pPr>
    </w:p>
    <w:p>
      <w:pPr>
        <w:spacing w:line="360" w:lineRule="auto"/>
        <w:ind w:right="420"/>
        <w:rPr>
          <w:rFonts w:ascii="仿宋" w:hAnsi="仿宋" w:eastAsia="仿宋" w:cs="仿宋"/>
          <w:b/>
          <w:color w:val="auto"/>
          <w:kern w:val="0"/>
          <w:sz w:val="24"/>
          <w:highlight w:val="none"/>
        </w:rPr>
      </w:pPr>
    </w:p>
    <w:p>
      <w:pPr>
        <w:spacing w:line="360" w:lineRule="auto"/>
        <w:ind w:right="420"/>
        <w:rPr>
          <w:rFonts w:ascii="仿宋" w:hAnsi="仿宋" w:eastAsia="仿宋" w:cs="仿宋"/>
          <w:b/>
          <w:color w:val="auto"/>
          <w:kern w:val="0"/>
          <w:sz w:val="24"/>
          <w:highlight w:val="none"/>
        </w:rPr>
      </w:pPr>
    </w:p>
    <w:p>
      <w:pPr>
        <w:pStyle w:val="3"/>
        <w:keepNext w:val="0"/>
        <w:keepLines w:val="0"/>
        <w:pageBreakBefore/>
        <w:widowControl/>
        <w:spacing w:before="100" w:beforeAutospacing="1" w:after="100" w:afterAutospacing="1" w:line="360" w:lineRule="auto"/>
        <w:ind w:left="0" w:firstLine="0"/>
        <w:rPr>
          <w:rFonts w:ascii="仿宋" w:hAnsi="仿宋" w:eastAsia="仿宋" w:cs="仿宋"/>
          <w:color w:val="auto"/>
          <w:sz w:val="24"/>
          <w:szCs w:val="24"/>
          <w:highlight w:val="none"/>
        </w:rPr>
      </w:pPr>
      <w:bookmarkStart w:id="451" w:name="_Toc23579"/>
      <w:bookmarkStart w:id="452" w:name="_Toc465665161"/>
      <w:bookmarkStart w:id="453" w:name="_Toc5209"/>
      <w:r>
        <w:rPr>
          <w:rFonts w:hint="eastAsia" w:ascii="仿宋" w:hAnsi="仿宋" w:eastAsia="仿宋" w:cs="仿宋"/>
          <w:color w:val="auto"/>
          <w:sz w:val="24"/>
          <w:szCs w:val="24"/>
          <w:highlight w:val="none"/>
        </w:rPr>
        <w:t>附件</w:t>
      </w:r>
      <w:bookmarkEnd w:id="451"/>
      <w:bookmarkEnd w:id="452"/>
      <w:bookmarkEnd w:id="453"/>
    </w:p>
    <w:p>
      <w:pPr>
        <w:spacing w:line="360" w:lineRule="auto"/>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附件1：</w:t>
      </w:r>
    </w:p>
    <w:p>
      <w:pPr>
        <w:spacing w:line="360" w:lineRule="auto"/>
        <w:jc w:val="center"/>
        <w:rPr>
          <w:rFonts w:ascii="仿宋" w:hAnsi="仿宋" w:eastAsia="仿宋" w:cs="仿宋"/>
          <w:b/>
          <w:color w:val="auto"/>
          <w:spacing w:val="6"/>
          <w:sz w:val="24"/>
          <w:highlight w:val="none"/>
        </w:rPr>
      </w:pPr>
      <w:bookmarkStart w:id="454" w:name="OLE_LINK14"/>
      <w:bookmarkStart w:id="455" w:name="OLE_LINK13"/>
      <w:r>
        <w:rPr>
          <w:rFonts w:hint="eastAsia" w:ascii="仿宋" w:hAnsi="仿宋" w:eastAsia="仿宋" w:cs="仿宋"/>
          <w:b/>
          <w:color w:val="auto"/>
          <w:spacing w:val="6"/>
          <w:sz w:val="24"/>
          <w:highlight w:val="none"/>
        </w:rPr>
        <w:t>残疾人福利性单位声明函</w:t>
      </w:r>
    </w:p>
    <w:bookmarkEnd w:id="454"/>
    <w:bookmarkEnd w:id="455"/>
    <w:p>
      <w:pPr>
        <w:spacing w:line="360" w:lineRule="auto"/>
        <w:rPr>
          <w:rFonts w:ascii="仿宋" w:hAnsi="仿宋" w:eastAsia="仿宋" w:cs="仿宋"/>
          <w:b/>
          <w:color w:val="auto"/>
          <w:spacing w:val="6"/>
          <w:sz w:val="24"/>
          <w:highlight w:val="none"/>
        </w:rPr>
      </w:pP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本单位郑重声明，根据《财政部民政部中国残疾人联合会关于促进残疾人就业政府采购政策的通知》（财库〔2017〕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pPr>
        <w:spacing w:line="360" w:lineRule="auto"/>
        <w:ind w:firstLine="480" w:firstLineChars="200"/>
        <w:rPr>
          <w:rFonts w:ascii="仿宋" w:hAnsi="仿宋" w:eastAsia="仿宋" w:cs="仿宋"/>
          <w:color w:val="auto"/>
          <w:sz w:val="24"/>
          <w:highlight w:val="none"/>
        </w:rPr>
      </w:pPr>
    </w:p>
    <w:p>
      <w:pPr>
        <w:spacing w:line="360" w:lineRule="auto"/>
        <w:ind w:firstLine="480" w:firstLineChars="200"/>
        <w:rPr>
          <w:rFonts w:ascii="仿宋" w:hAnsi="仿宋" w:eastAsia="仿宋" w:cs="仿宋"/>
          <w:color w:val="auto"/>
          <w:sz w:val="24"/>
          <w:highlight w:val="none"/>
        </w:rPr>
      </w:pPr>
    </w:p>
    <w:p>
      <w:pPr>
        <w:tabs>
          <w:tab w:val="left" w:pos="4860"/>
        </w:tabs>
        <w:spacing w:line="360" w:lineRule="auto"/>
        <w:ind w:right="1560" w:firstLine="480" w:firstLineChars="200"/>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投标人名称（电子签章）</w:t>
      </w:r>
      <w:r>
        <w:rPr>
          <w:rFonts w:hint="eastAsia" w:ascii="仿宋" w:hAnsi="仿宋" w:eastAsia="仿宋" w:cs="仿宋"/>
          <w:color w:val="auto"/>
          <w:sz w:val="24"/>
          <w:highlight w:val="none"/>
        </w:rPr>
        <w:t>：</w:t>
      </w:r>
    </w:p>
    <w:p>
      <w:pPr>
        <w:tabs>
          <w:tab w:val="left" w:pos="4860"/>
        </w:tabs>
        <w:spacing w:line="360" w:lineRule="auto"/>
        <w:ind w:right="1560" w:firstLine="480" w:firstLineChars="200"/>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pPr>
        <w:spacing w:line="360" w:lineRule="auto"/>
        <w:ind w:firstLine="480" w:firstLineChars="200"/>
        <w:rPr>
          <w:rFonts w:ascii="仿宋" w:hAnsi="仿宋" w:eastAsia="仿宋" w:cs="仿宋"/>
          <w:color w:val="auto"/>
          <w:sz w:val="24"/>
          <w:highlight w:val="none"/>
        </w:rPr>
      </w:pPr>
    </w:p>
    <w:p>
      <w:pPr>
        <w:spacing w:line="360" w:lineRule="auto"/>
        <w:ind w:firstLine="480" w:firstLineChars="200"/>
        <w:rPr>
          <w:rFonts w:ascii="仿宋" w:hAnsi="仿宋" w:eastAsia="仿宋" w:cs="仿宋"/>
          <w:color w:val="auto"/>
          <w:sz w:val="24"/>
          <w:highlight w:val="none"/>
        </w:rPr>
      </w:pPr>
    </w:p>
    <w:p>
      <w:pPr>
        <w:spacing w:line="360" w:lineRule="auto"/>
        <w:ind w:firstLine="480" w:firstLineChars="200"/>
        <w:rPr>
          <w:rFonts w:ascii="仿宋" w:hAnsi="仿宋" w:eastAsia="仿宋" w:cs="仿宋"/>
          <w:color w:val="auto"/>
          <w:sz w:val="24"/>
          <w:highlight w:val="none"/>
        </w:rPr>
      </w:pPr>
    </w:p>
    <w:p>
      <w:pPr>
        <w:spacing w:line="360" w:lineRule="auto"/>
        <w:ind w:firstLine="480" w:firstLineChars="200"/>
        <w:rPr>
          <w:rFonts w:ascii="仿宋" w:hAnsi="仿宋" w:eastAsia="仿宋" w:cs="仿宋"/>
          <w:color w:val="auto"/>
          <w:sz w:val="24"/>
          <w:highlight w:val="none"/>
        </w:rPr>
      </w:pPr>
    </w:p>
    <w:p>
      <w:pPr>
        <w:spacing w:line="360" w:lineRule="auto"/>
        <w:ind w:firstLine="480" w:firstLineChars="200"/>
        <w:rPr>
          <w:rFonts w:ascii="仿宋" w:hAnsi="仿宋" w:eastAsia="仿宋" w:cs="仿宋"/>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jc w:val="left"/>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附件2：质疑函范本及制作说明</w:t>
      </w:r>
    </w:p>
    <w:p>
      <w:pPr>
        <w:spacing w:line="360" w:lineRule="auto"/>
        <w:jc w:val="center"/>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质疑函范本</w:t>
      </w:r>
    </w:p>
    <w:p>
      <w:pPr>
        <w:snapToGrid w:val="0"/>
        <w:spacing w:before="240" w:beforeLines="100"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地址：邮编：</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联系人：联系电话：</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授权代表：</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联系电话：</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地址：邮编：</w:t>
      </w:r>
    </w:p>
    <w:p>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质疑项目的名称：</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质疑项目的编号：包号：</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采购文件获取日期：</w:t>
      </w:r>
    </w:p>
    <w:p>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事实依据：</w:t>
      </w:r>
    </w:p>
    <w:p>
      <w:pPr>
        <w:snapToGrid w:val="0"/>
        <w:spacing w:line="360" w:lineRule="auto"/>
        <w:rPr>
          <w:rFonts w:ascii="仿宋" w:hAnsi="仿宋" w:eastAsia="仿宋" w:cs="仿宋"/>
          <w:color w:val="auto"/>
          <w:sz w:val="24"/>
          <w:highlight w:val="none"/>
        </w:rPr>
      </w:pP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法律依据：</w:t>
      </w:r>
    </w:p>
    <w:p>
      <w:pPr>
        <w:snapToGrid w:val="0"/>
        <w:spacing w:line="360" w:lineRule="auto"/>
        <w:rPr>
          <w:rFonts w:ascii="仿宋" w:hAnsi="仿宋" w:eastAsia="仿宋" w:cs="仿宋"/>
          <w:color w:val="auto"/>
          <w:sz w:val="24"/>
          <w:highlight w:val="none"/>
          <w:u w:val="dotted"/>
        </w:rPr>
      </w:pP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w:t>
      </w:r>
    </w:p>
    <w:p>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请求：</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日期：</w:t>
      </w:r>
    </w:p>
    <w:p>
      <w:pPr>
        <w:spacing w:line="360" w:lineRule="auto"/>
        <w:jc w:val="center"/>
        <w:rPr>
          <w:rFonts w:ascii="仿宋" w:hAnsi="仿宋" w:eastAsia="仿宋" w:cs="仿宋"/>
          <w:b/>
          <w:bCs/>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480" w:firstLineChars="200"/>
        <w:jc w:val="left"/>
        <w:rPr>
          <w:rFonts w:ascii="仿宋" w:hAnsi="仿宋" w:eastAsia="仿宋" w:cs="仿宋"/>
          <w:color w:val="auto"/>
          <w:sz w:val="24"/>
          <w:highlight w:val="none"/>
        </w:rPr>
      </w:pPr>
    </w:p>
    <w:p>
      <w:pPr>
        <w:spacing w:line="360" w:lineRule="auto"/>
        <w:jc w:val="center"/>
        <w:rPr>
          <w:rFonts w:ascii="仿宋" w:hAnsi="仿宋" w:eastAsia="仿宋" w:cs="仿宋"/>
          <w:b/>
          <w:color w:val="auto"/>
          <w:spacing w:val="6"/>
          <w:sz w:val="24"/>
          <w:highlight w:val="none"/>
        </w:rPr>
      </w:pPr>
    </w:p>
    <w:p>
      <w:pPr>
        <w:spacing w:line="360" w:lineRule="auto"/>
        <w:jc w:val="center"/>
        <w:rPr>
          <w:rFonts w:ascii="仿宋" w:hAnsi="仿宋" w:eastAsia="仿宋" w:cs="仿宋"/>
          <w:b/>
          <w:color w:val="auto"/>
          <w:spacing w:val="6"/>
          <w:sz w:val="24"/>
          <w:highlight w:val="none"/>
        </w:rPr>
      </w:pPr>
    </w:p>
    <w:p>
      <w:pPr>
        <w:spacing w:line="360" w:lineRule="auto"/>
        <w:jc w:val="center"/>
        <w:rPr>
          <w:rFonts w:ascii="仿宋" w:hAnsi="仿宋" w:eastAsia="仿宋" w:cs="仿宋"/>
          <w:b/>
          <w:color w:val="auto"/>
          <w:spacing w:val="6"/>
          <w:sz w:val="24"/>
          <w:highlight w:val="none"/>
        </w:rPr>
      </w:pPr>
    </w:p>
    <w:p>
      <w:pPr>
        <w:spacing w:line="360" w:lineRule="auto"/>
        <w:jc w:val="center"/>
        <w:rPr>
          <w:rFonts w:ascii="仿宋" w:hAnsi="仿宋" w:eastAsia="仿宋" w:cs="仿宋"/>
          <w:b/>
          <w:color w:val="auto"/>
          <w:spacing w:val="6"/>
          <w:sz w:val="24"/>
          <w:highlight w:val="none"/>
        </w:rPr>
      </w:pPr>
    </w:p>
    <w:p>
      <w:pPr>
        <w:spacing w:line="360" w:lineRule="auto"/>
        <w:jc w:val="center"/>
        <w:rPr>
          <w:rFonts w:ascii="仿宋" w:hAnsi="仿宋" w:eastAsia="仿宋" w:cs="仿宋"/>
          <w:b/>
          <w:color w:val="auto"/>
          <w:spacing w:val="6"/>
          <w:sz w:val="24"/>
          <w:highlight w:val="none"/>
        </w:rPr>
      </w:pPr>
    </w:p>
    <w:p>
      <w:pPr>
        <w:spacing w:line="360" w:lineRule="auto"/>
        <w:jc w:val="center"/>
        <w:rPr>
          <w:rFonts w:ascii="仿宋" w:hAnsi="仿宋" w:eastAsia="仿宋" w:cs="仿宋"/>
          <w:b/>
          <w:color w:val="auto"/>
          <w:spacing w:val="6"/>
          <w:sz w:val="24"/>
          <w:highlight w:val="none"/>
        </w:rPr>
      </w:pPr>
    </w:p>
    <w:p>
      <w:pPr>
        <w:spacing w:line="360" w:lineRule="auto"/>
        <w:jc w:val="center"/>
        <w:rPr>
          <w:rFonts w:ascii="仿宋" w:hAnsi="仿宋" w:eastAsia="仿宋" w:cs="仿宋"/>
          <w:b/>
          <w:color w:val="auto"/>
          <w:spacing w:val="6"/>
          <w:sz w:val="24"/>
          <w:highlight w:val="none"/>
        </w:rPr>
      </w:pPr>
    </w:p>
    <w:p>
      <w:pPr>
        <w:spacing w:line="360" w:lineRule="auto"/>
        <w:jc w:val="center"/>
        <w:rPr>
          <w:rFonts w:ascii="仿宋" w:hAnsi="仿宋" w:eastAsia="仿宋" w:cs="仿宋"/>
          <w:b/>
          <w:color w:val="auto"/>
          <w:spacing w:val="6"/>
          <w:sz w:val="24"/>
          <w:highlight w:val="none"/>
        </w:rPr>
      </w:pPr>
    </w:p>
    <w:p>
      <w:pPr>
        <w:spacing w:line="360" w:lineRule="auto"/>
        <w:jc w:val="center"/>
        <w:rPr>
          <w:rFonts w:ascii="仿宋" w:hAnsi="仿宋" w:eastAsia="仿宋" w:cs="仿宋"/>
          <w:b/>
          <w:color w:val="auto"/>
          <w:spacing w:val="6"/>
          <w:sz w:val="24"/>
          <w:highlight w:val="none"/>
        </w:rPr>
      </w:pPr>
    </w:p>
    <w:p>
      <w:pPr>
        <w:spacing w:line="360" w:lineRule="auto"/>
        <w:jc w:val="center"/>
        <w:rPr>
          <w:rFonts w:ascii="仿宋" w:hAnsi="仿宋" w:eastAsia="仿宋" w:cs="仿宋"/>
          <w:b/>
          <w:color w:val="auto"/>
          <w:spacing w:val="6"/>
          <w:sz w:val="24"/>
          <w:highlight w:val="none"/>
        </w:rPr>
      </w:pPr>
    </w:p>
    <w:p>
      <w:pPr>
        <w:spacing w:line="360" w:lineRule="auto"/>
        <w:jc w:val="center"/>
        <w:rPr>
          <w:rFonts w:ascii="仿宋" w:hAnsi="仿宋" w:eastAsia="仿宋" w:cs="仿宋"/>
          <w:b/>
          <w:color w:val="auto"/>
          <w:spacing w:val="6"/>
          <w:sz w:val="24"/>
          <w:highlight w:val="none"/>
        </w:rPr>
      </w:pPr>
    </w:p>
    <w:p>
      <w:pPr>
        <w:spacing w:line="360" w:lineRule="auto"/>
        <w:jc w:val="center"/>
        <w:rPr>
          <w:rFonts w:ascii="仿宋" w:hAnsi="仿宋" w:eastAsia="仿宋" w:cs="仿宋"/>
          <w:b/>
          <w:color w:val="auto"/>
          <w:spacing w:val="6"/>
          <w:sz w:val="24"/>
          <w:highlight w:val="none"/>
        </w:rPr>
      </w:pPr>
    </w:p>
    <w:p>
      <w:pPr>
        <w:spacing w:line="360" w:lineRule="auto"/>
        <w:jc w:val="left"/>
        <w:rPr>
          <w:rFonts w:ascii="仿宋" w:hAnsi="仿宋" w:eastAsia="仿宋" w:cs="仿宋"/>
          <w:b/>
          <w:color w:val="auto"/>
          <w:spacing w:val="6"/>
          <w:sz w:val="24"/>
          <w:highlight w:val="none"/>
        </w:rPr>
      </w:pPr>
    </w:p>
    <w:p>
      <w:pPr>
        <w:spacing w:line="360" w:lineRule="auto"/>
        <w:jc w:val="left"/>
        <w:rPr>
          <w:rFonts w:ascii="仿宋" w:hAnsi="仿宋" w:eastAsia="仿宋" w:cs="仿宋"/>
          <w:b/>
          <w:color w:val="auto"/>
          <w:spacing w:val="6"/>
          <w:sz w:val="24"/>
          <w:highlight w:val="none"/>
        </w:rPr>
      </w:pPr>
    </w:p>
    <w:p>
      <w:pPr>
        <w:spacing w:line="360" w:lineRule="auto"/>
        <w:jc w:val="left"/>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附件3：投诉书范本及制作说明</w:t>
      </w:r>
    </w:p>
    <w:p>
      <w:pPr>
        <w:spacing w:line="360" w:lineRule="auto"/>
        <w:jc w:val="center"/>
        <w:rPr>
          <w:rFonts w:ascii="仿宋" w:hAnsi="仿宋" w:eastAsia="仿宋" w:cs="仿宋"/>
          <w:b/>
          <w:color w:val="auto"/>
          <w:sz w:val="24"/>
          <w:highlight w:val="none"/>
        </w:rPr>
      </w:pPr>
    </w:p>
    <w:p>
      <w:pPr>
        <w:spacing w:line="360" w:lineRule="auto"/>
        <w:jc w:val="center"/>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投诉书范本</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投诉人：</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地址：邮编：</w:t>
      </w:r>
    </w:p>
    <w:p>
      <w:pPr>
        <w:tabs>
          <w:tab w:val="left" w:pos="6510"/>
        </w:tabs>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p>
    <w:p>
      <w:pPr>
        <w:tabs>
          <w:tab w:val="left" w:pos="6510"/>
        </w:tabs>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联系电话：</w:t>
      </w:r>
    </w:p>
    <w:p>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授权代表：联系电话</w:t>
      </w:r>
      <w:r>
        <w:rPr>
          <w:rFonts w:hint="eastAsia" w:ascii="仿宋" w:hAnsi="仿宋" w:eastAsia="仿宋" w:cs="仿宋"/>
          <w:color w:val="auto"/>
          <w:sz w:val="24"/>
          <w:highlight w:val="none"/>
          <w:u w:val="dotted"/>
        </w:rPr>
        <w:t>：</w:t>
      </w:r>
    </w:p>
    <w:p>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地址：邮编：</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地址：邮编：</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联系人：联系电话：</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被投诉人2</w:t>
      </w:r>
    </w:p>
    <w:p>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地址：邮编：</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联系人：联系电话：</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采购项目编号：包号：</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采购人名称：</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p>
    <w:p>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pPr>
        <w:spacing w:line="360" w:lineRule="auto"/>
        <w:ind w:firstLine="480" w:firstLineChars="200"/>
        <w:rPr>
          <w:rFonts w:ascii="仿宋" w:hAnsi="仿宋" w:eastAsia="仿宋" w:cs="仿宋"/>
          <w:color w:val="auto"/>
          <w:sz w:val="24"/>
          <w:highlight w:val="none"/>
          <w:u w:val="dotted"/>
        </w:rPr>
      </w:pPr>
      <w:r>
        <w:rPr>
          <w:rFonts w:hint="eastAsia" w:ascii="仿宋" w:hAnsi="仿宋" w:eastAsia="仿宋" w:cs="仿宋"/>
          <w:color w:val="auto"/>
          <w:sz w:val="24"/>
          <w:highlight w:val="none"/>
        </w:rPr>
        <w:t>投诉人于年月日,向提出质疑，质疑事项为：</w:t>
      </w:r>
    </w:p>
    <w:p>
      <w:pPr>
        <w:spacing w:line="360" w:lineRule="auto"/>
        <w:rPr>
          <w:rFonts w:ascii="仿宋" w:hAnsi="仿宋" w:eastAsia="仿宋" w:cs="仿宋"/>
          <w:color w:val="auto"/>
          <w:sz w:val="24"/>
          <w:highlight w:val="none"/>
          <w:u w:val="dotted"/>
        </w:rPr>
      </w:pPr>
    </w:p>
    <w:p>
      <w:pPr>
        <w:spacing w:line="360" w:lineRule="auto"/>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于年月日,就质疑事项作出了答复/没有在法定期限内作出答复。</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事实依据：</w:t>
      </w:r>
    </w:p>
    <w:p>
      <w:pPr>
        <w:spacing w:line="360" w:lineRule="auto"/>
        <w:rPr>
          <w:rFonts w:ascii="仿宋" w:hAnsi="仿宋" w:eastAsia="仿宋" w:cs="仿宋"/>
          <w:color w:val="auto"/>
          <w:sz w:val="24"/>
          <w:highlight w:val="none"/>
          <w:u w:val="dotted"/>
        </w:rPr>
      </w:pPr>
    </w:p>
    <w:p>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法律依据：</w:t>
      </w:r>
    </w:p>
    <w:p>
      <w:pPr>
        <w:spacing w:line="360" w:lineRule="auto"/>
        <w:rPr>
          <w:rFonts w:ascii="仿宋" w:hAnsi="仿宋" w:eastAsia="仿宋" w:cs="仿宋"/>
          <w:color w:val="auto"/>
          <w:sz w:val="24"/>
          <w:highlight w:val="none"/>
          <w:u w:val="dotted"/>
        </w:rPr>
      </w:pP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投诉事项2</w:t>
      </w:r>
    </w:p>
    <w:p>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请求：</w:t>
      </w:r>
    </w:p>
    <w:p>
      <w:pPr>
        <w:spacing w:line="360" w:lineRule="auto"/>
        <w:rPr>
          <w:rFonts w:ascii="仿宋" w:hAnsi="仿宋" w:eastAsia="仿宋" w:cs="仿宋"/>
          <w:color w:val="auto"/>
          <w:sz w:val="24"/>
          <w:highlight w:val="none"/>
          <w:u w:val="single"/>
        </w:rPr>
      </w:pP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日期：</w:t>
      </w: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pPr>
        <w:widowControl/>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ascii="仿宋" w:hAnsi="仿宋" w:eastAsia="仿宋" w:cs="仿宋"/>
          <w:b/>
          <w:color w:val="auto"/>
          <w:sz w:val="24"/>
          <w:highlight w:val="none"/>
        </w:rPr>
      </w:pPr>
    </w:p>
    <w:p>
      <w:pPr>
        <w:autoSpaceDE w:val="0"/>
        <w:autoSpaceDN w:val="0"/>
        <w:jc w:val="center"/>
        <w:rPr>
          <w:rFonts w:ascii="仿宋" w:hAnsi="仿宋" w:eastAsia="仿宋" w:cs="仿宋"/>
          <w:b/>
          <w:color w:val="auto"/>
          <w:spacing w:val="6"/>
          <w:sz w:val="24"/>
          <w:highlight w:val="none"/>
        </w:rPr>
      </w:pPr>
    </w:p>
    <w:p>
      <w:pPr>
        <w:autoSpaceDE w:val="0"/>
        <w:autoSpaceDN w:val="0"/>
        <w:jc w:val="center"/>
        <w:rPr>
          <w:rFonts w:ascii="仿宋" w:hAnsi="仿宋" w:eastAsia="仿宋" w:cs="仿宋"/>
          <w:b/>
          <w:color w:val="auto"/>
          <w:spacing w:val="6"/>
          <w:sz w:val="24"/>
          <w:highlight w:val="none"/>
        </w:rPr>
      </w:pPr>
    </w:p>
    <w:p>
      <w:pPr>
        <w:autoSpaceDE w:val="0"/>
        <w:autoSpaceDN w:val="0"/>
        <w:jc w:val="center"/>
        <w:rPr>
          <w:rFonts w:ascii="仿宋" w:hAnsi="仿宋" w:eastAsia="仿宋" w:cs="仿宋"/>
          <w:b/>
          <w:bCs/>
          <w:color w:val="auto"/>
          <w:sz w:val="24"/>
          <w:highlight w:val="none"/>
        </w:rPr>
      </w:pPr>
      <w:r>
        <w:rPr>
          <w:rFonts w:hint="eastAsia" w:ascii="仿宋" w:hAnsi="仿宋" w:eastAsia="仿宋" w:cs="仿宋"/>
          <w:b/>
          <w:color w:val="auto"/>
          <w:spacing w:val="6"/>
          <w:sz w:val="24"/>
          <w:highlight w:val="none"/>
        </w:rPr>
        <w:t>附件4：</w:t>
      </w:r>
      <w:r>
        <w:rPr>
          <w:rFonts w:hint="eastAsia" w:ascii="仿宋" w:hAnsi="仿宋" w:eastAsia="仿宋" w:cs="仿宋"/>
          <w:b/>
          <w:bCs/>
          <w:color w:val="auto"/>
          <w:sz w:val="24"/>
          <w:highlight w:val="none"/>
        </w:rPr>
        <w:t>业务专用章使用说明函</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你方组织的（项目名称）项目【招标编号：（采购编号）】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我方所使用的“XX专用章”与法定名称章具有同等的法律效力，对使用“XX专用章”的行为予以完全承认，并愿意承担相应责任。</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特此说明。</w:t>
      </w:r>
    </w:p>
    <w:p>
      <w:pPr>
        <w:spacing w:line="360" w:lineRule="auto"/>
        <w:ind w:firstLine="494"/>
        <w:rPr>
          <w:rFonts w:ascii="仿宋" w:hAnsi="仿宋" w:eastAsia="仿宋" w:cs="仿宋"/>
          <w:color w:val="auto"/>
          <w:sz w:val="24"/>
          <w:highlight w:val="none"/>
        </w:rPr>
      </w:pPr>
    </w:p>
    <w:p>
      <w:pPr>
        <w:spacing w:line="360" w:lineRule="auto"/>
        <w:ind w:firstLine="494"/>
        <w:rPr>
          <w:rFonts w:ascii="仿宋" w:hAnsi="仿宋" w:eastAsia="仿宋" w:cs="仿宋"/>
          <w:color w:val="auto"/>
          <w:sz w:val="24"/>
          <w:highlight w:val="none"/>
        </w:rPr>
      </w:pPr>
    </w:p>
    <w:p>
      <w:pPr>
        <w:spacing w:line="360" w:lineRule="auto"/>
        <w:ind w:firstLine="494"/>
        <w:rPr>
          <w:rFonts w:ascii="仿宋" w:hAnsi="仿宋" w:eastAsia="仿宋" w:cs="仿宋"/>
          <w:color w:val="auto"/>
          <w:sz w:val="24"/>
          <w:highlight w:val="none"/>
        </w:rPr>
      </w:pPr>
    </w:p>
    <w:p>
      <w:pPr>
        <w:spacing w:line="360" w:lineRule="auto"/>
        <w:ind w:firstLine="494"/>
        <w:rPr>
          <w:rFonts w:ascii="仿宋" w:hAnsi="仿宋" w:eastAsia="仿宋" w:cs="仿宋"/>
          <w:color w:val="auto"/>
          <w:sz w:val="24"/>
          <w:highlight w:val="none"/>
        </w:rPr>
      </w:pPr>
    </w:p>
    <w:p>
      <w:pPr>
        <w:spacing w:line="360" w:lineRule="auto"/>
        <w:ind w:right="480" w:firstLine="4080" w:firstLineChars="1700"/>
        <w:rPr>
          <w:rFonts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pPr>
        <w:ind w:right="1440" w:firstLine="494"/>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rPr>
          <w:rFonts w:ascii="仿宋" w:hAnsi="仿宋" w:eastAsia="仿宋" w:cs="仿宋"/>
          <w:color w:val="auto"/>
          <w:sz w:val="24"/>
          <w:highlight w:val="none"/>
        </w:rPr>
      </w:pPr>
      <w:r>
        <w:rPr>
          <w:rFonts w:hint="eastAsia" w:ascii="仿宋" w:hAnsi="仿宋" w:eastAsia="仿宋" w:cs="仿宋"/>
          <w:b/>
          <w:bCs/>
          <w:color w:val="auto"/>
          <w:sz w:val="24"/>
          <w:highlight w:val="none"/>
        </w:rPr>
        <w:t>附：</w:t>
      </w:r>
    </w:p>
    <w:p>
      <w:pPr>
        <w:spacing w:line="360" w:lineRule="auto"/>
        <w:rPr>
          <w:rFonts w:ascii="仿宋" w:hAnsi="仿宋" w:eastAsia="仿宋" w:cs="仿宋"/>
          <w:bCs/>
          <w:color w:val="auto"/>
          <w:sz w:val="24"/>
          <w:highlight w:val="none"/>
        </w:rPr>
      </w:pPr>
      <w:r>
        <w:rPr>
          <w:rFonts w:ascii="仿宋" w:hAnsi="仿宋" w:eastAsia="仿宋" w:cs="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0" t="0" r="19685" b="13335"/>
                <wp:wrapNone/>
                <wp:docPr id="2"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9ZAPP9gAAAAKAQAADwAAAAAAAAABACAA&#10;AAAiAAAAZHJzL2Rvd25yZXYueG1sUEsBAhQAFAAAAAgAh07iQC8Z/rsNAgAAJgQAAA4AAAAAAAAA&#10;AQAgAAAAJwEAAGRycy9lMm9Eb2MueG1sUEsFBgAAAAAGAAYAWQEAAKYFAAAAAA==&#10;">
                <v:fill on="t" focussize="0,0"/>
                <v:stroke color="#000000" miterlimit="2" joinstyle="miter"/>
                <v:imagedata o:title=""/>
                <o:lock v:ext="edit" aspectratio="f"/>
              </v:rect>
            </w:pict>
          </mc:Fallback>
        </mc:AlternateContent>
      </w:r>
      <w:r>
        <w:rPr>
          <w:rFonts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0" t="0" r="19050" b="13335"/>
                <wp:wrapNone/>
                <wp:docPr id="1"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GYxHptgAAAAKAQAADwAAAAAAAAABACAA&#10;AAAiAAAAZHJzL2Rvd25yZXYueG1sUEsBAhQAFAAAAAgAh07iQAdQSW4NAgAAJgQAAA4AAAAAAAAA&#10;AQAgAAAAJwEAAGRycy9lMm9Eb2MueG1sUEsFBgAAAAAGAAYAWQEAAKYFA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投标单位法定名称章（印模）投标单位“XX专用章”（印模）</w:t>
      </w:r>
    </w:p>
    <w:p>
      <w:pPr>
        <w:autoSpaceDE w:val="0"/>
        <w:autoSpaceDN w:val="0"/>
        <w:jc w:val="center"/>
        <w:rPr>
          <w:rFonts w:ascii="仿宋" w:hAnsi="仿宋" w:eastAsia="仿宋" w:cs="仿宋"/>
          <w:b/>
          <w:color w:val="auto"/>
          <w:spacing w:val="6"/>
          <w:sz w:val="24"/>
          <w:highlight w:val="none"/>
        </w:rPr>
      </w:pPr>
    </w:p>
    <w:p>
      <w:pPr>
        <w:autoSpaceDE w:val="0"/>
        <w:autoSpaceDN w:val="0"/>
        <w:jc w:val="center"/>
        <w:rPr>
          <w:rFonts w:ascii="仿宋" w:hAnsi="仿宋" w:eastAsia="仿宋" w:cs="仿宋"/>
          <w:b/>
          <w:color w:val="auto"/>
          <w:spacing w:val="6"/>
          <w:sz w:val="24"/>
          <w:highlight w:val="none"/>
        </w:rPr>
      </w:pPr>
    </w:p>
    <w:p>
      <w:pPr>
        <w:autoSpaceDE w:val="0"/>
        <w:autoSpaceDN w:val="0"/>
        <w:jc w:val="center"/>
        <w:rPr>
          <w:rFonts w:ascii="仿宋" w:hAnsi="仿宋" w:eastAsia="仿宋" w:cs="仿宋"/>
          <w:b/>
          <w:color w:val="auto"/>
          <w:spacing w:val="6"/>
          <w:sz w:val="24"/>
          <w:highlight w:val="none"/>
        </w:rPr>
      </w:pPr>
    </w:p>
    <w:p>
      <w:pPr>
        <w:autoSpaceDE w:val="0"/>
        <w:autoSpaceDN w:val="0"/>
        <w:jc w:val="center"/>
        <w:rPr>
          <w:rFonts w:ascii="仿宋" w:hAnsi="仿宋" w:eastAsia="仿宋" w:cs="仿宋"/>
          <w:b/>
          <w:color w:val="auto"/>
          <w:spacing w:val="6"/>
          <w:sz w:val="24"/>
          <w:highlight w:val="none"/>
        </w:rPr>
      </w:pPr>
    </w:p>
    <w:p>
      <w:pPr>
        <w:autoSpaceDE w:val="0"/>
        <w:autoSpaceDN w:val="0"/>
        <w:jc w:val="center"/>
        <w:rPr>
          <w:rFonts w:ascii="仿宋" w:hAnsi="仿宋" w:eastAsia="仿宋" w:cs="仿宋"/>
          <w:b/>
          <w:color w:val="auto"/>
          <w:spacing w:val="6"/>
          <w:sz w:val="24"/>
          <w:highlight w:val="none"/>
        </w:rPr>
      </w:pPr>
    </w:p>
    <w:p>
      <w:pPr>
        <w:autoSpaceDE w:val="0"/>
        <w:autoSpaceDN w:val="0"/>
        <w:jc w:val="center"/>
        <w:rPr>
          <w:rFonts w:ascii="仿宋" w:hAnsi="仿宋" w:eastAsia="仿宋" w:cs="仿宋"/>
          <w:b/>
          <w:color w:val="auto"/>
          <w:spacing w:val="6"/>
          <w:sz w:val="24"/>
          <w:highlight w:val="none"/>
        </w:rPr>
      </w:pPr>
    </w:p>
    <w:p>
      <w:pPr>
        <w:autoSpaceDE w:val="0"/>
        <w:autoSpaceDN w:val="0"/>
        <w:jc w:val="center"/>
        <w:rPr>
          <w:rFonts w:ascii="仿宋" w:hAnsi="仿宋" w:eastAsia="仿宋" w:cs="仿宋"/>
          <w:b/>
          <w:color w:val="auto"/>
          <w:spacing w:val="6"/>
          <w:sz w:val="24"/>
          <w:highlight w:val="none"/>
        </w:rPr>
      </w:pPr>
    </w:p>
    <w:p>
      <w:pPr>
        <w:autoSpaceDE w:val="0"/>
        <w:autoSpaceDN w:val="0"/>
        <w:jc w:val="center"/>
        <w:rPr>
          <w:rFonts w:ascii="仿宋" w:hAnsi="仿宋" w:eastAsia="仿宋" w:cs="仿宋"/>
          <w:b/>
          <w:color w:val="auto"/>
          <w:spacing w:val="6"/>
          <w:sz w:val="24"/>
          <w:highlight w:val="none"/>
        </w:rPr>
      </w:pPr>
    </w:p>
    <w:p>
      <w:pPr>
        <w:autoSpaceDE w:val="0"/>
        <w:autoSpaceDN w:val="0"/>
        <w:jc w:val="center"/>
        <w:rPr>
          <w:rFonts w:ascii="仿宋" w:hAnsi="仿宋" w:eastAsia="仿宋" w:cs="仿宋"/>
          <w:b/>
          <w:color w:val="auto"/>
          <w:spacing w:val="6"/>
          <w:sz w:val="24"/>
          <w:highlight w:val="none"/>
        </w:rPr>
      </w:pPr>
    </w:p>
    <w:p>
      <w:pPr>
        <w:autoSpaceDE w:val="0"/>
        <w:autoSpaceDN w:val="0"/>
        <w:jc w:val="center"/>
        <w:rPr>
          <w:rFonts w:ascii="仿宋" w:hAnsi="仿宋" w:eastAsia="仿宋" w:cs="仿宋"/>
          <w:b/>
          <w:color w:val="auto"/>
          <w:spacing w:val="6"/>
          <w:sz w:val="24"/>
          <w:highlight w:val="none"/>
        </w:rPr>
      </w:pPr>
    </w:p>
    <w:p>
      <w:pPr>
        <w:autoSpaceDE w:val="0"/>
        <w:autoSpaceDN w:val="0"/>
        <w:jc w:val="center"/>
        <w:rPr>
          <w:rFonts w:ascii="仿宋" w:hAnsi="仿宋" w:eastAsia="仿宋" w:cs="仿宋"/>
          <w:b/>
          <w:color w:val="auto"/>
          <w:spacing w:val="6"/>
          <w:sz w:val="24"/>
          <w:highlight w:val="none"/>
        </w:rPr>
      </w:pPr>
    </w:p>
    <w:p>
      <w:pPr>
        <w:autoSpaceDE w:val="0"/>
        <w:autoSpaceDN w:val="0"/>
        <w:jc w:val="center"/>
        <w:rPr>
          <w:rFonts w:ascii="仿宋" w:hAnsi="仿宋" w:eastAsia="仿宋" w:cs="仿宋"/>
          <w:b/>
          <w:color w:val="auto"/>
          <w:spacing w:val="6"/>
          <w:sz w:val="24"/>
          <w:highlight w:val="none"/>
        </w:rPr>
      </w:pPr>
    </w:p>
    <w:p>
      <w:pPr>
        <w:autoSpaceDE w:val="0"/>
        <w:autoSpaceDN w:val="0"/>
        <w:jc w:val="center"/>
        <w:rPr>
          <w:rFonts w:ascii="仿宋" w:hAnsi="仿宋" w:eastAsia="仿宋" w:cs="仿宋"/>
          <w:b/>
          <w:color w:val="auto"/>
          <w:spacing w:val="6"/>
          <w:sz w:val="24"/>
          <w:highlight w:val="none"/>
        </w:rPr>
      </w:pPr>
    </w:p>
    <w:p>
      <w:pPr>
        <w:autoSpaceDE w:val="0"/>
        <w:autoSpaceDN w:val="0"/>
        <w:jc w:val="center"/>
        <w:rPr>
          <w:rFonts w:ascii="仿宋" w:hAnsi="仿宋" w:eastAsia="仿宋" w:cs="仿宋"/>
          <w:b/>
          <w:color w:val="auto"/>
          <w:spacing w:val="6"/>
          <w:sz w:val="24"/>
          <w:highlight w:val="none"/>
        </w:rPr>
      </w:pPr>
    </w:p>
    <w:p>
      <w:pPr>
        <w:autoSpaceDE w:val="0"/>
        <w:autoSpaceDN w:val="0"/>
        <w:jc w:val="center"/>
        <w:rPr>
          <w:rFonts w:ascii="仿宋" w:hAnsi="仿宋" w:eastAsia="仿宋" w:cs="仿宋"/>
          <w:b/>
          <w:color w:val="auto"/>
          <w:spacing w:val="6"/>
          <w:sz w:val="24"/>
          <w:highlight w:val="none"/>
        </w:rPr>
      </w:pPr>
    </w:p>
    <w:p>
      <w:pPr>
        <w:autoSpaceDE w:val="0"/>
        <w:autoSpaceDN w:val="0"/>
        <w:jc w:val="center"/>
        <w:rPr>
          <w:rFonts w:ascii="仿宋" w:hAnsi="仿宋" w:eastAsia="仿宋" w:cs="仿宋"/>
          <w:b/>
          <w:color w:val="auto"/>
          <w:spacing w:val="6"/>
          <w:sz w:val="24"/>
          <w:highlight w:val="none"/>
        </w:rPr>
      </w:pPr>
    </w:p>
    <w:p>
      <w:pPr>
        <w:autoSpaceDE w:val="0"/>
        <w:autoSpaceDN w:val="0"/>
        <w:jc w:val="center"/>
        <w:rPr>
          <w:rFonts w:ascii="仿宋" w:hAnsi="仿宋" w:eastAsia="仿宋" w:cs="仿宋"/>
          <w:b/>
          <w:color w:val="auto"/>
          <w:spacing w:val="6"/>
          <w:sz w:val="24"/>
          <w:highlight w:val="none"/>
        </w:rPr>
      </w:pPr>
    </w:p>
    <w:p>
      <w:pPr>
        <w:autoSpaceDE w:val="0"/>
        <w:autoSpaceDN w:val="0"/>
        <w:jc w:val="center"/>
        <w:rPr>
          <w:rFonts w:ascii="仿宋" w:hAnsi="仿宋" w:eastAsia="仿宋" w:cs="仿宋"/>
          <w:b/>
          <w:color w:val="auto"/>
          <w:spacing w:val="6"/>
          <w:sz w:val="24"/>
          <w:highlight w:val="none"/>
        </w:rPr>
      </w:pPr>
    </w:p>
    <w:p>
      <w:pPr>
        <w:autoSpaceDE w:val="0"/>
        <w:autoSpaceDN w:val="0"/>
        <w:jc w:val="center"/>
        <w:rPr>
          <w:rFonts w:ascii="仿宋" w:hAnsi="仿宋" w:eastAsia="仿宋" w:cs="仿宋"/>
          <w:b/>
          <w:bCs/>
          <w:color w:val="auto"/>
          <w:sz w:val="24"/>
          <w:highlight w:val="none"/>
        </w:rPr>
      </w:pPr>
      <w:r>
        <w:rPr>
          <w:rFonts w:hint="eastAsia" w:ascii="仿宋" w:hAnsi="仿宋" w:eastAsia="仿宋" w:cs="仿宋"/>
          <w:b/>
          <w:color w:val="auto"/>
          <w:spacing w:val="6"/>
          <w:sz w:val="24"/>
          <w:highlight w:val="none"/>
        </w:rPr>
        <w:t>附件5：</w:t>
      </w:r>
      <w:r>
        <w:rPr>
          <w:rFonts w:hint="eastAsia" w:ascii="仿宋" w:hAnsi="仿宋" w:eastAsia="仿宋" w:cs="仿宋"/>
          <w:b/>
          <w:color w:val="auto"/>
          <w:sz w:val="24"/>
          <w:highlight w:val="none"/>
        </w:rPr>
        <w:t>中小企业声明函</w:t>
      </w:r>
    </w:p>
    <w:p>
      <w:pPr>
        <w:spacing w:line="360" w:lineRule="auto"/>
        <w:rPr>
          <w:rFonts w:ascii="仿宋" w:hAnsi="仿宋" w:eastAsia="仿宋" w:cs="仿宋"/>
          <w:b/>
          <w:color w:val="auto"/>
          <w:sz w:val="24"/>
          <w:highlight w:val="none"/>
        </w:rPr>
      </w:pPr>
    </w:p>
    <w:p>
      <w:pPr>
        <w:spacing w:line="360" w:lineRule="auto"/>
        <w:jc w:val="center"/>
        <w:rPr>
          <w:rFonts w:ascii="仿宋" w:hAnsi="仿宋" w:eastAsia="仿宋"/>
          <w:b/>
          <w:color w:val="auto"/>
          <w:sz w:val="32"/>
          <w:szCs w:val="32"/>
        </w:rPr>
      </w:pPr>
      <w:r>
        <w:rPr>
          <w:rFonts w:hint="eastAsia" w:ascii="仿宋" w:hAnsi="仿宋" w:eastAsia="仿宋"/>
          <w:b/>
          <w:color w:val="auto"/>
          <w:sz w:val="32"/>
          <w:szCs w:val="32"/>
        </w:rPr>
        <w:t>中小企业声明函（货物）</w:t>
      </w:r>
    </w:p>
    <w:p>
      <w:pPr>
        <w:spacing w:line="360" w:lineRule="auto"/>
        <w:ind w:firstLine="480" w:firstLineChars="200"/>
        <w:rPr>
          <w:rFonts w:ascii="仿宋" w:hAnsi="仿宋" w:eastAsia="仿宋"/>
          <w:color w:val="auto"/>
          <w:sz w:val="24"/>
        </w:rPr>
      </w:pPr>
      <w:r>
        <w:rPr>
          <w:rFonts w:hint="eastAsia" w:ascii="仿宋" w:hAnsi="仿宋" w:eastAsia="仿宋"/>
          <w:color w:val="auto"/>
          <w:sz w:val="24"/>
        </w:rPr>
        <w:t>本公司（联合体）郑重声明，根据《政府采购促进中小企业发展管理办法》（财库</w:t>
      </w:r>
      <w:r>
        <w:rPr>
          <w:rFonts w:hint="eastAsia" w:ascii="仿宋" w:hAnsi="仿宋" w:eastAsia="仿宋" w:cs="宋体"/>
          <w:color w:val="auto"/>
          <w:sz w:val="24"/>
        </w:rPr>
        <w:t>﹝</w:t>
      </w:r>
      <w:r>
        <w:rPr>
          <w:rFonts w:ascii="仿宋" w:hAnsi="仿宋" w:eastAsia="仿宋"/>
          <w:color w:val="auto"/>
          <w:sz w:val="24"/>
        </w:rPr>
        <w:t>2020</w:t>
      </w:r>
      <w:r>
        <w:rPr>
          <w:rFonts w:hint="eastAsia" w:ascii="仿宋" w:hAnsi="仿宋" w:eastAsia="仿宋" w:cs="宋体"/>
          <w:color w:val="auto"/>
          <w:sz w:val="24"/>
        </w:rPr>
        <w:t>﹞</w:t>
      </w:r>
      <w:r>
        <w:rPr>
          <w:rFonts w:ascii="仿宋" w:hAnsi="仿宋" w:eastAsia="仿宋"/>
          <w:color w:val="auto"/>
          <w:sz w:val="24"/>
        </w:rPr>
        <w:t xml:space="preserve">46 </w:t>
      </w:r>
      <w:r>
        <w:rPr>
          <w:rFonts w:hint="eastAsia" w:ascii="仿宋" w:hAnsi="仿宋" w:eastAsia="仿宋"/>
          <w:color w:val="auto"/>
          <w:sz w:val="24"/>
        </w:rPr>
        <w:t>号）的规定，本公司（联合体）参加</w:t>
      </w:r>
      <w:r>
        <w:rPr>
          <w:rFonts w:ascii="仿宋" w:hAnsi="仿宋" w:eastAsia="仿宋"/>
          <w:color w:val="auto"/>
          <w:sz w:val="24"/>
        </w:rPr>
        <w:t xml:space="preserve"> </w:t>
      </w:r>
      <w:r>
        <w:rPr>
          <w:rFonts w:hint="eastAsia" w:ascii="仿宋" w:hAnsi="仿宋" w:eastAsia="仿宋"/>
          <w:color w:val="auto"/>
          <w:sz w:val="24"/>
        </w:rPr>
        <w:t>（单位名称）</w:t>
      </w:r>
      <w:r>
        <w:rPr>
          <w:rFonts w:ascii="仿宋" w:hAnsi="仿宋" w:eastAsia="仿宋"/>
          <w:color w:val="auto"/>
          <w:sz w:val="24"/>
        </w:rPr>
        <w:t xml:space="preserve"> </w:t>
      </w:r>
      <w:r>
        <w:rPr>
          <w:rFonts w:hint="eastAsia" w:ascii="仿宋" w:hAnsi="仿宋" w:eastAsia="仿宋"/>
          <w:color w:val="auto"/>
          <w:sz w:val="24"/>
        </w:rPr>
        <w:t>的</w:t>
      </w:r>
      <w:r>
        <w:rPr>
          <w:rFonts w:ascii="仿宋" w:hAnsi="仿宋" w:eastAsia="仿宋"/>
          <w:color w:val="auto"/>
          <w:sz w:val="24"/>
        </w:rPr>
        <w:t xml:space="preserve"> </w:t>
      </w:r>
      <w:r>
        <w:rPr>
          <w:rFonts w:hint="eastAsia" w:ascii="仿宋" w:hAnsi="仿宋" w:eastAsia="仿宋"/>
          <w:color w:val="auto"/>
          <w:sz w:val="24"/>
        </w:rPr>
        <w:t>（项目名称）</w:t>
      </w:r>
      <w:r>
        <w:rPr>
          <w:rFonts w:ascii="仿宋" w:hAnsi="仿宋" w:eastAsia="仿宋"/>
          <w:color w:val="auto"/>
          <w:sz w:val="24"/>
        </w:rPr>
        <w:t xml:space="preserve"> </w:t>
      </w:r>
      <w:r>
        <w:rPr>
          <w:rFonts w:hint="eastAsia" w:ascii="仿宋" w:hAnsi="仿宋" w:eastAsia="仿宋"/>
          <w:color w:val="auto"/>
          <w:sz w:val="24"/>
        </w:rPr>
        <w:t>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仿宋" w:hAnsi="仿宋" w:eastAsia="仿宋"/>
          <w:color w:val="auto"/>
          <w:sz w:val="24"/>
        </w:rPr>
      </w:pPr>
      <w:r>
        <w:rPr>
          <w:rFonts w:ascii="仿宋" w:hAnsi="仿宋" w:eastAsia="仿宋"/>
          <w:color w:val="auto"/>
          <w:sz w:val="24"/>
        </w:rPr>
        <w:t>1.</w:t>
      </w:r>
      <w:r>
        <w:rPr>
          <w:rFonts w:ascii="仿宋" w:hAnsi="仿宋" w:eastAsia="仿宋"/>
          <w:color w:val="auto"/>
        </w:rPr>
        <w:t xml:space="preserve"> </w:t>
      </w:r>
      <w:r>
        <w:rPr>
          <w:rFonts w:hint="eastAsia" w:ascii="仿宋" w:hAnsi="仿宋" w:eastAsia="仿宋"/>
          <w:color w:val="auto"/>
          <w:sz w:val="24"/>
          <w:u w:val="single"/>
        </w:rPr>
        <w:t>（标的名称）</w:t>
      </w:r>
      <w:r>
        <w:rPr>
          <w:rFonts w:ascii="仿宋" w:hAnsi="仿宋" w:eastAsia="仿宋"/>
          <w:color w:val="auto"/>
          <w:sz w:val="24"/>
        </w:rPr>
        <w:t xml:space="preserve"> ，属于 </w:t>
      </w:r>
      <w:r>
        <w:rPr>
          <w:rFonts w:hint="eastAsia" w:ascii="仿宋" w:hAnsi="仿宋" w:eastAsia="仿宋"/>
          <w:color w:val="auto"/>
          <w:sz w:val="24"/>
          <w:u w:val="single"/>
        </w:rPr>
        <w:t>（采购文件中明确的所属行业）</w:t>
      </w:r>
      <w:r>
        <w:rPr>
          <w:rFonts w:hint="eastAsia" w:ascii="仿宋" w:hAnsi="仿宋" w:eastAsia="仿宋"/>
          <w:color w:val="auto"/>
          <w:sz w:val="24"/>
        </w:rPr>
        <w:t>行业</w:t>
      </w:r>
      <w:r>
        <w:rPr>
          <w:rFonts w:ascii="仿宋" w:hAnsi="仿宋" w:eastAsia="仿宋"/>
          <w:color w:val="auto"/>
          <w:sz w:val="24"/>
        </w:rPr>
        <w:t xml:space="preserve"> </w:t>
      </w:r>
      <w:r>
        <w:rPr>
          <w:rFonts w:hint="eastAsia" w:ascii="仿宋" w:hAnsi="仿宋" w:eastAsia="仿宋"/>
          <w:color w:val="auto"/>
          <w:sz w:val="24"/>
        </w:rPr>
        <w:t>；制造商为</w:t>
      </w:r>
      <w:r>
        <w:rPr>
          <w:rFonts w:ascii="仿宋" w:hAnsi="仿宋" w:eastAsia="仿宋"/>
          <w:color w:val="auto"/>
          <w:sz w:val="24"/>
          <w:u w:val="single"/>
        </w:rPr>
        <w:t xml:space="preserve"> （企业名称）</w:t>
      </w:r>
      <w:r>
        <w:rPr>
          <w:rFonts w:ascii="仿宋" w:hAnsi="仿宋" w:eastAsia="仿宋"/>
          <w:color w:val="auto"/>
          <w:sz w:val="24"/>
        </w:rPr>
        <w:t xml:space="preserve"> ，从业人员</w:t>
      </w:r>
      <w:r>
        <w:rPr>
          <w:rFonts w:ascii="仿宋" w:hAnsi="仿宋" w:eastAsia="仿宋"/>
          <w:color w:val="auto"/>
          <w:sz w:val="24"/>
          <w:u w:val="single"/>
        </w:rPr>
        <w:t xml:space="preserve">  </w:t>
      </w:r>
      <w:r>
        <w:rPr>
          <w:rFonts w:hint="eastAsia" w:ascii="仿宋" w:hAnsi="仿宋" w:eastAsia="仿宋"/>
          <w:color w:val="auto"/>
          <w:sz w:val="24"/>
        </w:rPr>
        <w:t>人，营业收入为</w:t>
      </w:r>
      <w:r>
        <w:rPr>
          <w:rFonts w:ascii="仿宋" w:hAnsi="仿宋" w:eastAsia="仿宋"/>
          <w:color w:val="auto"/>
          <w:sz w:val="24"/>
          <w:u w:val="single"/>
        </w:rPr>
        <w:t xml:space="preserve">  </w:t>
      </w:r>
      <w:r>
        <w:rPr>
          <w:rFonts w:hint="eastAsia" w:ascii="仿宋" w:hAnsi="仿宋" w:eastAsia="仿宋"/>
          <w:color w:val="auto"/>
          <w:sz w:val="24"/>
        </w:rPr>
        <w:t>万元，资产总额为</w:t>
      </w:r>
      <w:r>
        <w:rPr>
          <w:rFonts w:ascii="仿宋" w:hAnsi="仿宋" w:eastAsia="仿宋"/>
          <w:color w:val="auto"/>
          <w:sz w:val="24"/>
          <w:u w:val="single"/>
        </w:rPr>
        <w:t xml:space="preserve">   </w:t>
      </w:r>
      <w:r>
        <w:rPr>
          <w:rFonts w:hint="eastAsia" w:ascii="仿宋" w:hAnsi="仿宋" w:eastAsia="仿宋"/>
          <w:color w:val="auto"/>
          <w:sz w:val="24"/>
        </w:rPr>
        <w:t>万元，属于</w:t>
      </w:r>
      <w:r>
        <w:rPr>
          <w:rFonts w:ascii="仿宋" w:hAnsi="仿宋" w:eastAsia="仿宋"/>
          <w:color w:val="auto"/>
          <w:sz w:val="24"/>
          <w:u w:val="single"/>
        </w:rPr>
        <w:t xml:space="preserve"> （中型企业、小型企业、微型企业）</w:t>
      </w:r>
      <w:r>
        <w:rPr>
          <w:rFonts w:ascii="仿宋" w:hAnsi="仿宋" w:eastAsia="仿宋"/>
          <w:color w:val="auto"/>
          <w:sz w:val="24"/>
        </w:rPr>
        <w:t xml:space="preserve"> ；</w:t>
      </w:r>
    </w:p>
    <w:p>
      <w:pPr>
        <w:spacing w:line="360" w:lineRule="auto"/>
        <w:ind w:firstLine="480" w:firstLineChars="200"/>
        <w:rPr>
          <w:rFonts w:ascii="仿宋" w:hAnsi="仿宋" w:eastAsia="仿宋"/>
          <w:color w:val="auto"/>
          <w:sz w:val="24"/>
        </w:rPr>
      </w:pPr>
      <w:r>
        <w:rPr>
          <w:rFonts w:ascii="仿宋" w:hAnsi="仿宋" w:eastAsia="仿宋"/>
          <w:color w:val="auto"/>
          <w:sz w:val="24"/>
        </w:rPr>
        <w:t>2.</w:t>
      </w:r>
      <w:r>
        <w:rPr>
          <w:rFonts w:ascii="仿宋" w:hAnsi="仿宋" w:eastAsia="仿宋"/>
          <w:color w:val="auto"/>
        </w:rPr>
        <w:t xml:space="preserve"> </w:t>
      </w:r>
      <w:r>
        <w:rPr>
          <w:rFonts w:hint="eastAsia" w:ascii="仿宋" w:hAnsi="仿宋" w:eastAsia="仿宋"/>
          <w:color w:val="auto"/>
          <w:sz w:val="24"/>
          <w:u w:val="single"/>
        </w:rPr>
        <w:t>（标的名称）</w:t>
      </w:r>
      <w:r>
        <w:rPr>
          <w:rFonts w:ascii="仿宋" w:hAnsi="仿宋" w:eastAsia="仿宋"/>
          <w:color w:val="auto"/>
          <w:sz w:val="24"/>
        </w:rPr>
        <w:t xml:space="preserve"> ，属于 </w:t>
      </w:r>
      <w:r>
        <w:rPr>
          <w:rFonts w:hint="eastAsia" w:ascii="仿宋" w:hAnsi="仿宋" w:eastAsia="仿宋"/>
          <w:color w:val="auto"/>
          <w:sz w:val="24"/>
          <w:u w:val="single"/>
        </w:rPr>
        <w:t>（采购文件中明确的所属行业）</w:t>
      </w:r>
      <w:r>
        <w:rPr>
          <w:rFonts w:hint="eastAsia" w:ascii="仿宋" w:hAnsi="仿宋" w:eastAsia="仿宋"/>
          <w:color w:val="auto"/>
          <w:sz w:val="24"/>
        </w:rPr>
        <w:t>行业</w:t>
      </w:r>
      <w:r>
        <w:rPr>
          <w:rFonts w:ascii="仿宋" w:hAnsi="仿宋" w:eastAsia="仿宋"/>
          <w:color w:val="auto"/>
          <w:sz w:val="24"/>
        </w:rPr>
        <w:t xml:space="preserve"> </w:t>
      </w:r>
      <w:r>
        <w:rPr>
          <w:rFonts w:hint="eastAsia" w:ascii="仿宋" w:hAnsi="仿宋" w:eastAsia="仿宋"/>
          <w:color w:val="auto"/>
          <w:sz w:val="24"/>
        </w:rPr>
        <w:t>；制造商为</w:t>
      </w:r>
      <w:r>
        <w:rPr>
          <w:rFonts w:ascii="仿宋" w:hAnsi="仿宋" w:eastAsia="仿宋"/>
          <w:color w:val="auto"/>
          <w:sz w:val="24"/>
          <w:u w:val="single"/>
        </w:rPr>
        <w:t xml:space="preserve"> （企业名称）</w:t>
      </w:r>
      <w:r>
        <w:rPr>
          <w:rFonts w:ascii="仿宋" w:hAnsi="仿宋" w:eastAsia="仿宋"/>
          <w:color w:val="auto"/>
          <w:sz w:val="24"/>
        </w:rPr>
        <w:t xml:space="preserve"> ，从业人员</w:t>
      </w:r>
      <w:r>
        <w:rPr>
          <w:rFonts w:ascii="仿宋" w:hAnsi="仿宋" w:eastAsia="仿宋"/>
          <w:color w:val="auto"/>
          <w:sz w:val="24"/>
          <w:u w:val="single"/>
        </w:rPr>
        <w:t xml:space="preserve">  </w:t>
      </w:r>
      <w:r>
        <w:rPr>
          <w:rFonts w:hint="eastAsia" w:ascii="仿宋" w:hAnsi="仿宋" w:eastAsia="仿宋"/>
          <w:color w:val="auto"/>
          <w:sz w:val="24"/>
        </w:rPr>
        <w:t>人，营业收入为</w:t>
      </w:r>
      <w:r>
        <w:rPr>
          <w:rFonts w:ascii="仿宋" w:hAnsi="仿宋" w:eastAsia="仿宋"/>
          <w:color w:val="auto"/>
          <w:sz w:val="24"/>
          <w:u w:val="single"/>
        </w:rPr>
        <w:t xml:space="preserve">  </w:t>
      </w:r>
      <w:r>
        <w:rPr>
          <w:rFonts w:hint="eastAsia" w:ascii="仿宋" w:hAnsi="仿宋" w:eastAsia="仿宋"/>
          <w:color w:val="auto"/>
          <w:sz w:val="24"/>
        </w:rPr>
        <w:t>万元，资产总额为</w:t>
      </w:r>
      <w:r>
        <w:rPr>
          <w:rFonts w:ascii="仿宋" w:hAnsi="仿宋" w:eastAsia="仿宋"/>
          <w:color w:val="auto"/>
          <w:sz w:val="24"/>
          <w:u w:val="single"/>
        </w:rPr>
        <w:t xml:space="preserve">   </w:t>
      </w:r>
      <w:r>
        <w:rPr>
          <w:rFonts w:hint="eastAsia" w:ascii="仿宋" w:hAnsi="仿宋" w:eastAsia="仿宋"/>
          <w:color w:val="auto"/>
          <w:sz w:val="24"/>
        </w:rPr>
        <w:t>万元，属于</w:t>
      </w:r>
      <w:r>
        <w:rPr>
          <w:rFonts w:ascii="仿宋" w:hAnsi="仿宋" w:eastAsia="仿宋"/>
          <w:color w:val="auto"/>
          <w:sz w:val="24"/>
          <w:u w:val="single"/>
        </w:rPr>
        <w:t xml:space="preserve"> （中型企业、小型企业、微型企业）</w:t>
      </w:r>
      <w:r>
        <w:rPr>
          <w:rFonts w:ascii="仿宋" w:hAnsi="仿宋" w:eastAsia="仿宋"/>
          <w:color w:val="auto"/>
          <w:sz w:val="24"/>
        </w:rPr>
        <w:t xml:space="preserve"> ；</w:t>
      </w:r>
    </w:p>
    <w:p>
      <w:pPr>
        <w:spacing w:line="360" w:lineRule="auto"/>
        <w:ind w:firstLine="480" w:firstLineChars="200"/>
        <w:rPr>
          <w:rFonts w:ascii="仿宋" w:hAnsi="仿宋" w:eastAsia="仿宋"/>
          <w:color w:val="auto"/>
          <w:sz w:val="24"/>
        </w:rPr>
      </w:pPr>
      <w:r>
        <w:rPr>
          <w:rFonts w:hint="eastAsia" w:ascii="仿宋" w:hAnsi="仿宋" w:eastAsia="仿宋"/>
          <w:color w:val="auto"/>
          <w:sz w:val="24"/>
        </w:rPr>
        <w:t>……</w:t>
      </w:r>
    </w:p>
    <w:p>
      <w:pPr>
        <w:spacing w:line="360" w:lineRule="auto"/>
        <w:ind w:firstLine="480" w:firstLineChars="200"/>
        <w:rPr>
          <w:rFonts w:ascii="仿宋" w:hAnsi="仿宋" w:eastAsia="仿宋"/>
          <w:color w:val="auto"/>
          <w:sz w:val="24"/>
        </w:rPr>
      </w:pPr>
      <w:r>
        <w:rPr>
          <w:rFonts w:hint="eastAsia" w:ascii="仿宋" w:hAnsi="仿宋" w:eastAsia="仿宋"/>
          <w:color w:val="auto"/>
          <w:sz w:val="24"/>
        </w:rPr>
        <w:t>以上企业，不属于大企业的分支机构，不存在控股股东为大企业的情形，也不存在与大企业的负责人为同一人的情形。</w:t>
      </w:r>
    </w:p>
    <w:p>
      <w:pPr>
        <w:spacing w:line="360" w:lineRule="auto"/>
        <w:ind w:firstLine="480" w:firstLineChars="200"/>
        <w:rPr>
          <w:rFonts w:ascii="仿宋" w:hAnsi="仿宋" w:eastAsia="仿宋"/>
          <w:color w:val="auto"/>
          <w:sz w:val="24"/>
        </w:rPr>
      </w:pPr>
      <w:r>
        <w:rPr>
          <w:rFonts w:hint="eastAsia" w:ascii="仿宋" w:hAnsi="仿宋" w:eastAsia="仿宋"/>
          <w:color w:val="auto"/>
          <w:sz w:val="24"/>
        </w:rPr>
        <w:t>本企业对上述声明内容的真实性负责。如有虚假，将依法承担相应责任。</w:t>
      </w:r>
    </w:p>
    <w:p>
      <w:pPr>
        <w:snapToGrid w:val="0"/>
        <w:spacing w:line="360" w:lineRule="auto"/>
        <w:ind w:firstLine="5160" w:firstLineChars="2150"/>
        <w:rPr>
          <w:rFonts w:ascii="仿宋" w:hAnsi="仿宋" w:eastAsia="仿宋" w:cs="仿宋_GB2312"/>
          <w:color w:val="auto"/>
          <w:kern w:val="0"/>
          <w:sz w:val="24"/>
        </w:rPr>
      </w:pPr>
      <w:r>
        <w:rPr>
          <w:rFonts w:hint="eastAsia" w:ascii="仿宋" w:hAnsi="仿宋" w:eastAsia="仿宋" w:cs="仿宋_GB2312"/>
          <w:color w:val="auto"/>
          <w:kern w:val="0"/>
          <w:sz w:val="24"/>
          <w:lang w:val="zh-CN"/>
        </w:rPr>
        <w:t>投标人名称</w:t>
      </w:r>
      <w:r>
        <w:rPr>
          <w:rFonts w:ascii="仿宋" w:hAnsi="仿宋" w:eastAsia="仿宋" w:cs="仿宋_GB2312"/>
          <w:color w:val="auto"/>
          <w:kern w:val="0"/>
          <w:sz w:val="24"/>
          <w:lang w:val="zh-CN"/>
        </w:rPr>
        <w:t>(电子签名)：</w:t>
      </w:r>
    </w:p>
    <w:p>
      <w:pPr>
        <w:snapToGrid w:val="0"/>
        <w:spacing w:line="360" w:lineRule="auto"/>
        <w:rPr>
          <w:rFonts w:ascii="仿宋" w:hAnsi="仿宋" w:eastAsia="仿宋" w:cs="仿宋_GB2312"/>
          <w:color w:val="auto"/>
          <w:kern w:val="0"/>
          <w:sz w:val="24"/>
          <w:lang w:val="zh-CN"/>
        </w:rPr>
      </w:pPr>
      <w:r>
        <w:rPr>
          <w:rFonts w:ascii="仿宋" w:hAnsi="仿宋" w:eastAsia="仿宋" w:cs="仿宋_GB2312"/>
          <w:color w:val="auto"/>
          <w:kern w:val="0"/>
          <w:sz w:val="24"/>
          <w:lang w:val="zh-CN"/>
        </w:rPr>
        <w:t xml:space="preserve">                                           日期</w:t>
      </w:r>
      <w:r>
        <w:rPr>
          <w:rFonts w:hint="eastAsia" w:ascii="仿宋" w:hAnsi="仿宋" w:eastAsia="仿宋" w:cs="仿宋_GB2312"/>
          <w:color w:val="auto"/>
          <w:kern w:val="0"/>
          <w:sz w:val="24"/>
        </w:rPr>
        <w:t>：</w:t>
      </w:r>
      <w:r>
        <w:rPr>
          <w:rFonts w:ascii="仿宋" w:hAnsi="仿宋" w:eastAsia="仿宋" w:cs="仿宋_GB2312"/>
          <w:color w:val="auto"/>
          <w:kern w:val="0"/>
          <w:sz w:val="24"/>
        </w:rPr>
        <w:t xml:space="preserve">  年  </w:t>
      </w:r>
      <w:r>
        <w:rPr>
          <w:rFonts w:hint="eastAsia" w:ascii="仿宋" w:hAnsi="仿宋" w:eastAsia="仿宋" w:cs="仿宋_GB2312"/>
          <w:color w:val="auto"/>
          <w:kern w:val="0"/>
          <w:sz w:val="24"/>
          <w:lang w:val="zh-CN"/>
        </w:rPr>
        <w:t>月</w:t>
      </w:r>
      <w:r>
        <w:rPr>
          <w:rFonts w:ascii="仿宋" w:hAnsi="仿宋" w:eastAsia="仿宋" w:cs="仿宋_GB2312"/>
          <w:color w:val="auto"/>
          <w:kern w:val="0"/>
          <w:sz w:val="24"/>
        </w:rPr>
        <w:t xml:space="preserve">   </w:t>
      </w:r>
      <w:r>
        <w:rPr>
          <w:rFonts w:hint="eastAsia" w:ascii="仿宋" w:hAnsi="仿宋" w:eastAsia="仿宋" w:cs="仿宋_GB2312"/>
          <w:color w:val="auto"/>
          <w:kern w:val="0"/>
          <w:sz w:val="24"/>
          <w:lang w:val="zh-CN"/>
        </w:rPr>
        <w:t>日</w:t>
      </w:r>
    </w:p>
    <w:p>
      <w:pPr>
        <w:spacing w:line="360" w:lineRule="auto"/>
        <w:jc w:val="left"/>
        <w:rPr>
          <w:rFonts w:ascii="仿宋" w:hAnsi="仿宋" w:eastAsia="仿宋"/>
          <w:color w:val="auto"/>
          <w:sz w:val="18"/>
          <w:szCs w:val="18"/>
        </w:rPr>
      </w:pPr>
      <w:r>
        <w:rPr>
          <w:rFonts w:hint="eastAsia" w:ascii="仿宋" w:hAnsi="仿宋" w:eastAsia="仿宋"/>
          <w:color w:val="auto"/>
          <w:sz w:val="18"/>
          <w:szCs w:val="18"/>
        </w:rPr>
        <w:t>从业人员、营业收入、资产总额填报上一年度数据，无上一年度数据的新成立企业可不填报。</w:t>
      </w:r>
    </w:p>
    <w:p>
      <w:pPr>
        <w:spacing w:line="360" w:lineRule="auto"/>
        <w:ind w:right="420"/>
        <w:rPr>
          <w:rFonts w:ascii="仿宋" w:hAnsi="仿宋" w:eastAsia="仿宋" w:cs="仿宋"/>
          <w:color w:val="auto"/>
          <w:sz w:val="24"/>
          <w:highlight w:val="none"/>
        </w:rPr>
      </w:pPr>
    </w:p>
    <w:p>
      <w:pPr>
        <w:spacing w:line="360" w:lineRule="auto"/>
        <w:ind w:right="420"/>
        <w:rPr>
          <w:rFonts w:ascii="仿宋" w:hAnsi="仿宋" w:eastAsia="仿宋" w:cs="仿宋"/>
          <w:color w:val="auto"/>
          <w:sz w:val="24"/>
          <w:highlight w:val="none"/>
        </w:rPr>
      </w:pPr>
      <w:r>
        <w:rPr>
          <w:rFonts w:hint="eastAsia" w:ascii="仿宋" w:hAnsi="仿宋" w:eastAsia="仿宋" w:cs="仿宋"/>
          <w:color w:val="auto"/>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4"/>
        <w:rPr>
          <w:color w:val="auto"/>
          <w:highlight w:val="none"/>
          <w:lang w:val="en-US"/>
        </w:rPr>
      </w:pPr>
    </w:p>
    <w:p>
      <w:pPr>
        <w:spacing w:line="360" w:lineRule="auto"/>
        <w:rPr>
          <w:rFonts w:ascii="仿宋" w:hAnsi="仿宋" w:eastAsia="仿宋"/>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Arial"/>
    <w:panose1 w:val="00000000000000000000"/>
    <w:charset w:val="00"/>
    <w:family w:val="swiss"/>
    <w:pitch w:val="default"/>
    <w:sig w:usb0="00000000" w:usb1="00000000" w:usb2="00000000" w:usb3="00000000" w:csb0="0000009F"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Courier New"/>
    <w:panose1 w:val="00000000000000000000"/>
    <w:charset w:val="00"/>
    <w:family w:val="modern"/>
    <w:pitch w:val="default"/>
    <w:sig w:usb0="00000000" w:usb1="00000000" w:usb2="00000000" w:usb3="00000000" w:csb0="00040001" w:csb1="00000000"/>
  </w:font>
  <w:font w:name="方正宋体">
    <w:altName w:val="Courier New"/>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09F"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Courier New"/>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_x000B__x000C_">
    <w:altName w:val="Times New Roman"/>
    <w:panose1 w:val="00000000000000000000"/>
    <w:charset w:val="00"/>
    <w:family w:val="roman"/>
    <w:pitch w:val="default"/>
    <w:sig w:usb0="00000000" w:usb1="00000000" w:usb2="00000000" w:usb3="00000000" w:csb0="00040001" w:csb1="00000000"/>
  </w:font>
  <w:font w:name="方正小标宋简体">
    <w:panose1 w:val="03000509000000000000"/>
    <w:charset w:val="86"/>
    <w:family w:val="auto"/>
    <w:pitch w:val="default"/>
    <w:sig w:usb0="00000001" w:usb1="080E0000" w:usb2="00000000" w:usb3="00000000" w:csb0="00040000" w:csb1="00000000"/>
  </w:font>
  <w:font w:name="MS Gothic">
    <w:panose1 w:val="020B0609070205080204"/>
    <w:charset w:val="80"/>
    <w:family w:val="modern"/>
    <w:pitch w:val="default"/>
    <w:sig w:usb0="E00002FF" w:usb1="6AC7FDFB" w:usb2="08000012" w:usb3="00000000" w:csb0="4002009F" w:csb1="DFD70000"/>
  </w:font>
  <w:font w:name="Arial">
    <w:panose1 w:val="020B0604020202020204"/>
    <w:charset w:val="00"/>
    <w:family w:val="auto"/>
    <w:pitch w:val="default"/>
    <w:sig w:usb0="E0002EFF" w:usb1="C000785B" w:usb2="00000009" w:usb3="00000000" w:csb0="400001FF" w:csb1="FFFF0000"/>
  </w:font>
  <w:font w:name="Segoe UI Semilight">
    <w:panose1 w:val="020B0402040204020203"/>
    <w:charset w:val="00"/>
    <w:family w:val="auto"/>
    <w:pitch w:val="default"/>
    <w:sig w:usb0="E4002EFF" w:usb1="C000E47F" w:usb2="00000009" w:usb3="00000000" w:csb0="200001FF" w:csb1="00000000"/>
  </w:font>
  <w:font w:name="Courier New">
    <w:panose1 w:val="02070309020205020404"/>
    <w:charset w:val="00"/>
    <w:family w:val="modern"/>
    <w:pitch w:val="default"/>
    <w:sig w:usb0="E0002EFF" w:usb1="C0007843" w:usb2="00000009" w:usb3="00000000" w:csb0="400001FF" w:csb1="FFFF0000"/>
  </w:font>
  <w:font w:name="Latha">
    <w:altName w:val="Segoe Print"/>
    <w:panose1 w:val="020B0604020202020204"/>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framePr w:wrap="around" w:vAnchor="text" w:hAnchor="margin" w:xAlign="right" w:y="1"/>
      <w:rPr>
        <w:rStyle w:val="66"/>
      </w:rPr>
    </w:pPr>
    <w:r>
      <w:fldChar w:fldCharType="begin"/>
    </w:r>
    <w:r>
      <w:rPr>
        <w:rStyle w:val="66"/>
      </w:rPr>
      <w:instrText xml:space="preserve">PAGE  </w:instrText>
    </w:r>
    <w:r>
      <w:fldChar w:fldCharType="end"/>
    </w:r>
  </w:p>
  <w:p>
    <w:pPr>
      <w:pStyle w:val="4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framePr w:wrap="around" w:vAnchor="text" w:hAnchor="margin" w:xAlign="right" w:y="1"/>
      <w:rPr>
        <w:rStyle w:val="66"/>
      </w:rPr>
    </w:pPr>
    <w:r>
      <w:fldChar w:fldCharType="begin"/>
    </w:r>
    <w:r>
      <w:rPr>
        <w:rStyle w:val="66"/>
      </w:rPr>
      <w:instrText xml:space="preserve">PAGE  </w:instrText>
    </w:r>
    <w:r>
      <w:fldChar w:fldCharType="end"/>
    </w:r>
  </w:p>
  <w:p>
    <w:pPr>
      <w:pStyle w:val="44"/>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56" w:name="_Toc36110187"/>
    <w:bookmarkStart w:id="457" w:name="_Toc164085800"/>
    <w:bookmarkStart w:id="458" w:name="_Toc131845147"/>
    <w:bookmarkStart w:id="459" w:name="_Toc91899912"/>
    <w:r>
      <w:rPr>
        <w:rFonts w:hint="eastAsia" w:ascii="仿宋_GB2312" w:eastAsia="仿宋_GB2312"/>
        <w:kern w:val="0"/>
        <w:szCs w:val="21"/>
      </w:rPr>
      <w:t xml:space="preserve"> 页</w:t>
    </w:r>
    <w:bookmarkEnd w:id="456"/>
    <w:bookmarkEnd w:id="457"/>
    <w:bookmarkEnd w:id="458"/>
    <w:bookmarkEnd w:id="45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pBdr>
        <w:bottom w:val="single" w:color="auto" w:sz="6" w:space="4"/>
      </w:pBdr>
      <w:jc w:val="right"/>
    </w:pPr>
    <w:r>
      <w:t>政府采购公开招标文件</w:t>
    </w:r>
  </w:p>
  <w:p>
    <w:pPr>
      <w:pStyle w:val="62"/>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rPr>
        <w:rFonts w:ascii="仿宋_GB2312" w:eastAsia="仿宋_GB2312"/>
        <w:b/>
        <w:i/>
        <w:u w:val="single"/>
      </w:rPr>
    </w:pPr>
    <w:r>
      <w:t>政府采购公开招标文件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pPr>
    <w:r>
      <w:t></w:t>
    </w:r>
  </w:p>
  <w:p>
    <w:pPr>
      <w:pStyle w:val="46"/>
    </w:pPr>
    <w:r>
      <w:t>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rPr>
        <w:rFonts w:ascii="仿宋_GB2312" w:eastAsia="仿宋_GB2312"/>
        <w:b/>
        <w:i/>
        <w:u w:val="single"/>
      </w:rPr>
    </w:pPr>
    <w:r>
      <w:t>政府采购公开招标文件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pPr>
    <w:r>
      <w:t></w:t>
    </w:r>
  </w:p>
  <w:p>
    <w:pPr>
      <w:pStyle w:val="46"/>
    </w:pPr>
    <w:r>
      <w:t>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jc w:val="right"/>
      <w:rPr>
        <w:rFonts w:ascii="仿宋_GB2312" w:eastAsia="仿宋_GB2312"/>
        <w:b/>
        <w:i/>
        <w:u w:val="single"/>
      </w:rPr>
    </w:pPr>
    <w:r>
      <w:t>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jc w:val="right"/>
    </w:pPr>
    <w:r>
      <w:t>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jc w:val="right"/>
      <w:rPr>
        <w:rFonts w:ascii="仿宋_GB2312" w:eastAsia="仿宋_GB2312"/>
        <w:b/>
        <w:i/>
        <w:iCs/>
        <w:u w:val="single"/>
      </w:rPr>
    </w:pP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pP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AF5C9C"/>
    <w:multiLevelType w:val="multilevel"/>
    <w:tmpl w:val="25AF5C9C"/>
    <w:lvl w:ilvl="0" w:tentative="0">
      <w:start w:val="1"/>
      <w:numFmt w:val="decimal"/>
      <w:lvlText w:val="(%1)"/>
      <w:lvlJc w:val="left"/>
      <w:pPr>
        <w:ind w:left="420" w:hanging="420"/>
      </w:pPr>
      <w:rPr>
        <w:rFonts w:hint="default"/>
        <w:u w:val="none" w:color="auto"/>
      </w:rPr>
    </w:lvl>
    <w:lvl w:ilvl="1" w:tentative="0">
      <w:start w:val="0"/>
      <w:numFmt w:val="bullet"/>
      <w:lvlText w:val="▲"/>
      <w:lvlJc w:val="left"/>
      <w:pPr>
        <w:ind w:left="780" w:hanging="360"/>
      </w:pPr>
      <w:rPr>
        <w:rFonts w:hint="eastAsia" w:ascii="等线" w:hAnsi="等线" w:eastAsia="等线"/>
        <w:u w:val="none" w:color="auto"/>
      </w:rPr>
    </w:lvl>
    <w:lvl w:ilvl="2" w:tentative="0">
      <w:start w:val="1"/>
      <w:numFmt w:val="lowerRoman"/>
      <w:lvlText w:val="%3."/>
      <w:lvlJc w:val="right"/>
      <w:pPr>
        <w:ind w:left="1260" w:hanging="420"/>
      </w:pPr>
      <w:rPr>
        <w:rFonts w:hint="default"/>
        <w:u w:val="none" w:color="auto"/>
      </w:rPr>
    </w:lvl>
    <w:lvl w:ilvl="3" w:tentative="0">
      <w:start w:val="1"/>
      <w:numFmt w:val="decimal"/>
      <w:lvlText w:val="%4."/>
      <w:lvlJc w:val="left"/>
      <w:pPr>
        <w:ind w:left="1680" w:hanging="420"/>
      </w:pPr>
      <w:rPr>
        <w:rFonts w:hint="default"/>
        <w:u w:val="none" w:color="auto"/>
      </w:rPr>
    </w:lvl>
    <w:lvl w:ilvl="4" w:tentative="0">
      <w:start w:val="1"/>
      <w:numFmt w:val="lowerLetter"/>
      <w:lvlText w:val="%5)"/>
      <w:lvlJc w:val="left"/>
      <w:pPr>
        <w:ind w:left="2100" w:hanging="420"/>
      </w:pPr>
      <w:rPr>
        <w:rFonts w:hint="default"/>
        <w:u w:val="none" w:color="auto"/>
      </w:rPr>
    </w:lvl>
    <w:lvl w:ilvl="5" w:tentative="0">
      <w:start w:val="1"/>
      <w:numFmt w:val="lowerRoman"/>
      <w:lvlText w:val="%6."/>
      <w:lvlJc w:val="right"/>
      <w:pPr>
        <w:ind w:left="2520" w:hanging="420"/>
      </w:pPr>
      <w:rPr>
        <w:rFonts w:hint="default"/>
        <w:u w:val="none" w:color="auto"/>
      </w:rPr>
    </w:lvl>
    <w:lvl w:ilvl="6" w:tentative="0">
      <w:start w:val="1"/>
      <w:numFmt w:val="decimal"/>
      <w:lvlText w:val="%7."/>
      <w:lvlJc w:val="left"/>
      <w:pPr>
        <w:ind w:left="2940" w:hanging="420"/>
      </w:pPr>
      <w:rPr>
        <w:rFonts w:hint="default"/>
        <w:u w:val="none" w:color="auto"/>
      </w:rPr>
    </w:lvl>
    <w:lvl w:ilvl="7" w:tentative="0">
      <w:start w:val="1"/>
      <w:numFmt w:val="lowerLetter"/>
      <w:lvlText w:val="%8)"/>
      <w:lvlJc w:val="left"/>
      <w:pPr>
        <w:ind w:left="3360" w:hanging="420"/>
      </w:pPr>
      <w:rPr>
        <w:rFonts w:hint="default"/>
        <w:u w:val="none" w:color="auto"/>
      </w:rPr>
    </w:lvl>
    <w:lvl w:ilvl="8" w:tentative="0">
      <w:start w:val="1"/>
      <w:numFmt w:val="lowerRoman"/>
      <w:lvlText w:val="%9."/>
      <w:lvlJc w:val="right"/>
      <w:pPr>
        <w:ind w:left="3780" w:hanging="420"/>
      </w:pPr>
      <w:rPr>
        <w:rFonts w:hint="default"/>
        <w:u w:val="none" w:color="auto"/>
      </w:rPr>
    </w:lvl>
  </w:abstractNum>
  <w:abstractNum w:abstractNumId="1">
    <w:nsid w:val="2E1F0A93"/>
    <w:multiLevelType w:val="multilevel"/>
    <w:tmpl w:val="2E1F0A93"/>
    <w:lvl w:ilvl="0" w:tentative="0">
      <w:start w:val="1"/>
      <w:numFmt w:val="japaneseCounting"/>
      <w:lvlText w:val="%1．"/>
      <w:lvlJc w:val="left"/>
      <w:pPr>
        <w:ind w:left="720" w:hanging="720"/>
      </w:pPr>
      <w:rPr>
        <w:rFonts w:hint="default"/>
        <w:u w:val="none" w:color="auto"/>
      </w:rPr>
    </w:lvl>
    <w:lvl w:ilvl="1" w:tentative="0">
      <w:start w:val="1"/>
      <w:numFmt w:val="lowerLetter"/>
      <w:lvlText w:val="%2)"/>
      <w:lvlJc w:val="left"/>
      <w:pPr>
        <w:ind w:left="840" w:hanging="420"/>
      </w:pPr>
      <w:rPr>
        <w:rFonts w:hint="default"/>
        <w:u w:val="none" w:color="auto"/>
      </w:rPr>
    </w:lvl>
    <w:lvl w:ilvl="2" w:tentative="0">
      <w:start w:val="1"/>
      <w:numFmt w:val="lowerRoman"/>
      <w:lvlText w:val="%3."/>
      <w:lvlJc w:val="right"/>
      <w:pPr>
        <w:ind w:left="1260" w:hanging="420"/>
      </w:pPr>
      <w:rPr>
        <w:rFonts w:hint="default"/>
        <w:u w:val="none" w:color="auto"/>
      </w:rPr>
    </w:lvl>
    <w:lvl w:ilvl="3" w:tentative="0">
      <w:start w:val="1"/>
      <w:numFmt w:val="decimal"/>
      <w:lvlText w:val="%4."/>
      <w:lvlJc w:val="left"/>
      <w:pPr>
        <w:ind w:left="1680" w:hanging="420"/>
      </w:pPr>
      <w:rPr>
        <w:rFonts w:hint="default"/>
        <w:u w:val="none" w:color="auto"/>
      </w:rPr>
    </w:lvl>
    <w:lvl w:ilvl="4" w:tentative="0">
      <w:start w:val="1"/>
      <w:numFmt w:val="lowerLetter"/>
      <w:lvlText w:val="%5)"/>
      <w:lvlJc w:val="left"/>
      <w:pPr>
        <w:ind w:left="2100" w:hanging="420"/>
      </w:pPr>
      <w:rPr>
        <w:rFonts w:hint="default"/>
        <w:u w:val="none" w:color="auto"/>
      </w:rPr>
    </w:lvl>
    <w:lvl w:ilvl="5" w:tentative="0">
      <w:start w:val="1"/>
      <w:numFmt w:val="lowerRoman"/>
      <w:lvlText w:val="%6."/>
      <w:lvlJc w:val="right"/>
      <w:pPr>
        <w:ind w:left="2520" w:hanging="420"/>
      </w:pPr>
      <w:rPr>
        <w:rFonts w:hint="default"/>
        <w:u w:val="none" w:color="auto"/>
      </w:rPr>
    </w:lvl>
    <w:lvl w:ilvl="6" w:tentative="0">
      <w:start w:val="1"/>
      <w:numFmt w:val="decimal"/>
      <w:lvlText w:val="%7."/>
      <w:lvlJc w:val="left"/>
      <w:pPr>
        <w:ind w:left="2940" w:hanging="420"/>
      </w:pPr>
      <w:rPr>
        <w:rFonts w:hint="default"/>
        <w:u w:val="none" w:color="auto"/>
      </w:rPr>
    </w:lvl>
    <w:lvl w:ilvl="7" w:tentative="0">
      <w:start w:val="1"/>
      <w:numFmt w:val="lowerLetter"/>
      <w:lvlText w:val="%8)"/>
      <w:lvlJc w:val="left"/>
      <w:pPr>
        <w:ind w:left="3360" w:hanging="420"/>
      </w:pPr>
      <w:rPr>
        <w:rFonts w:hint="default"/>
        <w:u w:val="none" w:color="auto"/>
      </w:rPr>
    </w:lvl>
    <w:lvl w:ilvl="8" w:tentative="0">
      <w:start w:val="1"/>
      <w:numFmt w:val="lowerRoman"/>
      <w:lvlText w:val="%9."/>
      <w:lvlJc w:val="right"/>
      <w:pPr>
        <w:ind w:left="3780" w:hanging="420"/>
      </w:pPr>
      <w:rPr>
        <w:rFonts w:hint="default"/>
        <w:u w:val="none" w:color="auto"/>
      </w:rPr>
    </w:lvl>
  </w:abstractNum>
  <w:abstractNum w:abstractNumId="2">
    <w:nsid w:val="2EDB1B17"/>
    <w:multiLevelType w:val="singleLevel"/>
    <w:tmpl w:val="2EDB1B17"/>
    <w:lvl w:ilvl="0" w:tentative="0">
      <w:start w:val="5"/>
      <w:numFmt w:val="decimal"/>
      <w:suff w:val="space"/>
      <w:lvlText w:val="%1、"/>
      <w:lvlJc w:val="left"/>
    </w:lvl>
  </w:abstractNum>
  <w:abstractNum w:abstractNumId="3">
    <w:nsid w:val="2FF34A17"/>
    <w:multiLevelType w:val="multilevel"/>
    <w:tmpl w:val="2FF34A17"/>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333242B5"/>
    <w:multiLevelType w:val="multilevel"/>
    <w:tmpl w:val="333242B5"/>
    <w:lvl w:ilvl="0" w:tentative="0">
      <w:start w:val="1"/>
      <w:numFmt w:val="decimal"/>
      <w:lvlText w:val="(%1)"/>
      <w:lvlJc w:val="left"/>
      <w:pPr>
        <w:ind w:left="420" w:hanging="420"/>
      </w:pPr>
      <w:rPr>
        <w:rFonts w:hint="default"/>
        <w:u w:val="none" w:color="auto"/>
      </w:rPr>
    </w:lvl>
    <w:lvl w:ilvl="1" w:tentative="0">
      <w:start w:val="0"/>
      <w:numFmt w:val="bullet"/>
      <w:lvlText w:val="▲"/>
      <w:lvlJc w:val="left"/>
      <w:pPr>
        <w:ind w:left="780" w:hanging="360"/>
      </w:pPr>
      <w:rPr>
        <w:rFonts w:hint="eastAsia" w:ascii="等线" w:hAnsi="等线" w:eastAsia="等线"/>
        <w:u w:val="none" w:color="auto"/>
      </w:rPr>
    </w:lvl>
    <w:lvl w:ilvl="2" w:tentative="0">
      <w:start w:val="1"/>
      <w:numFmt w:val="lowerRoman"/>
      <w:lvlText w:val="%3."/>
      <w:lvlJc w:val="right"/>
      <w:pPr>
        <w:ind w:left="1260" w:hanging="420"/>
      </w:pPr>
      <w:rPr>
        <w:rFonts w:hint="default"/>
        <w:u w:val="none" w:color="auto"/>
      </w:rPr>
    </w:lvl>
    <w:lvl w:ilvl="3" w:tentative="0">
      <w:start w:val="1"/>
      <w:numFmt w:val="decimal"/>
      <w:lvlText w:val="%4."/>
      <w:lvlJc w:val="left"/>
      <w:pPr>
        <w:ind w:left="1680" w:hanging="420"/>
      </w:pPr>
      <w:rPr>
        <w:rFonts w:hint="default"/>
        <w:u w:val="none" w:color="auto"/>
      </w:rPr>
    </w:lvl>
    <w:lvl w:ilvl="4" w:tentative="0">
      <w:start w:val="1"/>
      <w:numFmt w:val="lowerLetter"/>
      <w:lvlText w:val="%5)"/>
      <w:lvlJc w:val="left"/>
      <w:pPr>
        <w:ind w:left="2100" w:hanging="420"/>
      </w:pPr>
      <w:rPr>
        <w:rFonts w:hint="default"/>
        <w:u w:val="none" w:color="auto"/>
      </w:rPr>
    </w:lvl>
    <w:lvl w:ilvl="5" w:tentative="0">
      <w:start w:val="1"/>
      <w:numFmt w:val="lowerRoman"/>
      <w:lvlText w:val="%6."/>
      <w:lvlJc w:val="right"/>
      <w:pPr>
        <w:ind w:left="2520" w:hanging="420"/>
      </w:pPr>
      <w:rPr>
        <w:rFonts w:hint="default"/>
        <w:u w:val="none" w:color="auto"/>
      </w:rPr>
    </w:lvl>
    <w:lvl w:ilvl="6" w:tentative="0">
      <w:start w:val="1"/>
      <w:numFmt w:val="decimal"/>
      <w:lvlText w:val="%7."/>
      <w:lvlJc w:val="left"/>
      <w:pPr>
        <w:ind w:left="2940" w:hanging="420"/>
      </w:pPr>
      <w:rPr>
        <w:rFonts w:hint="default"/>
        <w:u w:val="none" w:color="auto"/>
      </w:rPr>
    </w:lvl>
    <w:lvl w:ilvl="7" w:tentative="0">
      <w:start w:val="1"/>
      <w:numFmt w:val="lowerLetter"/>
      <w:lvlText w:val="%8)"/>
      <w:lvlJc w:val="left"/>
      <w:pPr>
        <w:ind w:left="3360" w:hanging="420"/>
      </w:pPr>
      <w:rPr>
        <w:rFonts w:hint="default"/>
        <w:u w:val="none" w:color="auto"/>
      </w:rPr>
    </w:lvl>
    <w:lvl w:ilvl="8" w:tentative="0">
      <w:start w:val="1"/>
      <w:numFmt w:val="lowerRoman"/>
      <w:lvlText w:val="%9."/>
      <w:lvlJc w:val="right"/>
      <w:pPr>
        <w:ind w:left="3780" w:hanging="420"/>
      </w:pPr>
      <w:rPr>
        <w:rFonts w:hint="default"/>
        <w:u w:val="none" w:color="auto"/>
      </w:rPr>
    </w:lvl>
  </w:abstractNum>
  <w:abstractNum w:abstractNumId="5">
    <w:nsid w:val="34A31812"/>
    <w:multiLevelType w:val="multilevel"/>
    <w:tmpl w:val="34A31812"/>
    <w:lvl w:ilvl="0" w:tentative="0">
      <w:start w:val="1"/>
      <w:numFmt w:val="decimal"/>
      <w:lvlText w:val="(%1)"/>
      <w:lvlJc w:val="left"/>
      <w:pPr>
        <w:ind w:left="420" w:hanging="420"/>
      </w:pPr>
      <w:rPr>
        <w:rFonts w:hint="default"/>
        <w:u w:val="none" w:color="auto"/>
      </w:rPr>
    </w:lvl>
    <w:lvl w:ilvl="1" w:tentative="0">
      <w:start w:val="0"/>
      <w:numFmt w:val="bullet"/>
      <w:lvlText w:val="▲"/>
      <w:lvlJc w:val="left"/>
      <w:pPr>
        <w:ind w:left="780" w:hanging="360"/>
      </w:pPr>
      <w:rPr>
        <w:rFonts w:hint="eastAsia" w:ascii="等线" w:hAnsi="等线" w:eastAsia="等线"/>
        <w:u w:val="none" w:color="auto"/>
      </w:rPr>
    </w:lvl>
    <w:lvl w:ilvl="2" w:tentative="0">
      <w:start w:val="1"/>
      <w:numFmt w:val="lowerRoman"/>
      <w:lvlText w:val="%3."/>
      <w:lvlJc w:val="right"/>
      <w:pPr>
        <w:ind w:left="1260" w:hanging="420"/>
      </w:pPr>
      <w:rPr>
        <w:rFonts w:hint="default"/>
        <w:u w:val="none" w:color="auto"/>
      </w:rPr>
    </w:lvl>
    <w:lvl w:ilvl="3" w:tentative="0">
      <w:start w:val="1"/>
      <w:numFmt w:val="decimal"/>
      <w:lvlText w:val="%4."/>
      <w:lvlJc w:val="left"/>
      <w:pPr>
        <w:ind w:left="1680" w:hanging="420"/>
      </w:pPr>
      <w:rPr>
        <w:rFonts w:hint="default"/>
        <w:u w:val="none" w:color="auto"/>
      </w:rPr>
    </w:lvl>
    <w:lvl w:ilvl="4" w:tentative="0">
      <w:start w:val="1"/>
      <w:numFmt w:val="lowerLetter"/>
      <w:lvlText w:val="%5)"/>
      <w:lvlJc w:val="left"/>
      <w:pPr>
        <w:ind w:left="2100" w:hanging="420"/>
      </w:pPr>
      <w:rPr>
        <w:rFonts w:hint="default"/>
        <w:u w:val="none" w:color="auto"/>
      </w:rPr>
    </w:lvl>
    <w:lvl w:ilvl="5" w:tentative="0">
      <w:start w:val="1"/>
      <w:numFmt w:val="lowerRoman"/>
      <w:lvlText w:val="%6."/>
      <w:lvlJc w:val="right"/>
      <w:pPr>
        <w:ind w:left="2520" w:hanging="420"/>
      </w:pPr>
      <w:rPr>
        <w:rFonts w:hint="default"/>
        <w:u w:val="none" w:color="auto"/>
      </w:rPr>
    </w:lvl>
    <w:lvl w:ilvl="6" w:tentative="0">
      <w:start w:val="1"/>
      <w:numFmt w:val="decimal"/>
      <w:lvlText w:val="%7."/>
      <w:lvlJc w:val="left"/>
      <w:pPr>
        <w:ind w:left="2940" w:hanging="420"/>
      </w:pPr>
      <w:rPr>
        <w:rFonts w:hint="default"/>
        <w:u w:val="none" w:color="auto"/>
      </w:rPr>
    </w:lvl>
    <w:lvl w:ilvl="7" w:tentative="0">
      <w:start w:val="1"/>
      <w:numFmt w:val="lowerLetter"/>
      <w:lvlText w:val="%8)"/>
      <w:lvlJc w:val="left"/>
      <w:pPr>
        <w:ind w:left="3360" w:hanging="420"/>
      </w:pPr>
      <w:rPr>
        <w:rFonts w:hint="default"/>
        <w:u w:val="none" w:color="auto"/>
      </w:rPr>
    </w:lvl>
    <w:lvl w:ilvl="8" w:tentative="0">
      <w:start w:val="1"/>
      <w:numFmt w:val="lowerRoman"/>
      <w:lvlText w:val="%9."/>
      <w:lvlJc w:val="right"/>
      <w:pPr>
        <w:ind w:left="3780" w:hanging="420"/>
      </w:pPr>
      <w:rPr>
        <w:rFonts w:hint="default"/>
        <w:u w:val="none" w:color="auto"/>
      </w:rPr>
    </w:lvl>
  </w:abstractNum>
  <w:abstractNum w:abstractNumId="6">
    <w:nsid w:val="4E07227F"/>
    <w:multiLevelType w:val="multilevel"/>
    <w:tmpl w:val="4E07227F"/>
    <w:lvl w:ilvl="0" w:tentative="0">
      <w:start w:val="1"/>
      <w:numFmt w:val="decimal"/>
      <w:lvlText w:val="(%1)"/>
      <w:lvlJc w:val="left"/>
      <w:pPr>
        <w:ind w:left="420" w:hanging="420"/>
      </w:pPr>
      <w:rPr>
        <w:rFonts w:hint="default"/>
        <w:u w:val="none" w:color="auto"/>
      </w:rPr>
    </w:lvl>
    <w:lvl w:ilvl="1" w:tentative="0">
      <w:start w:val="0"/>
      <w:numFmt w:val="bullet"/>
      <w:lvlText w:val="▲"/>
      <w:lvlJc w:val="left"/>
      <w:pPr>
        <w:ind w:left="780" w:hanging="360"/>
      </w:pPr>
      <w:rPr>
        <w:rFonts w:hint="eastAsia" w:ascii="等线" w:hAnsi="等线" w:eastAsia="等线"/>
        <w:u w:val="none" w:color="auto"/>
      </w:rPr>
    </w:lvl>
    <w:lvl w:ilvl="2" w:tentative="0">
      <w:start w:val="1"/>
      <w:numFmt w:val="lowerRoman"/>
      <w:lvlText w:val="%3."/>
      <w:lvlJc w:val="right"/>
      <w:pPr>
        <w:ind w:left="1260" w:hanging="420"/>
      </w:pPr>
      <w:rPr>
        <w:rFonts w:hint="default"/>
        <w:u w:val="none" w:color="auto"/>
      </w:rPr>
    </w:lvl>
    <w:lvl w:ilvl="3" w:tentative="0">
      <w:start w:val="1"/>
      <w:numFmt w:val="decimal"/>
      <w:lvlText w:val="%4."/>
      <w:lvlJc w:val="left"/>
      <w:pPr>
        <w:ind w:left="1680" w:hanging="420"/>
      </w:pPr>
      <w:rPr>
        <w:rFonts w:hint="default"/>
        <w:u w:val="none" w:color="auto"/>
      </w:rPr>
    </w:lvl>
    <w:lvl w:ilvl="4" w:tentative="0">
      <w:start w:val="1"/>
      <w:numFmt w:val="lowerLetter"/>
      <w:lvlText w:val="%5)"/>
      <w:lvlJc w:val="left"/>
      <w:pPr>
        <w:ind w:left="2100" w:hanging="420"/>
      </w:pPr>
      <w:rPr>
        <w:rFonts w:hint="default"/>
        <w:u w:val="none" w:color="auto"/>
      </w:rPr>
    </w:lvl>
    <w:lvl w:ilvl="5" w:tentative="0">
      <w:start w:val="1"/>
      <w:numFmt w:val="lowerRoman"/>
      <w:lvlText w:val="%6."/>
      <w:lvlJc w:val="right"/>
      <w:pPr>
        <w:ind w:left="2520" w:hanging="420"/>
      </w:pPr>
      <w:rPr>
        <w:rFonts w:hint="default"/>
        <w:u w:val="none" w:color="auto"/>
      </w:rPr>
    </w:lvl>
    <w:lvl w:ilvl="6" w:tentative="0">
      <w:start w:val="1"/>
      <w:numFmt w:val="decimal"/>
      <w:lvlText w:val="%7."/>
      <w:lvlJc w:val="left"/>
      <w:pPr>
        <w:ind w:left="2940" w:hanging="420"/>
      </w:pPr>
      <w:rPr>
        <w:rFonts w:hint="default"/>
        <w:u w:val="none" w:color="auto"/>
      </w:rPr>
    </w:lvl>
    <w:lvl w:ilvl="7" w:tentative="0">
      <w:start w:val="1"/>
      <w:numFmt w:val="lowerLetter"/>
      <w:lvlText w:val="%8)"/>
      <w:lvlJc w:val="left"/>
      <w:pPr>
        <w:ind w:left="3360" w:hanging="420"/>
      </w:pPr>
      <w:rPr>
        <w:rFonts w:hint="default"/>
        <w:u w:val="none" w:color="auto"/>
      </w:rPr>
    </w:lvl>
    <w:lvl w:ilvl="8" w:tentative="0">
      <w:start w:val="1"/>
      <w:numFmt w:val="lowerRoman"/>
      <w:lvlText w:val="%9."/>
      <w:lvlJc w:val="right"/>
      <w:pPr>
        <w:ind w:left="3780" w:hanging="420"/>
      </w:pPr>
      <w:rPr>
        <w:rFonts w:hint="default"/>
        <w:u w:val="none" w:color="auto"/>
      </w:rPr>
    </w:lvl>
  </w:abstractNum>
  <w:abstractNum w:abstractNumId="7">
    <w:nsid w:val="51CA6BB8"/>
    <w:multiLevelType w:val="multilevel"/>
    <w:tmpl w:val="51CA6BB8"/>
    <w:lvl w:ilvl="0" w:tentative="0">
      <w:start w:val="1"/>
      <w:numFmt w:val="decimal"/>
      <w:lvlText w:val="(%1)"/>
      <w:lvlJc w:val="left"/>
      <w:pPr>
        <w:ind w:left="420" w:hanging="420"/>
      </w:pPr>
      <w:rPr>
        <w:rFonts w:hint="default"/>
        <w:u w:val="none" w:color="auto"/>
      </w:rPr>
    </w:lvl>
    <w:lvl w:ilvl="1" w:tentative="0">
      <w:start w:val="0"/>
      <w:numFmt w:val="bullet"/>
      <w:lvlText w:val="▲"/>
      <w:lvlJc w:val="left"/>
      <w:pPr>
        <w:ind w:left="780" w:hanging="360"/>
      </w:pPr>
      <w:rPr>
        <w:rFonts w:hint="eastAsia" w:ascii="等线" w:hAnsi="等线" w:eastAsia="等线"/>
        <w:u w:val="none" w:color="auto"/>
      </w:rPr>
    </w:lvl>
    <w:lvl w:ilvl="2" w:tentative="0">
      <w:start w:val="1"/>
      <w:numFmt w:val="lowerRoman"/>
      <w:lvlText w:val="%3."/>
      <w:lvlJc w:val="right"/>
      <w:pPr>
        <w:ind w:left="1260" w:hanging="420"/>
      </w:pPr>
      <w:rPr>
        <w:rFonts w:hint="default"/>
        <w:u w:val="none" w:color="auto"/>
      </w:rPr>
    </w:lvl>
    <w:lvl w:ilvl="3" w:tentative="0">
      <w:start w:val="1"/>
      <w:numFmt w:val="decimal"/>
      <w:lvlText w:val="%4."/>
      <w:lvlJc w:val="left"/>
      <w:pPr>
        <w:ind w:left="1680" w:hanging="420"/>
      </w:pPr>
      <w:rPr>
        <w:rFonts w:hint="default"/>
        <w:u w:val="none" w:color="auto"/>
      </w:rPr>
    </w:lvl>
    <w:lvl w:ilvl="4" w:tentative="0">
      <w:start w:val="1"/>
      <w:numFmt w:val="lowerLetter"/>
      <w:lvlText w:val="%5)"/>
      <w:lvlJc w:val="left"/>
      <w:pPr>
        <w:ind w:left="2100" w:hanging="420"/>
      </w:pPr>
      <w:rPr>
        <w:rFonts w:hint="default"/>
        <w:u w:val="none" w:color="auto"/>
      </w:rPr>
    </w:lvl>
    <w:lvl w:ilvl="5" w:tentative="0">
      <w:start w:val="1"/>
      <w:numFmt w:val="lowerRoman"/>
      <w:lvlText w:val="%6."/>
      <w:lvlJc w:val="right"/>
      <w:pPr>
        <w:ind w:left="2520" w:hanging="420"/>
      </w:pPr>
      <w:rPr>
        <w:rFonts w:hint="default"/>
        <w:u w:val="none" w:color="auto"/>
      </w:rPr>
    </w:lvl>
    <w:lvl w:ilvl="6" w:tentative="0">
      <w:start w:val="1"/>
      <w:numFmt w:val="decimal"/>
      <w:lvlText w:val="%7."/>
      <w:lvlJc w:val="left"/>
      <w:pPr>
        <w:ind w:left="2940" w:hanging="420"/>
      </w:pPr>
      <w:rPr>
        <w:rFonts w:hint="default"/>
        <w:u w:val="none" w:color="auto"/>
      </w:rPr>
    </w:lvl>
    <w:lvl w:ilvl="7" w:tentative="0">
      <w:start w:val="1"/>
      <w:numFmt w:val="lowerLetter"/>
      <w:lvlText w:val="%8)"/>
      <w:lvlJc w:val="left"/>
      <w:pPr>
        <w:ind w:left="3360" w:hanging="420"/>
      </w:pPr>
      <w:rPr>
        <w:rFonts w:hint="default"/>
        <w:u w:val="none" w:color="auto"/>
      </w:rPr>
    </w:lvl>
    <w:lvl w:ilvl="8" w:tentative="0">
      <w:start w:val="1"/>
      <w:numFmt w:val="lowerRoman"/>
      <w:lvlText w:val="%9."/>
      <w:lvlJc w:val="right"/>
      <w:pPr>
        <w:ind w:left="3780" w:hanging="420"/>
      </w:pPr>
      <w:rPr>
        <w:rFonts w:hint="default"/>
        <w:u w:val="none" w:color="auto"/>
      </w:rPr>
    </w:lvl>
  </w:abstractNum>
  <w:abstractNum w:abstractNumId="8">
    <w:nsid w:val="621621D1"/>
    <w:multiLevelType w:val="singleLevel"/>
    <w:tmpl w:val="621621D1"/>
    <w:lvl w:ilvl="0" w:tentative="0">
      <w:start w:val="1"/>
      <w:numFmt w:val="decimal"/>
      <w:suff w:val="nothing"/>
      <w:lvlText w:val="%1、"/>
      <w:lvlJc w:val="left"/>
    </w:lvl>
  </w:abstractNum>
  <w:abstractNum w:abstractNumId="9">
    <w:nsid w:val="65750A4E"/>
    <w:multiLevelType w:val="multilevel"/>
    <w:tmpl w:val="65750A4E"/>
    <w:lvl w:ilvl="0" w:tentative="0">
      <w:start w:val="1"/>
      <w:numFmt w:val="decimal"/>
      <w:lvlText w:val="(%1)"/>
      <w:lvlJc w:val="left"/>
      <w:pPr>
        <w:ind w:left="420" w:hanging="420"/>
      </w:pPr>
      <w:rPr>
        <w:rFonts w:hint="default"/>
        <w:u w:val="none" w:color="auto"/>
      </w:rPr>
    </w:lvl>
    <w:lvl w:ilvl="1" w:tentative="0">
      <w:start w:val="0"/>
      <w:numFmt w:val="bullet"/>
      <w:lvlText w:val="▲"/>
      <w:lvlJc w:val="left"/>
      <w:pPr>
        <w:ind w:left="780" w:hanging="360"/>
      </w:pPr>
      <w:rPr>
        <w:rFonts w:hint="eastAsia" w:ascii="等线" w:hAnsi="等线" w:eastAsia="等线"/>
        <w:u w:val="none" w:color="auto"/>
      </w:rPr>
    </w:lvl>
    <w:lvl w:ilvl="2" w:tentative="0">
      <w:start w:val="1"/>
      <w:numFmt w:val="lowerRoman"/>
      <w:lvlText w:val="%3."/>
      <w:lvlJc w:val="right"/>
      <w:pPr>
        <w:ind w:left="1260" w:hanging="420"/>
      </w:pPr>
      <w:rPr>
        <w:rFonts w:hint="default"/>
        <w:u w:val="none" w:color="auto"/>
      </w:rPr>
    </w:lvl>
    <w:lvl w:ilvl="3" w:tentative="0">
      <w:start w:val="1"/>
      <w:numFmt w:val="decimal"/>
      <w:lvlText w:val="%4."/>
      <w:lvlJc w:val="left"/>
      <w:pPr>
        <w:ind w:left="1680" w:hanging="420"/>
      </w:pPr>
      <w:rPr>
        <w:rFonts w:hint="default"/>
        <w:u w:val="none" w:color="auto"/>
      </w:rPr>
    </w:lvl>
    <w:lvl w:ilvl="4" w:tentative="0">
      <w:start w:val="1"/>
      <w:numFmt w:val="lowerLetter"/>
      <w:lvlText w:val="%5)"/>
      <w:lvlJc w:val="left"/>
      <w:pPr>
        <w:ind w:left="2100" w:hanging="420"/>
      </w:pPr>
      <w:rPr>
        <w:rFonts w:hint="default"/>
        <w:u w:val="none" w:color="auto"/>
      </w:rPr>
    </w:lvl>
    <w:lvl w:ilvl="5" w:tentative="0">
      <w:start w:val="1"/>
      <w:numFmt w:val="lowerRoman"/>
      <w:lvlText w:val="%6."/>
      <w:lvlJc w:val="right"/>
      <w:pPr>
        <w:ind w:left="2520" w:hanging="420"/>
      </w:pPr>
      <w:rPr>
        <w:rFonts w:hint="default"/>
        <w:u w:val="none" w:color="auto"/>
      </w:rPr>
    </w:lvl>
    <w:lvl w:ilvl="6" w:tentative="0">
      <w:start w:val="1"/>
      <w:numFmt w:val="decimal"/>
      <w:lvlText w:val="%7."/>
      <w:lvlJc w:val="left"/>
      <w:pPr>
        <w:ind w:left="2940" w:hanging="420"/>
      </w:pPr>
      <w:rPr>
        <w:rFonts w:hint="default"/>
        <w:u w:val="none" w:color="auto"/>
      </w:rPr>
    </w:lvl>
    <w:lvl w:ilvl="7" w:tentative="0">
      <w:start w:val="1"/>
      <w:numFmt w:val="lowerLetter"/>
      <w:lvlText w:val="%8)"/>
      <w:lvlJc w:val="left"/>
      <w:pPr>
        <w:ind w:left="3360" w:hanging="420"/>
      </w:pPr>
      <w:rPr>
        <w:rFonts w:hint="default"/>
        <w:u w:val="none" w:color="auto"/>
      </w:rPr>
    </w:lvl>
    <w:lvl w:ilvl="8" w:tentative="0">
      <w:start w:val="1"/>
      <w:numFmt w:val="lowerRoman"/>
      <w:lvlText w:val="%9."/>
      <w:lvlJc w:val="right"/>
      <w:pPr>
        <w:ind w:left="3780" w:hanging="420"/>
      </w:pPr>
      <w:rPr>
        <w:rFonts w:hint="default"/>
        <w:u w:val="none" w:color="auto"/>
      </w:rPr>
    </w:lvl>
  </w:abstractNum>
  <w:abstractNum w:abstractNumId="10">
    <w:nsid w:val="77960BB3"/>
    <w:multiLevelType w:val="multilevel"/>
    <w:tmpl w:val="77960BB3"/>
    <w:lvl w:ilvl="0" w:tentative="0">
      <w:start w:val="1"/>
      <w:numFmt w:val="decimal"/>
      <w:lvlText w:val="(%1)"/>
      <w:lvlJc w:val="left"/>
      <w:pPr>
        <w:ind w:left="420" w:hanging="420"/>
      </w:pPr>
      <w:rPr>
        <w:rFonts w:hint="default"/>
        <w:u w:val="none" w:color="auto"/>
      </w:rPr>
    </w:lvl>
    <w:lvl w:ilvl="1" w:tentative="0">
      <w:start w:val="0"/>
      <w:numFmt w:val="bullet"/>
      <w:lvlText w:val="▲"/>
      <w:lvlJc w:val="left"/>
      <w:pPr>
        <w:ind w:left="780" w:hanging="360"/>
      </w:pPr>
      <w:rPr>
        <w:rFonts w:hint="eastAsia" w:ascii="等线" w:hAnsi="等线" w:eastAsia="等线"/>
        <w:u w:val="none" w:color="auto"/>
      </w:rPr>
    </w:lvl>
    <w:lvl w:ilvl="2" w:tentative="0">
      <w:start w:val="1"/>
      <w:numFmt w:val="lowerRoman"/>
      <w:lvlText w:val="%3."/>
      <w:lvlJc w:val="right"/>
      <w:pPr>
        <w:ind w:left="1260" w:hanging="420"/>
      </w:pPr>
      <w:rPr>
        <w:rFonts w:hint="default"/>
        <w:u w:val="none" w:color="auto"/>
      </w:rPr>
    </w:lvl>
    <w:lvl w:ilvl="3" w:tentative="0">
      <w:start w:val="1"/>
      <w:numFmt w:val="decimal"/>
      <w:lvlText w:val="%4."/>
      <w:lvlJc w:val="left"/>
      <w:pPr>
        <w:ind w:left="1680" w:hanging="420"/>
      </w:pPr>
      <w:rPr>
        <w:rFonts w:hint="default"/>
        <w:u w:val="none" w:color="auto"/>
      </w:rPr>
    </w:lvl>
    <w:lvl w:ilvl="4" w:tentative="0">
      <w:start w:val="1"/>
      <w:numFmt w:val="lowerLetter"/>
      <w:lvlText w:val="%5)"/>
      <w:lvlJc w:val="left"/>
      <w:pPr>
        <w:ind w:left="2100" w:hanging="420"/>
      </w:pPr>
      <w:rPr>
        <w:rFonts w:hint="default"/>
        <w:u w:val="none" w:color="auto"/>
      </w:rPr>
    </w:lvl>
    <w:lvl w:ilvl="5" w:tentative="0">
      <w:start w:val="1"/>
      <w:numFmt w:val="lowerRoman"/>
      <w:lvlText w:val="%6."/>
      <w:lvlJc w:val="right"/>
      <w:pPr>
        <w:ind w:left="2520" w:hanging="420"/>
      </w:pPr>
      <w:rPr>
        <w:rFonts w:hint="default"/>
        <w:u w:val="none" w:color="auto"/>
      </w:rPr>
    </w:lvl>
    <w:lvl w:ilvl="6" w:tentative="0">
      <w:start w:val="1"/>
      <w:numFmt w:val="decimal"/>
      <w:lvlText w:val="%7."/>
      <w:lvlJc w:val="left"/>
      <w:pPr>
        <w:ind w:left="2940" w:hanging="420"/>
      </w:pPr>
      <w:rPr>
        <w:rFonts w:hint="default"/>
        <w:u w:val="none" w:color="auto"/>
      </w:rPr>
    </w:lvl>
    <w:lvl w:ilvl="7" w:tentative="0">
      <w:start w:val="1"/>
      <w:numFmt w:val="lowerLetter"/>
      <w:lvlText w:val="%8)"/>
      <w:lvlJc w:val="left"/>
      <w:pPr>
        <w:ind w:left="3360" w:hanging="420"/>
      </w:pPr>
      <w:rPr>
        <w:rFonts w:hint="default"/>
        <w:u w:val="none" w:color="auto"/>
      </w:rPr>
    </w:lvl>
    <w:lvl w:ilvl="8" w:tentative="0">
      <w:start w:val="1"/>
      <w:numFmt w:val="lowerRoman"/>
      <w:lvlText w:val="%9."/>
      <w:lvlJc w:val="right"/>
      <w:pPr>
        <w:ind w:left="3780" w:hanging="420"/>
      </w:pPr>
      <w:rPr>
        <w:rFonts w:hint="default"/>
        <w:u w:val="none" w:color="auto"/>
      </w:rPr>
    </w:lvl>
  </w:abstractNum>
  <w:abstractNum w:abstractNumId="11">
    <w:nsid w:val="7C15104F"/>
    <w:multiLevelType w:val="multilevel"/>
    <w:tmpl w:val="7C15104F"/>
    <w:lvl w:ilvl="0" w:tentative="0">
      <w:start w:val="1"/>
      <w:numFmt w:val="decimal"/>
      <w:lvlText w:val="(%1)"/>
      <w:lvlJc w:val="left"/>
      <w:pPr>
        <w:ind w:left="420" w:hanging="420"/>
      </w:pPr>
      <w:rPr>
        <w:rFonts w:hint="default"/>
        <w:u w:val="none" w:color="auto"/>
      </w:rPr>
    </w:lvl>
    <w:lvl w:ilvl="1" w:tentative="0">
      <w:start w:val="0"/>
      <w:numFmt w:val="bullet"/>
      <w:lvlText w:val="▲"/>
      <w:lvlJc w:val="left"/>
      <w:pPr>
        <w:ind w:left="780" w:hanging="360"/>
      </w:pPr>
      <w:rPr>
        <w:rFonts w:hint="eastAsia" w:ascii="等线" w:hAnsi="等线" w:eastAsia="等线"/>
        <w:u w:val="none" w:color="auto"/>
      </w:rPr>
    </w:lvl>
    <w:lvl w:ilvl="2" w:tentative="0">
      <w:start w:val="1"/>
      <w:numFmt w:val="lowerRoman"/>
      <w:lvlText w:val="%3."/>
      <w:lvlJc w:val="right"/>
      <w:pPr>
        <w:ind w:left="1260" w:hanging="420"/>
      </w:pPr>
      <w:rPr>
        <w:rFonts w:hint="default"/>
        <w:u w:val="none" w:color="auto"/>
      </w:rPr>
    </w:lvl>
    <w:lvl w:ilvl="3" w:tentative="0">
      <w:start w:val="1"/>
      <w:numFmt w:val="decimal"/>
      <w:lvlText w:val="%4."/>
      <w:lvlJc w:val="left"/>
      <w:pPr>
        <w:ind w:left="1680" w:hanging="420"/>
      </w:pPr>
      <w:rPr>
        <w:rFonts w:hint="default"/>
        <w:u w:val="none" w:color="auto"/>
      </w:rPr>
    </w:lvl>
    <w:lvl w:ilvl="4" w:tentative="0">
      <w:start w:val="1"/>
      <w:numFmt w:val="lowerLetter"/>
      <w:lvlText w:val="%5)"/>
      <w:lvlJc w:val="left"/>
      <w:pPr>
        <w:ind w:left="2100" w:hanging="420"/>
      </w:pPr>
      <w:rPr>
        <w:rFonts w:hint="default"/>
        <w:u w:val="none" w:color="auto"/>
      </w:rPr>
    </w:lvl>
    <w:lvl w:ilvl="5" w:tentative="0">
      <w:start w:val="1"/>
      <w:numFmt w:val="lowerRoman"/>
      <w:lvlText w:val="%6."/>
      <w:lvlJc w:val="right"/>
      <w:pPr>
        <w:ind w:left="2520" w:hanging="420"/>
      </w:pPr>
      <w:rPr>
        <w:rFonts w:hint="default"/>
        <w:u w:val="none" w:color="auto"/>
      </w:rPr>
    </w:lvl>
    <w:lvl w:ilvl="6" w:tentative="0">
      <w:start w:val="1"/>
      <w:numFmt w:val="decimal"/>
      <w:lvlText w:val="%7."/>
      <w:lvlJc w:val="left"/>
      <w:pPr>
        <w:ind w:left="2940" w:hanging="420"/>
      </w:pPr>
      <w:rPr>
        <w:rFonts w:hint="default"/>
        <w:u w:val="none" w:color="auto"/>
      </w:rPr>
    </w:lvl>
    <w:lvl w:ilvl="7" w:tentative="0">
      <w:start w:val="1"/>
      <w:numFmt w:val="lowerLetter"/>
      <w:lvlText w:val="%8)"/>
      <w:lvlJc w:val="left"/>
      <w:pPr>
        <w:ind w:left="3360" w:hanging="420"/>
      </w:pPr>
      <w:rPr>
        <w:rFonts w:hint="default"/>
        <w:u w:val="none" w:color="auto"/>
      </w:rPr>
    </w:lvl>
    <w:lvl w:ilvl="8" w:tentative="0">
      <w:start w:val="1"/>
      <w:numFmt w:val="lowerRoman"/>
      <w:lvlText w:val="%9."/>
      <w:lvlJc w:val="right"/>
      <w:pPr>
        <w:ind w:left="3780" w:hanging="420"/>
      </w:pPr>
      <w:rPr>
        <w:rFonts w:hint="default"/>
        <w:u w:val="none" w:color="auto"/>
      </w:rPr>
    </w:lvl>
  </w:abstractNum>
  <w:num w:numId="1">
    <w:abstractNumId w:val="3"/>
  </w:num>
  <w:num w:numId="2">
    <w:abstractNumId w:val="8"/>
  </w:num>
  <w:num w:numId="3">
    <w:abstractNumId w:val="1"/>
  </w:num>
  <w:num w:numId="4">
    <w:abstractNumId w:val="10"/>
  </w:num>
  <w:num w:numId="5">
    <w:abstractNumId w:val="4"/>
  </w:num>
  <w:num w:numId="6">
    <w:abstractNumId w:val="5"/>
  </w:num>
  <w:num w:numId="7">
    <w:abstractNumId w:val="11"/>
  </w:num>
  <w:num w:numId="8">
    <w:abstractNumId w:val="6"/>
  </w:num>
  <w:num w:numId="9">
    <w:abstractNumId w:val="7"/>
  </w:num>
  <w:num w:numId="10">
    <w:abstractNumId w:val="0"/>
  </w:num>
  <w:num w:numId="11">
    <w:abstractNumId w:val="9"/>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g2NDM0MTM2YmQzYWYxOWUzYWFjN2UwNmUyMjk1N2M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A2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2AE"/>
    <w:rsid w:val="00030467"/>
    <w:rsid w:val="00030572"/>
    <w:rsid w:val="00030A97"/>
    <w:rsid w:val="00030CB3"/>
    <w:rsid w:val="0003206A"/>
    <w:rsid w:val="000326A7"/>
    <w:rsid w:val="00032EA0"/>
    <w:rsid w:val="000331B0"/>
    <w:rsid w:val="000336D4"/>
    <w:rsid w:val="00034DED"/>
    <w:rsid w:val="00034FA7"/>
    <w:rsid w:val="0003533D"/>
    <w:rsid w:val="000357E4"/>
    <w:rsid w:val="00035ACA"/>
    <w:rsid w:val="00035C8E"/>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6DB7"/>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1E"/>
    <w:rsid w:val="00087031"/>
    <w:rsid w:val="0008744E"/>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529"/>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07DA"/>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C1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2F3"/>
    <w:rsid w:val="0019553F"/>
    <w:rsid w:val="001956BE"/>
    <w:rsid w:val="0019602C"/>
    <w:rsid w:val="001969F2"/>
    <w:rsid w:val="00196CD6"/>
    <w:rsid w:val="0019756A"/>
    <w:rsid w:val="00197DFE"/>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A40"/>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A9C"/>
    <w:rsid w:val="001D1D55"/>
    <w:rsid w:val="001D21EF"/>
    <w:rsid w:val="001D29A4"/>
    <w:rsid w:val="001D2B73"/>
    <w:rsid w:val="001D3136"/>
    <w:rsid w:val="001D330D"/>
    <w:rsid w:val="001D3ECB"/>
    <w:rsid w:val="001D4AB6"/>
    <w:rsid w:val="001D4AD3"/>
    <w:rsid w:val="001D5281"/>
    <w:rsid w:val="001E00EF"/>
    <w:rsid w:val="001E17E3"/>
    <w:rsid w:val="001E2052"/>
    <w:rsid w:val="001E2492"/>
    <w:rsid w:val="001E257C"/>
    <w:rsid w:val="001E286C"/>
    <w:rsid w:val="001E2F34"/>
    <w:rsid w:val="001E35EE"/>
    <w:rsid w:val="001E4567"/>
    <w:rsid w:val="001E4B2C"/>
    <w:rsid w:val="001E507F"/>
    <w:rsid w:val="001E56C2"/>
    <w:rsid w:val="001E59FB"/>
    <w:rsid w:val="001E7F81"/>
    <w:rsid w:val="001F0D92"/>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5E1"/>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03E"/>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43A"/>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25D4"/>
    <w:rsid w:val="0028316D"/>
    <w:rsid w:val="00283296"/>
    <w:rsid w:val="0028583E"/>
    <w:rsid w:val="00285853"/>
    <w:rsid w:val="00285B1A"/>
    <w:rsid w:val="00285FF3"/>
    <w:rsid w:val="0028627C"/>
    <w:rsid w:val="002866EC"/>
    <w:rsid w:val="0028744E"/>
    <w:rsid w:val="002876C6"/>
    <w:rsid w:val="002876D2"/>
    <w:rsid w:val="00287936"/>
    <w:rsid w:val="00287BB7"/>
    <w:rsid w:val="002903C5"/>
    <w:rsid w:val="0029041B"/>
    <w:rsid w:val="00290A99"/>
    <w:rsid w:val="00290EAF"/>
    <w:rsid w:val="0029159A"/>
    <w:rsid w:val="00291CF1"/>
    <w:rsid w:val="00292AA1"/>
    <w:rsid w:val="00294012"/>
    <w:rsid w:val="00294383"/>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2DC6"/>
    <w:rsid w:val="002C327D"/>
    <w:rsid w:val="002C3890"/>
    <w:rsid w:val="002C3AD9"/>
    <w:rsid w:val="002C4286"/>
    <w:rsid w:val="002C43FC"/>
    <w:rsid w:val="002C45C3"/>
    <w:rsid w:val="002C483B"/>
    <w:rsid w:val="002C4DFE"/>
    <w:rsid w:val="002C519E"/>
    <w:rsid w:val="002C54ED"/>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5D4"/>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B39"/>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17C4"/>
    <w:rsid w:val="00363894"/>
    <w:rsid w:val="00363B2A"/>
    <w:rsid w:val="00363BF1"/>
    <w:rsid w:val="003653D0"/>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88B"/>
    <w:rsid w:val="003C6E9C"/>
    <w:rsid w:val="003C746F"/>
    <w:rsid w:val="003C7570"/>
    <w:rsid w:val="003C76E6"/>
    <w:rsid w:val="003C77A7"/>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0EC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756"/>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068"/>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B20"/>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0FD4"/>
    <w:rsid w:val="005212F4"/>
    <w:rsid w:val="00521908"/>
    <w:rsid w:val="005224BC"/>
    <w:rsid w:val="00522928"/>
    <w:rsid w:val="00522FF1"/>
    <w:rsid w:val="00523946"/>
    <w:rsid w:val="0052397A"/>
    <w:rsid w:val="005256D6"/>
    <w:rsid w:val="00525AD8"/>
    <w:rsid w:val="00525D33"/>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4F89"/>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6DB"/>
    <w:rsid w:val="005448F5"/>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081"/>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2BCF"/>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234"/>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08B"/>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AAF"/>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25E"/>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D72B5"/>
    <w:rsid w:val="007E0595"/>
    <w:rsid w:val="007E0A63"/>
    <w:rsid w:val="007E0C63"/>
    <w:rsid w:val="007E0C71"/>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6A6E"/>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6506"/>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ADE"/>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84D"/>
    <w:rsid w:val="008B69B8"/>
    <w:rsid w:val="008B6C09"/>
    <w:rsid w:val="008B7042"/>
    <w:rsid w:val="008B770C"/>
    <w:rsid w:val="008C0325"/>
    <w:rsid w:val="008C094A"/>
    <w:rsid w:val="008C1570"/>
    <w:rsid w:val="008C1792"/>
    <w:rsid w:val="008C17B2"/>
    <w:rsid w:val="008C1E3E"/>
    <w:rsid w:val="008C2059"/>
    <w:rsid w:val="008C21D0"/>
    <w:rsid w:val="008C2DBC"/>
    <w:rsid w:val="008C3A4E"/>
    <w:rsid w:val="008C4AA2"/>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377"/>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1DE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59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0C13"/>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6F6"/>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882"/>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6E75"/>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7D5"/>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3C0"/>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583"/>
    <w:rsid w:val="00B14F47"/>
    <w:rsid w:val="00B15282"/>
    <w:rsid w:val="00B15286"/>
    <w:rsid w:val="00B1539F"/>
    <w:rsid w:val="00B1550D"/>
    <w:rsid w:val="00B15F6C"/>
    <w:rsid w:val="00B163E8"/>
    <w:rsid w:val="00B174E6"/>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ECD"/>
    <w:rsid w:val="00B35B6D"/>
    <w:rsid w:val="00B35D53"/>
    <w:rsid w:val="00B367C4"/>
    <w:rsid w:val="00B36D3E"/>
    <w:rsid w:val="00B37B8E"/>
    <w:rsid w:val="00B40222"/>
    <w:rsid w:val="00B404C3"/>
    <w:rsid w:val="00B41A04"/>
    <w:rsid w:val="00B42266"/>
    <w:rsid w:val="00B42743"/>
    <w:rsid w:val="00B430E9"/>
    <w:rsid w:val="00B4311F"/>
    <w:rsid w:val="00B431AE"/>
    <w:rsid w:val="00B44288"/>
    <w:rsid w:val="00B448BF"/>
    <w:rsid w:val="00B44C7A"/>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8C7"/>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741"/>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8F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09F"/>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C09"/>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658"/>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7FA"/>
    <w:rsid w:val="00CB5A26"/>
    <w:rsid w:val="00CB645B"/>
    <w:rsid w:val="00CB6A93"/>
    <w:rsid w:val="00CB6C79"/>
    <w:rsid w:val="00CB77C3"/>
    <w:rsid w:val="00CB7E9C"/>
    <w:rsid w:val="00CC0072"/>
    <w:rsid w:val="00CC027A"/>
    <w:rsid w:val="00CC0915"/>
    <w:rsid w:val="00CC0D1A"/>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A79"/>
    <w:rsid w:val="00D04F01"/>
    <w:rsid w:val="00D04F8B"/>
    <w:rsid w:val="00D054EF"/>
    <w:rsid w:val="00D05637"/>
    <w:rsid w:val="00D05BA9"/>
    <w:rsid w:val="00D05EB1"/>
    <w:rsid w:val="00D0650B"/>
    <w:rsid w:val="00D068AA"/>
    <w:rsid w:val="00D06B38"/>
    <w:rsid w:val="00D06E71"/>
    <w:rsid w:val="00D06E9C"/>
    <w:rsid w:val="00D0714B"/>
    <w:rsid w:val="00D0764E"/>
    <w:rsid w:val="00D07D82"/>
    <w:rsid w:val="00D10327"/>
    <w:rsid w:val="00D103C9"/>
    <w:rsid w:val="00D10BD0"/>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44"/>
    <w:rsid w:val="00D77AF6"/>
    <w:rsid w:val="00D804C5"/>
    <w:rsid w:val="00D815E6"/>
    <w:rsid w:val="00D81A28"/>
    <w:rsid w:val="00D81BDE"/>
    <w:rsid w:val="00D8201D"/>
    <w:rsid w:val="00D82B00"/>
    <w:rsid w:val="00D82B04"/>
    <w:rsid w:val="00D82BE4"/>
    <w:rsid w:val="00D82E05"/>
    <w:rsid w:val="00D83C0D"/>
    <w:rsid w:val="00D83C80"/>
    <w:rsid w:val="00D83F5B"/>
    <w:rsid w:val="00D85691"/>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1EB7"/>
    <w:rsid w:val="00E4208F"/>
    <w:rsid w:val="00E42E94"/>
    <w:rsid w:val="00E43006"/>
    <w:rsid w:val="00E4312A"/>
    <w:rsid w:val="00E4331B"/>
    <w:rsid w:val="00E43551"/>
    <w:rsid w:val="00E437FA"/>
    <w:rsid w:val="00E43E02"/>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4D51"/>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3C66"/>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665"/>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69"/>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6FE9"/>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A40"/>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650"/>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2E4B"/>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87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9D"/>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12F"/>
    <w:rsid w:val="00FF651D"/>
    <w:rsid w:val="00FF6843"/>
    <w:rsid w:val="00FF6C25"/>
    <w:rsid w:val="010651D9"/>
    <w:rsid w:val="011F6449"/>
    <w:rsid w:val="01236AFB"/>
    <w:rsid w:val="0149589B"/>
    <w:rsid w:val="01622D80"/>
    <w:rsid w:val="019F7441"/>
    <w:rsid w:val="01AD45A8"/>
    <w:rsid w:val="01B37585"/>
    <w:rsid w:val="01D55165"/>
    <w:rsid w:val="01DF6BF8"/>
    <w:rsid w:val="01E13F0E"/>
    <w:rsid w:val="01EC2C57"/>
    <w:rsid w:val="025B7904"/>
    <w:rsid w:val="026B2E25"/>
    <w:rsid w:val="02824D4D"/>
    <w:rsid w:val="02934FAA"/>
    <w:rsid w:val="02BB3B27"/>
    <w:rsid w:val="02DC4B10"/>
    <w:rsid w:val="02DD76CE"/>
    <w:rsid w:val="02F36323"/>
    <w:rsid w:val="02F5619C"/>
    <w:rsid w:val="031A0B76"/>
    <w:rsid w:val="0326446A"/>
    <w:rsid w:val="032D5555"/>
    <w:rsid w:val="036634D2"/>
    <w:rsid w:val="037A2037"/>
    <w:rsid w:val="03DD35E4"/>
    <w:rsid w:val="03F56C8E"/>
    <w:rsid w:val="04053767"/>
    <w:rsid w:val="04076900"/>
    <w:rsid w:val="041A5A3B"/>
    <w:rsid w:val="042311BA"/>
    <w:rsid w:val="042359AE"/>
    <w:rsid w:val="042B157A"/>
    <w:rsid w:val="048C5135"/>
    <w:rsid w:val="048F763B"/>
    <w:rsid w:val="049F330E"/>
    <w:rsid w:val="04AA775C"/>
    <w:rsid w:val="04AF1889"/>
    <w:rsid w:val="04BA4AD8"/>
    <w:rsid w:val="04CE62EF"/>
    <w:rsid w:val="04D9682F"/>
    <w:rsid w:val="04F66F48"/>
    <w:rsid w:val="050D071E"/>
    <w:rsid w:val="05251E14"/>
    <w:rsid w:val="054238F0"/>
    <w:rsid w:val="05591774"/>
    <w:rsid w:val="05952790"/>
    <w:rsid w:val="05A16594"/>
    <w:rsid w:val="05A7762D"/>
    <w:rsid w:val="05FD0E2C"/>
    <w:rsid w:val="060E5941"/>
    <w:rsid w:val="06110FAF"/>
    <w:rsid w:val="06195F4C"/>
    <w:rsid w:val="061C3A8B"/>
    <w:rsid w:val="06493CA7"/>
    <w:rsid w:val="065A6178"/>
    <w:rsid w:val="066F1CF3"/>
    <w:rsid w:val="06930BB8"/>
    <w:rsid w:val="071263E7"/>
    <w:rsid w:val="07245D42"/>
    <w:rsid w:val="07264C62"/>
    <w:rsid w:val="073113ED"/>
    <w:rsid w:val="07445AD3"/>
    <w:rsid w:val="0779354C"/>
    <w:rsid w:val="079518F7"/>
    <w:rsid w:val="079E0E59"/>
    <w:rsid w:val="07F870A3"/>
    <w:rsid w:val="08061376"/>
    <w:rsid w:val="08452D77"/>
    <w:rsid w:val="086401F8"/>
    <w:rsid w:val="08751CAA"/>
    <w:rsid w:val="087556B8"/>
    <w:rsid w:val="087E4C40"/>
    <w:rsid w:val="08B93745"/>
    <w:rsid w:val="08D66AD6"/>
    <w:rsid w:val="08DA33A3"/>
    <w:rsid w:val="08DB07BA"/>
    <w:rsid w:val="08E80F13"/>
    <w:rsid w:val="08F40B86"/>
    <w:rsid w:val="08F9077D"/>
    <w:rsid w:val="090C7640"/>
    <w:rsid w:val="09114CAB"/>
    <w:rsid w:val="09176B52"/>
    <w:rsid w:val="09335624"/>
    <w:rsid w:val="0944690F"/>
    <w:rsid w:val="094F2700"/>
    <w:rsid w:val="09535675"/>
    <w:rsid w:val="095B1731"/>
    <w:rsid w:val="095F057D"/>
    <w:rsid w:val="09642282"/>
    <w:rsid w:val="09733572"/>
    <w:rsid w:val="09772C16"/>
    <w:rsid w:val="098353B5"/>
    <w:rsid w:val="09A92330"/>
    <w:rsid w:val="09B06B87"/>
    <w:rsid w:val="09BD351E"/>
    <w:rsid w:val="09C13146"/>
    <w:rsid w:val="09E04166"/>
    <w:rsid w:val="09E94A9D"/>
    <w:rsid w:val="09FA038F"/>
    <w:rsid w:val="0A093C27"/>
    <w:rsid w:val="0A10000E"/>
    <w:rsid w:val="0A1C0718"/>
    <w:rsid w:val="0A3E7710"/>
    <w:rsid w:val="0A40190F"/>
    <w:rsid w:val="0A5B7E63"/>
    <w:rsid w:val="0A6C2D10"/>
    <w:rsid w:val="0A78333C"/>
    <w:rsid w:val="0AA374A5"/>
    <w:rsid w:val="0AAB7649"/>
    <w:rsid w:val="0AB90B4A"/>
    <w:rsid w:val="0AB9369A"/>
    <w:rsid w:val="0ABC5606"/>
    <w:rsid w:val="0AC3004E"/>
    <w:rsid w:val="0B057B08"/>
    <w:rsid w:val="0B30404E"/>
    <w:rsid w:val="0B3803C8"/>
    <w:rsid w:val="0B4C6C14"/>
    <w:rsid w:val="0B631A88"/>
    <w:rsid w:val="0B683D45"/>
    <w:rsid w:val="0B7F2142"/>
    <w:rsid w:val="0B7F3F11"/>
    <w:rsid w:val="0B884417"/>
    <w:rsid w:val="0B956444"/>
    <w:rsid w:val="0B9923DC"/>
    <w:rsid w:val="0BDB167F"/>
    <w:rsid w:val="0BDC71BB"/>
    <w:rsid w:val="0BF0551C"/>
    <w:rsid w:val="0BF6188C"/>
    <w:rsid w:val="0BF73C91"/>
    <w:rsid w:val="0C170175"/>
    <w:rsid w:val="0C313164"/>
    <w:rsid w:val="0C571A41"/>
    <w:rsid w:val="0C5C1171"/>
    <w:rsid w:val="0C5E1CBC"/>
    <w:rsid w:val="0C615B50"/>
    <w:rsid w:val="0C7C5797"/>
    <w:rsid w:val="0C8445DA"/>
    <w:rsid w:val="0C87121B"/>
    <w:rsid w:val="0C8C5842"/>
    <w:rsid w:val="0CA94732"/>
    <w:rsid w:val="0CC007F7"/>
    <w:rsid w:val="0CF221F7"/>
    <w:rsid w:val="0CFE707A"/>
    <w:rsid w:val="0D063BDA"/>
    <w:rsid w:val="0D08375F"/>
    <w:rsid w:val="0D184CFB"/>
    <w:rsid w:val="0D4A7419"/>
    <w:rsid w:val="0D827401"/>
    <w:rsid w:val="0D84094E"/>
    <w:rsid w:val="0D8A00E9"/>
    <w:rsid w:val="0D8D589E"/>
    <w:rsid w:val="0D9D0E12"/>
    <w:rsid w:val="0DA01C73"/>
    <w:rsid w:val="0DD63300"/>
    <w:rsid w:val="0DF50604"/>
    <w:rsid w:val="0DF702FE"/>
    <w:rsid w:val="0DFF45BD"/>
    <w:rsid w:val="0E060E51"/>
    <w:rsid w:val="0E1F7BEA"/>
    <w:rsid w:val="0E265BDA"/>
    <w:rsid w:val="0E5604B2"/>
    <w:rsid w:val="0E6A3B50"/>
    <w:rsid w:val="0E6D5D79"/>
    <w:rsid w:val="0E9D0089"/>
    <w:rsid w:val="0EB803EE"/>
    <w:rsid w:val="0ECA0687"/>
    <w:rsid w:val="0EF94D4B"/>
    <w:rsid w:val="0F051846"/>
    <w:rsid w:val="0F3E68E4"/>
    <w:rsid w:val="0F4958DC"/>
    <w:rsid w:val="0F500B16"/>
    <w:rsid w:val="0F515DF7"/>
    <w:rsid w:val="0F596BA8"/>
    <w:rsid w:val="0F6248D2"/>
    <w:rsid w:val="0F693536"/>
    <w:rsid w:val="0F7B0511"/>
    <w:rsid w:val="0F7B76D9"/>
    <w:rsid w:val="0F816ACD"/>
    <w:rsid w:val="0F87525F"/>
    <w:rsid w:val="0F9832DB"/>
    <w:rsid w:val="0FB4009C"/>
    <w:rsid w:val="0FBF3FD2"/>
    <w:rsid w:val="0FBF7FF3"/>
    <w:rsid w:val="0FE679DD"/>
    <w:rsid w:val="10646583"/>
    <w:rsid w:val="10745197"/>
    <w:rsid w:val="107D4B15"/>
    <w:rsid w:val="10811B1F"/>
    <w:rsid w:val="108A3C80"/>
    <w:rsid w:val="10A9737D"/>
    <w:rsid w:val="10B4557A"/>
    <w:rsid w:val="10C26171"/>
    <w:rsid w:val="10CA40D4"/>
    <w:rsid w:val="10DF2334"/>
    <w:rsid w:val="10E93486"/>
    <w:rsid w:val="10F20195"/>
    <w:rsid w:val="10F33360"/>
    <w:rsid w:val="10FC16EA"/>
    <w:rsid w:val="110F1D40"/>
    <w:rsid w:val="11266F33"/>
    <w:rsid w:val="11434F61"/>
    <w:rsid w:val="118600A7"/>
    <w:rsid w:val="11860428"/>
    <w:rsid w:val="118963A1"/>
    <w:rsid w:val="11BC46C3"/>
    <w:rsid w:val="11C6522A"/>
    <w:rsid w:val="11E104CC"/>
    <w:rsid w:val="11E20309"/>
    <w:rsid w:val="11E44A0D"/>
    <w:rsid w:val="12255233"/>
    <w:rsid w:val="122D3A29"/>
    <w:rsid w:val="12530213"/>
    <w:rsid w:val="127723A9"/>
    <w:rsid w:val="12862074"/>
    <w:rsid w:val="12883966"/>
    <w:rsid w:val="129E45B4"/>
    <w:rsid w:val="12A96330"/>
    <w:rsid w:val="12B67BE9"/>
    <w:rsid w:val="12D81596"/>
    <w:rsid w:val="130271FF"/>
    <w:rsid w:val="13072A44"/>
    <w:rsid w:val="1323787D"/>
    <w:rsid w:val="134A0871"/>
    <w:rsid w:val="135F4BE2"/>
    <w:rsid w:val="137631B5"/>
    <w:rsid w:val="139943BD"/>
    <w:rsid w:val="139B1A0A"/>
    <w:rsid w:val="139D25C7"/>
    <w:rsid w:val="13A55293"/>
    <w:rsid w:val="13B27BCB"/>
    <w:rsid w:val="13BF3CE4"/>
    <w:rsid w:val="13EC701B"/>
    <w:rsid w:val="140B1F85"/>
    <w:rsid w:val="141008D8"/>
    <w:rsid w:val="14125FE6"/>
    <w:rsid w:val="1465357E"/>
    <w:rsid w:val="146D271E"/>
    <w:rsid w:val="14982588"/>
    <w:rsid w:val="149A5AD9"/>
    <w:rsid w:val="14A7619D"/>
    <w:rsid w:val="14B60A59"/>
    <w:rsid w:val="14FA635B"/>
    <w:rsid w:val="150536C3"/>
    <w:rsid w:val="150C1963"/>
    <w:rsid w:val="151447A0"/>
    <w:rsid w:val="154A6454"/>
    <w:rsid w:val="15762120"/>
    <w:rsid w:val="158A2ECB"/>
    <w:rsid w:val="15A871B4"/>
    <w:rsid w:val="15F157BA"/>
    <w:rsid w:val="160411E3"/>
    <w:rsid w:val="16324E0F"/>
    <w:rsid w:val="166624CB"/>
    <w:rsid w:val="16A8729C"/>
    <w:rsid w:val="16B33777"/>
    <w:rsid w:val="16BC70A7"/>
    <w:rsid w:val="16C6339E"/>
    <w:rsid w:val="16DF4B57"/>
    <w:rsid w:val="172F2D79"/>
    <w:rsid w:val="17557BEF"/>
    <w:rsid w:val="176539DE"/>
    <w:rsid w:val="17D349C1"/>
    <w:rsid w:val="17F64D76"/>
    <w:rsid w:val="181F619F"/>
    <w:rsid w:val="18213920"/>
    <w:rsid w:val="1830729E"/>
    <w:rsid w:val="183B0887"/>
    <w:rsid w:val="184877A1"/>
    <w:rsid w:val="1870062C"/>
    <w:rsid w:val="18804830"/>
    <w:rsid w:val="18817102"/>
    <w:rsid w:val="18830A15"/>
    <w:rsid w:val="18852B28"/>
    <w:rsid w:val="188B5321"/>
    <w:rsid w:val="18CE1114"/>
    <w:rsid w:val="18D12FFF"/>
    <w:rsid w:val="18E831AB"/>
    <w:rsid w:val="19932372"/>
    <w:rsid w:val="19A20DD5"/>
    <w:rsid w:val="19AE03F1"/>
    <w:rsid w:val="19BF7C20"/>
    <w:rsid w:val="19E612D4"/>
    <w:rsid w:val="1A071A03"/>
    <w:rsid w:val="1A1E51E9"/>
    <w:rsid w:val="1A1F16AE"/>
    <w:rsid w:val="1A3B5C77"/>
    <w:rsid w:val="1A7A4D5A"/>
    <w:rsid w:val="1A8F186F"/>
    <w:rsid w:val="1A984BAD"/>
    <w:rsid w:val="1AA9104C"/>
    <w:rsid w:val="1AAE06B6"/>
    <w:rsid w:val="1AB8220E"/>
    <w:rsid w:val="1AC7669A"/>
    <w:rsid w:val="1AE4166C"/>
    <w:rsid w:val="1AE7331E"/>
    <w:rsid w:val="1AF06CFB"/>
    <w:rsid w:val="1AF11B8D"/>
    <w:rsid w:val="1AF31E87"/>
    <w:rsid w:val="1AF64E64"/>
    <w:rsid w:val="1AF70B61"/>
    <w:rsid w:val="1B11359C"/>
    <w:rsid w:val="1B210317"/>
    <w:rsid w:val="1B2A271F"/>
    <w:rsid w:val="1B2C4C86"/>
    <w:rsid w:val="1B4915B3"/>
    <w:rsid w:val="1B530544"/>
    <w:rsid w:val="1B713184"/>
    <w:rsid w:val="1BA209CF"/>
    <w:rsid w:val="1BB4777D"/>
    <w:rsid w:val="1BD75AB8"/>
    <w:rsid w:val="1C0459C2"/>
    <w:rsid w:val="1C1B3B4A"/>
    <w:rsid w:val="1C1B3F8A"/>
    <w:rsid w:val="1C3A6251"/>
    <w:rsid w:val="1C591CBD"/>
    <w:rsid w:val="1C790E15"/>
    <w:rsid w:val="1C88086E"/>
    <w:rsid w:val="1C8848C5"/>
    <w:rsid w:val="1CF3590C"/>
    <w:rsid w:val="1CFD3150"/>
    <w:rsid w:val="1D266CE1"/>
    <w:rsid w:val="1D3963AF"/>
    <w:rsid w:val="1D396623"/>
    <w:rsid w:val="1D517F71"/>
    <w:rsid w:val="1D632E16"/>
    <w:rsid w:val="1D6A673C"/>
    <w:rsid w:val="1D9247AE"/>
    <w:rsid w:val="1DB567EC"/>
    <w:rsid w:val="1DF51A98"/>
    <w:rsid w:val="1E192545"/>
    <w:rsid w:val="1E3A49BE"/>
    <w:rsid w:val="1E3D060F"/>
    <w:rsid w:val="1E3F7D2E"/>
    <w:rsid w:val="1E4134E4"/>
    <w:rsid w:val="1E5062B3"/>
    <w:rsid w:val="1E523514"/>
    <w:rsid w:val="1E714A66"/>
    <w:rsid w:val="1E802593"/>
    <w:rsid w:val="1E926D24"/>
    <w:rsid w:val="1E9709F9"/>
    <w:rsid w:val="1EA703CC"/>
    <w:rsid w:val="1EB7330C"/>
    <w:rsid w:val="1ED94C25"/>
    <w:rsid w:val="1F0A0FF3"/>
    <w:rsid w:val="1F5771FF"/>
    <w:rsid w:val="1FB17FC4"/>
    <w:rsid w:val="1FB41398"/>
    <w:rsid w:val="1FC17FE9"/>
    <w:rsid w:val="1FDB278E"/>
    <w:rsid w:val="1FDF74CD"/>
    <w:rsid w:val="1FE868A9"/>
    <w:rsid w:val="20034907"/>
    <w:rsid w:val="20173E4B"/>
    <w:rsid w:val="201C05D7"/>
    <w:rsid w:val="20305A8B"/>
    <w:rsid w:val="204C1FC4"/>
    <w:rsid w:val="204E48BC"/>
    <w:rsid w:val="206B3127"/>
    <w:rsid w:val="207314EA"/>
    <w:rsid w:val="208921B3"/>
    <w:rsid w:val="20913071"/>
    <w:rsid w:val="20973DEB"/>
    <w:rsid w:val="20B26522"/>
    <w:rsid w:val="20B44310"/>
    <w:rsid w:val="20CA167B"/>
    <w:rsid w:val="211116EB"/>
    <w:rsid w:val="21607350"/>
    <w:rsid w:val="216133FC"/>
    <w:rsid w:val="216D6218"/>
    <w:rsid w:val="21943B3A"/>
    <w:rsid w:val="219D42FB"/>
    <w:rsid w:val="21D56769"/>
    <w:rsid w:val="21E52EF3"/>
    <w:rsid w:val="21FB5D7B"/>
    <w:rsid w:val="220B1C3D"/>
    <w:rsid w:val="221D1D20"/>
    <w:rsid w:val="22334A87"/>
    <w:rsid w:val="22434A2A"/>
    <w:rsid w:val="226A2764"/>
    <w:rsid w:val="22AF0083"/>
    <w:rsid w:val="22BE6801"/>
    <w:rsid w:val="22E97C2E"/>
    <w:rsid w:val="22F3089E"/>
    <w:rsid w:val="233500BF"/>
    <w:rsid w:val="23377FF7"/>
    <w:rsid w:val="236651AD"/>
    <w:rsid w:val="236B425F"/>
    <w:rsid w:val="23836192"/>
    <w:rsid w:val="23901F29"/>
    <w:rsid w:val="239C0061"/>
    <w:rsid w:val="23A4252D"/>
    <w:rsid w:val="23B908A4"/>
    <w:rsid w:val="23C7151A"/>
    <w:rsid w:val="23E95BEF"/>
    <w:rsid w:val="23FD0064"/>
    <w:rsid w:val="244E16FB"/>
    <w:rsid w:val="245375B0"/>
    <w:rsid w:val="24642C0A"/>
    <w:rsid w:val="24A546A2"/>
    <w:rsid w:val="24B22173"/>
    <w:rsid w:val="24B95AD9"/>
    <w:rsid w:val="24BE24DA"/>
    <w:rsid w:val="24C51FC1"/>
    <w:rsid w:val="24CF5825"/>
    <w:rsid w:val="24D663E6"/>
    <w:rsid w:val="24D77F2B"/>
    <w:rsid w:val="24EF0E67"/>
    <w:rsid w:val="24F965CA"/>
    <w:rsid w:val="254F58FD"/>
    <w:rsid w:val="25512259"/>
    <w:rsid w:val="2554268F"/>
    <w:rsid w:val="25806D6C"/>
    <w:rsid w:val="258624D8"/>
    <w:rsid w:val="258B00E2"/>
    <w:rsid w:val="25A917A6"/>
    <w:rsid w:val="25B7144B"/>
    <w:rsid w:val="25BE27CC"/>
    <w:rsid w:val="25F74A5C"/>
    <w:rsid w:val="25FC1479"/>
    <w:rsid w:val="261A35B7"/>
    <w:rsid w:val="261F4003"/>
    <w:rsid w:val="2628662C"/>
    <w:rsid w:val="262A4866"/>
    <w:rsid w:val="262D45DE"/>
    <w:rsid w:val="26906425"/>
    <w:rsid w:val="26A53EF9"/>
    <w:rsid w:val="26A94201"/>
    <w:rsid w:val="26AC274F"/>
    <w:rsid w:val="26FC5C50"/>
    <w:rsid w:val="27044A29"/>
    <w:rsid w:val="271D34C8"/>
    <w:rsid w:val="274E03C4"/>
    <w:rsid w:val="276142BF"/>
    <w:rsid w:val="276D53F6"/>
    <w:rsid w:val="27783712"/>
    <w:rsid w:val="27907362"/>
    <w:rsid w:val="27F4413E"/>
    <w:rsid w:val="27F45C24"/>
    <w:rsid w:val="28135E55"/>
    <w:rsid w:val="28333E1D"/>
    <w:rsid w:val="28454BD6"/>
    <w:rsid w:val="28455253"/>
    <w:rsid w:val="28551971"/>
    <w:rsid w:val="285B1C53"/>
    <w:rsid w:val="2891361D"/>
    <w:rsid w:val="289F7086"/>
    <w:rsid w:val="28C32028"/>
    <w:rsid w:val="28CC490F"/>
    <w:rsid w:val="28DE40AA"/>
    <w:rsid w:val="291C4CD5"/>
    <w:rsid w:val="29327610"/>
    <w:rsid w:val="29345E77"/>
    <w:rsid w:val="293F7E12"/>
    <w:rsid w:val="294C65AD"/>
    <w:rsid w:val="295961CF"/>
    <w:rsid w:val="296A6839"/>
    <w:rsid w:val="29806583"/>
    <w:rsid w:val="29815C2B"/>
    <w:rsid w:val="298B3C4C"/>
    <w:rsid w:val="299368F8"/>
    <w:rsid w:val="29B06020"/>
    <w:rsid w:val="29C561E2"/>
    <w:rsid w:val="29E108C2"/>
    <w:rsid w:val="29E278FE"/>
    <w:rsid w:val="29F26D24"/>
    <w:rsid w:val="29F878AF"/>
    <w:rsid w:val="2A1250DB"/>
    <w:rsid w:val="2A15033F"/>
    <w:rsid w:val="2A1662C1"/>
    <w:rsid w:val="2A1C7367"/>
    <w:rsid w:val="2A2815FA"/>
    <w:rsid w:val="2A6D6092"/>
    <w:rsid w:val="2A7D76B4"/>
    <w:rsid w:val="2AB73027"/>
    <w:rsid w:val="2B437463"/>
    <w:rsid w:val="2B5834BC"/>
    <w:rsid w:val="2B7807EE"/>
    <w:rsid w:val="2B8A1CE7"/>
    <w:rsid w:val="2BBF00EC"/>
    <w:rsid w:val="2BC37CFD"/>
    <w:rsid w:val="2BD5237F"/>
    <w:rsid w:val="2BE536CE"/>
    <w:rsid w:val="2BE758D9"/>
    <w:rsid w:val="2C09049E"/>
    <w:rsid w:val="2C0A653C"/>
    <w:rsid w:val="2C191F85"/>
    <w:rsid w:val="2C1C23F5"/>
    <w:rsid w:val="2C38766D"/>
    <w:rsid w:val="2C7F1411"/>
    <w:rsid w:val="2CE82D6F"/>
    <w:rsid w:val="2CEB2F3D"/>
    <w:rsid w:val="2D343236"/>
    <w:rsid w:val="2D4161D8"/>
    <w:rsid w:val="2D4859E8"/>
    <w:rsid w:val="2D603CA9"/>
    <w:rsid w:val="2D7C6088"/>
    <w:rsid w:val="2DB57938"/>
    <w:rsid w:val="2DCC40D7"/>
    <w:rsid w:val="2DD15014"/>
    <w:rsid w:val="2DE715CD"/>
    <w:rsid w:val="2DF370D0"/>
    <w:rsid w:val="2DF72DE4"/>
    <w:rsid w:val="2DFB684C"/>
    <w:rsid w:val="2E0220AF"/>
    <w:rsid w:val="2E3130BF"/>
    <w:rsid w:val="2E4B082A"/>
    <w:rsid w:val="2E566ACD"/>
    <w:rsid w:val="2E5D4E86"/>
    <w:rsid w:val="2E5D790B"/>
    <w:rsid w:val="2E9A3C18"/>
    <w:rsid w:val="2EB62D63"/>
    <w:rsid w:val="2EBB0FEE"/>
    <w:rsid w:val="2EC63002"/>
    <w:rsid w:val="2F032695"/>
    <w:rsid w:val="2F0A6B38"/>
    <w:rsid w:val="2F6C4F1D"/>
    <w:rsid w:val="2F946CCB"/>
    <w:rsid w:val="2FD25781"/>
    <w:rsid w:val="2FFD7934"/>
    <w:rsid w:val="300F7D4B"/>
    <w:rsid w:val="302E143E"/>
    <w:rsid w:val="30686777"/>
    <w:rsid w:val="30733ACD"/>
    <w:rsid w:val="307358F6"/>
    <w:rsid w:val="308C3862"/>
    <w:rsid w:val="309379D8"/>
    <w:rsid w:val="30945720"/>
    <w:rsid w:val="30A270F7"/>
    <w:rsid w:val="30AF1676"/>
    <w:rsid w:val="30CB0709"/>
    <w:rsid w:val="30CD6A65"/>
    <w:rsid w:val="30DF1478"/>
    <w:rsid w:val="30EC586F"/>
    <w:rsid w:val="30EE6760"/>
    <w:rsid w:val="317E6EFD"/>
    <w:rsid w:val="31810D46"/>
    <w:rsid w:val="319C6071"/>
    <w:rsid w:val="31AC537E"/>
    <w:rsid w:val="31E3679B"/>
    <w:rsid w:val="31E732FD"/>
    <w:rsid w:val="320D2226"/>
    <w:rsid w:val="321C0B55"/>
    <w:rsid w:val="321D4E12"/>
    <w:rsid w:val="32517576"/>
    <w:rsid w:val="326422A3"/>
    <w:rsid w:val="3278763F"/>
    <w:rsid w:val="32A83429"/>
    <w:rsid w:val="32BE5C2C"/>
    <w:rsid w:val="32C52523"/>
    <w:rsid w:val="32D167D6"/>
    <w:rsid w:val="32DE2AE5"/>
    <w:rsid w:val="32EA5B4E"/>
    <w:rsid w:val="32FB6478"/>
    <w:rsid w:val="3313560F"/>
    <w:rsid w:val="33263B3F"/>
    <w:rsid w:val="334401D4"/>
    <w:rsid w:val="336963EB"/>
    <w:rsid w:val="33816EEB"/>
    <w:rsid w:val="33951501"/>
    <w:rsid w:val="33D72240"/>
    <w:rsid w:val="33EB55CD"/>
    <w:rsid w:val="33EC4C02"/>
    <w:rsid w:val="340D2360"/>
    <w:rsid w:val="3410665D"/>
    <w:rsid w:val="34211214"/>
    <w:rsid w:val="342E63AB"/>
    <w:rsid w:val="343B39B4"/>
    <w:rsid w:val="344B517A"/>
    <w:rsid w:val="3460738F"/>
    <w:rsid w:val="34950E68"/>
    <w:rsid w:val="34986E94"/>
    <w:rsid w:val="34AF62C9"/>
    <w:rsid w:val="34CB4388"/>
    <w:rsid w:val="34FA6E12"/>
    <w:rsid w:val="350845A1"/>
    <w:rsid w:val="35147D57"/>
    <w:rsid w:val="35284057"/>
    <w:rsid w:val="356B4D7F"/>
    <w:rsid w:val="358D5588"/>
    <w:rsid w:val="358E0C66"/>
    <w:rsid w:val="35AF3000"/>
    <w:rsid w:val="35E35E9A"/>
    <w:rsid w:val="36063EF8"/>
    <w:rsid w:val="3616608C"/>
    <w:rsid w:val="362509BB"/>
    <w:rsid w:val="363A3B40"/>
    <w:rsid w:val="363D7AB0"/>
    <w:rsid w:val="365302AE"/>
    <w:rsid w:val="36607A0A"/>
    <w:rsid w:val="366E227C"/>
    <w:rsid w:val="366E7BE0"/>
    <w:rsid w:val="366F2E0D"/>
    <w:rsid w:val="367B6A5C"/>
    <w:rsid w:val="36A74ADA"/>
    <w:rsid w:val="36AD60D5"/>
    <w:rsid w:val="36B224F9"/>
    <w:rsid w:val="36EC0CC9"/>
    <w:rsid w:val="373F410B"/>
    <w:rsid w:val="37D611B1"/>
    <w:rsid w:val="37EE7094"/>
    <w:rsid w:val="380D2D28"/>
    <w:rsid w:val="382604F2"/>
    <w:rsid w:val="38296C89"/>
    <w:rsid w:val="383002EB"/>
    <w:rsid w:val="38586797"/>
    <w:rsid w:val="388735B5"/>
    <w:rsid w:val="38BC0149"/>
    <w:rsid w:val="38D87D1C"/>
    <w:rsid w:val="39532F4C"/>
    <w:rsid w:val="39636459"/>
    <w:rsid w:val="396B7F6C"/>
    <w:rsid w:val="39700969"/>
    <w:rsid w:val="3981115D"/>
    <w:rsid w:val="39B417A9"/>
    <w:rsid w:val="39CD2CC4"/>
    <w:rsid w:val="39FC5695"/>
    <w:rsid w:val="3A006D8E"/>
    <w:rsid w:val="3A3651E5"/>
    <w:rsid w:val="3A485418"/>
    <w:rsid w:val="3A744481"/>
    <w:rsid w:val="3A7F5559"/>
    <w:rsid w:val="3A8A61CD"/>
    <w:rsid w:val="3A8C7BEF"/>
    <w:rsid w:val="3A8F2280"/>
    <w:rsid w:val="3A906246"/>
    <w:rsid w:val="3ABE5349"/>
    <w:rsid w:val="3AD55B00"/>
    <w:rsid w:val="3B087306"/>
    <w:rsid w:val="3B0E1DB6"/>
    <w:rsid w:val="3B161087"/>
    <w:rsid w:val="3B2349B7"/>
    <w:rsid w:val="3B2D52C8"/>
    <w:rsid w:val="3B386940"/>
    <w:rsid w:val="3B616CFF"/>
    <w:rsid w:val="3B6259F6"/>
    <w:rsid w:val="3B76296B"/>
    <w:rsid w:val="3B8B4CD1"/>
    <w:rsid w:val="3B8D0753"/>
    <w:rsid w:val="3B976654"/>
    <w:rsid w:val="3BC01EFC"/>
    <w:rsid w:val="3BC20A1A"/>
    <w:rsid w:val="3BCA786A"/>
    <w:rsid w:val="3BD31E2F"/>
    <w:rsid w:val="3BDF7186"/>
    <w:rsid w:val="3BE42E44"/>
    <w:rsid w:val="3BF067E8"/>
    <w:rsid w:val="3BF15831"/>
    <w:rsid w:val="3C105946"/>
    <w:rsid w:val="3C345CCC"/>
    <w:rsid w:val="3C471448"/>
    <w:rsid w:val="3C5E55D5"/>
    <w:rsid w:val="3C5F759A"/>
    <w:rsid w:val="3C6C525A"/>
    <w:rsid w:val="3CB0069B"/>
    <w:rsid w:val="3CCE1C84"/>
    <w:rsid w:val="3CCE23CB"/>
    <w:rsid w:val="3CD17D17"/>
    <w:rsid w:val="3CD32A58"/>
    <w:rsid w:val="3D3C7F39"/>
    <w:rsid w:val="3D3E72C3"/>
    <w:rsid w:val="3D440F09"/>
    <w:rsid w:val="3D4504A0"/>
    <w:rsid w:val="3D8734BB"/>
    <w:rsid w:val="3D8843C4"/>
    <w:rsid w:val="3D9005AD"/>
    <w:rsid w:val="3D9A11D4"/>
    <w:rsid w:val="3DA16D89"/>
    <w:rsid w:val="3DA364BE"/>
    <w:rsid w:val="3DC57B18"/>
    <w:rsid w:val="3DCF689D"/>
    <w:rsid w:val="3DE041CB"/>
    <w:rsid w:val="3DE97B6E"/>
    <w:rsid w:val="3E0A6FFE"/>
    <w:rsid w:val="3E0D48F6"/>
    <w:rsid w:val="3E1868B4"/>
    <w:rsid w:val="3E377251"/>
    <w:rsid w:val="3E42664B"/>
    <w:rsid w:val="3E5A7334"/>
    <w:rsid w:val="3E7B5D6B"/>
    <w:rsid w:val="3E843E66"/>
    <w:rsid w:val="3E8F51FE"/>
    <w:rsid w:val="3E926F87"/>
    <w:rsid w:val="3E9A59DE"/>
    <w:rsid w:val="3EAF4836"/>
    <w:rsid w:val="3EC33DFA"/>
    <w:rsid w:val="3F060E16"/>
    <w:rsid w:val="3F1B2B22"/>
    <w:rsid w:val="3F1D1096"/>
    <w:rsid w:val="3F2F0234"/>
    <w:rsid w:val="3F6363FE"/>
    <w:rsid w:val="3F756B8F"/>
    <w:rsid w:val="3F95482B"/>
    <w:rsid w:val="3FB55FC5"/>
    <w:rsid w:val="3FDA72FC"/>
    <w:rsid w:val="3FED6989"/>
    <w:rsid w:val="3FF65624"/>
    <w:rsid w:val="4019356B"/>
    <w:rsid w:val="40221E5F"/>
    <w:rsid w:val="40592157"/>
    <w:rsid w:val="40594F5C"/>
    <w:rsid w:val="406E1CAE"/>
    <w:rsid w:val="40A0133A"/>
    <w:rsid w:val="40AB747B"/>
    <w:rsid w:val="40C26B9E"/>
    <w:rsid w:val="40C31A53"/>
    <w:rsid w:val="40D718A4"/>
    <w:rsid w:val="40E15757"/>
    <w:rsid w:val="40F86F73"/>
    <w:rsid w:val="40FF545D"/>
    <w:rsid w:val="410067C8"/>
    <w:rsid w:val="41317FAA"/>
    <w:rsid w:val="418F0D2A"/>
    <w:rsid w:val="41D01505"/>
    <w:rsid w:val="41DE6573"/>
    <w:rsid w:val="41E21279"/>
    <w:rsid w:val="42474939"/>
    <w:rsid w:val="424C3C57"/>
    <w:rsid w:val="42613FF3"/>
    <w:rsid w:val="42660D96"/>
    <w:rsid w:val="428667D2"/>
    <w:rsid w:val="42CD1CE0"/>
    <w:rsid w:val="42D513EF"/>
    <w:rsid w:val="42E1381E"/>
    <w:rsid w:val="42E3079B"/>
    <w:rsid w:val="42ED6459"/>
    <w:rsid w:val="42FE58DD"/>
    <w:rsid w:val="43174B3D"/>
    <w:rsid w:val="434B790E"/>
    <w:rsid w:val="434F3DC7"/>
    <w:rsid w:val="4360274F"/>
    <w:rsid w:val="437111C4"/>
    <w:rsid w:val="43977AB6"/>
    <w:rsid w:val="439821C8"/>
    <w:rsid w:val="43A3342B"/>
    <w:rsid w:val="43BE4A19"/>
    <w:rsid w:val="43C77C27"/>
    <w:rsid w:val="43DE09EE"/>
    <w:rsid w:val="43F04790"/>
    <w:rsid w:val="44002FAD"/>
    <w:rsid w:val="440F1B40"/>
    <w:rsid w:val="44277A11"/>
    <w:rsid w:val="44356EDF"/>
    <w:rsid w:val="449101DD"/>
    <w:rsid w:val="44A631BB"/>
    <w:rsid w:val="44BD6E00"/>
    <w:rsid w:val="44C17D1F"/>
    <w:rsid w:val="44C5640F"/>
    <w:rsid w:val="44D3373B"/>
    <w:rsid w:val="44DE1391"/>
    <w:rsid w:val="451B225C"/>
    <w:rsid w:val="452410C9"/>
    <w:rsid w:val="45317DFB"/>
    <w:rsid w:val="45662085"/>
    <w:rsid w:val="456D3CE4"/>
    <w:rsid w:val="4579042C"/>
    <w:rsid w:val="457F0571"/>
    <w:rsid w:val="45851176"/>
    <w:rsid w:val="459B020E"/>
    <w:rsid w:val="45C63B94"/>
    <w:rsid w:val="460E7DA5"/>
    <w:rsid w:val="46422483"/>
    <w:rsid w:val="4659254A"/>
    <w:rsid w:val="465B0637"/>
    <w:rsid w:val="465E3F0D"/>
    <w:rsid w:val="466A16E6"/>
    <w:rsid w:val="46831E89"/>
    <w:rsid w:val="46893F2B"/>
    <w:rsid w:val="46C4686E"/>
    <w:rsid w:val="46DA1AB4"/>
    <w:rsid w:val="46E34C21"/>
    <w:rsid w:val="46F722E4"/>
    <w:rsid w:val="47277C75"/>
    <w:rsid w:val="47660BD4"/>
    <w:rsid w:val="477B778F"/>
    <w:rsid w:val="478203EC"/>
    <w:rsid w:val="47B025FA"/>
    <w:rsid w:val="4809698F"/>
    <w:rsid w:val="4811697D"/>
    <w:rsid w:val="482B769C"/>
    <w:rsid w:val="48363DDF"/>
    <w:rsid w:val="487A3E25"/>
    <w:rsid w:val="488B5503"/>
    <w:rsid w:val="48937E21"/>
    <w:rsid w:val="489A0361"/>
    <w:rsid w:val="48AB33A2"/>
    <w:rsid w:val="48B94FF3"/>
    <w:rsid w:val="48E37AAB"/>
    <w:rsid w:val="48FD4B4C"/>
    <w:rsid w:val="490A68E0"/>
    <w:rsid w:val="491055FE"/>
    <w:rsid w:val="49184583"/>
    <w:rsid w:val="492316F4"/>
    <w:rsid w:val="4938199F"/>
    <w:rsid w:val="495F5B3E"/>
    <w:rsid w:val="496801D7"/>
    <w:rsid w:val="496F77D7"/>
    <w:rsid w:val="497654FD"/>
    <w:rsid w:val="498D490C"/>
    <w:rsid w:val="49A912EF"/>
    <w:rsid w:val="49B64211"/>
    <w:rsid w:val="49F6167F"/>
    <w:rsid w:val="4A064FA0"/>
    <w:rsid w:val="4A081F3E"/>
    <w:rsid w:val="4A0F32FE"/>
    <w:rsid w:val="4A1429D9"/>
    <w:rsid w:val="4A16615C"/>
    <w:rsid w:val="4A4424D7"/>
    <w:rsid w:val="4AAF6758"/>
    <w:rsid w:val="4AB57F09"/>
    <w:rsid w:val="4AB82D0F"/>
    <w:rsid w:val="4AC6332B"/>
    <w:rsid w:val="4AE44467"/>
    <w:rsid w:val="4AEB7664"/>
    <w:rsid w:val="4AF22C1C"/>
    <w:rsid w:val="4AF866FC"/>
    <w:rsid w:val="4AFD7C19"/>
    <w:rsid w:val="4B0567D1"/>
    <w:rsid w:val="4B236AAE"/>
    <w:rsid w:val="4B2C5231"/>
    <w:rsid w:val="4B707271"/>
    <w:rsid w:val="4B9739F7"/>
    <w:rsid w:val="4B9A7F47"/>
    <w:rsid w:val="4B9C6CF4"/>
    <w:rsid w:val="4BEE2503"/>
    <w:rsid w:val="4C245A30"/>
    <w:rsid w:val="4C390E20"/>
    <w:rsid w:val="4C5E67EC"/>
    <w:rsid w:val="4C6859E2"/>
    <w:rsid w:val="4C712CC9"/>
    <w:rsid w:val="4C750F5C"/>
    <w:rsid w:val="4CB6685F"/>
    <w:rsid w:val="4CC367FE"/>
    <w:rsid w:val="4CDA4E74"/>
    <w:rsid w:val="4CEA3592"/>
    <w:rsid w:val="4D077F3C"/>
    <w:rsid w:val="4D123355"/>
    <w:rsid w:val="4D2A3B31"/>
    <w:rsid w:val="4D2D5C0D"/>
    <w:rsid w:val="4D312C52"/>
    <w:rsid w:val="4D5A094C"/>
    <w:rsid w:val="4D630797"/>
    <w:rsid w:val="4D6520C0"/>
    <w:rsid w:val="4D8727F6"/>
    <w:rsid w:val="4D905305"/>
    <w:rsid w:val="4D964A72"/>
    <w:rsid w:val="4D9C1254"/>
    <w:rsid w:val="4DDE6F54"/>
    <w:rsid w:val="4DEC4224"/>
    <w:rsid w:val="4E793892"/>
    <w:rsid w:val="4E800872"/>
    <w:rsid w:val="4EA63FB1"/>
    <w:rsid w:val="4EBF3DC6"/>
    <w:rsid w:val="4EC569ED"/>
    <w:rsid w:val="4EC67560"/>
    <w:rsid w:val="4ED50EA1"/>
    <w:rsid w:val="4EE941B5"/>
    <w:rsid w:val="4EEC050C"/>
    <w:rsid w:val="4F0C285A"/>
    <w:rsid w:val="4F104EC3"/>
    <w:rsid w:val="4F2E1953"/>
    <w:rsid w:val="4F47332A"/>
    <w:rsid w:val="4F47354A"/>
    <w:rsid w:val="4F727F27"/>
    <w:rsid w:val="4F740DBF"/>
    <w:rsid w:val="4F911C54"/>
    <w:rsid w:val="4FE625E0"/>
    <w:rsid w:val="4FFA1339"/>
    <w:rsid w:val="50022D82"/>
    <w:rsid w:val="50184046"/>
    <w:rsid w:val="501B2902"/>
    <w:rsid w:val="501F7A55"/>
    <w:rsid w:val="5021480F"/>
    <w:rsid w:val="50284AAE"/>
    <w:rsid w:val="506B4E17"/>
    <w:rsid w:val="50962ECB"/>
    <w:rsid w:val="50A42E38"/>
    <w:rsid w:val="50A4577F"/>
    <w:rsid w:val="50B73D1F"/>
    <w:rsid w:val="50BD5BC9"/>
    <w:rsid w:val="50C11EEE"/>
    <w:rsid w:val="50E97CFC"/>
    <w:rsid w:val="50F41634"/>
    <w:rsid w:val="50FA4028"/>
    <w:rsid w:val="51020CFC"/>
    <w:rsid w:val="510D65B7"/>
    <w:rsid w:val="511157AB"/>
    <w:rsid w:val="51155BC7"/>
    <w:rsid w:val="511A77D4"/>
    <w:rsid w:val="5142540C"/>
    <w:rsid w:val="516B06A0"/>
    <w:rsid w:val="517C31D7"/>
    <w:rsid w:val="518832C8"/>
    <w:rsid w:val="518D588B"/>
    <w:rsid w:val="51A0432A"/>
    <w:rsid w:val="51A86090"/>
    <w:rsid w:val="51B7396D"/>
    <w:rsid w:val="51CF7E5F"/>
    <w:rsid w:val="51FE1497"/>
    <w:rsid w:val="522E4CC3"/>
    <w:rsid w:val="523F6894"/>
    <w:rsid w:val="5244713B"/>
    <w:rsid w:val="525927D9"/>
    <w:rsid w:val="52615633"/>
    <w:rsid w:val="52643DFA"/>
    <w:rsid w:val="527A3220"/>
    <w:rsid w:val="52977FD4"/>
    <w:rsid w:val="52A25790"/>
    <w:rsid w:val="52A96B6F"/>
    <w:rsid w:val="52B45975"/>
    <w:rsid w:val="52D94AA4"/>
    <w:rsid w:val="52EA3A62"/>
    <w:rsid w:val="52EE1164"/>
    <w:rsid w:val="52F50BB8"/>
    <w:rsid w:val="53097272"/>
    <w:rsid w:val="530D3E9C"/>
    <w:rsid w:val="532A732B"/>
    <w:rsid w:val="535403AA"/>
    <w:rsid w:val="53544462"/>
    <w:rsid w:val="53767ECF"/>
    <w:rsid w:val="5397158E"/>
    <w:rsid w:val="53C73548"/>
    <w:rsid w:val="53ED274B"/>
    <w:rsid w:val="53F40423"/>
    <w:rsid w:val="54013861"/>
    <w:rsid w:val="54301130"/>
    <w:rsid w:val="543924F7"/>
    <w:rsid w:val="54487265"/>
    <w:rsid w:val="544D6070"/>
    <w:rsid w:val="54605E1E"/>
    <w:rsid w:val="5461529F"/>
    <w:rsid w:val="546955C5"/>
    <w:rsid w:val="54A52642"/>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AC6EAF"/>
    <w:rsid w:val="55AC76CC"/>
    <w:rsid w:val="55B36671"/>
    <w:rsid w:val="55DC29B6"/>
    <w:rsid w:val="55DD4241"/>
    <w:rsid w:val="560352DA"/>
    <w:rsid w:val="561574D0"/>
    <w:rsid w:val="5622671D"/>
    <w:rsid w:val="56307C91"/>
    <w:rsid w:val="56440BC9"/>
    <w:rsid w:val="56551A40"/>
    <w:rsid w:val="56690A0E"/>
    <w:rsid w:val="566B6D1E"/>
    <w:rsid w:val="568675F1"/>
    <w:rsid w:val="57032A2C"/>
    <w:rsid w:val="570F5219"/>
    <w:rsid w:val="571E1FCB"/>
    <w:rsid w:val="575A099F"/>
    <w:rsid w:val="575D12B5"/>
    <w:rsid w:val="57610A87"/>
    <w:rsid w:val="577B1140"/>
    <w:rsid w:val="577B7F21"/>
    <w:rsid w:val="577F181B"/>
    <w:rsid w:val="57867E81"/>
    <w:rsid w:val="57921984"/>
    <w:rsid w:val="579737F0"/>
    <w:rsid w:val="57AB7B30"/>
    <w:rsid w:val="57AF5251"/>
    <w:rsid w:val="57B26373"/>
    <w:rsid w:val="57B63F04"/>
    <w:rsid w:val="57CD20C2"/>
    <w:rsid w:val="57D675AB"/>
    <w:rsid w:val="57D95FDD"/>
    <w:rsid w:val="58210F2E"/>
    <w:rsid w:val="5881664F"/>
    <w:rsid w:val="58840178"/>
    <w:rsid w:val="58917D2F"/>
    <w:rsid w:val="5894085C"/>
    <w:rsid w:val="58AE4F0C"/>
    <w:rsid w:val="58B85899"/>
    <w:rsid w:val="58E363A9"/>
    <w:rsid w:val="58EA4F40"/>
    <w:rsid w:val="58ED6777"/>
    <w:rsid w:val="59502244"/>
    <w:rsid w:val="5950339E"/>
    <w:rsid w:val="595E1678"/>
    <w:rsid w:val="596D5BD4"/>
    <w:rsid w:val="597E3DD8"/>
    <w:rsid w:val="59A3692B"/>
    <w:rsid w:val="59AB24E2"/>
    <w:rsid w:val="59DD1145"/>
    <w:rsid w:val="59F80043"/>
    <w:rsid w:val="5A09252F"/>
    <w:rsid w:val="5A0A4A0F"/>
    <w:rsid w:val="5A0B2778"/>
    <w:rsid w:val="5A150157"/>
    <w:rsid w:val="5A2A7C7B"/>
    <w:rsid w:val="5A2E662A"/>
    <w:rsid w:val="5A3E2560"/>
    <w:rsid w:val="5A4D5398"/>
    <w:rsid w:val="5A5D3B6E"/>
    <w:rsid w:val="5A637A76"/>
    <w:rsid w:val="5A6D33BA"/>
    <w:rsid w:val="5A792B1F"/>
    <w:rsid w:val="5A855BE4"/>
    <w:rsid w:val="5A874767"/>
    <w:rsid w:val="5AAD6F28"/>
    <w:rsid w:val="5AC1633C"/>
    <w:rsid w:val="5AD63A24"/>
    <w:rsid w:val="5B2B7BB8"/>
    <w:rsid w:val="5B2E1A1D"/>
    <w:rsid w:val="5B405596"/>
    <w:rsid w:val="5B6920DD"/>
    <w:rsid w:val="5B796B74"/>
    <w:rsid w:val="5B843A1C"/>
    <w:rsid w:val="5B873E3F"/>
    <w:rsid w:val="5B891C60"/>
    <w:rsid w:val="5BCE321C"/>
    <w:rsid w:val="5C02690E"/>
    <w:rsid w:val="5C08055F"/>
    <w:rsid w:val="5C196DA7"/>
    <w:rsid w:val="5C2A048C"/>
    <w:rsid w:val="5C4C3921"/>
    <w:rsid w:val="5C517D11"/>
    <w:rsid w:val="5C5632A4"/>
    <w:rsid w:val="5C635276"/>
    <w:rsid w:val="5C6D5520"/>
    <w:rsid w:val="5C80234E"/>
    <w:rsid w:val="5C8A680C"/>
    <w:rsid w:val="5CAC0A72"/>
    <w:rsid w:val="5CB14BBD"/>
    <w:rsid w:val="5D0C4701"/>
    <w:rsid w:val="5D0F0395"/>
    <w:rsid w:val="5D221076"/>
    <w:rsid w:val="5D23130F"/>
    <w:rsid w:val="5D35572F"/>
    <w:rsid w:val="5D397964"/>
    <w:rsid w:val="5D4C15FB"/>
    <w:rsid w:val="5D5A391C"/>
    <w:rsid w:val="5D5F10C0"/>
    <w:rsid w:val="5D891B7B"/>
    <w:rsid w:val="5D8C078B"/>
    <w:rsid w:val="5DAD38EE"/>
    <w:rsid w:val="5DB744C7"/>
    <w:rsid w:val="5DBD3A44"/>
    <w:rsid w:val="5DC213B5"/>
    <w:rsid w:val="5DCA074A"/>
    <w:rsid w:val="5DFA3E8D"/>
    <w:rsid w:val="5DFB5897"/>
    <w:rsid w:val="5E006862"/>
    <w:rsid w:val="5E0207B9"/>
    <w:rsid w:val="5E1834A1"/>
    <w:rsid w:val="5E1F70E1"/>
    <w:rsid w:val="5E261273"/>
    <w:rsid w:val="5E261785"/>
    <w:rsid w:val="5E3B7C0A"/>
    <w:rsid w:val="5E4A7017"/>
    <w:rsid w:val="5E552BBA"/>
    <w:rsid w:val="5E611C10"/>
    <w:rsid w:val="5EB16678"/>
    <w:rsid w:val="5EFC7377"/>
    <w:rsid w:val="5F06174D"/>
    <w:rsid w:val="5F3A3602"/>
    <w:rsid w:val="5F477659"/>
    <w:rsid w:val="5F4A699C"/>
    <w:rsid w:val="5F5F3FFB"/>
    <w:rsid w:val="5F6277C6"/>
    <w:rsid w:val="5F6D0B1D"/>
    <w:rsid w:val="5F8D0B82"/>
    <w:rsid w:val="5F9A48E0"/>
    <w:rsid w:val="5FCC5339"/>
    <w:rsid w:val="5FE34A5B"/>
    <w:rsid w:val="5FFE1E36"/>
    <w:rsid w:val="6003732F"/>
    <w:rsid w:val="60232584"/>
    <w:rsid w:val="60267099"/>
    <w:rsid w:val="602D2EAB"/>
    <w:rsid w:val="60563BFC"/>
    <w:rsid w:val="606B239A"/>
    <w:rsid w:val="607330CE"/>
    <w:rsid w:val="60825176"/>
    <w:rsid w:val="609F2AC4"/>
    <w:rsid w:val="60AB193D"/>
    <w:rsid w:val="60D928D4"/>
    <w:rsid w:val="60FA2EE8"/>
    <w:rsid w:val="61054A27"/>
    <w:rsid w:val="610A52BC"/>
    <w:rsid w:val="611D2366"/>
    <w:rsid w:val="6127203B"/>
    <w:rsid w:val="6129571B"/>
    <w:rsid w:val="61421856"/>
    <w:rsid w:val="614A1A56"/>
    <w:rsid w:val="615227C4"/>
    <w:rsid w:val="61583EDA"/>
    <w:rsid w:val="61654E3F"/>
    <w:rsid w:val="6182292A"/>
    <w:rsid w:val="619F7F92"/>
    <w:rsid w:val="61BA471A"/>
    <w:rsid w:val="61F94C26"/>
    <w:rsid w:val="62000E56"/>
    <w:rsid w:val="62023209"/>
    <w:rsid w:val="620F48B6"/>
    <w:rsid w:val="622933B4"/>
    <w:rsid w:val="624F3E49"/>
    <w:rsid w:val="62632286"/>
    <w:rsid w:val="62885958"/>
    <w:rsid w:val="628B648E"/>
    <w:rsid w:val="629135A9"/>
    <w:rsid w:val="62BA43B7"/>
    <w:rsid w:val="62C51BDC"/>
    <w:rsid w:val="62F40B65"/>
    <w:rsid w:val="62FC2CFE"/>
    <w:rsid w:val="63024505"/>
    <w:rsid w:val="635B1DB5"/>
    <w:rsid w:val="636C6F02"/>
    <w:rsid w:val="63711FED"/>
    <w:rsid w:val="63880DDC"/>
    <w:rsid w:val="638D750D"/>
    <w:rsid w:val="63AC6CC0"/>
    <w:rsid w:val="63DC01BA"/>
    <w:rsid w:val="64055776"/>
    <w:rsid w:val="640C491B"/>
    <w:rsid w:val="6411553D"/>
    <w:rsid w:val="64240056"/>
    <w:rsid w:val="64296ECE"/>
    <w:rsid w:val="643E143A"/>
    <w:rsid w:val="644358EB"/>
    <w:rsid w:val="64897E81"/>
    <w:rsid w:val="648B6EEF"/>
    <w:rsid w:val="64B33EF5"/>
    <w:rsid w:val="64C158BF"/>
    <w:rsid w:val="64CE2EAA"/>
    <w:rsid w:val="64D3327A"/>
    <w:rsid w:val="64FD2C1F"/>
    <w:rsid w:val="652978D2"/>
    <w:rsid w:val="65323E09"/>
    <w:rsid w:val="653C3090"/>
    <w:rsid w:val="65732439"/>
    <w:rsid w:val="65854376"/>
    <w:rsid w:val="658767BE"/>
    <w:rsid w:val="65892531"/>
    <w:rsid w:val="65A15C47"/>
    <w:rsid w:val="65C2529C"/>
    <w:rsid w:val="66090DE9"/>
    <w:rsid w:val="66195831"/>
    <w:rsid w:val="662E75B1"/>
    <w:rsid w:val="66342C2E"/>
    <w:rsid w:val="663E784C"/>
    <w:rsid w:val="66436A84"/>
    <w:rsid w:val="66441F4C"/>
    <w:rsid w:val="66696EA0"/>
    <w:rsid w:val="668B6A45"/>
    <w:rsid w:val="669018E6"/>
    <w:rsid w:val="66B944E9"/>
    <w:rsid w:val="66C51803"/>
    <w:rsid w:val="66F97760"/>
    <w:rsid w:val="672F3F24"/>
    <w:rsid w:val="673E055F"/>
    <w:rsid w:val="67551CE3"/>
    <w:rsid w:val="67710DBE"/>
    <w:rsid w:val="6783766B"/>
    <w:rsid w:val="67A22552"/>
    <w:rsid w:val="67B22DCC"/>
    <w:rsid w:val="67BE71AA"/>
    <w:rsid w:val="67D1178D"/>
    <w:rsid w:val="67D751FB"/>
    <w:rsid w:val="67D90273"/>
    <w:rsid w:val="67DE5875"/>
    <w:rsid w:val="67E55852"/>
    <w:rsid w:val="67EB1AB4"/>
    <w:rsid w:val="67F301F6"/>
    <w:rsid w:val="67FA1285"/>
    <w:rsid w:val="67FD7DBC"/>
    <w:rsid w:val="68044D6C"/>
    <w:rsid w:val="68150768"/>
    <w:rsid w:val="681808EE"/>
    <w:rsid w:val="682A5613"/>
    <w:rsid w:val="68447F87"/>
    <w:rsid w:val="68551F4F"/>
    <w:rsid w:val="68701026"/>
    <w:rsid w:val="687C10C9"/>
    <w:rsid w:val="68840C16"/>
    <w:rsid w:val="68876EFB"/>
    <w:rsid w:val="68884654"/>
    <w:rsid w:val="689F444F"/>
    <w:rsid w:val="68AB1D9C"/>
    <w:rsid w:val="68B96DBB"/>
    <w:rsid w:val="68CA2805"/>
    <w:rsid w:val="68E937A3"/>
    <w:rsid w:val="68F777F0"/>
    <w:rsid w:val="68F972C5"/>
    <w:rsid w:val="693E15D3"/>
    <w:rsid w:val="693F28A8"/>
    <w:rsid w:val="69627681"/>
    <w:rsid w:val="6977531D"/>
    <w:rsid w:val="69AD48E7"/>
    <w:rsid w:val="69C67263"/>
    <w:rsid w:val="69CC2BFF"/>
    <w:rsid w:val="69CE1F7E"/>
    <w:rsid w:val="69CE6915"/>
    <w:rsid w:val="69DB4FA3"/>
    <w:rsid w:val="69FD55B8"/>
    <w:rsid w:val="6A0B1C62"/>
    <w:rsid w:val="6A2406C8"/>
    <w:rsid w:val="6A280B87"/>
    <w:rsid w:val="6A744BA3"/>
    <w:rsid w:val="6A794AED"/>
    <w:rsid w:val="6AAB60D8"/>
    <w:rsid w:val="6AD55CE9"/>
    <w:rsid w:val="6ADE0BD1"/>
    <w:rsid w:val="6AE31D39"/>
    <w:rsid w:val="6AE36306"/>
    <w:rsid w:val="6AE96859"/>
    <w:rsid w:val="6B0024A9"/>
    <w:rsid w:val="6B0037D0"/>
    <w:rsid w:val="6B147746"/>
    <w:rsid w:val="6B24787C"/>
    <w:rsid w:val="6B28141A"/>
    <w:rsid w:val="6B4B51B3"/>
    <w:rsid w:val="6B573233"/>
    <w:rsid w:val="6B5B6274"/>
    <w:rsid w:val="6B791A9C"/>
    <w:rsid w:val="6B935D53"/>
    <w:rsid w:val="6BC12A93"/>
    <w:rsid w:val="6C196F71"/>
    <w:rsid w:val="6C226FCB"/>
    <w:rsid w:val="6C2748E8"/>
    <w:rsid w:val="6C290C62"/>
    <w:rsid w:val="6C2B27C0"/>
    <w:rsid w:val="6C310D9F"/>
    <w:rsid w:val="6C31226F"/>
    <w:rsid w:val="6C552F0B"/>
    <w:rsid w:val="6C6D3F96"/>
    <w:rsid w:val="6C875C29"/>
    <w:rsid w:val="6C8C67B7"/>
    <w:rsid w:val="6C8D2333"/>
    <w:rsid w:val="6C9D744C"/>
    <w:rsid w:val="6CA865EB"/>
    <w:rsid w:val="6CB60689"/>
    <w:rsid w:val="6CDA2700"/>
    <w:rsid w:val="6D063430"/>
    <w:rsid w:val="6D1243BA"/>
    <w:rsid w:val="6D167928"/>
    <w:rsid w:val="6D26299B"/>
    <w:rsid w:val="6D411DBC"/>
    <w:rsid w:val="6D4772EC"/>
    <w:rsid w:val="6D9078AF"/>
    <w:rsid w:val="6DA90B3A"/>
    <w:rsid w:val="6DAA3FEF"/>
    <w:rsid w:val="6DB12D71"/>
    <w:rsid w:val="6DBD255B"/>
    <w:rsid w:val="6DBE366A"/>
    <w:rsid w:val="6DC0172B"/>
    <w:rsid w:val="6DCB38E7"/>
    <w:rsid w:val="6DCB690C"/>
    <w:rsid w:val="6DD41A5B"/>
    <w:rsid w:val="6DF43C2E"/>
    <w:rsid w:val="6DF51CA3"/>
    <w:rsid w:val="6E0E3860"/>
    <w:rsid w:val="6E6D7EA3"/>
    <w:rsid w:val="6E762ECC"/>
    <w:rsid w:val="6E832D2A"/>
    <w:rsid w:val="6E8335BD"/>
    <w:rsid w:val="6E851DF9"/>
    <w:rsid w:val="6E8E12EF"/>
    <w:rsid w:val="6E972936"/>
    <w:rsid w:val="6EB07E8C"/>
    <w:rsid w:val="6ED446C5"/>
    <w:rsid w:val="6EFB41E6"/>
    <w:rsid w:val="6F103223"/>
    <w:rsid w:val="6F2A7D94"/>
    <w:rsid w:val="6F2D73BB"/>
    <w:rsid w:val="6F8331F1"/>
    <w:rsid w:val="6F9D4F0E"/>
    <w:rsid w:val="6FAE1A09"/>
    <w:rsid w:val="6FD75BF8"/>
    <w:rsid w:val="6FE612C0"/>
    <w:rsid w:val="700B15D6"/>
    <w:rsid w:val="703E42F6"/>
    <w:rsid w:val="706106E4"/>
    <w:rsid w:val="70647D21"/>
    <w:rsid w:val="707723D0"/>
    <w:rsid w:val="708C7918"/>
    <w:rsid w:val="709431F1"/>
    <w:rsid w:val="70F5661B"/>
    <w:rsid w:val="71360107"/>
    <w:rsid w:val="713B688E"/>
    <w:rsid w:val="718B476A"/>
    <w:rsid w:val="71BA6175"/>
    <w:rsid w:val="71C17CD4"/>
    <w:rsid w:val="71D43752"/>
    <w:rsid w:val="71E6567A"/>
    <w:rsid w:val="71EC53D2"/>
    <w:rsid w:val="71F1796A"/>
    <w:rsid w:val="71F366D0"/>
    <w:rsid w:val="72154626"/>
    <w:rsid w:val="722507BE"/>
    <w:rsid w:val="72262B5D"/>
    <w:rsid w:val="72283FF7"/>
    <w:rsid w:val="722E7212"/>
    <w:rsid w:val="723A0474"/>
    <w:rsid w:val="725923E4"/>
    <w:rsid w:val="72864BF7"/>
    <w:rsid w:val="729023FC"/>
    <w:rsid w:val="729300FE"/>
    <w:rsid w:val="72AE4EBA"/>
    <w:rsid w:val="72E23734"/>
    <w:rsid w:val="72F1593A"/>
    <w:rsid w:val="73092125"/>
    <w:rsid w:val="730E13F4"/>
    <w:rsid w:val="73213DC6"/>
    <w:rsid w:val="733C3538"/>
    <w:rsid w:val="7345344B"/>
    <w:rsid w:val="735C1430"/>
    <w:rsid w:val="737C017E"/>
    <w:rsid w:val="737E00D4"/>
    <w:rsid w:val="73A100A9"/>
    <w:rsid w:val="73BA79F4"/>
    <w:rsid w:val="73C0646E"/>
    <w:rsid w:val="73E965B1"/>
    <w:rsid w:val="7421717F"/>
    <w:rsid w:val="742222F5"/>
    <w:rsid w:val="742E4AAD"/>
    <w:rsid w:val="74476126"/>
    <w:rsid w:val="744B5914"/>
    <w:rsid w:val="74706664"/>
    <w:rsid w:val="747F3682"/>
    <w:rsid w:val="749C4185"/>
    <w:rsid w:val="75067759"/>
    <w:rsid w:val="75293877"/>
    <w:rsid w:val="752E6DCD"/>
    <w:rsid w:val="754A00D4"/>
    <w:rsid w:val="7551380D"/>
    <w:rsid w:val="75600BE5"/>
    <w:rsid w:val="7564475C"/>
    <w:rsid w:val="7583797F"/>
    <w:rsid w:val="758670E9"/>
    <w:rsid w:val="75D20F1D"/>
    <w:rsid w:val="75DA2C18"/>
    <w:rsid w:val="75E23AA4"/>
    <w:rsid w:val="75F54412"/>
    <w:rsid w:val="761D08E0"/>
    <w:rsid w:val="765D347C"/>
    <w:rsid w:val="76716E3C"/>
    <w:rsid w:val="76826699"/>
    <w:rsid w:val="769D7063"/>
    <w:rsid w:val="76C87133"/>
    <w:rsid w:val="76CD08D5"/>
    <w:rsid w:val="76DB4B92"/>
    <w:rsid w:val="76F46F0E"/>
    <w:rsid w:val="76F91759"/>
    <w:rsid w:val="76FA18D5"/>
    <w:rsid w:val="770412F0"/>
    <w:rsid w:val="77052AA4"/>
    <w:rsid w:val="770817EB"/>
    <w:rsid w:val="77136511"/>
    <w:rsid w:val="77340A39"/>
    <w:rsid w:val="77351FD0"/>
    <w:rsid w:val="77472422"/>
    <w:rsid w:val="7754573C"/>
    <w:rsid w:val="776D6208"/>
    <w:rsid w:val="77774D46"/>
    <w:rsid w:val="777F31F2"/>
    <w:rsid w:val="77964A2A"/>
    <w:rsid w:val="77CB4718"/>
    <w:rsid w:val="77D1700D"/>
    <w:rsid w:val="77E52432"/>
    <w:rsid w:val="77E76824"/>
    <w:rsid w:val="77EC04CC"/>
    <w:rsid w:val="784A2847"/>
    <w:rsid w:val="785F7C2A"/>
    <w:rsid w:val="78775729"/>
    <w:rsid w:val="78A413EB"/>
    <w:rsid w:val="78A42DB0"/>
    <w:rsid w:val="78A656AB"/>
    <w:rsid w:val="78B2245C"/>
    <w:rsid w:val="78CB6823"/>
    <w:rsid w:val="78E172CC"/>
    <w:rsid w:val="78EA1D1F"/>
    <w:rsid w:val="7904172F"/>
    <w:rsid w:val="79082F9B"/>
    <w:rsid w:val="790F7E27"/>
    <w:rsid w:val="792A231A"/>
    <w:rsid w:val="79316829"/>
    <w:rsid w:val="79377A31"/>
    <w:rsid w:val="793B0498"/>
    <w:rsid w:val="794D2B5E"/>
    <w:rsid w:val="79701E4F"/>
    <w:rsid w:val="797E66A9"/>
    <w:rsid w:val="79A97383"/>
    <w:rsid w:val="79E27E8B"/>
    <w:rsid w:val="79F62E8B"/>
    <w:rsid w:val="79F850CE"/>
    <w:rsid w:val="79FD443C"/>
    <w:rsid w:val="7A06744E"/>
    <w:rsid w:val="7A175FDE"/>
    <w:rsid w:val="7A1D1975"/>
    <w:rsid w:val="7A2B3559"/>
    <w:rsid w:val="7A345BDF"/>
    <w:rsid w:val="7A3E5150"/>
    <w:rsid w:val="7A4670D6"/>
    <w:rsid w:val="7A534B63"/>
    <w:rsid w:val="7A615382"/>
    <w:rsid w:val="7A67303B"/>
    <w:rsid w:val="7A701B26"/>
    <w:rsid w:val="7AA04D2F"/>
    <w:rsid w:val="7AAB1D04"/>
    <w:rsid w:val="7AB36C95"/>
    <w:rsid w:val="7ABA4368"/>
    <w:rsid w:val="7AD05746"/>
    <w:rsid w:val="7AEF2F09"/>
    <w:rsid w:val="7AEF667B"/>
    <w:rsid w:val="7B1055E1"/>
    <w:rsid w:val="7B257FFD"/>
    <w:rsid w:val="7B343476"/>
    <w:rsid w:val="7B577790"/>
    <w:rsid w:val="7B5A2978"/>
    <w:rsid w:val="7B5A7E4C"/>
    <w:rsid w:val="7B667AF9"/>
    <w:rsid w:val="7B7468F8"/>
    <w:rsid w:val="7B9333CA"/>
    <w:rsid w:val="7B9B0B2B"/>
    <w:rsid w:val="7BEE0103"/>
    <w:rsid w:val="7C0A0FE4"/>
    <w:rsid w:val="7C254906"/>
    <w:rsid w:val="7C590818"/>
    <w:rsid w:val="7C7C10F6"/>
    <w:rsid w:val="7C853BEA"/>
    <w:rsid w:val="7C881368"/>
    <w:rsid w:val="7CB52164"/>
    <w:rsid w:val="7CE27788"/>
    <w:rsid w:val="7D0C32F1"/>
    <w:rsid w:val="7D0F408D"/>
    <w:rsid w:val="7D491C6C"/>
    <w:rsid w:val="7D5429C0"/>
    <w:rsid w:val="7D6E6D43"/>
    <w:rsid w:val="7D716BC0"/>
    <w:rsid w:val="7DB57A34"/>
    <w:rsid w:val="7DE60973"/>
    <w:rsid w:val="7DEF0916"/>
    <w:rsid w:val="7E104419"/>
    <w:rsid w:val="7E1C026F"/>
    <w:rsid w:val="7E1E5218"/>
    <w:rsid w:val="7E1F1FC1"/>
    <w:rsid w:val="7E28061C"/>
    <w:rsid w:val="7E42282B"/>
    <w:rsid w:val="7E673C1A"/>
    <w:rsid w:val="7E6B2717"/>
    <w:rsid w:val="7E9A4E1F"/>
    <w:rsid w:val="7EA7723A"/>
    <w:rsid w:val="7EC26276"/>
    <w:rsid w:val="7EE57339"/>
    <w:rsid w:val="7EF56FBB"/>
    <w:rsid w:val="7EF722A7"/>
    <w:rsid w:val="7F0768EB"/>
    <w:rsid w:val="7F143BEC"/>
    <w:rsid w:val="7F4B0D99"/>
    <w:rsid w:val="7F715AF2"/>
    <w:rsid w:val="7F760D29"/>
    <w:rsid w:val="7F831C52"/>
    <w:rsid w:val="7F886E69"/>
    <w:rsid w:val="7F89043E"/>
    <w:rsid w:val="7FA03D87"/>
    <w:rsid w:val="7FA7B816"/>
    <w:rsid w:val="7FDBE7B0"/>
    <w:rsid w:val="7FE35C28"/>
    <w:rsid w:val="7FFF05F1"/>
    <w:rsid w:val="BB7FA927"/>
    <w:rsid w:val="F5FFD31F"/>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3"/>
    <w:next w:val="1"/>
    <w:link w:val="166"/>
    <w:qFormat/>
    <w:uiPriority w:val="0"/>
    <w:pPr>
      <w:keepNext/>
      <w:keepLines/>
      <w:adjustRightInd/>
      <w:spacing w:line="360" w:lineRule="auto"/>
      <w:ind w:left="432" w:hanging="432"/>
      <w:jc w:val="left"/>
      <w:outlineLvl w:val="1"/>
    </w:pPr>
    <w:rPr>
      <w:rFonts w:ascii="仿宋_GB2312" w:hAnsi="仿宋" w:eastAsia="仿宋_GB2312"/>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3">
    <w:name w:val="Default Paragraph Font"/>
    <w:unhideWhenUsed/>
    <w:qFormat/>
    <w:uiPriority w:val="1"/>
  </w:style>
  <w:style w:type="table" w:default="1" w:styleId="73">
    <w:name w:val="Normal Table"/>
    <w:unhideWhenUsed/>
    <w:qFormat/>
    <w:uiPriority w:val="99"/>
    <w:tblPr>
      <w:tblLayout w:type="fixed"/>
      <w:tblCellMar>
        <w:top w:w="0" w:type="dxa"/>
        <w:left w:w="108" w:type="dxa"/>
        <w:bottom w:w="0" w:type="dxa"/>
        <w:right w:w="108" w:type="dxa"/>
      </w:tblCellMar>
    </w:tblPr>
  </w:style>
  <w:style w:type="paragraph" w:styleId="2">
    <w:name w:val="toa heading"/>
    <w:basedOn w:val="1"/>
    <w:next w:val="1"/>
    <w:unhideWhenUsed/>
    <w:qFormat/>
    <w:uiPriority w:val="99"/>
    <w:rPr>
      <w:rFonts w:ascii="Arial" w:hAnsi="Arial"/>
      <w:sz w:val="24"/>
    </w:rPr>
  </w:style>
  <w:style w:type="paragraph" w:styleId="12">
    <w:name w:val="annotation subject"/>
    <w:basedOn w:val="13"/>
    <w:next w:val="13"/>
    <w:link w:val="96"/>
    <w:qFormat/>
    <w:uiPriority w:val="0"/>
    <w:rPr>
      <w:b/>
      <w:bCs/>
    </w:rPr>
  </w:style>
  <w:style w:type="paragraph" w:styleId="13">
    <w:name w:val="annotation text"/>
    <w:basedOn w:val="1"/>
    <w:link w:val="345"/>
    <w:qFormat/>
    <w:uiPriority w:val="99"/>
    <w:pPr>
      <w:jc w:val="left"/>
    </w:pPr>
  </w:style>
  <w:style w:type="paragraph" w:styleId="14">
    <w:name w:val="toc 7"/>
    <w:basedOn w:val="1"/>
    <w:next w:val="1"/>
    <w:qFormat/>
    <w:uiPriority w:val="0"/>
    <w:pPr>
      <w:ind w:left="2520" w:leftChars="1200"/>
    </w:pPr>
  </w:style>
  <w:style w:type="paragraph" w:styleId="15">
    <w:name w:val="Body Text First Indent"/>
    <w:basedOn w:val="16"/>
    <w:next w:val="17"/>
    <w:link w:val="322"/>
    <w:qFormat/>
    <w:uiPriority w:val="0"/>
    <w:pPr>
      <w:ind w:firstLine="420"/>
    </w:pPr>
    <w:rPr>
      <w:rFonts w:hAnsi="Calibri" w:cs="Times New Roman"/>
      <w:snapToGrid/>
      <w:szCs w:val="20"/>
    </w:rPr>
  </w:style>
  <w:style w:type="paragraph" w:styleId="16">
    <w:name w:val="Body Text"/>
    <w:basedOn w:val="1"/>
    <w:next w:val="15"/>
    <w:link w:val="431"/>
    <w:qFormat/>
    <w:uiPriority w:val="0"/>
    <w:pPr>
      <w:autoSpaceDE w:val="0"/>
      <w:autoSpaceDN w:val="0"/>
      <w:spacing w:line="360" w:lineRule="auto"/>
    </w:pPr>
    <w:rPr>
      <w:rFonts w:ascii="宋体" w:hAnsi="Arial" w:cs="Arial"/>
      <w:snapToGrid w:val="0"/>
      <w:sz w:val="24"/>
      <w:szCs w:val="21"/>
      <w:lang w:val="zh-CN"/>
    </w:rPr>
  </w:style>
  <w:style w:type="paragraph" w:styleId="17">
    <w:name w:val="toc 6"/>
    <w:basedOn w:val="1"/>
    <w:next w:val="1"/>
    <w:qFormat/>
    <w:uiPriority w:val="0"/>
    <w:pPr>
      <w:ind w:left="2100" w:leftChars="1000"/>
    </w:pPr>
  </w:style>
  <w:style w:type="paragraph" w:styleId="18">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9">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20">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21">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22">
    <w:name w:val="caption"/>
    <w:basedOn w:val="1"/>
    <w:next w:val="1"/>
    <w:link w:val="229"/>
    <w:qFormat/>
    <w:uiPriority w:val="0"/>
    <w:rPr>
      <w:b/>
      <w:sz w:val="28"/>
      <w:szCs w:val="20"/>
    </w:rPr>
  </w:style>
  <w:style w:type="paragraph" w:styleId="23">
    <w:name w:val="index 5"/>
    <w:basedOn w:val="1"/>
    <w:next w:val="1"/>
    <w:qFormat/>
    <w:uiPriority w:val="0"/>
    <w:pPr>
      <w:adjustRightInd/>
      <w:ind w:left="800" w:leftChars="800" w:firstLine="200" w:firstLineChars="200"/>
    </w:pPr>
  </w:style>
  <w:style w:type="paragraph" w:styleId="24">
    <w:name w:val="Document Map"/>
    <w:basedOn w:val="1"/>
    <w:link w:val="202"/>
    <w:qFormat/>
    <w:uiPriority w:val="0"/>
    <w:pPr>
      <w:shd w:val="clear" w:color="auto" w:fill="000080"/>
    </w:pPr>
  </w:style>
  <w:style w:type="paragraph" w:styleId="25">
    <w:name w:val="Salutation"/>
    <w:basedOn w:val="1"/>
    <w:next w:val="1"/>
    <w:link w:val="298"/>
    <w:qFormat/>
    <w:uiPriority w:val="0"/>
    <w:rPr>
      <w:rFonts w:ascii="仿宋_GB2312" w:eastAsia="仿宋_GB2312"/>
      <w:sz w:val="28"/>
      <w:szCs w:val="20"/>
    </w:rPr>
  </w:style>
  <w:style w:type="paragraph" w:styleId="26">
    <w:name w:val="Body Text 3"/>
    <w:basedOn w:val="1"/>
    <w:link w:val="331"/>
    <w:qFormat/>
    <w:uiPriority w:val="0"/>
    <w:pPr>
      <w:jc w:val="center"/>
    </w:pPr>
    <w:rPr>
      <w:szCs w:val="20"/>
    </w:rPr>
  </w:style>
  <w:style w:type="paragraph" w:styleId="27">
    <w:name w:val="List Bullet 3"/>
    <w:basedOn w:val="1"/>
    <w:unhideWhenUsed/>
    <w:qFormat/>
    <w:uiPriority w:val="0"/>
    <w:pPr>
      <w:snapToGrid w:val="0"/>
      <w:spacing w:line="360" w:lineRule="auto"/>
      <w:ind w:left="360" w:right="238" w:hanging="360"/>
      <w:contextualSpacing/>
    </w:pPr>
    <w:rPr>
      <w:sz w:val="24"/>
    </w:rPr>
  </w:style>
  <w:style w:type="paragraph" w:styleId="28">
    <w:name w:val="Body Text Indent"/>
    <w:basedOn w:val="1"/>
    <w:next w:val="21"/>
    <w:link w:val="265"/>
    <w:qFormat/>
    <w:uiPriority w:val="0"/>
    <w:pPr>
      <w:spacing w:line="480" w:lineRule="exact"/>
      <w:ind w:firstLine="480" w:firstLineChars="200"/>
    </w:pPr>
    <w:rPr>
      <w:rFonts w:ascii="宋体" w:hAnsi="宋体"/>
      <w:sz w:val="24"/>
    </w:rPr>
  </w:style>
  <w:style w:type="paragraph" w:styleId="29">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30">
    <w:name w:val="List 2"/>
    <w:basedOn w:val="1"/>
    <w:qFormat/>
    <w:uiPriority w:val="0"/>
    <w:pPr>
      <w:adjustRightInd/>
      <w:spacing w:line="360" w:lineRule="auto"/>
      <w:ind w:left="100" w:leftChars="200" w:hanging="200" w:hangingChars="200"/>
    </w:pPr>
    <w:rPr>
      <w:rFonts w:eastAsia="微软雅黑"/>
    </w:rPr>
  </w:style>
  <w:style w:type="paragraph" w:styleId="31">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2">
    <w:name w:val="List Bullet 2"/>
    <w:basedOn w:val="1"/>
    <w:qFormat/>
    <w:uiPriority w:val="0"/>
    <w:pPr>
      <w:autoSpaceDE w:val="0"/>
      <w:autoSpaceDN w:val="0"/>
      <w:ind w:left="420"/>
      <w:jc w:val="left"/>
    </w:pPr>
    <w:rPr>
      <w:rFonts w:ascii="宋体" w:hAnsi="宋体"/>
      <w:color w:val="000000"/>
      <w:kern w:val="0"/>
      <w:sz w:val="24"/>
      <w:szCs w:val="20"/>
    </w:rPr>
  </w:style>
  <w:style w:type="paragraph" w:styleId="33">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4">
    <w:name w:val="toc 5"/>
    <w:basedOn w:val="1"/>
    <w:next w:val="1"/>
    <w:qFormat/>
    <w:uiPriority w:val="0"/>
    <w:pPr>
      <w:ind w:left="1680" w:leftChars="800"/>
    </w:pPr>
  </w:style>
  <w:style w:type="paragraph" w:styleId="35">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6">
    <w:name w:val="Plain Text"/>
    <w:basedOn w:val="1"/>
    <w:next w:val="1"/>
    <w:link w:val="125"/>
    <w:qFormat/>
    <w:uiPriority w:val="0"/>
    <w:rPr>
      <w:rFonts w:ascii="宋体" w:hAnsi="Courier New" w:cs="Arial"/>
      <w:snapToGrid w:val="0"/>
      <w:szCs w:val="21"/>
    </w:rPr>
  </w:style>
  <w:style w:type="paragraph" w:styleId="37">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8">
    <w:name w:val="toc 8"/>
    <w:basedOn w:val="1"/>
    <w:next w:val="1"/>
    <w:qFormat/>
    <w:uiPriority w:val="0"/>
    <w:pPr>
      <w:ind w:left="2940" w:leftChars="1400"/>
    </w:pPr>
  </w:style>
  <w:style w:type="paragraph" w:styleId="39">
    <w:name w:val="Date"/>
    <w:basedOn w:val="1"/>
    <w:next w:val="1"/>
    <w:link w:val="181"/>
    <w:qFormat/>
    <w:uiPriority w:val="0"/>
    <w:pPr>
      <w:ind w:left="100" w:leftChars="2500"/>
    </w:pPr>
    <w:rPr>
      <w:rFonts w:ascii="宋体"/>
      <w:sz w:val="24"/>
      <w:szCs w:val="21"/>
      <w:lang w:val="zh-CN"/>
    </w:rPr>
  </w:style>
  <w:style w:type="paragraph" w:styleId="40">
    <w:name w:val="Body Text Indent 2"/>
    <w:basedOn w:val="1"/>
    <w:next w:val="41"/>
    <w:link w:val="308"/>
    <w:qFormat/>
    <w:uiPriority w:val="0"/>
    <w:pPr>
      <w:spacing w:line="360" w:lineRule="auto"/>
      <w:ind w:firstLine="601"/>
      <w:textAlignment w:val="baseline"/>
    </w:pPr>
    <w:rPr>
      <w:rFonts w:ascii="宋体"/>
      <w:kern w:val="0"/>
      <w:sz w:val="28"/>
      <w:szCs w:val="20"/>
    </w:rPr>
  </w:style>
  <w:style w:type="paragraph" w:styleId="41">
    <w:name w:val="toc 1"/>
    <w:basedOn w:val="1"/>
    <w:next w:val="1"/>
    <w:qFormat/>
    <w:uiPriority w:val="0"/>
  </w:style>
  <w:style w:type="paragraph" w:styleId="42">
    <w:name w:val="endnote text"/>
    <w:basedOn w:val="1"/>
    <w:link w:val="931"/>
    <w:qFormat/>
    <w:uiPriority w:val="0"/>
    <w:rPr>
      <w:lang w:val="zh-CN"/>
    </w:rPr>
  </w:style>
  <w:style w:type="paragraph" w:styleId="43">
    <w:name w:val="Balloon Text"/>
    <w:basedOn w:val="1"/>
    <w:link w:val="188"/>
    <w:qFormat/>
    <w:uiPriority w:val="0"/>
    <w:rPr>
      <w:sz w:val="18"/>
      <w:szCs w:val="18"/>
    </w:rPr>
  </w:style>
  <w:style w:type="paragraph" w:styleId="44">
    <w:name w:val="footer"/>
    <w:basedOn w:val="1"/>
    <w:link w:val="384"/>
    <w:qFormat/>
    <w:uiPriority w:val="99"/>
    <w:pPr>
      <w:tabs>
        <w:tab w:val="center" w:pos="4153"/>
        <w:tab w:val="right" w:pos="8306"/>
      </w:tabs>
      <w:snapToGrid w:val="0"/>
      <w:jc w:val="left"/>
    </w:pPr>
    <w:rPr>
      <w:sz w:val="18"/>
      <w:szCs w:val="18"/>
    </w:rPr>
  </w:style>
  <w:style w:type="paragraph" w:styleId="45">
    <w:name w:val="Body Text First Indent 2"/>
    <w:basedOn w:val="28"/>
    <w:link w:val="121"/>
    <w:qFormat/>
    <w:uiPriority w:val="0"/>
    <w:pPr>
      <w:adjustRightInd/>
      <w:spacing w:after="120" w:line="240" w:lineRule="auto"/>
      <w:ind w:left="420" w:leftChars="200" w:firstLine="210"/>
    </w:pPr>
    <w:rPr>
      <w:sz w:val="21"/>
    </w:rPr>
  </w:style>
  <w:style w:type="paragraph" w:styleId="46">
    <w:name w:val="header"/>
    <w:basedOn w:val="1"/>
    <w:next w:val="40"/>
    <w:link w:val="393"/>
    <w:qFormat/>
    <w:uiPriority w:val="99"/>
    <w:pPr>
      <w:pBdr>
        <w:bottom w:val="single" w:color="auto" w:sz="6" w:space="1"/>
      </w:pBdr>
      <w:tabs>
        <w:tab w:val="center" w:pos="4153"/>
        <w:tab w:val="right" w:pos="8306"/>
      </w:tabs>
      <w:snapToGrid w:val="0"/>
      <w:jc w:val="center"/>
    </w:pPr>
    <w:rPr>
      <w:sz w:val="18"/>
      <w:szCs w:val="18"/>
    </w:rPr>
  </w:style>
  <w:style w:type="paragraph" w:styleId="47">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8">
    <w:name w:val="toc 4"/>
    <w:basedOn w:val="1"/>
    <w:next w:val="1"/>
    <w:qFormat/>
    <w:uiPriority w:val="0"/>
    <w:pPr>
      <w:ind w:left="1260" w:leftChars="600"/>
    </w:pPr>
  </w:style>
  <w:style w:type="paragraph" w:styleId="49">
    <w:name w:val="index heading"/>
    <w:basedOn w:val="1"/>
    <w:next w:val="50"/>
    <w:qFormat/>
    <w:uiPriority w:val="0"/>
    <w:pPr>
      <w:adjustRightInd/>
      <w:ind w:firstLine="200" w:firstLineChars="200"/>
    </w:pPr>
  </w:style>
  <w:style w:type="paragraph" w:styleId="50">
    <w:name w:val="index 1"/>
    <w:basedOn w:val="1"/>
    <w:next w:val="1"/>
    <w:qFormat/>
    <w:uiPriority w:val="0"/>
    <w:pPr>
      <w:adjustRightInd/>
      <w:spacing w:line="360" w:lineRule="auto"/>
      <w:ind w:firstLine="200" w:firstLineChars="200"/>
      <w:jc w:val="center"/>
    </w:pPr>
    <w:rPr>
      <w:sz w:val="24"/>
      <w:szCs w:val="20"/>
    </w:rPr>
  </w:style>
  <w:style w:type="paragraph" w:styleId="51">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2">
    <w:name w:val="List Number 5"/>
    <w:basedOn w:val="1"/>
    <w:qFormat/>
    <w:uiPriority w:val="0"/>
    <w:pPr>
      <w:tabs>
        <w:tab w:val="left" w:pos="902"/>
      </w:tabs>
      <w:adjustRightInd/>
      <w:spacing w:line="400" w:lineRule="exact"/>
      <w:ind w:left="902" w:hanging="420"/>
    </w:pPr>
    <w:rPr>
      <w:sz w:val="24"/>
      <w:szCs w:val="20"/>
    </w:rPr>
  </w:style>
  <w:style w:type="paragraph" w:styleId="53">
    <w:name w:val="List"/>
    <w:basedOn w:val="1"/>
    <w:qFormat/>
    <w:uiPriority w:val="0"/>
    <w:pPr>
      <w:ind w:left="200" w:hanging="200" w:hangingChars="200"/>
    </w:pPr>
  </w:style>
  <w:style w:type="paragraph" w:styleId="54">
    <w:name w:val="footnote text"/>
    <w:basedOn w:val="21"/>
    <w:link w:val="310"/>
    <w:qFormat/>
    <w:uiPriority w:val="0"/>
    <w:pPr>
      <w:adjustRightInd/>
      <w:snapToGrid/>
      <w:spacing w:before="60" w:after="60" w:line="300" w:lineRule="exact"/>
      <w:ind w:firstLine="0"/>
    </w:pPr>
    <w:rPr>
      <w:rFonts w:ascii="Calibri"/>
      <w:snapToGrid/>
      <w:color w:val="0000FF"/>
      <w:kern w:val="0"/>
      <w:sz w:val="21"/>
    </w:rPr>
  </w:style>
  <w:style w:type="paragraph" w:styleId="55">
    <w:name w:val="List 5"/>
    <w:basedOn w:val="1"/>
    <w:qFormat/>
    <w:uiPriority w:val="0"/>
    <w:pPr>
      <w:adjustRightInd/>
      <w:ind w:left="100" w:leftChars="800" w:hanging="200" w:hangingChars="200"/>
    </w:pPr>
  </w:style>
  <w:style w:type="paragraph" w:styleId="56">
    <w:name w:val="Body Text Indent 3"/>
    <w:basedOn w:val="1"/>
    <w:link w:val="376"/>
    <w:qFormat/>
    <w:uiPriority w:val="0"/>
    <w:pPr>
      <w:spacing w:line="360" w:lineRule="auto"/>
      <w:ind w:firstLine="420"/>
    </w:pPr>
    <w:rPr>
      <w:sz w:val="24"/>
      <w:szCs w:val="20"/>
    </w:rPr>
  </w:style>
  <w:style w:type="paragraph" w:styleId="57">
    <w:name w:val="toc 2"/>
    <w:basedOn w:val="1"/>
    <w:next w:val="1"/>
    <w:qFormat/>
    <w:uiPriority w:val="0"/>
    <w:pPr>
      <w:ind w:left="420" w:leftChars="200"/>
    </w:pPr>
  </w:style>
  <w:style w:type="paragraph" w:styleId="58">
    <w:name w:val="toc 9"/>
    <w:basedOn w:val="1"/>
    <w:next w:val="1"/>
    <w:qFormat/>
    <w:uiPriority w:val="0"/>
    <w:pPr>
      <w:ind w:left="3360" w:leftChars="1600"/>
    </w:pPr>
  </w:style>
  <w:style w:type="paragraph" w:styleId="59">
    <w:name w:val="Body Text 2"/>
    <w:basedOn w:val="1"/>
    <w:link w:val="302"/>
    <w:qFormat/>
    <w:uiPriority w:val="0"/>
    <w:pPr>
      <w:spacing w:after="120" w:line="480" w:lineRule="auto"/>
    </w:pPr>
  </w:style>
  <w:style w:type="paragraph" w:styleId="60">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1">
    <w:name w:val="Normal (Web)"/>
    <w:basedOn w:val="1"/>
    <w:qFormat/>
    <w:uiPriority w:val="99"/>
    <w:pPr>
      <w:widowControl/>
      <w:spacing w:before="100" w:beforeAutospacing="1" w:after="100" w:afterAutospacing="1"/>
      <w:jc w:val="left"/>
    </w:pPr>
    <w:rPr>
      <w:rFonts w:ascii="宋体" w:hAnsi="宋体"/>
      <w:kern w:val="0"/>
      <w:sz w:val="24"/>
    </w:rPr>
  </w:style>
  <w:style w:type="paragraph" w:styleId="62">
    <w:name w:val="Title"/>
    <w:basedOn w:val="1"/>
    <w:next w:val="1"/>
    <w:link w:val="286"/>
    <w:qFormat/>
    <w:uiPriority w:val="10"/>
    <w:pPr>
      <w:widowControl/>
      <w:overflowPunct w:val="0"/>
      <w:autoSpaceDE w:val="0"/>
      <w:autoSpaceDN w:val="0"/>
      <w:jc w:val="center"/>
      <w:textAlignment w:val="baseline"/>
    </w:pPr>
    <w:rPr>
      <w:b/>
      <w:kern w:val="0"/>
      <w:sz w:val="24"/>
      <w:szCs w:val="20"/>
      <w:lang w:val="en-GB"/>
    </w:rPr>
  </w:style>
  <w:style w:type="character" w:styleId="64">
    <w:name w:val="Strong"/>
    <w:qFormat/>
    <w:uiPriority w:val="22"/>
    <w:rPr>
      <w:b/>
      <w:bCs/>
    </w:rPr>
  </w:style>
  <w:style w:type="character" w:styleId="65">
    <w:name w:val="endnote reference"/>
    <w:qFormat/>
    <w:uiPriority w:val="0"/>
    <w:rPr>
      <w:vertAlign w:val="superscript"/>
    </w:rPr>
  </w:style>
  <w:style w:type="character" w:styleId="66">
    <w:name w:val="page number"/>
    <w:basedOn w:val="63"/>
    <w:qFormat/>
    <w:uiPriority w:val="0"/>
    <w:rPr>
      <w:rFonts w:ascii="Arial" w:hAnsi="Arial" w:eastAsia="黑体" w:cs="Arial"/>
      <w:snapToGrid w:val="0"/>
      <w:kern w:val="0"/>
      <w:szCs w:val="21"/>
    </w:rPr>
  </w:style>
  <w:style w:type="character" w:styleId="67">
    <w:name w:val="FollowedHyperlink"/>
    <w:qFormat/>
    <w:uiPriority w:val="99"/>
    <w:rPr>
      <w:rFonts w:ascii="Arial" w:hAnsi="Arial" w:eastAsia="黑体" w:cs="Arial"/>
      <w:snapToGrid w:val="0"/>
      <w:color w:val="000000"/>
      <w:kern w:val="0"/>
      <w:sz w:val="18"/>
      <w:szCs w:val="18"/>
      <w:u w:val="none"/>
    </w:rPr>
  </w:style>
  <w:style w:type="character" w:styleId="68">
    <w:name w:val="Emphasis"/>
    <w:qFormat/>
    <w:uiPriority w:val="20"/>
    <w:rPr>
      <w:color w:val="CC0033"/>
    </w:rPr>
  </w:style>
  <w:style w:type="character" w:styleId="69">
    <w:name w:val="line number"/>
    <w:basedOn w:val="63"/>
    <w:qFormat/>
    <w:uiPriority w:val="0"/>
    <w:rPr>
      <w:rFonts w:ascii="Arial" w:hAnsi="Arial" w:eastAsia="黑体" w:cs="Arial"/>
      <w:snapToGrid w:val="0"/>
      <w:kern w:val="0"/>
      <w:szCs w:val="21"/>
    </w:rPr>
  </w:style>
  <w:style w:type="character" w:styleId="70">
    <w:name w:val="Hyperlink"/>
    <w:qFormat/>
    <w:uiPriority w:val="99"/>
    <w:rPr>
      <w:rFonts w:ascii="Arial" w:hAnsi="Arial" w:eastAsia="黑体" w:cs="Arial"/>
      <w:snapToGrid w:val="0"/>
      <w:color w:val="000000"/>
      <w:kern w:val="0"/>
      <w:sz w:val="18"/>
      <w:szCs w:val="18"/>
      <w:u w:val="none"/>
    </w:rPr>
  </w:style>
  <w:style w:type="character" w:styleId="71">
    <w:name w:val="HTML Code"/>
    <w:qFormat/>
    <w:uiPriority w:val="0"/>
    <w:rPr>
      <w:rFonts w:ascii="黑体" w:hAnsi="Courier New" w:eastAsia="黑体" w:cs="楷体_GB2312"/>
      <w:sz w:val="20"/>
      <w:szCs w:val="20"/>
    </w:rPr>
  </w:style>
  <w:style w:type="character" w:styleId="72">
    <w:name w:val="annotation reference"/>
    <w:basedOn w:val="63"/>
    <w:qFormat/>
    <w:uiPriority w:val="99"/>
    <w:rPr>
      <w:sz w:val="21"/>
      <w:szCs w:val="21"/>
    </w:rPr>
  </w:style>
  <w:style w:type="table" w:styleId="74">
    <w:name w:val="Table Grid"/>
    <w:basedOn w:val="7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styleId="75">
    <w:name w:val="Table Theme"/>
    <w:basedOn w:val="7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styleId="76">
    <w:name w:val="Table Elegant"/>
    <w:basedOn w:val="7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cPr>
      <w:shd w:val="clear" w:color="auto" w:fill="auto"/>
    </w:tcPr>
    <w:tblStylePr w:type="firstRow">
      <w:rPr>
        <w:caps/>
        <w:color w:val="auto"/>
      </w:rPr>
      <w:tblPr>
        <w:tblLayout w:type="fixed"/>
      </w:tblPr>
      <w:tcPr>
        <w:tcBorders>
          <w:top w:val="nil"/>
          <w:left w:val="nil"/>
          <w:bottom w:val="nil"/>
          <w:right w:val="nil"/>
          <w:insideH w:val="nil"/>
          <w:insideV w:val="nil"/>
          <w:tl2br w:val="nil"/>
          <w:tr2bl w:val="nil"/>
        </w:tcBorders>
      </w:tcPr>
    </w:tblStylePr>
  </w:style>
  <w:style w:type="table" w:styleId="77">
    <w:name w:val="Table Grid 5"/>
    <w:basedOn w:val="7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cPr>
      <w:shd w:val="clear" w:color="auto" w:fill="auto"/>
    </w:tcPr>
    <w:tblStylePr w:type="firstRow">
      <w:tblPr>
        <w:tblLayout w:type="fixed"/>
      </w:tblPr>
      <w:tcPr>
        <w:tcBorders>
          <w:top w:val="nil"/>
          <w:left w:val="nil"/>
          <w:bottom w:val="single" w:color="000000" w:sz="12" w:space="0"/>
          <w:right w:val="nil"/>
          <w:insideH w:val="nil"/>
          <w:insideV w:val="nil"/>
          <w:tl2br w:val="nil"/>
          <w:tr2bl w:val="nil"/>
        </w:tcBorders>
      </w:tcPr>
    </w:tblStylePr>
    <w:tblStylePr w:type="lastRow">
      <w:rPr>
        <w:b/>
        <w:bCs/>
      </w:rPr>
      <w:tblPr>
        <w:tblLayout w:type="fixed"/>
      </w:tblPr>
      <w:tcPr>
        <w:tcBorders>
          <w:top w:val="nil"/>
          <w:left w:val="nil"/>
          <w:bottom w:val="nil"/>
          <w:right w:val="nil"/>
          <w:insideH w:val="nil"/>
          <w:insideV w:val="nil"/>
          <w:tl2br w:val="nil"/>
          <w:tr2bl w:val="nil"/>
        </w:tcBorders>
      </w:tcPr>
    </w:tblStylePr>
    <w:tblStylePr w:type="lastCol">
      <w:rPr>
        <w:b/>
        <w:bCs/>
      </w:rPr>
      <w:tblPr>
        <w:tblLayout w:type="fixed"/>
      </w:tblPr>
      <w:tcPr>
        <w:tcBorders>
          <w:top w:val="nil"/>
          <w:left w:val="nil"/>
          <w:bottom w:val="nil"/>
          <w:right w:val="nil"/>
          <w:insideH w:val="nil"/>
          <w:insideV w:val="nil"/>
          <w:tl2br w:val="nil"/>
          <w:tr2bl w:val="nil"/>
        </w:tcBorders>
      </w:tcPr>
    </w:tblStylePr>
    <w:tblStylePr w:type="nwCell">
      <w:tblPr>
        <w:tblLayout w:type="fixed"/>
      </w:tblPr>
      <w:tcPr>
        <w:tcBorders>
          <w:top w:val="nil"/>
          <w:left w:val="nil"/>
          <w:bottom w:val="nil"/>
          <w:right w:val="nil"/>
          <w:insideH w:val="nil"/>
          <w:insideV w:val="nil"/>
          <w:tl2br w:val="single" w:color="000000" w:sz="6" w:space="0"/>
          <w:tr2bl w:val="nil"/>
        </w:tcBorders>
      </w:tcPr>
    </w:tblStylePr>
  </w:style>
  <w:style w:type="table" w:styleId="78">
    <w:name w:val="Table Grid 8"/>
    <w:basedOn w:val="7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Layout w:type="fixed"/>
      <w:tblCellMar>
        <w:top w:w="0" w:type="dxa"/>
        <w:left w:w="108" w:type="dxa"/>
        <w:bottom w:w="0" w:type="dxa"/>
        <w:right w:w="108" w:type="dxa"/>
      </w:tblCellMar>
    </w:tblPr>
    <w:tcPr>
      <w:shd w:val="clear" w:color="auto" w:fill="auto"/>
    </w:tcPr>
    <w:tblStylePr w:type="firstRow">
      <w:rPr>
        <w:b/>
        <w:bCs/>
        <w:color w:val="FFFFFF"/>
      </w:rPr>
      <w:tblPr>
        <w:tblLayout w:type="fixed"/>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blLayout w:type="fixed"/>
      </w:tblPr>
      <w:tcPr>
        <w:tcBorders>
          <w:top w:val="nil"/>
          <w:left w:val="nil"/>
          <w:bottom w:val="nil"/>
          <w:right w:val="nil"/>
          <w:insideH w:val="nil"/>
          <w:insideV w:val="nil"/>
          <w:tl2br w:val="nil"/>
          <w:tr2bl w:val="nil"/>
        </w:tcBorders>
      </w:tcPr>
    </w:tblStylePr>
    <w:tblStylePr w:type="lastCol">
      <w:rPr>
        <w:b/>
        <w:bCs/>
        <w:color w:val="auto"/>
      </w:rPr>
      <w:tblPr>
        <w:tblLayout w:type="fixed"/>
      </w:tblPr>
      <w:tcPr>
        <w:tcBorders>
          <w:top w:val="nil"/>
          <w:left w:val="nil"/>
          <w:bottom w:val="nil"/>
          <w:right w:val="nil"/>
          <w:insideH w:val="nil"/>
          <w:insideV w:val="nil"/>
          <w:tl2br w:val="nil"/>
          <w:tr2bl w:val="nil"/>
        </w:tcBorders>
      </w:tcPr>
    </w:tblStylePr>
  </w:style>
  <w:style w:type="table" w:styleId="79">
    <w:name w:val="Table Professional"/>
    <w:basedOn w:val="7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cPr>
      <w:shd w:val="clear" w:color="auto" w:fill="auto"/>
    </w:tcPr>
    <w:tblStylePr w:type="firstRow">
      <w:rPr>
        <w:b/>
        <w:bCs/>
        <w:color w:val="auto"/>
      </w:rPr>
      <w:tblPr>
        <w:tblLayout w:type="fixed"/>
      </w:tblPr>
      <w:tcPr>
        <w:tcBorders>
          <w:top w:val="nil"/>
          <w:left w:val="nil"/>
          <w:bottom w:val="nil"/>
          <w:right w:val="nil"/>
          <w:insideH w:val="nil"/>
          <w:insideV w:val="nil"/>
          <w:tl2br w:val="nil"/>
          <w:tr2bl w:val="nil"/>
        </w:tcBorders>
        <w:shd w:val="solid" w:color="000000" w:fill="FFFFFF"/>
      </w:tcPr>
    </w:tblStylePr>
  </w:style>
  <w:style w:type="paragraph" w:customStyle="1" w:styleId="80">
    <w:name w:val="表格文字"/>
    <w:basedOn w:val="81"/>
    <w:next w:val="16"/>
    <w:qFormat/>
    <w:uiPriority w:val="0"/>
    <w:pPr>
      <w:adjustRightInd/>
      <w:ind w:firstLine="200" w:firstLineChars="200"/>
    </w:pPr>
    <w:rPr>
      <w:rFonts w:ascii="Arial" w:hAnsi="Arial"/>
      <w:spacing w:val="-5"/>
      <w:kern w:val="0"/>
      <w:sz w:val="24"/>
      <w:szCs w:val="20"/>
    </w:rPr>
  </w:style>
  <w:style w:type="paragraph" w:customStyle="1" w:styleId="81">
    <w:name w:val="表格文字（两侧对齐）"/>
    <w:basedOn w:val="1"/>
    <w:qFormat/>
    <w:uiPriority w:val="0"/>
    <w:pPr>
      <w:snapToGrid w:val="0"/>
      <w:jc w:val="left"/>
    </w:pPr>
    <w:rPr>
      <w:sz w:val="20"/>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12"/>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45"/>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3"/>
    <w:qFormat/>
    <w:uiPriority w:val="0"/>
    <w:rPr>
      <w:rFonts w:ascii="Arial" w:hAnsi="Arial" w:eastAsia="黑体" w:cs="Arial"/>
      <w:snapToGrid w:val="0"/>
      <w:kern w:val="0"/>
      <w:szCs w:val="21"/>
    </w:rPr>
  </w:style>
  <w:style w:type="character" w:customStyle="1" w:styleId="125">
    <w:name w:val="纯文本 Char"/>
    <w:link w:val="36"/>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51"/>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basedOn w:val="63"/>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Char1"/>
    <w:link w:val="4"/>
    <w:qFormat/>
    <w:uiPriority w:val="1"/>
    <w:rPr>
      <w:rFonts w:ascii="仿宋_GB2312" w:hAnsi="仿宋" w:eastAsia="仿宋_GB2312"/>
      <w:b/>
      <w:bCs/>
      <w:sz w:val="32"/>
      <w:szCs w:val="32"/>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4"/>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9"/>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43"/>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21"/>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24"/>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3"/>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3"/>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22"/>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列出段落1"/>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8"/>
    <w:qFormat/>
    <w:uiPriority w:val="0"/>
    <w:rPr>
      <w:rFonts w:ascii="宋体" w:hAnsi="宋体"/>
      <w:kern w:val="2"/>
      <w:sz w:val="24"/>
      <w:szCs w:val="24"/>
    </w:rPr>
  </w:style>
  <w:style w:type="character" w:customStyle="1" w:styleId="266">
    <w:name w:val="font01"/>
    <w:basedOn w:val="63"/>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62"/>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5"/>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60"/>
    <w:qFormat/>
    <w:uiPriority w:val="0"/>
    <w:rPr>
      <w:rFonts w:ascii="黑体" w:hAnsi="Courier New" w:eastAsia="黑体"/>
    </w:rPr>
  </w:style>
  <w:style w:type="character" w:customStyle="1" w:styleId="302">
    <w:name w:val="正文文本 2 Char1"/>
    <w:link w:val="59"/>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9"/>
    <w:qFormat/>
    <w:uiPriority w:val="0"/>
    <w:rPr>
      <w:b/>
      <w:bCs/>
      <w:kern w:val="2"/>
      <w:sz w:val="24"/>
      <w:szCs w:val="24"/>
    </w:rPr>
  </w:style>
  <w:style w:type="character" w:customStyle="1" w:styleId="308">
    <w:name w:val="正文文本缩进 2 Char"/>
    <w:link w:val="40"/>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4"/>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basedOn w:val="63"/>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321"/>
    <w:link w:val="319"/>
    <w:qFormat/>
    <w:uiPriority w:val="0"/>
    <w:pPr>
      <w:tabs>
        <w:tab w:val="right" w:leader="dot" w:pos="8268"/>
      </w:tabs>
      <w:adjustRightInd/>
    </w:pPr>
    <w:rPr>
      <w:rFonts w:ascii="宋体"/>
      <w:kern w:val="0"/>
      <w:sz w:val="20"/>
      <w:szCs w:val="20"/>
    </w:rPr>
  </w:style>
  <w:style w:type="paragraph" w:customStyle="1" w:styleId="321">
    <w:name w:val="正文1"/>
    <w:basedOn w:val="35"/>
    <w:next w:val="1"/>
    <w:qFormat/>
    <w:uiPriority w:val="0"/>
    <w:pPr>
      <w:ind w:left="0" w:leftChars="0" w:firstLine="480" w:firstLineChars="200"/>
    </w:pPr>
    <w:rPr>
      <w:rFonts w:ascii="仿宋_GB2312" w:hAnsi="Courier New" w:eastAsia="仿宋_GB2312"/>
      <w:kern w:val="28"/>
      <w:sz w:val="24"/>
    </w:rPr>
  </w:style>
  <w:style w:type="character" w:customStyle="1" w:styleId="322">
    <w:name w:val="正文首行缩进 Char"/>
    <w:link w:val="15"/>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Char2"/>
    <w:link w:val="6"/>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Char"/>
    <w:link w:val="26"/>
    <w:qFormat/>
    <w:uiPriority w:val="0"/>
    <w:rPr>
      <w:kern w:val="2"/>
      <w:sz w:val="21"/>
    </w:rPr>
  </w:style>
  <w:style w:type="character" w:customStyle="1" w:styleId="332">
    <w:name w:val="font31"/>
    <w:basedOn w:val="63"/>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Char1"/>
    <w:link w:val="13"/>
    <w:qFormat/>
    <w:uiPriority w:val="0"/>
    <w:rPr>
      <w:kern w:val="2"/>
      <w:sz w:val="21"/>
      <w:szCs w:val="24"/>
    </w:rPr>
  </w:style>
  <w:style w:type="character" w:customStyle="1" w:styleId="346">
    <w:name w:val="签名 Char"/>
    <w:link w:val="47"/>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10"/>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6"/>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44"/>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6"/>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63"/>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21"/>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16"/>
    <w:qFormat/>
    <w:uiPriority w:val="0"/>
    <w:rPr>
      <w:rFonts w:ascii="宋体" w:hAnsi="Arial" w:eastAsia="宋体" w:cs="Arial"/>
      <w:snapToGrid w:val="0"/>
      <w:kern w:val="2"/>
      <w:sz w:val="24"/>
      <w:szCs w:val="21"/>
      <w:lang w:val="zh-CN" w:eastAsia="zh-CN" w:bidi="ar-SA"/>
    </w:rPr>
  </w:style>
  <w:style w:type="character" w:customStyle="1" w:styleId="432">
    <w:name w:val="gray6"/>
    <w:basedOn w:val="63"/>
    <w:qFormat/>
    <w:uiPriority w:val="0"/>
    <w:rPr>
      <w:rFonts w:ascii="Arial" w:hAnsi="Arial" w:eastAsia="黑体" w:cs="Arial"/>
      <w:snapToGrid w:val="0"/>
      <w:kern w:val="0"/>
      <w:szCs w:val="21"/>
    </w:rPr>
  </w:style>
  <w:style w:type="character" w:customStyle="1" w:styleId="433">
    <w:name w:val="hui"/>
    <w:basedOn w:val="63"/>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8"/>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6"/>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4"/>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outlineLvl w:val="5"/>
    </w:pPr>
  </w:style>
  <w:style w:type="paragraph" w:customStyle="1" w:styleId="475">
    <w:name w:val="5级标题"/>
    <w:basedOn w:val="476"/>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6">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4">
    <w:name w:val="无间隔2"/>
    <w:basedOn w:val="1"/>
    <w:link w:val="932"/>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4"/>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5"/>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7"/>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5"/>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1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Lines="50"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21"/>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8"/>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6"/>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8"/>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9"/>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6">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2"/>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Lines="0" w:afterLines="0"/>
      <w:ind w:left="1680"/>
      <w:outlineLvl w:val="2"/>
    </w:pPr>
  </w:style>
  <w:style w:type="paragraph" w:customStyle="1" w:styleId="658">
    <w:name w:val="章标题"/>
    <w:next w:val="640"/>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4">
    <w:name w:val="正文 New New New New"/>
    <w:qFormat/>
    <w:uiPriority w:val="99"/>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Lines="50"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16"/>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8"/>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40"/>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5"/>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22"/>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16"/>
    <w:qFormat/>
    <w:uiPriority w:val="0"/>
    <w:pPr>
      <w:autoSpaceDE/>
      <w:autoSpaceDN/>
      <w:snapToGrid w:val="0"/>
      <w:ind w:firstLine="480" w:firstLineChars="200"/>
    </w:pPr>
    <w:rPr>
      <w:rFonts w:ascii="Times New Roman"/>
      <w:szCs w:val="24"/>
      <w:lang w:val="en-US"/>
    </w:rPr>
  </w:style>
  <w:style w:type="paragraph" w:customStyle="1" w:styleId="770">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62"/>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8"/>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21"/>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5"/>
    <w:next w:val="56"/>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16"/>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40"/>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8"/>
    <w:qFormat/>
    <w:uiPriority w:val="0"/>
    <w:pPr>
      <w:adjustRightInd/>
      <w:spacing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20"/>
    <w:qFormat/>
    <w:uiPriority w:val="2"/>
    <w:pPr>
      <w:tabs>
        <w:tab w:val="clear" w:pos="390"/>
        <w:tab w:val="clear" w:pos="454"/>
      </w:tabs>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24"/>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2"/>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8"/>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9"/>
    <w:qFormat/>
    <w:uiPriority w:val="0"/>
    <w:rPr>
      <w:b w:val="0"/>
      <w:sz w:val="20"/>
    </w:rPr>
  </w:style>
  <w:style w:type="paragraph" w:customStyle="1" w:styleId="893">
    <w:name w:val="正文首行缩进1"/>
    <w:basedOn w:val="16"/>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7"/>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4"/>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2"/>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7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customStyle="1" w:styleId="921">
    <w:name w:val="网格型1"/>
    <w:basedOn w:val="7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customStyle="1" w:styleId="922">
    <w:name w:val="网格型6"/>
    <w:basedOn w:val="7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customStyle="1" w:styleId="923">
    <w:name w:val="网格型3"/>
    <w:basedOn w:val="7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customStyle="1" w:styleId="924">
    <w:name w:val="网格型4"/>
    <w:basedOn w:val="7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customStyle="1" w:styleId="925">
    <w:name w:val="网格型5"/>
    <w:basedOn w:val="7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locked/>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42"/>
    <w:qFormat/>
    <w:uiPriority w:val="0"/>
    <w:rPr>
      <w:kern w:val="2"/>
      <w:sz w:val="21"/>
      <w:szCs w:val="24"/>
      <w:lang w:val="zh-CN"/>
    </w:rPr>
  </w:style>
  <w:style w:type="character" w:customStyle="1" w:styleId="932">
    <w:name w:val="无间隔 字符"/>
    <w:link w:val="484"/>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8"/>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3"/>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纯文本3"/>
    <w:basedOn w:val="964"/>
    <w:qFormat/>
    <w:uiPriority w:val="0"/>
    <w:pPr>
      <w:widowControl/>
      <w:jc w:val="left"/>
    </w:pPr>
    <w:rPr>
      <w:rFonts w:ascii="宋体" w:hAnsi="Courier New"/>
    </w:rPr>
  </w:style>
  <w:style w:type="paragraph" w:customStyle="1" w:styleId="964">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965">
    <w:name w:val="case31"/>
    <w:qFormat/>
    <w:uiPriority w:val="0"/>
    <w:rPr>
      <w:rFonts w:hint="default" w:ascii="_x000B__x000C_" w:hAnsi="_x000B__x000C_"/>
      <w:sz w:val="21"/>
      <w:szCs w:val="21"/>
    </w:rPr>
  </w:style>
  <w:style w:type="paragraph" w:customStyle="1" w:styleId="966">
    <w:name w:val="纯文本4"/>
    <w:basedOn w:val="967"/>
    <w:qFormat/>
    <w:uiPriority w:val="0"/>
    <w:pPr>
      <w:widowControl/>
      <w:jc w:val="left"/>
    </w:pPr>
    <w:rPr>
      <w:rFonts w:ascii="宋体" w:hAnsi="Courier New"/>
    </w:rPr>
  </w:style>
  <w:style w:type="paragraph" w:customStyle="1" w:styleId="967">
    <w:name w:val="正文8"/>
    <w:qFormat/>
    <w:uiPriority w:val="0"/>
    <w:pPr>
      <w:widowControl w:val="0"/>
      <w:jc w:val="both"/>
    </w:pPr>
    <w:rPr>
      <w:rFonts w:hint="eastAsia" w:ascii="等线" w:hAnsi="等线" w:eastAsia="等线" w:cs="Times New Roman"/>
      <w:kern w:val="2"/>
      <w:sz w:val="21"/>
      <w:lang w:val="en-US" w:eastAsia="zh-CN" w:bidi="ar-SA"/>
    </w:rPr>
  </w:style>
  <w:style w:type="character" w:customStyle="1" w:styleId="968">
    <w:name w:val="NormalCharacter"/>
    <w:link w:val="969"/>
    <w:qFormat/>
    <w:uiPriority w:val="0"/>
    <w:rPr>
      <w:rFonts w:ascii="仿宋_GB2312" w:eastAsia="仿宋_GB2312"/>
      <w:b/>
      <w:sz w:val="32"/>
      <w:szCs w:val="32"/>
    </w:rPr>
  </w:style>
  <w:style w:type="paragraph" w:customStyle="1" w:styleId="969">
    <w:name w:val="UserStyle_126"/>
    <w:basedOn w:val="1"/>
    <w:link w:val="968"/>
    <w:qFormat/>
    <w:uiPriority w:val="0"/>
    <w:pPr>
      <w:textAlignment w:val="baseline"/>
    </w:pPr>
    <w:rPr>
      <w:rFonts w:ascii="仿宋_GB2312" w:eastAsia="仿宋_GB2312"/>
      <w:b/>
      <w:sz w:val="32"/>
      <w:szCs w:val="32"/>
    </w:rPr>
  </w:style>
  <w:style w:type="paragraph" w:customStyle="1" w:styleId="970">
    <w:name w:val="列出段落6"/>
    <w:basedOn w:val="1"/>
    <w:unhideWhenUsed/>
    <w:qFormat/>
    <w:uiPriority w:val="99"/>
    <w:pPr>
      <w:ind w:firstLine="420" w:firstLineChars="200"/>
    </w:pPr>
  </w:style>
  <w:style w:type="paragraph" w:customStyle="1" w:styleId="971">
    <w:name w:val="List Paragraph"/>
    <w:basedOn w:val="1"/>
    <w:unhideWhenUsed/>
    <w:qFormat/>
    <w:uiPriority w:val="34"/>
    <w:pPr>
      <w:spacing w:beforeLines="0" w:afterLines="0"/>
      <w:ind w:firstLine="420" w:firstLineChars="200"/>
    </w:pPr>
    <w:rPr>
      <w:rFonts w:hint="eastAsia"/>
      <w:sz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customXml" Target="../customXml/item2.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A5DE406-8940-4E87-A209-086DE4D766A6}">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64</Pages>
  <Words>35120</Words>
  <Characters>37731</Characters>
  <Lines>352</Lines>
  <Paragraphs>99</Paragraphs>
  <ScaleCrop>false</ScaleCrop>
  <LinksUpToDate>false</LinksUpToDate>
  <CharactersWithSpaces>39140</CharactersWithSpaces>
  <Application>WPS Office_10.8.0.6370_F1E327BC-269C-435d-A152-05C5408002CA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2022-04-28T07:11:00Z</dcterms:created>
  <dc:creator>玥</dc:creator>
  <cp:lastModifiedBy>Administrator</cp:lastModifiedBy>
  <cp:lastPrinted>2022-05-17T03:04:00Z</cp:lastPrinted>
  <dcterms:modified xsi:type="dcterms:W3CDTF">2023-02-17T08:29:42Z</dcterms:modified>
  <dc:title>杭州市市民卡扩大发卡工程</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2052-10.8.0.6370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D9C5961F4F4F4220A90E55650A269547</vt:lpwstr>
  </property>
  <property fmtid="{D5CDD505-2E9C-101B-9397-08002B2CF9AE}" pid="5" name="woTemplateTypoMode" linkTarget="0">
    <vt:lpwstr>web</vt:lpwstr>
  </property>
  <property fmtid="{D5CDD505-2E9C-101B-9397-08002B2CF9AE}" pid="6" name="woTemplate" linkTarget="0">
    <vt:i4>1</vt:i4>
  </property>
</Properties>
</file>